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2.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3.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drawings/drawing4.xml" ContentType="application/vnd.openxmlformats-officedocument.drawingml.chartshapes+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5.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6.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drawings/drawing7.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rPr>
        <w:id w:val="837972970"/>
        <w:docPartObj>
          <w:docPartGallery w:val="Cover Pages"/>
          <w:docPartUnique/>
        </w:docPartObj>
      </w:sdtPr>
      <w:sdtEndPr/>
      <w:sdtContent>
        <w:tbl>
          <w:tblPr>
            <w:tblW w:w="0" w:type="auto"/>
            <w:tblLook w:val="04A0" w:firstRow="1" w:lastRow="0" w:firstColumn="1" w:lastColumn="0" w:noHBand="0" w:noVBand="1"/>
          </w:tblPr>
          <w:tblGrid>
            <w:gridCol w:w="9026"/>
          </w:tblGrid>
          <w:tr w:rsidR="00BA7D61" w14:paraId="51A752E9" w14:textId="77777777" w:rsidTr="00072E96">
            <w:trPr>
              <w:cantSplit/>
              <w:trHeight w:val="1418"/>
            </w:trPr>
            <w:tc>
              <w:tcPr>
                <w:tcW w:w="9242" w:type="dxa"/>
              </w:tcPr>
              <w:p w14:paraId="7E3EFE1B" w14:textId="7FC7033E" w:rsidR="00BA7D61" w:rsidRDefault="00BA7D61" w:rsidP="00072E96">
                <w:pPr>
                  <w:pStyle w:val="CoverNormal"/>
                </w:pPr>
                <w:r>
                  <w:rPr>
                    <w:noProof/>
                    <w:lang w:eastAsia="en-AU"/>
                  </w:rPr>
                  <w:drawing>
                    <wp:inline distT="0" distB="0" distL="0" distR="0" wp14:anchorId="0B906F57" wp14:editId="1432924B">
                      <wp:extent cx="3165895" cy="498478"/>
                      <wp:effectExtent l="0" t="0" r="0" b="0"/>
                      <wp:docPr id="14" name="Picture 14" descr="Picture contains the Office of the Chief Economist logo" title="Picture contains the 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1383" cy="505640"/>
                              </a:xfrm>
                              <a:prstGeom prst="rect">
                                <a:avLst/>
                              </a:prstGeom>
                            </pic:spPr>
                          </pic:pic>
                        </a:graphicData>
                      </a:graphic>
                    </wp:inline>
                  </w:drawing>
                </w:r>
                <w:r w:rsidR="00F827F7">
                  <w:rPr>
                    <w:rFonts w:ascii="Arial" w:hAnsi="Arial"/>
                    <w:noProof/>
                    <w:lang w:eastAsia="en-AU"/>
                  </w:rPr>
                  <w:drawing>
                    <wp:inline distT="0" distB="0" distL="0" distR="0" wp14:anchorId="77952F4F" wp14:editId="0182B1C0">
                      <wp:extent cx="2212975" cy="579120"/>
                      <wp:effectExtent l="0" t="0" r="0" b="0"/>
                      <wp:docPr id="2" name="Picture 2" descr="EDAN is the Economic data and analysis network." title="This table contains the logo for ED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2975" cy="579120"/>
                              </a:xfrm>
                              <a:prstGeom prst="rect">
                                <a:avLst/>
                              </a:prstGeom>
                              <a:noFill/>
                            </pic:spPr>
                          </pic:pic>
                        </a:graphicData>
                      </a:graphic>
                    </wp:inline>
                  </w:drawing>
                </w:r>
              </w:p>
            </w:tc>
          </w:tr>
          <w:tr w:rsidR="00BA7D61" w14:paraId="644CFEC9" w14:textId="77777777" w:rsidTr="00072E96">
            <w:trPr>
              <w:cantSplit/>
              <w:trHeight w:hRule="exact" w:val="1417"/>
            </w:trPr>
            <w:tc>
              <w:tcPr>
                <w:tcW w:w="9242" w:type="dxa"/>
                <w:vAlign w:val="bottom"/>
              </w:tcPr>
              <w:p w14:paraId="1B248D4A" w14:textId="73E6377B" w:rsidR="00BA7D61" w:rsidRDefault="00BA7D61" w:rsidP="00884142">
                <w:pPr>
                  <w:pStyle w:val="ResearchPaper"/>
                </w:pPr>
                <w:r>
                  <w:t xml:space="preserve">Research Paper </w:t>
                </w:r>
                <w:r w:rsidR="00884142">
                  <w:t>10</w:t>
                </w:r>
                <w:r w:rsidR="00122CBC">
                  <w:t>/</w:t>
                </w:r>
                <w:r>
                  <w:t>2019</w:t>
                </w:r>
              </w:p>
            </w:tc>
          </w:tr>
          <w:tr w:rsidR="00BA7D61" w:rsidRPr="00CF654B" w14:paraId="78A3E0C6" w14:textId="77777777" w:rsidTr="00072E96">
            <w:trPr>
              <w:cantSplit/>
            </w:trPr>
            <w:sdt>
              <w:sdtPr>
                <w:rPr>
                  <w:rStyle w:val="TitleHeadingChar"/>
                  <w:b/>
                </w:rPr>
                <w:alias w:val="Research Paper Title"/>
                <w:tag w:val="Research Paper Title"/>
                <w:id w:val="803742244"/>
                <w:placeholder>
                  <w:docPart w:val="D279839A6F464AF9B88A57218FC198F6"/>
                </w:placeholder>
              </w:sdtPr>
              <w:sdtEndPr>
                <w:rPr>
                  <w:rStyle w:val="DefaultParagraphFont"/>
                </w:rPr>
              </w:sdtEndPr>
              <w:sdtContent>
                <w:sdt>
                  <w:sdtPr>
                    <w:rPr>
                      <w:rStyle w:val="TitleHeadingChar"/>
                      <w:b/>
                    </w:rPr>
                    <w:alias w:val="Research Paper Title"/>
                    <w:tag w:val="Research Paper Title"/>
                    <w:id w:val="38103053"/>
                    <w:placeholder>
                      <w:docPart w:val="1694A94535874C69952437FFF5DC8720"/>
                    </w:placeholder>
                  </w:sdtPr>
                  <w:sdtEndPr>
                    <w:rPr>
                      <w:rStyle w:val="DefaultParagraphFont"/>
                    </w:rPr>
                  </w:sdtEndPr>
                  <w:sdtContent>
                    <w:tc>
                      <w:tcPr>
                        <w:tcW w:w="9242" w:type="dxa"/>
                      </w:tcPr>
                      <w:p w14:paraId="78D759FB" w14:textId="77777777" w:rsidR="00BA7D61" w:rsidRPr="00E018A4" w:rsidRDefault="00BA7D61" w:rsidP="00072E96">
                        <w:pPr>
                          <w:pStyle w:val="TitleHeading"/>
                          <w:rPr>
                            <w:b/>
                          </w:rPr>
                        </w:pPr>
                        <w:r>
                          <w:rPr>
                            <w:rStyle w:val="TitleHeadingChar"/>
                          </w:rPr>
                          <w:t>Development of Management Capability Scores</w:t>
                        </w:r>
                      </w:p>
                    </w:tc>
                  </w:sdtContent>
                </w:sdt>
              </w:sdtContent>
            </w:sdt>
          </w:tr>
          <w:tr w:rsidR="00BA7D61" w:rsidRPr="00BA7D61" w14:paraId="2B4C8FC2" w14:textId="77777777" w:rsidTr="00072E96">
            <w:trPr>
              <w:cantSplit/>
            </w:trPr>
            <w:tc>
              <w:tcPr>
                <w:tcW w:w="9242" w:type="dxa"/>
                <w:vAlign w:val="center"/>
              </w:tcPr>
              <w:p w14:paraId="41F31007" w14:textId="77777777" w:rsidR="00BA7D61" w:rsidRDefault="00BA7D61" w:rsidP="00072E96">
                <w:pPr>
                  <w:pStyle w:val="Author"/>
                  <w:rPr>
                    <w:sz w:val="28"/>
                  </w:rPr>
                </w:pPr>
                <w:r w:rsidRPr="00BA7D61">
                  <w:rPr>
                    <w:sz w:val="28"/>
                  </w:rPr>
                  <w:t>Renu Agarwal</w:t>
                </w:r>
                <w:r w:rsidRPr="00BA7D61">
                  <w:rPr>
                    <w:sz w:val="28"/>
                    <w:vertAlign w:val="superscript"/>
                  </w:rPr>
                  <w:t xml:space="preserve"> A</w:t>
                </w:r>
                <w:r w:rsidRPr="00BA7D61">
                  <w:rPr>
                    <w:sz w:val="28"/>
                  </w:rPr>
                  <w:t>, Chris Bajada</w:t>
                </w:r>
                <w:r w:rsidRPr="00BA7D61">
                  <w:rPr>
                    <w:sz w:val="28"/>
                    <w:vertAlign w:val="superscript"/>
                  </w:rPr>
                  <w:t xml:space="preserve"> A</w:t>
                </w:r>
                <w:r w:rsidRPr="00BA7D61">
                  <w:rPr>
                    <w:sz w:val="28"/>
                  </w:rPr>
                  <w:t>, Paul Brown</w:t>
                </w:r>
                <w:r w:rsidRPr="00BA7D61">
                  <w:rPr>
                    <w:sz w:val="28"/>
                    <w:vertAlign w:val="superscript"/>
                  </w:rPr>
                  <w:t xml:space="preserve"> A</w:t>
                </w:r>
                <w:r w:rsidRPr="00BA7D61">
                  <w:rPr>
                    <w:sz w:val="28"/>
                  </w:rPr>
                  <w:t>, Ian Moran</w:t>
                </w:r>
                <w:r w:rsidRPr="00BA7D61">
                  <w:rPr>
                    <w:sz w:val="28"/>
                    <w:vertAlign w:val="superscript"/>
                  </w:rPr>
                  <w:t>B</w:t>
                </w:r>
                <w:r w:rsidRPr="00BA7D61">
                  <w:rPr>
                    <w:sz w:val="28"/>
                  </w:rPr>
                  <w:t xml:space="preserve"> and Antonio Balaguer</w:t>
                </w:r>
                <w:r w:rsidRPr="00BA7D61">
                  <w:rPr>
                    <w:sz w:val="28"/>
                    <w:vertAlign w:val="superscript"/>
                  </w:rPr>
                  <w:t>B</w:t>
                </w:r>
                <w:r w:rsidRPr="00BA7D61">
                  <w:rPr>
                    <w:sz w:val="28"/>
                  </w:rPr>
                  <w:t xml:space="preserve"> </w:t>
                </w:r>
              </w:p>
              <w:p w14:paraId="24BABF60" w14:textId="77777777" w:rsidR="00BA7D61" w:rsidRPr="00BA7D61" w:rsidRDefault="00BA7D61" w:rsidP="00072E96">
                <w:pPr>
                  <w:pStyle w:val="Author"/>
                  <w:rPr>
                    <w:sz w:val="28"/>
                  </w:rPr>
                </w:pPr>
                <w:r w:rsidRPr="00BA7D61">
                  <w:rPr>
                    <w:sz w:val="28"/>
                    <w:vertAlign w:val="superscript"/>
                  </w:rPr>
                  <w:t>A</w:t>
                </w:r>
                <w:r>
                  <w:rPr>
                    <w:sz w:val="28"/>
                    <w:vertAlign w:val="superscript"/>
                  </w:rPr>
                  <w:t xml:space="preserve"> </w:t>
                </w:r>
                <w:r w:rsidRPr="00BA7D61">
                  <w:rPr>
                    <w:sz w:val="18"/>
                  </w:rPr>
                  <w:t>University of Technology Sydney</w:t>
                </w:r>
                <w:r>
                  <w:rPr>
                    <w:sz w:val="28"/>
                    <w:vertAlign w:val="superscript"/>
                  </w:rPr>
                  <w:br/>
                </w:r>
                <w:r w:rsidRPr="00BA7D61">
                  <w:rPr>
                    <w:sz w:val="28"/>
                    <w:vertAlign w:val="superscript"/>
                  </w:rPr>
                  <w:t>B</w:t>
                </w:r>
                <w:r>
                  <w:rPr>
                    <w:sz w:val="28"/>
                    <w:vertAlign w:val="superscript"/>
                  </w:rPr>
                  <w:t xml:space="preserve"> </w:t>
                </w:r>
                <w:r w:rsidRPr="00BA7D61">
                  <w:rPr>
                    <w:sz w:val="18"/>
                  </w:rPr>
                  <w:t>Department of Industry, Innovation and Science</w:t>
                </w:r>
              </w:p>
            </w:tc>
          </w:tr>
          <w:tr w:rsidR="00BA7D61" w14:paraId="62DAF3D8" w14:textId="77777777" w:rsidTr="00072E96">
            <w:trPr>
              <w:cantSplit/>
            </w:trPr>
            <w:tc>
              <w:tcPr>
                <w:tcW w:w="9242" w:type="dxa"/>
                <w:vAlign w:val="center"/>
              </w:tcPr>
              <w:p w14:paraId="3333BCB3" w14:textId="77777777" w:rsidR="00BA7D61" w:rsidRDefault="00BA7D61" w:rsidP="00072E96">
                <w:pPr>
                  <w:pStyle w:val="MonthYear"/>
                </w:pPr>
                <w:r>
                  <w:fldChar w:fldCharType="begin"/>
                </w:r>
                <w:r>
                  <w:instrText xml:space="preserve"> DATE  \@ "MMMM yyyy"  \* MERGEFORMAT </w:instrText>
                </w:r>
                <w:r>
                  <w:fldChar w:fldCharType="separate"/>
                </w:r>
                <w:r w:rsidR="00111F76">
                  <w:rPr>
                    <w:noProof/>
                  </w:rPr>
                  <w:t>September 2019</w:t>
                </w:r>
                <w:r>
                  <w:fldChar w:fldCharType="end"/>
                </w:r>
              </w:p>
            </w:tc>
          </w:tr>
          <w:tr w:rsidR="00BA7D61" w14:paraId="44B22281" w14:textId="77777777" w:rsidTr="00072E96">
            <w:trPr>
              <w:cantSplit/>
              <w:trHeight w:val="765"/>
            </w:trPr>
            <w:tc>
              <w:tcPr>
                <w:tcW w:w="9242" w:type="dxa"/>
              </w:tcPr>
              <w:p w14:paraId="04C996FD" w14:textId="77777777" w:rsidR="00BA7D61" w:rsidRDefault="00BA7D61" w:rsidP="00072E96">
                <w:pPr>
                  <w:pStyle w:val="AbstractHeader"/>
                </w:pPr>
                <w:r w:rsidRPr="002054C2">
                  <w:t>Abstract</w:t>
                </w:r>
              </w:p>
            </w:tc>
          </w:tr>
          <w:tr w:rsidR="00BA7D61" w14:paraId="0DE27038" w14:textId="77777777" w:rsidTr="00072E96">
            <w:trPr>
              <w:cantSplit/>
              <w:trHeight w:val="1125"/>
            </w:trPr>
            <w:tc>
              <w:tcPr>
                <w:tcW w:w="9242" w:type="dxa"/>
              </w:tcPr>
              <w:p w14:paraId="00E28A5B" w14:textId="77777777" w:rsidR="00BA7D61" w:rsidRPr="00C63547" w:rsidRDefault="00BA7D61" w:rsidP="00BA7D61">
                <w:pPr>
                  <w:pStyle w:val="AbstractText"/>
                </w:pPr>
                <w:r>
                  <w:t xml:space="preserve">International literature finds management practices to be a key driver of firm performance, however, little quantitative work has been done to create evidence of the importance of management practices in Australia. Following Bloom and </w:t>
                </w:r>
                <w:r>
                  <w:rPr>
                    <w:rFonts w:eastAsia="Arial" w:cs="Arial"/>
                  </w:rPr>
                  <w:t xml:space="preserve">Van Reenen (2007) on the </w:t>
                </w:r>
                <w:r>
                  <w:t xml:space="preserve">US Management and Organizational Practices Survey, we use data from the Australian Bureau of Statistics' </w:t>
                </w:r>
                <w:r w:rsidRPr="004F5699">
                  <w:t>Management and Organisational Capabilities</w:t>
                </w:r>
                <w:r>
                  <w:t xml:space="preserve"> Module to calculate six different scores of management capabilities. We further look at the association of these scores with two measures of firm performance: labour productivity and exports intensity. We find a positive and significant association between management capabilities and labour productivity and between supply chain management and export performance.</w:t>
                </w:r>
              </w:p>
            </w:tc>
          </w:tr>
          <w:tr w:rsidR="00BA7D61" w14:paraId="01D181DF" w14:textId="77777777" w:rsidTr="00072E96">
            <w:trPr>
              <w:cantSplit/>
              <w:trHeight w:val="1125"/>
            </w:trPr>
            <w:tc>
              <w:tcPr>
                <w:tcW w:w="9242" w:type="dxa"/>
              </w:tcPr>
              <w:p w14:paraId="42F7DFCC" w14:textId="77777777" w:rsidR="00BA7D61" w:rsidRPr="00116A9D" w:rsidRDefault="00BA7D61" w:rsidP="00072E96">
                <w:pPr>
                  <w:pStyle w:val="JELCodeheader"/>
                  <w:rPr>
                    <w:b w:val="0"/>
                  </w:rPr>
                </w:pPr>
                <w:r w:rsidRPr="000502F2">
                  <w:rPr>
                    <w:color w:val="005CAF"/>
                  </w:rPr>
                  <w:t>JEL Codes:</w:t>
                </w:r>
                <w:r w:rsidRPr="000502F2">
                  <w:rPr>
                    <w:b w:val="0"/>
                    <w:color w:val="005CAF"/>
                  </w:rPr>
                  <w:t xml:space="preserve"> </w:t>
                </w:r>
                <w:r>
                  <w:rPr>
                    <w:b w:val="0"/>
                  </w:rPr>
                  <w:t>L2, M2</w:t>
                </w:r>
              </w:p>
              <w:p w14:paraId="3A517714" w14:textId="77777777" w:rsidR="00BA7D61" w:rsidRDefault="00BA7D61" w:rsidP="00072E96">
                <w:pPr>
                  <w:pStyle w:val="JELCodeheader"/>
                  <w:rPr>
                    <w:b w:val="0"/>
                  </w:rPr>
                </w:pPr>
                <w:r w:rsidRPr="000502F2">
                  <w:rPr>
                    <w:color w:val="005CAF"/>
                  </w:rPr>
                  <w:t>Keywords:</w:t>
                </w:r>
                <w:r w:rsidRPr="00116A9D">
                  <w:rPr>
                    <w:b w:val="0"/>
                  </w:rPr>
                  <w:t xml:space="preserve"> </w:t>
                </w:r>
                <w:r>
                  <w:rPr>
                    <w:b w:val="0"/>
                  </w:rPr>
                  <w:t xml:space="preserve">Management scores, management capability, firm performance </w:t>
                </w:r>
              </w:p>
              <w:p w14:paraId="625213E1" w14:textId="77777777" w:rsidR="00BA7D61" w:rsidRPr="002054C2" w:rsidRDefault="00BA7D61" w:rsidP="00072E96">
                <w:pPr>
                  <w:pStyle w:val="JELCodeheader"/>
                </w:pPr>
              </w:p>
            </w:tc>
          </w:tr>
        </w:tbl>
        <w:p w14:paraId="5D700766" w14:textId="0A2DF569" w:rsidR="00BA7D61" w:rsidRDefault="00F827F7" w:rsidP="00D46717">
          <w:pPr>
            <w:ind w:left="0"/>
          </w:pPr>
          <w:r>
            <w:rPr>
              <w:noProof/>
              <w:lang w:eastAsia="en-AU"/>
            </w:rPr>
            <w:lastRenderedPageBreak/>
            <w:drawing>
              <wp:anchor distT="0" distB="0" distL="114300" distR="114300" simplePos="0" relativeHeight="251658241" behindDoc="0" locked="0" layoutInCell="1" allowOverlap="1" wp14:anchorId="4D6D0051" wp14:editId="52998E2E">
                <wp:simplePos x="0" y="0"/>
                <wp:positionH relativeFrom="column">
                  <wp:posOffset>-43180</wp:posOffset>
                </wp:positionH>
                <wp:positionV relativeFrom="paragraph">
                  <wp:posOffset>189230</wp:posOffset>
                </wp:positionV>
                <wp:extent cx="3260725" cy="513080"/>
                <wp:effectExtent l="0" t="0" r="0" b="1270"/>
                <wp:wrapSquare wrapText="bothSides"/>
                <wp:docPr id="15" name="Picture 15" descr="Picture contains the Office of the Chief Economist logo" title="Picture contains the 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60725" cy="513080"/>
                        </a:xfrm>
                        <a:prstGeom prst="rect">
                          <a:avLst/>
                        </a:prstGeom>
                      </pic:spPr>
                    </pic:pic>
                  </a:graphicData>
                </a:graphic>
                <wp14:sizeRelH relativeFrom="margin">
                  <wp14:pctWidth>0</wp14:pctWidth>
                </wp14:sizeRelH>
                <wp14:sizeRelV relativeFrom="margin">
                  <wp14:pctHeight>0</wp14:pctHeight>
                </wp14:sizeRelV>
              </wp:anchor>
            </w:drawing>
          </w:r>
        </w:p>
        <w:p w14:paraId="2DD8C786" w14:textId="731E628B" w:rsidR="00BA7D61" w:rsidRDefault="00F827F7" w:rsidP="00D46717">
          <w:pPr>
            <w:pStyle w:val="CoverNormal"/>
          </w:pPr>
          <w:r>
            <w:rPr>
              <w:noProof/>
              <w:lang w:eastAsia="en-AU"/>
            </w:rPr>
            <w:drawing>
              <wp:inline distT="0" distB="0" distL="0" distR="0" wp14:anchorId="25C5BE87" wp14:editId="0C679931">
                <wp:extent cx="2212975" cy="579120"/>
                <wp:effectExtent l="0" t="0" r="0" b="0"/>
                <wp:docPr id="3" name="Picture 3" descr="EDAN is the Economic data and analysis network." title="This table contains the logo for 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2975" cy="579120"/>
                        </a:xfrm>
                        <a:prstGeom prst="rect">
                          <a:avLst/>
                        </a:prstGeom>
                        <a:noFill/>
                      </pic:spPr>
                    </pic:pic>
                  </a:graphicData>
                </a:graphic>
              </wp:inline>
            </w:drawing>
          </w:r>
        </w:p>
        <w:p w14:paraId="59B61594" w14:textId="77777777" w:rsidR="00BA7D61" w:rsidRDefault="00BA7D61" w:rsidP="00D46717">
          <w:pPr>
            <w:pStyle w:val="DisclaimerHeading"/>
            <w:keepNext/>
            <w:numPr>
              <w:ilvl w:val="7"/>
              <w:numId w:val="3"/>
            </w:numPr>
            <w:spacing w:before="600"/>
            <w:outlineLvl w:val="7"/>
          </w:pPr>
          <w:r w:rsidRPr="00CF654B">
            <w:t>For</w:t>
          </w:r>
          <w:r w:rsidRPr="00F12E30">
            <w:t xml:space="preserve"> further information on this research paper please </w:t>
          </w:r>
          <w:r w:rsidRPr="00B91524">
            <w:t xml:space="preserve">contact: </w:t>
          </w:r>
        </w:p>
        <w:p w14:paraId="493C3F4C" w14:textId="77777777" w:rsidR="00D46717" w:rsidRPr="00EC76AE" w:rsidRDefault="00D46717" w:rsidP="00D46717">
          <w:pPr>
            <w:pStyle w:val="DisclaimerandAcknowledgement"/>
            <w:spacing w:line="160" w:lineRule="exact"/>
            <w:ind w:left="0"/>
          </w:pPr>
          <w:r>
            <w:t>Ian Moran</w:t>
          </w:r>
        </w:p>
        <w:p w14:paraId="27552732" w14:textId="77777777" w:rsidR="00D46717" w:rsidRDefault="00D46717" w:rsidP="00D46717">
          <w:pPr>
            <w:pStyle w:val="DisclaimerandAcknowledgement"/>
            <w:spacing w:line="160" w:lineRule="exact"/>
            <w:ind w:left="0"/>
          </w:pPr>
          <w:r>
            <w:t>Innovation research</w:t>
          </w:r>
        </w:p>
        <w:p w14:paraId="08CD61D0" w14:textId="77777777" w:rsidR="00D46717" w:rsidRPr="00B91524" w:rsidRDefault="00D46717" w:rsidP="00D46717">
          <w:pPr>
            <w:pStyle w:val="DisclaimerandAcknowledgement"/>
            <w:spacing w:line="160" w:lineRule="exact"/>
            <w:ind w:left="0"/>
          </w:pPr>
          <w:r w:rsidRPr="00B91524">
            <w:t>Department of Industry</w:t>
          </w:r>
          <w:r>
            <w:t>, Innovation and Science</w:t>
          </w:r>
        </w:p>
        <w:p w14:paraId="4A2E2854" w14:textId="77777777" w:rsidR="00D46717" w:rsidRPr="00EC76AE" w:rsidRDefault="00D46717" w:rsidP="00D46717">
          <w:pPr>
            <w:pStyle w:val="DisclaimerandAcknowledgement"/>
            <w:spacing w:line="160" w:lineRule="exact"/>
            <w:ind w:left="0"/>
          </w:pPr>
          <w:r w:rsidRPr="00EC76AE">
            <w:t>GPO Box 9839</w:t>
          </w:r>
        </w:p>
        <w:p w14:paraId="67CDE818" w14:textId="77777777" w:rsidR="00D46717" w:rsidRPr="00EC76AE" w:rsidRDefault="00D46717" w:rsidP="00D46717">
          <w:pPr>
            <w:pStyle w:val="DisclaimerandAcknowledgement"/>
            <w:spacing w:line="160" w:lineRule="exact"/>
            <w:ind w:left="0"/>
          </w:pPr>
          <w:r w:rsidRPr="00EC76AE">
            <w:t>Canberra ACT 2601</w:t>
          </w:r>
        </w:p>
        <w:p w14:paraId="614DC8CB" w14:textId="77777777" w:rsidR="00D46717" w:rsidRPr="00EC76AE" w:rsidRDefault="00D46717" w:rsidP="00D46717">
          <w:pPr>
            <w:pStyle w:val="DisclaimerandAcknowledgement"/>
            <w:spacing w:line="160" w:lineRule="exact"/>
            <w:ind w:left="0"/>
          </w:pPr>
          <w:r>
            <w:t>Phone</w:t>
          </w:r>
          <w:r w:rsidRPr="00EC76AE">
            <w:t>:</w:t>
          </w:r>
          <w:r>
            <w:t xml:space="preserve"> +61</w:t>
          </w:r>
          <w:r>
            <w:rPr>
              <w:lang w:val="en-AU"/>
            </w:rPr>
            <w:t xml:space="preserve"> </w:t>
          </w:r>
          <w:r w:rsidRPr="00CB5522">
            <w:rPr>
              <w:lang w:val="en-AU"/>
            </w:rPr>
            <w:t>2 6243 7316</w:t>
          </w:r>
        </w:p>
        <w:p w14:paraId="001CF90E" w14:textId="77777777" w:rsidR="00D46717" w:rsidRDefault="00D46717" w:rsidP="00D46717">
          <w:pPr>
            <w:pStyle w:val="DisclaimerandAcknowledgement"/>
            <w:spacing w:line="160" w:lineRule="exact"/>
            <w:ind w:left="0"/>
            <w:rPr>
              <w:rStyle w:val="HyperlinkStyleChar"/>
            </w:rPr>
          </w:pPr>
          <w:r w:rsidRPr="00EC76AE">
            <w:t xml:space="preserve">Email: </w:t>
          </w:r>
          <w:r>
            <w:t>Ian.Moran@industry.gov.au</w:t>
          </w:r>
        </w:p>
        <w:p w14:paraId="3FD974A9" w14:textId="77777777" w:rsidR="00BA7D61" w:rsidRPr="00EC76AE" w:rsidRDefault="00BA7D61" w:rsidP="00D46717">
          <w:pPr>
            <w:pStyle w:val="DisclaimerHeading"/>
            <w:keepNext/>
            <w:numPr>
              <w:ilvl w:val="7"/>
              <w:numId w:val="3"/>
            </w:numPr>
            <w:spacing w:before="600" w:line="200" w:lineRule="atLeast"/>
            <w:outlineLvl w:val="7"/>
          </w:pPr>
          <w:r w:rsidRPr="00EC76AE">
            <w:t>Disclaimer</w:t>
          </w:r>
        </w:p>
        <w:p w14:paraId="145D4F70" w14:textId="77777777" w:rsidR="00BA7D61" w:rsidRDefault="00BA7D61" w:rsidP="00D46717">
          <w:pPr>
            <w:pStyle w:val="DisclaimerandAcknowledgement"/>
            <w:ind w:left="0"/>
          </w:pPr>
          <w:r>
            <w:t xml:space="preserve">The views expressed in this report are those of the author(s) and do not necessarily reflect those of the Australian Government or the Department of </w:t>
          </w:r>
          <w:r w:rsidRPr="00B91524">
            <w:t>Industry</w:t>
          </w:r>
          <w:r>
            <w:t>, Innovation and Science.</w:t>
          </w:r>
        </w:p>
        <w:p w14:paraId="5ABD3F92" w14:textId="77777777" w:rsidR="00BA7D61" w:rsidRPr="00EC76AE" w:rsidRDefault="00BA7D61" w:rsidP="00D46717">
          <w:pPr>
            <w:pStyle w:val="DisclaimerandAcknowledgement"/>
            <w:ind w:left="0"/>
          </w:pPr>
          <w:r w:rsidRPr="00EC76AE">
            <w:sym w:font="Symbol" w:char="F0D3"/>
          </w:r>
          <w:r w:rsidRPr="00EC76AE">
            <w:t xml:space="preserve"> Commonwealth of Australia</w:t>
          </w:r>
          <w:r>
            <w:t xml:space="preserve"> </w:t>
          </w:r>
          <w:r>
            <w:fldChar w:fldCharType="begin"/>
          </w:r>
          <w:r>
            <w:instrText xml:space="preserve"> DATE  \@ "yyyy"  \* MERGEFORMAT </w:instrText>
          </w:r>
          <w:r>
            <w:fldChar w:fldCharType="separate"/>
          </w:r>
          <w:r w:rsidR="00111F76">
            <w:rPr>
              <w:noProof/>
            </w:rPr>
            <w:t>2019</w:t>
          </w:r>
          <w:r>
            <w:fldChar w:fldCharType="end"/>
          </w:r>
          <w:r>
            <w:t>.</w:t>
          </w:r>
          <w:r w:rsidRPr="00EC76AE">
            <w:t xml:space="preserve"> </w:t>
          </w:r>
        </w:p>
        <w:p w14:paraId="293CB39C" w14:textId="56752473" w:rsidR="00BA7D61" w:rsidRDefault="00BA7D61" w:rsidP="00D46717">
          <w:pPr>
            <w:pStyle w:val="DisclaimerandAcknowledgement"/>
            <w:ind w:left="0"/>
            <w:rPr>
              <w:rStyle w:val="HyperlinkStyleChar"/>
              <w:sz w:val="18"/>
            </w:rPr>
          </w:pP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5" w:history="1">
            <w:r w:rsidRPr="001B6EF9">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6" w:history="1">
            <w:r w:rsidRPr="001B6EF9">
              <w:rPr>
                <w:rStyle w:val="Hyperlink"/>
              </w:rPr>
              <w:t>www.industry.gov.au/OCE</w:t>
            </w:r>
          </w:hyperlink>
        </w:p>
        <w:p w14:paraId="18C32CE9" w14:textId="67043A19" w:rsidR="00BA7D61" w:rsidRDefault="00D46717" w:rsidP="00D46717">
          <w:pPr>
            <w:pStyle w:val="DisclaimerandAcknowledgement"/>
            <w:ind w:left="0"/>
            <w:rPr>
              <w:rStyle w:val="HyperlinkStyleChar"/>
              <w:sz w:val="18"/>
            </w:rPr>
          </w:pPr>
          <w:r>
            <w:rPr>
              <w:rFonts w:ascii="inherit" w:hAnsi="inherit"/>
              <w:noProof/>
              <w:sz w:val="20"/>
              <w:szCs w:val="20"/>
              <w:lang w:val="en-AU" w:eastAsia="en-AU"/>
            </w:rPr>
            <w:drawing>
              <wp:anchor distT="0" distB="0" distL="114300" distR="114300" simplePos="0" relativeHeight="251658240" behindDoc="0" locked="0" layoutInCell="1" allowOverlap="1" wp14:anchorId="6D61DEF5" wp14:editId="5AFB7DC4">
                <wp:simplePos x="0" y="0"/>
                <wp:positionH relativeFrom="column">
                  <wp:posOffset>5182</wp:posOffset>
                </wp:positionH>
                <wp:positionV relativeFrom="paragraph">
                  <wp:posOffset>86338</wp:posOffset>
                </wp:positionV>
                <wp:extent cx="1189355" cy="407035"/>
                <wp:effectExtent l="0" t="0" r="0" b="0"/>
                <wp:wrapSquare wrapText="bothSides"/>
                <wp:docPr id="16" name="Picture 1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E93D4" w14:textId="77777777" w:rsidR="00BA7D61" w:rsidRDefault="00BA7D61" w:rsidP="00D46717">
          <w:pPr>
            <w:ind w:left="0"/>
            <w:rPr>
              <w:rStyle w:val="HyperlinkStyleChar"/>
              <w:rFonts w:cs="Arial"/>
              <w:b/>
              <w:color w:val="595A5B"/>
              <w:sz w:val="18"/>
            </w:rPr>
          </w:pPr>
        </w:p>
        <w:p w14:paraId="6899F3CB" w14:textId="77777777" w:rsidR="00BA7D61" w:rsidRPr="004D7A11" w:rsidRDefault="00BA7D61" w:rsidP="00D46717">
          <w:pPr>
            <w:pStyle w:val="DisclaimerHeading"/>
            <w:keepNext/>
            <w:numPr>
              <w:ilvl w:val="7"/>
              <w:numId w:val="3"/>
            </w:numPr>
            <w:spacing w:before="600"/>
            <w:outlineLvl w:val="7"/>
            <w:rPr>
              <w:rFonts w:eastAsia="Calibri"/>
            </w:rPr>
          </w:pPr>
          <w:r w:rsidRPr="004D7A11">
            <w:t>Creative Commons Licence</w:t>
          </w:r>
        </w:p>
        <w:p w14:paraId="752AB365" w14:textId="77777777" w:rsidR="00BA7D61" w:rsidRPr="00A1774F" w:rsidRDefault="00BA7D61" w:rsidP="00DE7B9A">
          <w:pPr>
            <w:pStyle w:val="DisclaimerandAcknowledgement"/>
            <w:spacing w:line="240" w:lineRule="auto"/>
            <w:ind w:left="0"/>
          </w:pPr>
          <w:r w:rsidRPr="00A1774F">
            <w:t>With the exception of the Coat of Arms, this publication is licensed under a Creative Commons Attribution 3.0 Australia Licence.</w:t>
          </w:r>
        </w:p>
        <w:p w14:paraId="0231252D" w14:textId="77777777" w:rsidR="00BA7D61" w:rsidRPr="00A1774F" w:rsidRDefault="00BA7D61" w:rsidP="00DE7B9A">
          <w:pPr>
            <w:pStyle w:val="DisclaimerandAcknowledgement"/>
            <w:spacing w:line="240" w:lineRule="auto"/>
            <w:ind w:left="0"/>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terms is available from http://</w:t>
          </w:r>
          <w:r w:rsidRPr="00A1774F">
            <w:t>creativecommons.org/licenses/by/3.0/au/deed.en. The full licence terms are available from http://creativecommons.org/lic</w:t>
          </w:r>
          <w:r>
            <w:t>enses/</w:t>
          </w:r>
          <w:r w:rsidRPr="00A1774F">
            <w:t>by/3.0/au/legalcode.</w:t>
          </w:r>
        </w:p>
        <w:p w14:paraId="326BF003" w14:textId="77777777" w:rsidR="00BA7D61" w:rsidRPr="00A1774F" w:rsidRDefault="00BA7D61" w:rsidP="00DE7B9A">
          <w:pPr>
            <w:pStyle w:val="DisclaimerandAcknowledgement"/>
            <w:spacing w:line="240" w:lineRule="auto"/>
            <w:ind w:left="0"/>
          </w:pPr>
          <w:r w:rsidRPr="00A1774F">
            <w:t>The Commonwealth’s preference is that you attribute this publication (and any material sourc</w:t>
          </w:r>
          <w:r>
            <w:t xml:space="preserve">ed from it) using the following </w:t>
          </w:r>
          <w:r w:rsidRPr="00A1774F">
            <w:t>wording:</w:t>
          </w:r>
        </w:p>
        <w:p w14:paraId="71E37390" w14:textId="77777777" w:rsidR="00BA7D61" w:rsidRDefault="00BA7D61" w:rsidP="00DE7B9A">
          <w:pPr>
            <w:pStyle w:val="DisclaimerandAcknowledgement"/>
            <w:spacing w:line="240" w:lineRule="auto"/>
            <w:ind w:left="0"/>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14:paraId="64615C01" w14:textId="039908AD" w:rsidR="00D46717" w:rsidRPr="004D7A11" w:rsidRDefault="00D46717" w:rsidP="00DE7B9A">
          <w:pPr>
            <w:pStyle w:val="DisclaimerHeading"/>
            <w:keepNext/>
            <w:numPr>
              <w:ilvl w:val="7"/>
              <w:numId w:val="3"/>
            </w:numPr>
            <w:spacing w:before="600" w:line="240" w:lineRule="auto"/>
            <w:outlineLvl w:val="7"/>
            <w:rPr>
              <w:rFonts w:eastAsia="Calibri"/>
            </w:rPr>
          </w:pPr>
          <w:r>
            <w:t>Acknowledgements</w:t>
          </w:r>
        </w:p>
        <w:p w14:paraId="6AF1701F" w14:textId="14F0BA11" w:rsidR="00D46717" w:rsidRDefault="00D46717" w:rsidP="00676610">
          <w:pPr>
            <w:pStyle w:val="DisclaimerandAcknowledgement"/>
            <w:spacing w:line="240" w:lineRule="auto"/>
            <w:ind w:left="0"/>
          </w:pPr>
          <w:r w:rsidRPr="00C778F9">
            <w:t>We are grateful to Data Integration Partnership Australia (DIPA) for financial support of this project. We also thank our ABS colleagues Talia Parker, Alexa Olczy</w:t>
          </w:r>
          <w:r>
            <w:t xml:space="preserve"> and</w:t>
          </w:r>
          <w:r w:rsidRPr="00C778F9">
            <w:t xml:space="preserve"> </w:t>
          </w:r>
          <w:r>
            <w:t>Liza Tiy</w:t>
          </w:r>
          <w:r w:rsidRPr="00C778F9">
            <w:t xml:space="preserve"> that facilitate the access for the University Technology Sydney’s research team to the management capability data and Barry </w:t>
          </w:r>
          <w:r>
            <w:t xml:space="preserve">Tynan, who </w:t>
          </w:r>
          <w:r w:rsidRPr="00C778F9">
            <w:t xml:space="preserve">provided a speedy clearance of data analysis. We </w:t>
          </w:r>
          <w:r>
            <w:t xml:space="preserve">also </w:t>
          </w:r>
          <w:r w:rsidRPr="00C778F9">
            <w:t>appreciate the contribution made by the UTS Business School research team members Stephen Mikhail Soco, Mile Katic, Mikhail Shashnov and Sancheeta Pugali</w:t>
          </w:r>
          <w:r>
            <w:t xml:space="preserve">a for their research assistance and Leanne Thompson from DIIS and Azadeh Abbasi Shavazi for their comments on the paper. </w:t>
          </w:r>
        </w:p>
        <w:tbl>
          <w:tblPr>
            <w:tblW w:w="0" w:type="auto"/>
            <w:tblInd w:w="1985" w:type="dxa"/>
            <w:shd w:val="clear" w:color="auto" w:fill="DEE8F1"/>
            <w:tblLayout w:type="fixed"/>
            <w:tblLook w:val="04A0" w:firstRow="1" w:lastRow="0" w:firstColumn="1" w:lastColumn="0" w:noHBand="0" w:noVBand="1"/>
          </w:tblPr>
          <w:tblGrid>
            <w:gridCol w:w="7007"/>
          </w:tblGrid>
          <w:tr w:rsidR="00D46717" w14:paraId="4EBD087D" w14:textId="77777777" w:rsidTr="004953FD">
            <w:tc>
              <w:tcPr>
                <w:tcW w:w="7007" w:type="dxa"/>
                <w:shd w:val="clear" w:color="auto" w:fill="DEE8F1"/>
              </w:tcPr>
              <w:p w14:paraId="4B6749C6" w14:textId="77777777" w:rsidR="00D46717" w:rsidRPr="001835DD" w:rsidRDefault="00D46717" w:rsidP="00072E96">
                <w:pPr>
                  <w:pStyle w:val="Keypointsheader"/>
                </w:pPr>
                <w:r w:rsidRPr="00AC3DDE">
                  <w:lastRenderedPageBreak/>
                  <w:t>Key points</w:t>
                </w:r>
              </w:p>
              <w:p w14:paraId="5E64DA74" w14:textId="77777777" w:rsidR="00D46717" w:rsidRDefault="00D46717" w:rsidP="00D46717">
                <w:pPr>
                  <w:pStyle w:val="Keypointsbullet"/>
                </w:pPr>
                <w:r>
                  <w:t>We introduce</w:t>
                </w:r>
                <w:r w:rsidRPr="00B32732">
                  <w:t xml:space="preserve"> a method for the development of firm</w:t>
                </w:r>
                <w:r>
                  <w:t>-</w:t>
                </w:r>
                <w:r w:rsidRPr="00B32732">
                  <w:t>level management capability scores in Australian firms</w:t>
                </w:r>
                <w:r>
                  <w:t>.</w:t>
                </w:r>
              </w:p>
              <w:p w14:paraId="5E1D8701" w14:textId="77777777" w:rsidR="00D46717" w:rsidRDefault="00D46717" w:rsidP="00D46717">
                <w:pPr>
                  <w:pStyle w:val="Keypointsbullet"/>
                  <w:ind w:left="317" w:right="155" w:hanging="252"/>
                </w:pPr>
                <w:r w:rsidRPr="00B32732">
                  <w:rPr>
                    <w:lang w:val="en-AU"/>
                  </w:rPr>
                  <w:t xml:space="preserve">To develop the management capability scores we use unit record data from </w:t>
                </w:r>
                <w:r w:rsidRPr="00B32732">
                  <w:rPr>
                    <w:i/>
                    <w:iCs/>
                    <w:lang w:val="en-AU"/>
                  </w:rPr>
                  <w:t>Management and Organisational Capabilities of Australian Businesses</w:t>
                </w:r>
                <w:r w:rsidRPr="00B32732">
                  <w:rPr>
                    <w:lang w:val="en-AU"/>
                  </w:rPr>
                  <w:t xml:space="preserve"> as part of the Management Capabilities Module (MCM) for the Business Characteristics Survey (BCS) 8172.0 published in August 2017.</w:t>
                </w:r>
              </w:p>
              <w:p w14:paraId="2DD11CA9" w14:textId="77777777" w:rsidR="00D46717" w:rsidRDefault="00D46717" w:rsidP="00D46717">
                <w:pPr>
                  <w:pStyle w:val="Keypointsbullet"/>
                  <w:ind w:left="317" w:right="155" w:hanging="252"/>
                  <w:jc w:val="left"/>
                  <w:rPr>
                    <w:lang w:val="en-AU"/>
                  </w:rPr>
                </w:pPr>
                <w:r w:rsidRPr="00B32732">
                  <w:rPr>
                    <w:lang w:val="en-AU"/>
                  </w:rPr>
                  <w:t>In this study we developed six different management capability scores:</w:t>
                </w:r>
              </w:p>
              <w:p w14:paraId="4A455D6E" w14:textId="77777777" w:rsidR="00D46717" w:rsidRPr="00B32732" w:rsidRDefault="00D46717" w:rsidP="00C50C1F">
                <w:pPr>
                  <w:pStyle w:val="Keypointsbullet"/>
                  <w:numPr>
                    <w:ilvl w:val="1"/>
                    <w:numId w:val="14"/>
                  </w:numPr>
                  <w:ind w:right="155"/>
                  <w:jc w:val="left"/>
                  <w:rPr>
                    <w:lang w:val="en-AU"/>
                  </w:rPr>
                </w:pPr>
                <w:r w:rsidRPr="00B32732">
                  <w:rPr>
                    <w:lang w:val="en-AU"/>
                  </w:rPr>
                  <w:t>Strategic Management Capability Score (SMC)</w:t>
                </w:r>
              </w:p>
              <w:p w14:paraId="621E1D3A" w14:textId="77777777" w:rsidR="00D46717" w:rsidRPr="00B32732" w:rsidRDefault="00D46717" w:rsidP="00C50C1F">
                <w:pPr>
                  <w:pStyle w:val="Keypointsbullet"/>
                  <w:numPr>
                    <w:ilvl w:val="1"/>
                    <w:numId w:val="14"/>
                  </w:numPr>
                  <w:ind w:right="155"/>
                  <w:jc w:val="left"/>
                  <w:rPr>
                    <w:lang w:val="en-AU"/>
                  </w:rPr>
                </w:pPr>
                <w:r>
                  <w:rPr>
                    <w:lang w:val="en-AU"/>
                  </w:rPr>
                  <w:t>Supply chain</w:t>
                </w:r>
                <w:r w:rsidRPr="00B32732">
                  <w:rPr>
                    <w:lang w:val="en-AU"/>
                  </w:rPr>
                  <w:t xml:space="preserve"> Management Capability Score (SCM)</w:t>
                </w:r>
              </w:p>
              <w:p w14:paraId="385412DC" w14:textId="77777777" w:rsidR="00D46717" w:rsidRPr="00B32732" w:rsidRDefault="00D46717" w:rsidP="00C50C1F">
                <w:pPr>
                  <w:pStyle w:val="Keypointsbullet"/>
                  <w:numPr>
                    <w:ilvl w:val="1"/>
                    <w:numId w:val="14"/>
                  </w:numPr>
                  <w:ind w:right="155"/>
                  <w:jc w:val="left"/>
                  <w:rPr>
                    <w:lang w:val="en-AU"/>
                  </w:rPr>
                </w:pPr>
                <w:r w:rsidRPr="00B32732">
                  <w:rPr>
                    <w:lang w:val="en-AU"/>
                  </w:rPr>
                  <w:t>Digital Management Capability Score (DMC)</w:t>
                </w:r>
              </w:p>
              <w:p w14:paraId="0C646521" w14:textId="77777777" w:rsidR="00D46717" w:rsidRPr="00B32732" w:rsidRDefault="00D46717" w:rsidP="00C50C1F">
                <w:pPr>
                  <w:pStyle w:val="Keypointsbullet"/>
                  <w:numPr>
                    <w:ilvl w:val="1"/>
                    <w:numId w:val="14"/>
                  </w:numPr>
                  <w:ind w:right="155"/>
                  <w:jc w:val="left"/>
                  <w:rPr>
                    <w:lang w:val="en-AU"/>
                  </w:rPr>
                </w:pPr>
                <w:r w:rsidRPr="00B32732">
                  <w:rPr>
                    <w:lang w:val="en-AU"/>
                  </w:rPr>
                  <w:t>Environmental Management Capability Score (EMC)</w:t>
                </w:r>
              </w:p>
              <w:p w14:paraId="0288695A" w14:textId="77777777" w:rsidR="00D46717" w:rsidRPr="00B32732" w:rsidRDefault="00D46717" w:rsidP="00C50C1F">
                <w:pPr>
                  <w:pStyle w:val="Keypointsbullet"/>
                  <w:numPr>
                    <w:ilvl w:val="1"/>
                    <w:numId w:val="14"/>
                  </w:numPr>
                  <w:ind w:right="155"/>
                  <w:jc w:val="left"/>
                  <w:rPr>
                    <w:lang w:val="en-AU"/>
                  </w:rPr>
                </w:pPr>
                <w:r w:rsidRPr="00B32732">
                  <w:rPr>
                    <w:lang w:val="en-AU"/>
                  </w:rPr>
                  <w:t>Overall Management Capability Score (OMC)</w:t>
                </w:r>
              </w:p>
              <w:p w14:paraId="463E4450" w14:textId="77777777" w:rsidR="00D46717" w:rsidRPr="00247F5A" w:rsidRDefault="00D46717" w:rsidP="00C50C1F">
                <w:pPr>
                  <w:pStyle w:val="Keypointsbullet"/>
                  <w:numPr>
                    <w:ilvl w:val="1"/>
                    <w:numId w:val="14"/>
                  </w:numPr>
                  <w:ind w:right="155"/>
                  <w:jc w:val="left"/>
                  <w:rPr>
                    <w:rFonts w:ascii="Arial,Times New Roman" w:eastAsia="Arial,Times New Roman" w:hAnsi="Arial,Times New Roman" w:cs="Arial,Times New Roman"/>
                  </w:rPr>
                </w:pPr>
                <w:r w:rsidRPr="00B32732">
                  <w:rPr>
                    <w:lang w:val="en-AU"/>
                  </w:rPr>
                  <w:t>Structured Management Practice Score for Manufacturing (for comparison with US manufacturing firms</w:t>
                </w:r>
                <w:r>
                  <w:t>)</w:t>
                </w:r>
              </w:p>
              <w:p w14:paraId="5DCF87C1" w14:textId="77777777" w:rsidR="00D46717" w:rsidRPr="00015324" w:rsidRDefault="00D46717" w:rsidP="00D46717">
                <w:pPr>
                  <w:pStyle w:val="Keypointsbullet"/>
                </w:pPr>
                <w:r>
                  <w:t>We assess the validity of these scores by looking at the</w:t>
                </w:r>
                <w:r w:rsidRPr="00217715">
                  <w:t xml:space="preserve"> association between the management </w:t>
                </w:r>
                <w:r>
                  <w:t>capability scores and specific firms’ characteristics. The results show that:</w:t>
                </w:r>
              </w:p>
              <w:p w14:paraId="7D97EE05" w14:textId="77777777" w:rsidR="00D46717" w:rsidRPr="00D65550" w:rsidRDefault="00D46717" w:rsidP="00C50C1F">
                <w:pPr>
                  <w:pStyle w:val="Keypointsbullet"/>
                  <w:numPr>
                    <w:ilvl w:val="1"/>
                    <w:numId w:val="14"/>
                  </w:numPr>
                  <w:ind w:right="155"/>
                  <w:rPr>
                    <w:lang w:val="en-AU"/>
                  </w:rPr>
                </w:pPr>
                <w:r w:rsidRPr="00D65550">
                  <w:rPr>
                    <w:lang w:val="en-AU"/>
                  </w:rPr>
                  <w:t>The average overall management capability (OMC) score for larger firms is higher than for smaller firms.</w:t>
                </w:r>
              </w:p>
              <w:p w14:paraId="48934022" w14:textId="77777777" w:rsidR="00D46717" w:rsidRPr="00D65550" w:rsidRDefault="00D46717" w:rsidP="00C50C1F">
                <w:pPr>
                  <w:pStyle w:val="Keypointsbullet"/>
                  <w:numPr>
                    <w:ilvl w:val="1"/>
                    <w:numId w:val="14"/>
                  </w:numPr>
                  <w:ind w:right="155"/>
                  <w:rPr>
                    <w:lang w:val="en-AU"/>
                  </w:rPr>
                </w:pPr>
                <w:r w:rsidRPr="00D65550">
                  <w:rPr>
                    <w:lang w:val="en-AU"/>
                  </w:rPr>
                  <w:t xml:space="preserve">Australian firms aged </w:t>
                </w:r>
                <w:r>
                  <w:rPr>
                    <w:lang w:val="en-AU"/>
                  </w:rPr>
                  <w:t>nine</w:t>
                </w:r>
                <w:r w:rsidRPr="00D65550">
                  <w:rPr>
                    <w:lang w:val="en-AU"/>
                  </w:rPr>
                  <w:t xml:space="preserve"> years or more, tend to have higher scores of management capabilities (in all types of management categories) than their younger counterparts.</w:t>
                </w:r>
              </w:p>
              <w:p w14:paraId="54103E2E" w14:textId="77777777" w:rsidR="00D46717" w:rsidRPr="00D65550" w:rsidRDefault="00D46717" w:rsidP="00C50C1F">
                <w:pPr>
                  <w:pStyle w:val="Keypointsbullet"/>
                  <w:numPr>
                    <w:ilvl w:val="1"/>
                    <w:numId w:val="14"/>
                  </w:numPr>
                  <w:ind w:right="155"/>
                  <w:rPr>
                    <w:lang w:val="en-AU"/>
                  </w:rPr>
                </w:pPr>
                <w:r w:rsidRPr="00D65550">
                  <w:rPr>
                    <w:lang w:val="en-AU"/>
                  </w:rPr>
                  <w:t xml:space="preserve">The two best performing industry sectors on overall management capabilities are Accommodation and Food services and Health Care and Social Assistance. </w:t>
                </w:r>
              </w:p>
              <w:p w14:paraId="0E2E3EC9" w14:textId="77777777" w:rsidR="00D46717" w:rsidRPr="00D65550" w:rsidRDefault="00D46717" w:rsidP="00C50C1F">
                <w:pPr>
                  <w:pStyle w:val="Keypointsbullet"/>
                  <w:numPr>
                    <w:ilvl w:val="1"/>
                    <w:numId w:val="14"/>
                  </w:numPr>
                  <w:ind w:right="155"/>
                  <w:rPr>
                    <w:lang w:val="en-AU"/>
                  </w:rPr>
                </w:pPr>
                <w:r w:rsidRPr="00D65550">
                  <w:rPr>
                    <w:lang w:val="en-AU"/>
                  </w:rPr>
                  <w:t>The Agricultural industry was the lowest performing industry in terms of the overall management score.</w:t>
                </w:r>
              </w:p>
              <w:p w14:paraId="0B1C04EC" w14:textId="77777777" w:rsidR="00D46717" w:rsidRDefault="00D46717" w:rsidP="00C50C1F">
                <w:pPr>
                  <w:pStyle w:val="Keypointsbullet"/>
                  <w:numPr>
                    <w:ilvl w:val="1"/>
                    <w:numId w:val="14"/>
                  </w:numPr>
                  <w:ind w:right="155"/>
                  <w:rPr>
                    <w:lang w:val="en-AU"/>
                  </w:rPr>
                </w:pPr>
                <w:r w:rsidRPr="00D65550">
                  <w:rPr>
                    <w:lang w:val="en-AU"/>
                  </w:rPr>
                  <w:t>Firms that had some degree of foreign ownership tend to have higher scores of management capabilities across all dimensions than those that did not have foreign ownership.</w:t>
                </w:r>
              </w:p>
              <w:p w14:paraId="6304F6DB" w14:textId="77777777" w:rsidR="00D46717" w:rsidRPr="00D65550" w:rsidRDefault="00D46717" w:rsidP="00C50C1F">
                <w:pPr>
                  <w:pStyle w:val="Keypointsbullet"/>
                  <w:numPr>
                    <w:ilvl w:val="1"/>
                    <w:numId w:val="14"/>
                  </w:numPr>
                  <w:ind w:right="155"/>
                  <w:rPr>
                    <w:lang w:val="en-AU"/>
                  </w:rPr>
                </w:pPr>
                <w:r w:rsidRPr="00D65550">
                  <w:rPr>
                    <w:lang w:val="en-AU"/>
                  </w:rPr>
                  <w:lastRenderedPageBreak/>
                  <w:t>For al</w:t>
                </w:r>
                <w:r>
                  <w:rPr>
                    <w:lang w:val="en-AU"/>
                  </w:rPr>
                  <w:t>l management scores, innovation-</w:t>
                </w:r>
                <w:r w:rsidRPr="00D65550">
                  <w:rPr>
                    <w:lang w:val="en-AU"/>
                  </w:rPr>
                  <w:t>active firms displayed a significantly h</w:t>
                </w:r>
                <w:r>
                  <w:rPr>
                    <w:lang w:val="en-AU"/>
                  </w:rPr>
                  <w:t>igher score than non-innovation-</w:t>
                </w:r>
                <w:r w:rsidRPr="00D65550">
                  <w:rPr>
                    <w:lang w:val="en-AU"/>
                  </w:rPr>
                  <w:t>active firms</w:t>
                </w:r>
              </w:p>
              <w:p w14:paraId="507F2485" w14:textId="77777777" w:rsidR="00D46717" w:rsidRPr="00D65550" w:rsidRDefault="00D46717" w:rsidP="00D46717">
                <w:pPr>
                  <w:pStyle w:val="Keypointsbullet"/>
                </w:pPr>
                <w:r>
                  <w:t xml:space="preserve">A score based on a subset of management practices for the manufacturing sector shows that US manufacturing firms had more </w:t>
                </w:r>
                <w:r w:rsidRPr="00217715">
                  <w:t>st</w:t>
                </w:r>
                <w:r>
                  <w:t xml:space="preserve">ructured management practices than their Australian counterparts. </w:t>
                </w:r>
              </w:p>
              <w:p w14:paraId="38A8F0E9" w14:textId="77777777" w:rsidR="00D46717" w:rsidRPr="00FD7459" w:rsidRDefault="00D46717" w:rsidP="00D46717">
                <w:pPr>
                  <w:pStyle w:val="Keypointsbullet"/>
                  <w:jc w:val="left"/>
                </w:pPr>
                <w:r>
                  <w:t xml:space="preserve">An investigation of </w:t>
                </w:r>
                <w:r w:rsidRPr="00217715">
                  <w:t xml:space="preserve"> the association between the management </w:t>
                </w:r>
                <w:r>
                  <w:t>practice</w:t>
                </w:r>
                <w:r w:rsidRPr="00217715">
                  <w:t xml:space="preserve"> scores and measures of firm performance </w:t>
                </w:r>
                <w:r>
                  <w:t>found:</w:t>
                </w:r>
              </w:p>
              <w:p w14:paraId="442EF861" w14:textId="77777777" w:rsidR="00D46717" w:rsidRPr="00D65550" w:rsidRDefault="00D46717" w:rsidP="00C50C1F">
                <w:pPr>
                  <w:pStyle w:val="Keypointsbullet"/>
                  <w:numPr>
                    <w:ilvl w:val="1"/>
                    <w:numId w:val="14"/>
                  </w:numPr>
                  <w:ind w:right="155"/>
                  <w:rPr>
                    <w:lang w:val="en-AU"/>
                  </w:rPr>
                </w:pPr>
                <w:r w:rsidRPr="00D65550">
                  <w:rPr>
                    <w:lang w:val="en-AU"/>
                  </w:rPr>
                  <w:t xml:space="preserve">A positive and significant association between management capabilities and labour productivity. </w:t>
                </w:r>
              </w:p>
              <w:p w14:paraId="7AD1692E" w14:textId="58FB83FE" w:rsidR="00D46717" w:rsidRPr="00D46717" w:rsidRDefault="00D46717" w:rsidP="00C50C1F">
                <w:pPr>
                  <w:pStyle w:val="Keypointsbullet"/>
                  <w:numPr>
                    <w:ilvl w:val="1"/>
                    <w:numId w:val="14"/>
                  </w:numPr>
                  <w:ind w:right="155"/>
                  <w:rPr>
                    <w:lang w:val="en-AU"/>
                  </w:rPr>
                </w:pPr>
                <w:r w:rsidRPr="00D65550">
                  <w:rPr>
                    <w:lang w:val="en-AU"/>
                  </w:rPr>
                  <w:t xml:space="preserve">A positive and significant association between </w:t>
                </w:r>
                <w:r>
                  <w:rPr>
                    <w:lang w:val="en-AU"/>
                  </w:rPr>
                  <w:t>supply chain</w:t>
                </w:r>
                <w:r w:rsidRPr="00D65550">
                  <w:rPr>
                    <w:lang w:val="en-AU"/>
                  </w:rPr>
                  <w:t xml:space="preserve"> management  and export performance</w:t>
                </w:r>
              </w:p>
            </w:tc>
          </w:tr>
        </w:tbl>
        <w:p w14:paraId="43990CF0" w14:textId="77777777" w:rsidR="00D46717" w:rsidRDefault="00D46717" w:rsidP="00A850CD">
          <w:pPr>
            <w:pStyle w:val="DisclaimerandAcknowledgement"/>
            <w:ind w:left="0"/>
          </w:pPr>
        </w:p>
        <w:p w14:paraId="3DD54F4D" w14:textId="77777777" w:rsidR="00BA7D61" w:rsidRDefault="00111F76" w:rsidP="00072E96">
          <w:pPr>
            <w:sectPr w:rsidR="00BA7D61" w:rsidSect="00072E96">
              <w:pgSz w:w="11906" w:h="16838" w:code="9"/>
              <w:pgMar w:top="1440" w:right="1440" w:bottom="1440" w:left="1440" w:header="709" w:footer="709" w:gutter="0"/>
              <w:pgNumType w:start="0"/>
              <w:cols w:space="708"/>
              <w:titlePg/>
              <w:docGrid w:linePitch="360"/>
            </w:sectPr>
          </w:pPr>
        </w:p>
      </w:sdtContent>
    </w:sdt>
    <w:p w14:paraId="3B501DB5" w14:textId="53DDFB60" w:rsidR="00DC5EFA" w:rsidRDefault="003E1DF2" w:rsidP="003E1DF2">
      <w:pPr>
        <w:pStyle w:val="Heading1"/>
      </w:pPr>
      <w:r>
        <w:lastRenderedPageBreak/>
        <w:t>Introduction</w:t>
      </w:r>
    </w:p>
    <w:p w14:paraId="25CADDF9" w14:textId="7E115A63" w:rsidR="003E1DF2" w:rsidRDefault="003E1DF2" w:rsidP="003E1DF2">
      <w:pPr>
        <w:pStyle w:val="BodyText"/>
      </w:pPr>
      <w:r>
        <w:t>A key driver of firms’ performance is their level of management capability. A number of studies have shown that variations in management capabilities account for differences in productivity at both the firm and national levels (Bloom and Van Reenen 2007; 2010; Agarwal, Green et al. 2013; Agarwal, Brown et al. 2014). The evidence implies that the adoption of ‘better’ or ‘structured’ management practices can lead to significant improvements in productivity, competitiveness and innovativeness (Agarwal, Brown et al. 2014; Bloom et al. 2018).</w:t>
      </w:r>
    </w:p>
    <w:p w14:paraId="72B261E9" w14:textId="77777777" w:rsidR="003E1DF2" w:rsidRDefault="003E1DF2" w:rsidP="003E1DF2">
      <w:pPr>
        <w:pStyle w:val="BodyText"/>
      </w:pPr>
      <w:r>
        <w:t xml:space="preserve">Research on the performance of Australian manufacturing firms has indicated that Australian management capabilities lag behind the world’s best in the dimensions of operations, people and performance management (Green et al. 2009). Other research also indicated the need for better management and leadership, especially regarding innovation in Australian firms (Agarwal, Bajada et al 2014, Agarwal and Green 2011). This points to the need for the assessment of management quality in Australia as it may be an important factor hindering future productivity and growth. </w:t>
      </w:r>
    </w:p>
    <w:p w14:paraId="40631A49" w14:textId="3C9D0A80" w:rsidR="003E1DF2" w:rsidRDefault="003E1DF2" w:rsidP="003E1DF2">
      <w:pPr>
        <w:pStyle w:val="BodyText"/>
      </w:pPr>
      <w:r>
        <w:t xml:space="preserve">There is a dearth of evidence on the association between the characteristics of firms and management capabilities in Australia. Moreover, consistent metrics are needed to allow benchmarking of firms across industries at the national level and comparing Australian firms with firm from other countries. While there have been a series of studies that seek to observe the management quality of firms across various industries, a constant challenge has been how to objectively measure management quality. For example, the World Management Survey (WMS) provides an opportunity to investigate differences in management capabilities between firms across more than 15 countries. The WMS utilised a unique double-blind scoring interview methodology to measure management practices across 18 dimensions. </w:t>
      </w:r>
      <w:r w:rsidR="00A850CD">
        <w:t>However,</w:t>
      </w:r>
      <w:r>
        <w:t xml:space="preserve"> that approach was extremely labour intensive and expensive and thus not suitable for a longer term measurement of management practices. </w:t>
      </w:r>
    </w:p>
    <w:p w14:paraId="34F43910" w14:textId="77777777" w:rsidR="003E1DF2" w:rsidRDefault="003E1DF2" w:rsidP="003E1DF2">
      <w:pPr>
        <w:pStyle w:val="BodyText"/>
      </w:pPr>
      <w:r>
        <w:t xml:space="preserve">In 2010, the US Census Bureau completed the first large-scale survey of management practices in over 40,000 manufacturing establishments. The US Management and Organizational Practices Survey (US MOPS) collected information on the people, operations and performance aspects of management, as well as related background information. A subsequent survey was conducted in 2015, containing additional sections on data, decision-making and uncertainty. This survey approach provided a long-term mechanism for the ongoing measurement of management practice capabilities. This facilitates standard techniques of data collection for better international benchmarking. </w:t>
      </w:r>
    </w:p>
    <w:p w14:paraId="738DED9E" w14:textId="77777777" w:rsidR="003E1DF2" w:rsidRDefault="003E1DF2" w:rsidP="003E1DF2">
      <w:pPr>
        <w:pStyle w:val="BodyText"/>
      </w:pPr>
      <w:r>
        <w:t>Inspired by the US MOPS, the Management Capabilities Module (MCM) was developed in 2016 as part of the ABS’ Business Characteristics Survey (BCS)</w:t>
      </w:r>
      <w:r>
        <w:rPr>
          <w:rStyle w:val="FootnoteReference"/>
        </w:rPr>
        <w:footnoteReference w:id="2"/>
      </w:r>
      <w:r>
        <w:t xml:space="preserve"> </w:t>
      </w:r>
      <w:r>
        <w:lastRenderedPageBreak/>
        <w:t>to measure management practices of Australian firms.</w:t>
      </w:r>
      <w:r>
        <w:rPr>
          <w:rStyle w:val="FootnoteReference"/>
        </w:rPr>
        <w:footnoteReference w:id="3"/>
      </w:r>
      <w:r>
        <w:t xml:space="preserve"> This survey expanded the core theme of the US MOPS that focused on production and operations management to four additional dimensions of strategic management (SM), supply chain management (SCM), digital Management (DM) and environmental management (EM). ABS tested the survey conceptually and cognitively before rolling it out in financial year 2015–16 to more than 15,000 Australian firms. This survey is the first of its kind in Australia.</w:t>
      </w:r>
    </w:p>
    <w:p w14:paraId="26E1AA5B" w14:textId="77777777" w:rsidR="003E1DF2" w:rsidRDefault="003E1DF2" w:rsidP="003E1DF2">
      <w:pPr>
        <w:pStyle w:val="BodyText"/>
      </w:pPr>
      <w:r>
        <w:t>The data from</w:t>
      </w:r>
      <w:r w:rsidRPr="001F3133">
        <w:t xml:space="preserve"> Management and Organisational Capabilities of Australian Businesses</w:t>
      </w:r>
      <w:r>
        <w:t xml:space="preserve"> was published in August 2017 under catalogue number 8172.0. This data provides the opportunity to measure and benchmark the management practices and capabilities of Australian firms for not only the traditional strategic management (SM) dimensions such as planning and monitoring, but also the newly explored areas of supply chain management, digital management, and environmental management. </w:t>
      </w:r>
    </w:p>
    <w:p w14:paraId="55F2FCC0" w14:textId="7A0ECB9D" w:rsidR="003E1DF2" w:rsidRDefault="003E1DF2" w:rsidP="003E1DF2">
      <w:pPr>
        <w:pStyle w:val="ListBullet"/>
      </w:pPr>
      <w:r>
        <w:t>The objective of this paper is to develop methodologies for calculating management capability scores at the firm level and investigate the association between these scores and firm performance. The report will describe the development of six different management capability scores: Strategic Management Capabilities (SMC)</w:t>
      </w:r>
    </w:p>
    <w:p w14:paraId="65D723F2" w14:textId="77777777" w:rsidR="003E1DF2" w:rsidRDefault="003E1DF2" w:rsidP="003E1DF2">
      <w:pPr>
        <w:pStyle w:val="ListBullet"/>
      </w:pPr>
      <w:r>
        <w:t>Supply Chain Management Capabilities (SCMC)</w:t>
      </w:r>
    </w:p>
    <w:p w14:paraId="098ADEB9" w14:textId="77777777" w:rsidR="003E1DF2" w:rsidRDefault="003E1DF2" w:rsidP="003E1DF2">
      <w:pPr>
        <w:pStyle w:val="ListBullet"/>
      </w:pPr>
      <w:r>
        <w:t>Digital Management Capabilities (DMC)</w:t>
      </w:r>
    </w:p>
    <w:p w14:paraId="2F8F1096" w14:textId="77777777" w:rsidR="003E1DF2" w:rsidRDefault="003E1DF2" w:rsidP="003E1DF2">
      <w:pPr>
        <w:pStyle w:val="ListBullet"/>
      </w:pPr>
      <w:r>
        <w:t>Environmental Management Capabilities (EMC)</w:t>
      </w:r>
    </w:p>
    <w:p w14:paraId="1E7C18DF" w14:textId="77777777" w:rsidR="003E1DF2" w:rsidRDefault="003E1DF2" w:rsidP="003E1DF2">
      <w:pPr>
        <w:pStyle w:val="ListBullet"/>
      </w:pPr>
      <w:r>
        <w:t xml:space="preserve">Overall Management Capabilities (OMC) </w:t>
      </w:r>
    </w:p>
    <w:p w14:paraId="19D2D657" w14:textId="77777777" w:rsidR="003E1DF2" w:rsidRDefault="003E1DF2" w:rsidP="003E1DF2">
      <w:pPr>
        <w:pStyle w:val="ListBullet"/>
      </w:pPr>
      <w:r>
        <w:t>Structured Management Practices Score for Manufacturing (for comparison with US manufacturing firms).</w:t>
      </w:r>
    </w:p>
    <w:p w14:paraId="48758B57" w14:textId="77777777" w:rsidR="003E1DF2" w:rsidRDefault="003E1DF2" w:rsidP="003E1DF2">
      <w:pPr>
        <w:pStyle w:val="BodyText"/>
      </w:pPr>
      <w:r>
        <w:t xml:space="preserve">The development of the code for analysis of these management capability scores and the analysis of the association of these scores with firm performance indicators will enable an improved understanding of the role of management capability in Australia. It also a major step in value adding the ABS data from the </w:t>
      </w:r>
      <w:r w:rsidRPr="001F3133">
        <w:t>Management and Organisational Capabilities of Australian Businesses</w:t>
      </w:r>
      <w:r>
        <w:t xml:space="preserve"> as scores can be used directly in econometric analysis.</w:t>
      </w:r>
      <w:r>
        <w:rPr>
          <w:rStyle w:val="FootnoteReference"/>
        </w:rPr>
        <w:footnoteReference w:id="4"/>
      </w:r>
    </w:p>
    <w:p w14:paraId="4E5643B0" w14:textId="606F6A3C" w:rsidR="003E1DF2" w:rsidRDefault="003E1DF2" w:rsidP="003E1DF2">
      <w:pPr>
        <w:pStyle w:val="BodyText"/>
      </w:pPr>
      <w:r>
        <w:t>The development of scores of management capability and its integration into the Business Longitudinal Analysis Data Environment (BLADE) open the opportunity to conduct future research evaluating and examining management capabilities in Australian firms and their impact.</w:t>
      </w:r>
    </w:p>
    <w:p w14:paraId="18F1DE29" w14:textId="77777777" w:rsidR="004953FD" w:rsidRDefault="004953FD">
      <w:pPr>
        <w:spacing w:after="200" w:line="276" w:lineRule="auto"/>
        <w:ind w:left="0"/>
        <w:jc w:val="left"/>
        <w:rPr>
          <w:rFonts w:asciiTheme="minorHAnsi" w:hAnsiTheme="minorHAnsi"/>
        </w:rPr>
      </w:pPr>
      <w:r>
        <w:br w:type="page"/>
      </w:r>
    </w:p>
    <w:p w14:paraId="68ECFA4A" w14:textId="740FB078" w:rsidR="00BA5E93" w:rsidRDefault="00BA5E93" w:rsidP="00BA5E93">
      <w:pPr>
        <w:pStyle w:val="BodyText"/>
      </w:pPr>
      <w:r>
        <w:lastRenderedPageBreak/>
        <w:t xml:space="preserve">This paper is structured as follows: </w:t>
      </w:r>
    </w:p>
    <w:p w14:paraId="664AD394" w14:textId="77777777" w:rsidR="00BA5E93" w:rsidRDefault="00BA5E93" w:rsidP="00BA5E93">
      <w:pPr>
        <w:pStyle w:val="ListBullet"/>
      </w:pPr>
      <w:r>
        <w:t xml:space="preserve">Section 2 provides a brief literature review on management </w:t>
      </w:r>
      <w:r w:rsidRPr="00B9753E">
        <w:t>capabilities</w:t>
      </w:r>
      <w:r>
        <w:t xml:space="preserve">, specifically the key areas of Strategic, Supply Chain, Digital and Environmental management. </w:t>
      </w:r>
    </w:p>
    <w:p w14:paraId="5FA3C7C7" w14:textId="77777777" w:rsidR="00BA5E93" w:rsidRDefault="00BA5E93" w:rsidP="00BA5E93">
      <w:pPr>
        <w:pStyle w:val="ListBullet"/>
      </w:pPr>
      <w:r>
        <w:t>Section 3 is the core part of this paper, it describes the methodology behind the development of the scores for management practices, and contains information on the process for selecting appropriate questions and weightings for each respective score, coding treatments, and score calculations.</w:t>
      </w:r>
    </w:p>
    <w:p w14:paraId="29341687" w14:textId="77777777" w:rsidR="00BA5E93" w:rsidRDefault="00BA5E93" w:rsidP="00BA5E93">
      <w:pPr>
        <w:pStyle w:val="ListBullet"/>
      </w:pPr>
      <w:r>
        <w:t xml:space="preserve">Section 4 provides descriptive statistics of the six calculated scores by firm size, industry, age of firms, foreign ownership and innovation status. </w:t>
      </w:r>
    </w:p>
    <w:p w14:paraId="4E510ED6" w14:textId="77777777" w:rsidR="00BA5E93" w:rsidRDefault="00BA5E93" w:rsidP="00BA5E93">
      <w:pPr>
        <w:pStyle w:val="ListBullet"/>
      </w:pPr>
      <w:r>
        <w:t xml:space="preserve">Section 5 provides comparisons of management practice scores for the Australian and the US manufacturing sectors. </w:t>
      </w:r>
    </w:p>
    <w:p w14:paraId="16B300C3" w14:textId="77777777" w:rsidR="00BA5E93" w:rsidRDefault="00BA5E93" w:rsidP="00BA5E93">
      <w:pPr>
        <w:pStyle w:val="ListBullet"/>
      </w:pPr>
      <w:r>
        <w:t xml:space="preserve">Section 6 contains the two pieces of analysis investigating the association of the management capabilities scores and selected firm performance indicators. </w:t>
      </w:r>
    </w:p>
    <w:p w14:paraId="57F7E8CA" w14:textId="3FEC46CF" w:rsidR="00BA5E93" w:rsidRDefault="00BA5E93" w:rsidP="00BA5E93">
      <w:pPr>
        <w:pStyle w:val="Heading1"/>
      </w:pPr>
      <w:r>
        <w:t>Literature review</w:t>
      </w:r>
    </w:p>
    <w:p w14:paraId="734ED65D" w14:textId="6E36876A" w:rsidR="00BA5E93" w:rsidRPr="00D17654" w:rsidRDefault="00BA5E93" w:rsidP="00BA5E93">
      <w:pPr>
        <w:spacing w:line="301" w:lineRule="auto"/>
        <w:ind w:left="0"/>
        <w:rPr>
          <w:rFonts w:eastAsia="Arial" w:cs="Arial"/>
          <w:vertAlign w:val="superscript"/>
        </w:rPr>
      </w:pPr>
      <w:r>
        <w:rPr>
          <w:rFonts w:eastAsia="Arial" w:cs="Arial"/>
        </w:rPr>
        <w:t>The significance of management capabilities in organisational performance is rapidly becoming a key area of concern for both policy makers and practitioners alike. Recent large-scale studies from a wide range of industries suggest certain practices appear “better” than others in achieving greater firm performance and productivity (Bloom and Van Reenen, 2007, Bloom et al., 2018, Agarwal et al., 2013, Agarwal Bajada et al., 2015, Agarwal, Brown et al., 2014, Green et al., 2014). This literature review draws upon insights from these studies, including the World Management Survey</w:t>
      </w:r>
      <w:r w:rsidRPr="00D17654">
        <w:rPr>
          <w:rFonts w:eastAsia="Arial" w:cs="Arial"/>
          <w:vertAlign w:val="superscript"/>
        </w:rPr>
        <w:footnoteReference w:id="5"/>
      </w:r>
      <w:r>
        <w:rPr>
          <w:rFonts w:eastAsia="Arial" w:cs="Arial"/>
        </w:rPr>
        <w:t xml:space="preserve"> (WMS) and the more recent US Management and Organisational Practice Survey</w:t>
      </w:r>
      <w:r w:rsidRPr="00D17654">
        <w:rPr>
          <w:rFonts w:eastAsia="Arial" w:cs="Arial"/>
          <w:vertAlign w:val="superscript"/>
        </w:rPr>
        <w:footnoteReference w:id="6"/>
      </w:r>
      <w:r>
        <w:rPr>
          <w:rFonts w:eastAsia="Arial" w:cs="Arial"/>
        </w:rPr>
        <w:t xml:space="preserve"> in order to highlight the key theoretical basis guiding the development of scores for strategic, digital, environmental and supply chain management capabilities</w:t>
      </w:r>
      <w:r w:rsidRPr="00D17654">
        <w:rPr>
          <w:rFonts w:eastAsia="Arial" w:cs="Arial"/>
          <w:vertAlign w:val="superscript"/>
        </w:rPr>
        <w:t>.</w:t>
      </w:r>
      <w:r w:rsidRPr="00D17654">
        <w:rPr>
          <w:rFonts w:eastAsia="Arial" w:cs="Arial"/>
          <w:vertAlign w:val="superscript"/>
        </w:rPr>
        <w:footnoteReference w:id="7"/>
      </w:r>
      <w:r w:rsidRPr="00D17654">
        <w:rPr>
          <w:rFonts w:eastAsia="Arial" w:cs="Arial"/>
          <w:vertAlign w:val="superscript"/>
        </w:rPr>
        <w:t xml:space="preserve"> </w:t>
      </w:r>
    </w:p>
    <w:p w14:paraId="6C7AD939" w14:textId="3CF5D4F2" w:rsidR="00BA5E93" w:rsidRDefault="00BA5E93" w:rsidP="00BA5E93">
      <w:pPr>
        <w:pStyle w:val="BodyText"/>
        <w:rPr>
          <w:rFonts w:eastAsia="Arial" w:cs="Arial"/>
        </w:rPr>
      </w:pPr>
      <w:r>
        <w:rPr>
          <w:rFonts w:eastAsia="Arial" w:cs="Arial"/>
        </w:rPr>
        <w:t>In 2010, the U.S. Census Bureau introduced the first ever large-scale survey of management practices for the United States referred to as the Management and Organisational Practices Survey (MOPS). The second iteration of the survey was conducted in 2015. The survey collected information on management practices, organisational characteristics and related background information for firms in the U.S. manufacturing sector. The core sections on</w:t>
      </w:r>
      <w:r w:rsidR="0018390E">
        <w:rPr>
          <w:rFonts w:eastAsia="Arial" w:cs="Arial"/>
        </w:rPr>
        <w:t xml:space="preserve"> management practices comprised of 16 individual questions on targets, </w:t>
      </w:r>
      <w:r w:rsidR="0018390E">
        <w:rPr>
          <w:rFonts w:eastAsia="Arial" w:cs="Arial"/>
        </w:rPr>
        <w:lastRenderedPageBreak/>
        <w:t>monitoring and incentives. The targets section of the survey asked how well firms design and integrate forward-looking goals and productive targets. The monitoring section asked firms the extent to which they collect and use information to measure performance and improve their productive processes. The incentives section asked how the firm manages bonuses, promotions and dismissal of employees.</w:t>
      </w:r>
    </w:p>
    <w:p w14:paraId="3DD70EE7" w14:textId="78C11AF1" w:rsidR="00A774E5" w:rsidRDefault="00A774E5" w:rsidP="00BF1BEF">
      <w:pPr>
        <w:pStyle w:val="Heading2"/>
        <w:ind w:left="0" w:firstLine="0"/>
      </w:pPr>
      <w:r>
        <w:t>Strategic management capabilities</w:t>
      </w:r>
    </w:p>
    <w:p w14:paraId="699441C9" w14:textId="411723FA" w:rsidR="00A774E5" w:rsidRDefault="00A774E5" w:rsidP="00A774E5">
      <w:pPr>
        <w:spacing w:line="276" w:lineRule="auto"/>
        <w:ind w:left="0"/>
        <w:rPr>
          <w:rFonts w:eastAsia="Arial" w:cs="Arial"/>
        </w:rPr>
      </w:pPr>
      <w:r>
        <w:rPr>
          <w:rFonts w:eastAsia="Arial" w:cs="Arial"/>
        </w:rPr>
        <w:t xml:space="preserve">One of the key questions guiding the strategic management literature is how an organisation can create and sustain competitive advantage (Ambrosini and Bowman, 2009, Stacey and Mowles, 2016). Given the dynamic nature of today's competitive market, creating competitive advantage is one thing but sustaining it over an extended period is quite another (O’Reilly III and Tushman, 2016). </w:t>
      </w:r>
    </w:p>
    <w:p w14:paraId="77ACA4FE" w14:textId="505A387B" w:rsidR="00A774E5" w:rsidRDefault="00A774E5" w:rsidP="00A774E5">
      <w:pPr>
        <w:spacing w:line="276" w:lineRule="auto"/>
        <w:ind w:left="0"/>
        <w:rPr>
          <w:rFonts w:eastAsia="Arial" w:cs="Arial"/>
        </w:rPr>
      </w:pPr>
      <w:r>
        <w:rPr>
          <w:rFonts w:eastAsia="Arial" w:cs="Arial"/>
        </w:rPr>
        <w:t xml:space="preserve">Formal planning activities contribute to greater organisational performance (Wolf and Floyd, 2017). These activities are made more effective by including insights from all the relevant stakeholders within the various functions of an organisation (Wolf and Floyd, 2017). Though formal planning is seemingly fundamental as a business activity, managers have not been able to capitalise on its benefits, as only 11 per cent of managers perceived planning to be a useful exercise (Mankins and Steele, 2006). </w:t>
      </w:r>
    </w:p>
    <w:p w14:paraId="5FEECBD5" w14:textId="20A9BC7F" w:rsidR="00A774E5" w:rsidRDefault="00A774E5" w:rsidP="00A774E5">
      <w:pPr>
        <w:pStyle w:val="BodyText"/>
        <w:rPr>
          <w:rFonts w:eastAsia="Arial" w:cs="Arial"/>
        </w:rPr>
      </w:pPr>
      <w:r>
        <w:rPr>
          <w:rFonts w:eastAsia="Arial" w:cs="Arial"/>
        </w:rPr>
        <w:t>Following closely from this is the ability to effectively set and monitor key performance indicators (KPI); something that has been found to contribute significantly to organisational performance (Agarwal, Brown et al., 2014, Bloom et al., 2018). The effective use of KPIs also helps inform key human resource decisions including incentive schemes and promotion/demotion activities that also contribute towards improved organisational performance (Agarwal, Brown et al., 2014, Bloom et al., 2018). Organisations must be able to explore new opportunities whilst exploiting existing resources to incrementally improve organisational performance (O’Reilly III and Tushman, 2016). Such “ambidextrous” capabilities contribute to increased organisational performance (Derbyshire, 2014, Junni et al., 2013).</w:t>
      </w:r>
    </w:p>
    <w:p w14:paraId="48F01BD8" w14:textId="04E8614C" w:rsidR="00A774E5" w:rsidRPr="00A774E5" w:rsidRDefault="00A774E5" w:rsidP="00BF1BEF">
      <w:pPr>
        <w:pStyle w:val="Heading2"/>
        <w:ind w:left="0" w:firstLine="0"/>
      </w:pPr>
      <w:r>
        <w:t>Digital management capabilities</w:t>
      </w:r>
    </w:p>
    <w:p w14:paraId="30AC0F91" w14:textId="57FC2A96" w:rsidR="003E1DF2" w:rsidRDefault="00A774E5" w:rsidP="00A774E5">
      <w:pPr>
        <w:pStyle w:val="BodyText"/>
        <w:rPr>
          <w:rFonts w:eastAsia="Arial" w:cs="Arial"/>
        </w:rPr>
      </w:pPr>
      <w:r>
        <w:rPr>
          <w:rFonts w:eastAsia="Arial" w:cs="Arial"/>
        </w:rPr>
        <w:t xml:space="preserve">Digital management capabilities involve the effective adoption of digital technologies such as mobile devices, social media, data analytics, cloud computing and Internet of Things (Bilgeri et al., 2017). Digital management capabilities also include the integration of these technologies into the operations of an organisation towards increased competitive advantage, business transformation </w:t>
      </w:r>
      <w:r w:rsidRPr="005873E3">
        <w:rPr>
          <w:rFonts w:eastAsia="Arial" w:cs="Arial"/>
          <w:bCs/>
          <w:iCs/>
        </w:rPr>
        <w:t>and</w:t>
      </w:r>
      <w:r>
        <w:rPr>
          <w:rFonts w:eastAsia="Arial" w:cs="Arial"/>
          <w:b/>
          <w:bCs/>
          <w:i/>
          <w:iCs/>
        </w:rPr>
        <w:t xml:space="preserve"> </w:t>
      </w:r>
      <w:r>
        <w:rPr>
          <w:rFonts w:eastAsia="Arial" w:cs="Arial"/>
        </w:rPr>
        <w:t xml:space="preserve">strategy (Kane et al., 2015b). This also means modifications to the business model to suit the strategy (Westerman et al., 2011). These </w:t>
      </w:r>
      <w:r w:rsidR="00E767FE">
        <w:rPr>
          <w:rFonts w:eastAsia="Arial" w:cs="Arial"/>
        </w:rPr>
        <w:t>modifications</w:t>
      </w:r>
      <w:r>
        <w:rPr>
          <w:rFonts w:eastAsia="Arial" w:cs="Arial"/>
        </w:rPr>
        <w:t xml:space="preserve"> involve fundamentally changing the manner by which val</w:t>
      </w:r>
      <w:r w:rsidR="00E767FE">
        <w:rPr>
          <w:rFonts w:eastAsia="Arial" w:cs="Arial"/>
        </w:rPr>
        <w:t xml:space="preserve">ue is delivered to the customer. </w:t>
      </w:r>
      <w:r>
        <w:rPr>
          <w:rFonts w:eastAsia="Arial" w:cs="Arial"/>
        </w:rPr>
        <w:t xml:space="preserve">Improved digital literacy (Martin, 2005, OECD, 2000), investing in cyber security (Accenture, 2018) and increased collaboration (both internally and externally) are examples of key practices that facilitate effective digital transformation (see O'Hea, 2011). Digital transformation and adoption provides benefits such as improved operational efficiency, effective knowledge sharing, successful innovation </w:t>
      </w:r>
      <w:r>
        <w:rPr>
          <w:rFonts w:eastAsia="Arial" w:cs="Arial"/>
        </w:rPr>
        <w:lastRenderedPageBreak/>
        <w:t>outcomes, enhanced customer service and greater resilience against disruption (Kane et al., 2015a, Wade, 2015).</w:t>
      </w:r>
    </w:p>
    <w:p w14:paraId="505447A5" w14:textId="42AAF984" w:rsidR="00A774E5" w:rsidRDefault="00A774E5" w:rsidP="00BF1BEF">
      <w:pPr>
        <w:pStyle w:val="Heading2"/>
        <w:ind w:left="0" w:firstLine="0"/>
      </w:pPr>
      <w:r>
        <w:t>Environmental management capabilities</w:t>
      </w:r>
    </w:p>
    <w:p w14:paraId="29082187" w14:textId="3A31FC55" w:rsidR="00A774E5" w:rsidRPr="00217715" w:rsidRDefault="00A774E5" w:rsidP="00A774E5">
      <w:pPr>
        <w:spacing w:line="276" w:lineRule="auto"/>
        <w:ind w:left="0"/>
        <w:rPr>
          <w:rFonts w:eastAsia="Arial" w:cs="Arial"/>
          <w:b/>
          <w:bCs/>
          <w:i/>
          <w:iCs/>
        </w:rPr>
      </w:pPr>
      <w:r>
        <w:rPr>
          <w:rFonts w:eastAsia="Arial" w:cs="Arial"/>
        </w:rPr>
        <w:t xml:space="preserve">Environmental management in organisations has long moved from issues of compliance to ones involving greater organisational performance (Orsato, 2006, Orsato, 2009). Environment management capability is underpinned by an organisations’ ability to leverage the management of the environmental impact and resources towards greater competitive advantage while considering tangible societal public benefits (Orsato, 2006). </w:t>
      </w:r>
    </w:p>
    <w:p w14:paraId="37FAF470" w14:textId="67D52524" w:rsidR="00A774E5" w:rsidRDefault="00A774E5" w:rsidP="00A774E5">
      <w:pPr>
        <w:spacing w:line="276" w:lineRule="auto"/>
        <w:ind w:left="0"/>
        <w:rPr>
          <w:rFonts w:eastAsia="Arial" w:cs="Arial"/>
        </w:rPr>
      </w:pPr>
      <w:r>
        <w:rPr>
          <w:rFonts w:eastAsia="Arial" w:cs="Arial"/>
        </w:rPr>
        <w:t xml:space="preserve">The first consideration involves aligning environmental management practices to an organisations strategy. Although, intuitively this can be thought of as a strategic “fit”, it is not necessarily straight forward. The environmental management practices should be suited to the market orientation of the organisation adopting the practices, whether it is a strategy focussed on price, increasing differentiation or the strategic orientation of internal resources (Orsato, 2009). Other considerations also involve effective management of waste and pollution, including measurement practices and taking action based on intended performance requirements. Therefore, performance management as it pertains to the environmental impact from the use of materials and resources is key towards building environmental management competence (OECD, 2011). </w:t>
      </w:r>
    </w:p>
    <w:p w14:paraId="7CCC3F72" w14:textId="5BBE7BB3" w:rsidR="00A774E5" w:rsidRDefault="00A774E5" w:rsidP="00A774E5">
      <w:pPr>
        <w:pStyle w:val="BodyText"/>
        <w:rPr>
          <w:rFonts w:eastAsia="Arial" w:cs="Arial"/>
        </w:rPr>
      </w:pPr>
      <w:r>
        <w:rPr>
          <w:rFonts w:eastAsia="Arial" w:cs="Arial"/>
        </w:rPr>
        <w:t>Performance management  is also closely linked to key administrative practices including the assignment of staff specifically focussed on environmental management initiatives (OECD, 2011) and innovation activities whereby research and development is geared towards achieving greater environmental outcomes (Alfred and Adam, 2009). The adoption of such practices can help in achieving cost-savings, such as reduced energy usage and material wastage that improve revenue and provide improved business opportunities (Orsato, 2009, Alfred and Adam, 2009).</w:t>
      </w:r>
    </w:p>
    <w:p w14:paraId="08D53632" w14:textId="174831AE" w:rsidR="00A774E5" w:rsidRDefault="00A774E5" w:rsidP="00BF1BEF">
      <w:pPr>
        <w:pStyle w:val="Heading2"/>
        <w:ind w:left="0" w:firstLine="0"/>
      </w:pPr>
      <w:r>
        <w:t>Supply chain management</w:t>
      </w:r>
    </w:p>
    <w:p w14:paraId="59CBCA27" w14:textId="10A12DE0" w:rsidR="000D37B0" w:rsidRDefault="000D37B0" w:rsidP="000D37B0">
      <w:pPr>
        <w:spacing w:line="276" w:lineRule="auto"/>
        <w:ind w:left="0"/>
        <w:rPr>
          <w:rFonts w:eastAsia="Arial" w:cs="Arial"/>
        </w:rPr>
      </w:pPr>
      <w:r>
        <w:rPr>
          <w:rFonts w:eastAsia="Arial" w:cs="Arial"/>
        </w:rPr>
        <w:t xml:space="preserve">Supply chain management (SCM) can be defined as “the systemic, strategic coordination of the traditional business functions and the tactics across these business functions within a particular company and across businesses within the supply chain, for the purposes of improving the long-term performance of the individual companies and the supply chain as a whole” (Mentzer et al., 2001). Thus, supply chain management capability encompasses management practices geared towards achieving competitive advantage by paying attention to the various internal and external business activities and the relationships between them. </w:t>
      </w:r>
    </w:p>
    <w:p w14:paraId="7A170F82" w14:textId="2F01A0F0" w:rsidR="000D37B0" w:rsidRDefault="000D37B0" w:rsidP="000D37B0">
      <w:pPr>
        <w:spacing w:line="276" w:lineRule="auto"/>
        <w:ind w:left="0"/>
        <w:rPr>
          <w:rFonts w:eastAsia="Arial" w:cs="Arial"/>
        </w:rPr>
      </w:pPr>
      <w:r>
        <w:rPr>
          <w:rFonts w:eastAsia="Arial" w:cs="Arial"/>
        </w:rPr>
        <w:t>Alignment of supply chain management and strategy is an important way to leverage gre</w:t>
      </w:r>
      <w:r w:rsidR="007251F2">
        <w:rPr>
          <w:rFonts w:eastAsia="Arial" w:cs="Arial"/>
        </w:rPr>
        <w:t xml:space="preserve">ater competitive advantage and </w:t>
      </w:r>
      <w:r>
        <w:rPr>
          <w:rFonts w:eastAsia="Arial" w:cs="Arial"/>
        </w:rPr>
        <w:t xml:space="preserve">ensure long-term viability of an organisation (Gattorna, 2015). Given the demand-driven nature of today's markets, organisations must be able to effectively perform segmentation activities and individually tailor supply chain strategies according to the specific characteristics of disparate segments (Gattorna, 2015). This also requires increased staff, as well as supplier training and awareness (Formentini and </w:t>
      </w:r>
      <w:r>
        <w:rPr>
          <w:rFonts w:eastAsia="Arial" w:cs="Arial"/>
        </w:rPr>
        <w:lastRenderedPageBreak/>
        <w:t>Taticchi, 2016), effective information and knowledge sharing activities (Bagchi et al., 2005) and a greater overall collaboration of capabilities (Juran, 1993) to meet the needs of customers and the other stakeholders in the supply chain. As with other key operational processes, SCM also involves effective performance management including adopting the right metrics, at the right time, and involving the right stakeholders (Bai and Sarkis, 2014).</w:t>
      </w:r>
    </w:p>
    <w:p w14:paraId="5D1C0712" w14:textId="3C289DEB" w:rsidR="00A774E5" w:rsidRDefault="000D37B0" w:rsidP="000D37B0">
      <w:pPr>
        <w:pStyle w:val="BodyText"/>
        <w:rPr>
          <w:rFonts w:eastAsia="Arial" w:cs="Arial"/>
        </w:rPr>
      </w:pPr>
      <w:r>
        <w:rPr>
          <w:rFonts w:eastAsia="Arial" w:cs="Arial"/>
        </w:rPr>
        <w:t>The brief review of literature presented above outlines some of the key management practices that contribute towards the development of strategic, digital, environmental and supply chain management capabilities. These theoretical insights guide the selection of questions used in the calculation of each management score presented in this paper.</w:t>
      </w:r>
    </w:p>
    <w:p w14:paraId="4F0195AF" w14:textId="6060B84D" w:rsidR="000D37B0" w:rsidRDefault="000D37B0" w:rsidP="000D37B0">
      <w:pPr>
        <w:pStyle w:val="Heading1"/>
      </w:pPr>
      <w:r>
        <w:t xml:space="preserve">Development of management </w:t>
      </w:r>
      <w:r w:rsidR="00597784">
        <w:br/>
      </w:r>
      <w:r>
        <w:t>capability scores</w:t>
      </w:r>
    </w:p>
    <w:p w14:paraId="0B0072E7" w14:textId="27B50568" w:rsidR="000D37B0" w:rsidRPr="00986CDC" w:rsidRDefault="000D37B0" w:rsidP="000D37B0">
      <w:pPr>
        <w:ind w:left="0"/>
        <w:rPr>
          <w:rFonts w:eastAsia="Arial" w:cs="Arial"/>
        </w:rPr>
      </w:pPr>
      <w:r>
        <w:rPr>
          <w:rFonts w:eastAsia="Arial" w:cs="Arial"/>
        </w:rPr>
        <w:t>This section</w:t>
      </w:r>
      <w:r w:rsidR="007251F2">
        <w:rPr>
          <w:rFonts w:eastAsia="Arial" w:cs="Arial"/>
        </w:rPr>
        <w:t xml:space="preserve"> </w:t>
      </w:r>
      <w:r>
        <w:rPr>
          <w:rFonts w:eastAsia="Arial" w:cs="Arial"/>
        </w:rPr>
        <w:t xml:space="preserve">provides an overview of the questions selected to produce each of the firm-level management capability scores and the method of calculating the scores. The section also contains a description of the alignment of the Management Capability Module (MCM) questions for the development of a comparable score from the US </w:t>
      </w:r>
      <w:r>
        <w:t>Management and Organizational Practices Survey (US</w:t>
      </w:r>
      <w:r>
        <w:rPr>
          <w:rFonts w:eastAsia="Arial" w:cs="Arial"/>
        </w:rPr>
        <w:t xml:space="preserve"> MOPS).</w:t>
      </w:r>
    </w:p>
    <w:p w14:paraId="7481A5BF" w14:textId="4B350EC4" w:rsidR="000D37B0" w:rsidRDefault="000D37B0" w:rsidP="000D37B0">
      <w:pPr>
        <w:pStyle w:val="BodyText"/>
        <w:rPr>
          <w:rFonts w:eastAsia="Arial" w:cs="Arial"/>
        </w:rPr>
      </w:pPr>
      <w:r>
        <w:rPr>
          <w:rFonts w:eastAsia="Arial" w:cs="Arial"/>
        </w:rPr>
        <w:t xml:space="preserve">Construction of the overall management practices score requires a clear definition of the boundaries of the variable and what it represents. </w:t>
      </w:r>
      <w:r w:rsidR="00597784">
        <w:rPr>
          <w:rFonts w:eastAsia="Arial" w:cs="Arial"/>
        </w:rPr>
        <w:br/>
      </w:r>
      <w:r>
        <w:rPr>
          <w:rFonts w:eastAsia="Arial" w:cs="Arial"/>
        </w:rPr>
        <w:t>A management capability score measures the presence and use of management practices in an organisation. The management capability score for a specified area of management is a measure of the presence (and use) of management practices that relate explicitly to the respective dimension of management such as supply chain, digital and environmental management capabilities. A higher management capability score suggests that a firm uses more practices in this specific dimension of management capability. On the other hand, a lower management capability score suggests the firm utilises fewer management practices in that particular dimension. The management capability score is a measure of the extent to which a firm indicates they have management practices, regardless of whether the specific management practice is ‘better’ or ‘worse’.</w:t>
      </w:r>
    </w:p>
    <w:p w14:paraId="67162A82" w14:textId="1A0FACA7" w:rsidR="000D37B0" w:rsidRDefault="000D37B0" w:rsidP="00BF1BEF">
      <w:pPr>
        <w:pStyle w:val="Heading2"/>
        <w:ind w:left="0" w:firstLine="0"/>
      </w:pPr>
      <w:r>
        <w:t>Selection of questions</w:t>
      </w:r>
    </w:p>
    <w:p w14:paraId="665F5037" w14:textId="7458837D" w:rsidR="000D37B0" w:rsidRDefault="000D37B0" w:rsidP="000D37B0">
      <w:pPr>
        <w:ind w:left="0"/>
        <w:rPr>
          <w:rFonts w:eastAsia="Arial" w:cs="Arial"/>
        </w:rPr>
      </w:pPr>
      <w:r>
        <w:rPr>
          <w:rFonts w:eastAsia="Arial" w:cs="Arial"/>
        </w:rPr>
        <w:t>Based on the literature review, we have identified questions from the MCM which best reflect each respective management capability score, namely the SMC, DMC, EMC, SCMC and OMC as detailed in Appendix C. The questions are selected based on their relevance and appropriateness to specific dimensions of management. These questions measure both the use and the extent of use of various management practices in the firm.</w:t>
      </w:r>
    </w:p>
    <w:p w14:paraId="71954E1B" w14:textId="4498078D" w:rsidR="000D37B0" w:rsidRDefault="000D37B0" w:rsidP="000D37B0">
      <w:pPr>
        <w:ind w:left="0"/>
        <w:rPr>
          <w:rFonts w:eastAsia="Arial" w:cs="Arial"/>
        </w:rPr>
      </w:pPr>
      <w:r>
        <w:rPr>
          <w:rFonts w:eastAsia="Arial" w:cs="Arial"/>
        </w:rPr>
        <w:t xml:space="preserve">The MCM has many questions that relate to the context of the firm. As such, appropriateness of a question depends on the content of the question. Whilst questions can be related to a particular dimension of management, they may refer to the context of the firm rather than a measure of capability per se. These context questions were omitted from the calculation of the management </w:t>
      </w:r>
      <w:r>
        <w:rPr>
          <w:rFonts w:eastAsia="Arial" w:cs="Arial"/>
        </w:rPr>
        <w:lastRenderedPageBreak/>
        <w:t xml:space="preserve">capability scores. Questions are selected based on them representing the extent and use of a particular management practice in the organisation. </w:t>
      </w:r>
    </w:p>
    <w:p w14:paraId="07E252E1" w14:textId="2AF711B8" w:rsidR="000D37B0" w:rsidRDefault="000D37B0" w:rsidP="000D37B0">
      <w:pPr>
        <w:pStyle w:val="BodyText"/>
        <w:rPr>
          <w:rFonts w:ascii="Arial" w:eastAsia="Arial" w:hAnsi="Arial" w:cs="Arial"/>
        </w:rPr>
      </w:pPr>
      <w:r>
        <w:rPr>
          <w:rFonts w:ascii="Arial" w:eastAsia="Arial" w:hAnsi="Arial" w:cs="Arial"/>
        </w:rPr>
        <w:t xml:space="preserve">For the purposes of constructing the scores, each identified question represents a single specific aspect of management capability. For questions that contain a separate part for managers and non-managers, these two components are  split and treated as individual questions for the purposes of the score construction. Similarly, some questions contain a list of various management practices. In these instances, each separate response is treated as an individual question for the purposes of score construction. Each respective management capabilities score will thereby comprise of a selection of questions that each represent a single dimension of management. A breakdown of the number of questions for each respective management capability score is presented in Table 3.1. </w:t>
      </w:r>
      <w:r w:rsidRPr="00141439">
        <w:rPr>
          <w:rFonts w:ascii="Arial" w:eastAsia="Arial" w:hAnsi="Arial" w:cs="Arial"/>
        </w:rPr>
        <w:t>Appendix C provides additional details on each of the selected questions used to compute each score.</w:t>
      </w:r>
    </w:p>
    <w:p w14:paraId="4B37E593" w14:textId="27491B8C" w:rsidR="00302574" w:rsidRDefault="00302574" w:rsidP="00072E96">
      <w:pPr>
        <w:pStyle w:val="Caption"/>
      </w:pPr>
      <w:r w:rsidRPr="000618FB">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3</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1</w:t>
      </w:r>
      <w:r>
        <w:rPr>
          <w:noProof/>
        </w:rPr>
        <w:fldChar w:fldCharType="end"/>
      </w:r>
      <w:r w:rsidRPr="000618FB">
        <w:t xml:space="preserve">: </w:t>
      </w:r>
      <w:r>
        <w:t>Number of questions for the construction of the management capability scores</w:t>
      </w:r>
    </w:p>
    <w:tbl>
      <w:tblPr>
        <w:tblStyle w:val="OCETable"/>
        <w:tblW w:w="5000" w:type="pct"/>
        <w:tblInd w:w="-5" w:type="dxa"/>
        <w:tblLook w:val="04A0" w:firstRow="1" w:lastRow="0" w:firstColumn="1" w:lastColumn="0" w:noHBand="0" w:noVBand="1"/>
        <w:tblCaption w:val="Table 3.1: Number of questions for the construction of the management capability scores"/>
        <w:tblDescription w:val="Table 3.1 presents the number of individual questions selected for the construction of each score representing a single dimension of management. For example, for Strategic management score (SMC) 33 questions were selected; for Supply chain management score (SCMC) 15 questions were selected; for Environmental management score (EMC) 20 questions were selected and for Digital management score (DMC) 10 questions were selected."/>
      </w:tblPr>
      <w:tblGrid>
        <w:gridCol w:w="1446"/>
        <w:gridCol w:w="1327"/>
        <w:gridCol w:w="1327"/>
        <w:gridCol w:w="1467"/>
        <w:gridCol w:w="1327"/>
      </w:tblGrid>
      <w:tr w:rsidR="00302574" w14:paraId="42FC0865"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13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6F0701" w14:textId="77777777" w:rsidR="00302574" w:rsidRDefault="00302574" w:rsidP="00302574">
            <w:pPr>
              <w:pStyle w:val="Tableheadertext"/>
              <w:rPr>
                <w:lang w:eastAsia="en-AU"/>
              </w:rPr>
            </w:pPr>
          </w:p>
        </w:tc>
        <w:tc>
          <w:tcPr>
            <w:tcW w:w="94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6C7998" w14:textId="1FCCD46F" w:rsidR="00302574" w:rsidRPr="003924F0" w:rsidRDefault="00302574" w:rsidP="003924F0">
            <w:pPr>
              <w:pStyle w:val="Tableheadertext"/>
              <w:jc w:val="right"/>
            </w:pPr>
            <w:r w:rsidRPr="003924F0">
              <w:t>Strategic management score (SMC)</w:t>
            </w:r>
          </w:p>
        </w:tc>
        <w:tc>
          <w:tcPr>
            <w:tcW w:w="85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31082A" w14:textId="65DF6742" w:rsidR="00302574" w:rsidRPr="003924F0" w:rsidRDefault="00302574" w:rsidP="003924F0">
            <w:pPr>
              <w:pStyle w:val="Tableheadertext"/>
              <w:jc w:val="right"/>
            </w:pPr>
            <w:r w:rsidRPr="003924F0">
              <w:t>Supply chain management score (SCMC)</w:t>
            </w:r>
          </w:p>
        </w:tc>
        <w:tc>
          <w:tcPr>
            <w:tcW w:w="94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9D23E5" w14:textId="46893E18" w:rsidR="00302574" w:rsidRPr="003924F0" w:rsidRDefault="00302574" w:rsidP="003924F0">
            <w:pPr>
              <w:pStyle w:val="Tableheadertext"/>
              <w:jc w:val="right"/>
            </w:pPr>
            <w:r w:rsidRPr="003924F0">
              <w:t>Environmental management score (EMC)</w:t>
            </w:r>
          </w:p>
        </w:tc>
        <w:tc>
          <w:tcPr>
            <w:tcW w:w="94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8199F4" w14:textId="1A2006DF" w:rsidR="00302574" w:rsidRPr="003924F0" w:rsidRDefault="00302574" w:rsidP="003924F0">
            <w:pPr>
              <w:pStyle w:val="Tableheadertext"/>
              <w:jc w:val="right"/>
            </w:pPr>
            <w:r w:rsidRPr="003924F0">
              <w:t>Digital management score (DMC)</w:t>
            </w:r>
          </w:p>
        </w:tc>
      </w:tr>
      <w:tr w:rsidR="00302574" w14:paraId="04171C70" w14:textId="77777777" w:rsidTr="00FC594E">
        <w:trPr>
          <w:cnfStyle w:val="000000100000" w:firstRow="0" w:lastRow="0" w:firstColumn="0" w:lastColumn="0" w:oddVBand="0" w:evenVBand="0" w:oddHBand="1" w:evenHBand="0" w:firstRowFirstColumn="0" w:firstRowLastColumn="0" w:lastRowFirstColumn="0" w:lastRowLastColumn="0"/>
        </w:trPr>
        <w:tc>
          <w:tcPr>
            <w:tcW w:w="1300" w:type="pct"/>
          </w:tcPr>
          <w:p w14:paraId="59DAF41D" w14:textId="5AC9A51F" w:rsidR="00302574" w:rsidRDefault="00302574" w:rsidP="00302574">
            <w:pPr>
              <w:pStyle w:val="Tablebodytext"/>
              <w:rPr>
                <w:lang w:eastAsia="en-AU"/>
              </w:rPr>
            </w:pPr>
            <w:r w:rsidRPr="0045217D">
              <w:rPr>
                <w:rFonts w:eastAsia="Arial"/>
              </w:rPr>
              <w:t>Number of individual questions for calculation of scores</w:t>
            </w:r>
          </w:p>
        </w:tc>
        <w:tc>
          <w:tcPr>
            <w:tcW w:w="947" w:type="pct"/>
          </w:tcPr>
          <w:p w14:paraId="3FD3EC2E" w14:textId="04D07400" w:rsidR="00302574" w:rsidRDefault="00302574" w:rsidP="003924F0">
            <w:pPr>
              <w:pStyle w:val="Tablebodytext"/>
              <w:jc w:val="right"/>
              <w:rPr>
                <w:lang w:eastAsia="en-AU"/>
              </w:rPr>
            </w:pPr>
            <w:r>
              <w:rPr>
                <w:lang w:eastAsia="en-AU"/>
              </w:rPr>
              <w:t>33</w:t>
            </w:r>
          </w:p>
        </w:tc>
        <w:tc>
          <w:tcPr>
            <w:tcW w:w="858" w:type="pct"/>
          </w:tcPr>
          <w:p w14:paraId="147D0EAC" w14:textId="4BFEE064" w:rsidR="00302574" w:rsidRDefault="00302574" w:rsidP="003924F0">
            <w:pPr>
              <w:pStyle w:val="Tablebodytext"/>
              <w:jc w:val="right"/>
              <w:rPr>
                <w:lang w:eastAsia="en-AU"/>
              </w:rPr>
            </w:pPr>
            <w:r>
              <w:rPr>
                <w:lang w:eastAsia="en-AU"/>
              </w:rPr>
              <w:t>15</w:t>
            </w:r>
          </w:p>
        </w:tc>
        <w:tc>
          <w:tcPr>
            <w:tcW w:w="948" w:type="pct"/>
          </w:tcPr>
          <w:p w14:paraId="330A09C6" w14:textId="0BF3459B" w:rsidR="00302574" w:rsidRDefault="00302574" w:rsidP="003924F0">
            <w:pPr>
              <w:pStyle w:val="Tablebodytext"/>
              <w:jc w:val="right"/>
              <w:rPr>
                <w:lang w:eastAsia="en-AU"/>
              </w:rPr>
            </w:pPr>
            <w:r>
              <w:rPr>
                <w:lang w:eastAsia="en-AU"/>
              </w:rPr>
              <w:t>20</w:t>
            </w:r>
          </w:p>
        </w:tc>
        <w:tc>
          <w:tcPr>
            <w:tcW w:w="947" w:type="pct"/>
          </w:tcPr>
          <w:p w14:paraId="40186CEA" w14:textId="0EC206A8" w:rsidR="00302574" w:rsidRDefault="00302574" w:rsidP="003924F0">
            <w:pPr>
              <w:pStyle w:val="Tablebodytext"/>
              <w:jc w:val="right"/>
              <w:rPr>
                <w:lang w:eastAsia="en-AU"/>
              </w:rPr>
            </w:pPr>
            <w:r>
              <w:rPr>
                <w:lang w:eastAsia="en-AU"/>
              </w:rPr>
              <w:t>10</w:t>
            </w:r>
          </w:p>
        </w:tc>
      </w:tr>
    </w:tbl>
    <w:p w14:paraId="660DA124" w14:textId="32978BC6" w:rsidR="00302574" w:rsidRDefault="00302574" w:rsidP="00072E96">
      <w:pPr>
        <w:pStyle w:val="Source"/>
        <w:rPr>
          <w:lang w:eastAsia="en-AU"/>
        </w:rPr>
      </w:pPr>
    </w:p>
    <w:p w14:paraId="015ADEBB" w14:textId="40096DAE" w:rsidR="00072E96" w:rsidRDefault="00072E96" w:rsidP="00072E96">
      <w:pPr>
        <w:ind w:left="0"/>
        <w:rPr>
          <w:rFonts w:eastAsia="Arial" w:cs="Arial"/>
        </w:rPr>
      </w:pPr>
      <w:r>
        <w:rPr>
          <w:rFonts w:eastAsia="Arial" w:cs="Arial"/>
        </w:rPr>
        <w:t xml:space="preserve">As the SMC score uses many questions, the score has been divided into four sub-scores of ‘Planning’, ‘Monitoring’, ‘Execution’ and ‘Innovation’. Each individual question selected for the SMC is also assigned to one of the four sub-scores. Table 3.2 presents the breakdown of SMC questions into the four sub-scores. </w:t>
      </w:r>
    </w:p>
    <w:p w14:paraId="161F6FBF" w14:textId="3A3048E8" w:rsidR="00072E96" w:rsidRDefault="00072E96" w:rsidP="00072E96">
      <w:pPr>
        <w:pStyle w:val="Caption"/>
      </w:pPr>
      <w:r w:rsidRPr="000618FB">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3</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2</w:t>
      </w:r>
      <w:r>
        <w:rPr>
          <w:noProof/>
        </w:rPr>
        <w:fldChar w:fldCharType="end"/>
      </w:r>
      <w:r w:rsidRPr="000618FB">
        <w:t xml:space="preserve">: </w:t>
      </w:r>
      <w:r>
        <w:rPr>
          <w:noProof/>
        </w:rPr>
        <w:t>Number of questions for strategic management scores (SMC)</w:t>
      </w:r>
    </w:p>
    <w:tbl>
      <w:tblPr>
        <w:tblStyle w:val="OCETable"/>
        <w:tblW w:w="5000" w:type="pct"/>
        <w:tblInd w:w="57" w:type="dxa"/>
        <w:tblLayout w:type="fixed"/>
        <w:tblLook w:val="04A0" w:firstRow="1" w:lastRow="0" w:firstColumn="1" w:lastColumn="0" w:noHBand="0" w:noVBand="1"/>
        <w:tblCaption w:val="Table 3.2: Number of questions for strategic management scores (SMC)"/>
        <w:tblDescription w:val="Table 3.2 presents the number of individual questions selected for the construction of Strategic management score (SMC). From the 33 questions selected for the construction of the Strategic management score (SMC): six questions correspond to planning, seven questions correspond monitoring, fourteen questions correspond execution and six questions correspond to innovation."/>
      </w:tblPr>
      <w:tblGrid>
        <w:gridCol w:w="1149"/>
        <w:gridCol w:w="1149"/>
        <w:gridCol w:w="1149"/>
        <w:gridCol w:w="1149"/>
        <w:gridCol w:w="1149"/>
        <w:gridCol w:w="1149"/>
      </w:tblGrid>
      <w:tr w:rsidR="00072E96" w14:paraId="0C27E509"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1149" w:type="dxa"/>
          </w:tcPr>
          <w:p w14:paraId="42AD8F9C" w14:textId="77777777" w:rsidR="00072E96" w:rsidRDefault="00072E96" w:rsidP="00072E96">
            <w:pPr>
              <w:pStyle w:val="Tableheadertext"/>
            </w:pPr>
            <w:r>
              <w:t>Sub-score</w:t>
            </w:r>
          </w:p>
        </w:tc>
        <w:tc>
          <w:tcPr>
            <w:tcW w:w="1149" w:type="dxa"/>
          </w:tcPr>
          <w:p w14:paraId="176B39BA" w14:textId="77777777" w:rsidR="00072E96" w:rsidRDefault="00072E96" w:rsidP="003924F0">
            <w:pPr>
              <w:pStyle w:val="Tableheadertext"/>
              <w:jc w:val="right"/>
            </w:pPr>
            <w:r>
              <w:t>Planning</w:t>
            </w:r>
          </w:p>
        </w:tc>
        <w:tc>
          <w:tcPr>
            <w:tcW w:w="1149" w:type="dxa"/>
          </w:tcPr>
          <w:p w14:paraId="0792572F" w14:textId="77777777" w:rsidR="00072E96" w:rsidRDefault="00072E96" w:rsidP="003924F0">
            <w:pPr>
              <w:pStyle w:val="Tableheadertext"/>
              <w:jc w:val="right"/>
            </w:pPr>
            <w:r>
              <w:t>Monitoring</w:t>
            </w:r>
          </w:p>
        </w:tc>
        <w:tc>
          <w:tcPr>
            <w:tcW w:w="1149" w:type="dxa"/>
          </w:tcPr>
          <w:p w14:paraId="14276BE9" w14:textId="77777777" w:rsidR="00072E96" w:rsidRDefault="00072E96" w:rsidP="003924F0">
            <w:pPr>
              <w:pStyle w:val="Tableheadertext"/>
              <w:jc w:val="right"/>
            </w:pPr>
            <w:r>
              <w:t xml:space="preserve">Execution </w:t>
            </w:r>
          </w:p>
        </w:tc>
        <w:tc>
          <w:tcPr>
            <w:tcW w:w="1149" w:type="dxa"/>
          </w:tcPr>
          <w:p w14:paraId="47638836" w14:textId="77777777" w:rsidR="00072E96" w:rsidRDefault="00072E96" w:rsidP="003924F0">
            <w:pPr>
              <w:pStyle w:val="Tableheadertext"/>
              <w:jc w:val="right"/>
            </w:pPr>
            <w:r>
              <w:t>Innovation</w:t>
            </w:r>
          </w:p>
        </w:tc>
        <w:tc>
          <w:tcPr>
            <w:tcW w:w="1149" w:type="dxa"/>
          </w:tcPr>
          <w:p w14:paraId="506D4CCB" w14:textId="77777777" w:rsidR="00072E96" w:rsidRDefault="00072E96" w:rsidP="003924F0">
            <w:pPr>
              <w:pStyle w:val="Tableheadertext"/>
              <w:jc w:val="right"/>
            </w:pPr>
            <w:r>
              <w:t xml:space="preserve">Total SMC questions </w:t>
            </w:r>
          </w:p>
        </w:tc>
      </w:tr>
      <w:tr w:rsidR="00072E96" w14:paraId="23E65187" w14:textId="77777777" w:rsidTr="00072E96">
        <w:trPr>
          <w:cnfStyle w:val="000000100000" w:firstRow="0" w:lastRow="0" w:firstColumn="0" w:lastColumn="0" w:oddVBand="0" w:evenVBand="0" w:oddHBand="1" w:evenHBand="0" w:firstRowFirstColumn="0" w:firstRowLastColumn="0" w:lastRowFirstColumn="0" w:lastRowLastColumn="0"/>
        </w:trPr>
        <w:tc>
          <w:tcPr>
            <w:tcW w:w="1149" w:type="dxa"/>
          </w:tcPr>
          <w:p w14:paraId="718A4336" w14:textId="77777777" w:rsidR="00072E96" w:rsidRPr="00C831D6" w:rsidRDefault="00072E96" w:rsidP="00072E96">
            <w:pPr>
              <w:pStyle w:val="Tablebodytext"/>
              <w:rPr>
                <w:rFonts w:eastAsia="Arial"/>
              </w:rPr>
            </w:pPr>
            <w:r w:rsidRPr="00C831D6">
              <w:rPr>
                <w:rFonts w:eastAsia="Arial"/>
              </w:rPr>
              <w:t>Number of individual questions</w:t>
            </w:r>
          </w:p>
        </w:tc>
        <w:tc>
          <w:tcPr>
            <w:tcW w:w="1149" w:type="dxa"/>
          </w:tcPr>
          <w:p w14:paraId="6041709E" w14:textId="77777777" w:rsidR="00072E96" w:rsidRPr="00C831D6" w:rsidRDefault="00072E96" w:rsidP="003924F0">
            <w:pPr>
              <w:pStyle w:val="Tablebodytext"/>
              <w:jc w:val="right"/>
              <w:rPr>
                <w:rFonts w:eastAsia="Arial"/>
              </w:rPr>
            </w:pPr>
          </w:p>
          <w:p w14:paraId="498A3CEF" w14:textId="77777777" w:rsidR="00072E96" w:rsidRPr="00C831D6" w:rsidRDefault="00072E96" w:rsidP="003924F0">
            <w:pPr>
              <w:pStyle w:val="Tablebodytext"/>
              <w:jc w:val="right"/>
              <w:rPr>
                <w:rFonts w:eastAsia="Arial"/>
              </w:rPr>
            </w:pPr>
            <w:r w:rsidRPr="00C831D6">
              <w:rPr>
                <w:rFonts w:eastAsia="Arial"/>
              </w:rPr>
              <w:t>6</w:t>
            </w:r>
          </w:p>
        </w:tc>
        <w:tc>
          <w:tcPr>
            <w:tcW w:w="1149" w:type="dxa"/>
          </w:tcPr>
          <w:p w14:paraId="57506701" w14:textId="77777777" w:rsidR="00072E96" w:rsidRPr="00C831D6" w:rsidRDefault="00072E96" w:rsidP="003924F0">
            <w:pPr>
              <w:pStyle w:val="Tablebodytext"/>
              <w:jc w:val="right"/>
              <w:rPr>
                <w:rFonts w:eastAsia="Arial"/>
              </w:rPr>
            </w:pPr>
          </w:p>
          <w:p w14:paraId="428C6475" w14:textId="77777777" w:rsidR="00072E96" w:rsidRPr="00C831D6" w:rsidRDefault="00072E96" w:rsidP="003924F0">
            <w:pPr>
              <w:pStyle w:val="Tablebodytext"/>
              <w:jc w:val="right"/>
              <w:rPr>
                <w:rFonts w:eastAsia="Arial"/>
              </w:rPr>
            </w:pPr>
            <w:r w:rsidRPr="00C831D6">
              <w:rPr>
                <w:rFonts w:eastAsia="Arial"/>
              </w:rPr>
              <w:t>7</w:t>
            </w:r>
          </w:p>
        </w:tc>
        <w:tc>
          <w:tcPr>
            <w:tcW w:w="1149" w:type="dxa"/>
          </w:tcPr>
          <w:p w14:paraId="1EF6C734" w14:textId="77777777" w:rsidR="00072E96" w:rsidRPr="00C831D6" w:rsidRDefault="00072E96" w:rsidP="003924F0">
            <w:pPr>
              <w:pStyle w:val="Tablebodytext"/>
              <w:jc w:val="right"/>
              <w:rPr>
                <w:rFonts w:eastAsia="Arial"/>
              </w:rPr>
            </w:pPr>
          </w:p>
          <w:p w14:paraId="7C44E28A" w14:textId="77777777" w:rsidR="00072E96" w:rsidRPr="00C831D6" w:rsidRDefault="00072E96" w:rsidP="003924F0">
            <w:pPr>
              <w:pStyle w:val="Tablebodytext"/>
              <w:jc w:val="right"/>
              <w:rPr>
                <w:rFonts w:eastAsia="Arial"/>
              </w:rPr>
            </w:pPr>
            <w:r w:rsidRPr="00C831D6">
              <w:rPr>
                <w:rFonts w:eastAsia="Arial"/>
              </w:rPr>
              <w:t>14</w:t>
            </w:r>
          </w:p>
        </w:tc>
        <w:tc>
          <w:tcPr>
            <w:tcW w:w="1149" w:type="dxa"/>
          </w:tcPr>
          <w:p w14:paraId="79B3C15D" w14:textId="77777777" w:rsidR="00072E96" w:rsidRPr="00C831D6" w:rsidRDefault="00072E96" w:rsidP="003924F0">
            <w:pPr>
              <w:pStyle w:val="Tablebodytext"/>
              <w:jc w:val="right"/>
              <w:rPr>
                <w:rFonts w:eastAsia="Arial"/>
              </w:rPr>
            </w:pPr>
          </w:p>
          <w:p w14:paraId="000E0918" w14:textId="77777777" w:rsidR="00072E96" w:rsidRPr="00C831D6" w:rsidRDefault="00072E96" w:rsidP="003924F0">
            <w:pPr>
              <w:pStyle w:val="Tablebodytext"/>
              <w:jc w:val="right"/>
              <w:rPr>
                <w:rFonts w:eastAsia="Arial"/>
              </w:rPr>
            </w:pPr>
            <w:r w:rsidRPr="00C831D6">
              <w:rPr>
                <w:rFonts w:eastAsia="Arial"/>
              </w:rPr>
              <w:t>6</w:t>
            </w:r>
          </w:p>
        </w:tc>
        <w:tc>
          <w:tcPr>
            <w:tcW w:w="1149" w:type="dxa"/>
          </w:tcPr>
          <w:p w14:paraId="357F9E62" w14:textId="77777777" w:rsidR="00072E96" w:rsidRPr="00C831D6" w:rsidRDefault="00072E96" w:rsidP="003924F0">
            <w:pPr>
              <w:pStyle w:val="Tablebodytext"/>
              <w:jc w:val="right"/>
              <w:rPr>
                <w:rFonts w:eastAsia="Arial"/>
              </w:rPr>
            </w:pPr>
          </w:p>
          <w:p w14:paraId="7BEBE613" w14:textId="77777777" w:rsidR="00072E96" w:rsidRPr="00C831D6" w:rsidRDefault="00072E96" w:rsidP="003924F0">
            <w:pPr>
              <w:pStyle w:val="Tablebodytext"/>
              <w:jc w:val="right"/>
              <w:rPr>
                <w:rFonts w:eastAsia="Arial"/>
              </w:rPr>
            </w:pPr>
            <w:r w:rsidRPr="00C831D6">
              <w:rPr>
                <w:rFonts w:eastAsia="Arial"/>
              </w:rPr>
              <w:t>33</w:t>
            </w:r>
          </w:p>
        </w:tc>
      </w:tr>
    </w:tbl>
    <w:p w14:paraId="0C01C2E9" w14:textId="2C034F64" w:rsidR="00072E96" w:rsidRDefault="00072E96" w:rsidP="00072E96">
      <w:pPr>
        <w:pStyle w:val="Source"/>
        <w:rPr>
          <w:lang w:eastAsia="en-AU"/>
        </w:rPr>
      </w:pPr>
    </w:p>
    <w:p w14:paraId="3EB46316" w14:textId="77777777" w:rsidR="00072E96" w:rsidRPr="00072E96" w:rsidRDefault="00072E96" w:rsidP="00072E96">
      <w:pPr>
        <w:pStyle w:val="BodyText"/>
        <w:rPr>
          <w:lang w:val="en" w:eastAsia="en-AU"/>
        </w:rPr>
      </w:pPr>
    </w:p>
    <w:p w14:paraId="0E46BFAD" w14:textId="6BC5A080" w:rsidR="00302574" w:rsidRDefault="00302574" w:rsidP="00BF1BEF">
      <w:pPr>
        <w:pStyle w:val="Heading2"/>
        <w:ind w:left="0" w:firstLine="0"/>
      </w:pPr>
      <w:r>
        <w:lastRenderedPageBreak/>
        <w:t xml:space="preserve">Calculating overall management capability (OMC) score </w:t>
      </w:r>
    </w:p>
    <w:p w14:paraId="287E8DB9" w14:textId="0DA3DEE9" w:rsidR="000D37B0" w:rsidRPr="005E32B7" w:rsidRDefault="005E32B7" w:rsidP="00E85E3F">
      <w:pPr>
        <w:pStyle w:val="BodyText"/>
      </w:pPr>
      <w:r>
        <w:t xml:space="preserve">The OMC scores are calculated using scores from different dimensions of management capability: strategic, digital, environment, and supply-chain. </w:t>
      </w:r>
      <w:r w:rsidR="00E85E3F">
        <w:t>Different approaches to calculating the ‘Overall Management Capability’ score across all dimensions of the management practices are suggested, with each having small variations in the calculation and interpretation of the overall MC score.</w:t>
      </w:r>
      <w:r w:rsidR="0088284F">
        <w:t xml:space="preserve"> </w:t>
      </w:r>
      <w:r w:rsidR="00E85E3F">
        <w:t xml:space="preserve">The broad approaches involve either constructing an overall management </w:t>
      </w:r>
      <w:r w:rsidR="0088284F">
        <w:t>capability</w:t>
      </w:r>
      <w:r w:rsidR="00E85E3F">
        <w:t xml:space="preserve"> score using</w:t>
      </w:r>
      <w:r w:rsidR="005B3858">
        <w:t xml:space="preserve"> values of </w:t>
      </w:r>
      <w:r w:rsidR="00E85E3F">
        <w:t>sub-score</w:t>
      </w:r>
      <w:r w:rsidR="005B3858">
        <w:t xml:space="preserve">s </w:t>
      </w:r>
      <w:r w:rsidR="00E85E3F">
        <w:t xml:space="preserve">(i.e. values of DMC, </w:t>
      </w:r>
      <w:r w:rsidR="00E85E3F" w:rsidRPr="0088284F">
        <w:rPr>
          <w:rFonts w:eastAsia="Arial" w:cs="Arial"/>
        </w:rPr>
        <w:t>EMC, SCMC and SMC) or using scores at the question level.</w:t>
      </w:r>
      <w:r w:rsidR="0088284F">
        <w:rPr>
          <w:rFonts w:eastAsia="Arial" w:cs="Arial"/>
        </w:rPr>
        <w:t xml:space="preserve"> The OMC scores developed here are </w:t>
      </w:r>
      <w:r w:rsidR="0088284F">
        <w:rPr>
          <w:rFonts w:ascii="Arial" w:eastAsia="Arial" w:hAnsi="Arial" w:cs="Arial"/>
        </w:rPr>
        <w:t xml:space="preserve">based on an unweighted average of each </w:t>
      </w:r>
      <w:r w:rsidR="005B3858">
        <w:rPr>
          <w:rFonts w:ascii="Arial" w:eastAsia="Arial" w:hAnsi="Arial" w:cs="Arial"/>
        </w:rPr>
        <w:t>the</w:t>
      </w:r>
      <w:r w:rsidR="0088284F">
        <w:rPr>
          <w:rFonts w:ascii="Arial" w:eastAsia="Arial" w:hAnsi="Arial" w:cs="Arial"/>
        </w:rPr>
        <w:t xml:space="preserve"> individual question included</w:t>
      </w:r>
      <w:r w:rsidR="00E85E3F" w:rsidRPr="0088284F">
        <w:rPr>
          <w:rFonts w:eastAsia="Arial" w:cs="Arial"/>
        </w:rPr>
        <w:t xml:space="preserve"> </w:t>
      </w:r>
      <w:r w:rsidR="005B3858">
        <w:rPr>
          <w:rFonts w:eastAsia="Arial" w:cs="Arial"/>
        </w:rPr>
        <w:t xml:space="preserve">avoiding double counting. </w:t>
      </w:r>
      <w:r>
        <w:rPr>
          <w:rFonts w:eastAsia="Arial" w:cs="Arial"/>
        </w:rPr>
        <w:t xml:space="preserve">The </w:t>
      </w:r>
      <w:r w:rsidRPr="0088284F">
        <w:rPr>
          <w:rFonts w:eastAsia="Arial" w:cs="Arial"/>
        </w:rPr>
        <w:t xml:space="preserve">Overall Management Capabilities score (OMC) is based on 72 questions and </w:t>
      </w:r>
      <w:r w:rsidR="0088284F" w:rsidRPr="0088284F">
        <w:rPr>
          <w:rFonts w:eastAsia="Arial" w:cs="Arial"/>
        </w:rPr>
        <w:t xml:space="preserve">Overall Management Capabilities score </w:t>
      </w:r>
      <w:r w:rsidR="0088284F">
        <w:rPr>
          <w:rFonts w:eastAsia="Arial" w:cs="Arial"/>
        </w:rPr>
        <w:t xml:space="preserve">that </w:t>
      </w:r>
      <w:r w:rsidR="0088284F" w:rsidRPr="0088284F">
        <w:rPr>
          <w:rFonts w:eastAsia="Arial" w:cs="Arial"/>
        </w:rPr>
        <w:t>excludes supply chain questions (OMCv2)</w:t>
      </w:r>
      <w:r w:rsidR="0088284F">
        <w:rPr>
          <w:rFonts w:eastAsia="Arial" w:cs="Arial"/>
        </w:rPr>
        <w:t xml:space="preserve"> is </w:t>
      </w:r>
      <w:r w:rsidR="0088284F" w:rsidRPr="0088284F">
        <w:rPr>
          <w:rFonts w:eastAsia="Arial" w:cs="Arial"/>
        </w:rPr>
        <w:t xml:space="preserve">based on 59 questions, </w:t>
      </w:r>
    </w:p>
    <w:p w14:paraId="299D65C2" w14:textId="721372E9" w:rsidR="00E85E3F" w:rsidRDefault="00E85E3F" w:rsidP="00BF1BEF">
      <w:pPr>
        <w:pStyle w:val="Heading2"/>
        <w:ind w:left="0" w:firstLine="0"/>
      </w:pPr>
      <w:r>
        <w:t>Aligning the MCM for comparison with US firms</w:t>
      </w:r>
    </w:p>
    <w:p w14:paraId="15E7577F" w14:textId="77777777" w:rsidR="00E85E3F" w:rsidRDefault="00E85E3F" w:rsidP="00E85E3F">
      <w:pPr>
        <w:pStyle w:val="BodyText"/>
      </w:pPr>
      <w:r>
        <w:t>The MCM provides an opportunity to make comparisons of management capabilities with other countries, in particular the US, from which a number of MCM questions were derived. We use the MCM to construct a management capability score, comparable to the US MOPS structured score of management. In some instances, the response parts for the MCM questions were adjusted to align with the responses to questions in US MOPS. In total, twelve individual questions in the MCM were identified as being comparable with US MOPS for the calculation of the comparable score. This total takes into consideration the split questions for managers and non-managers. Four other questions from the ‘Data Use and Decision Making’ section was also identified as being comparable to questions in the US MOPS. However, these specific questions were not used for the construction of the US MOPS structured management score and so are not included in the score construction.</w:t>
      </w:r>
      <w:r>
        <w:rPr>
          <w:vertAlign w:val="superscript"/>
        </w:rPr>
        <w:footnoteReference w:id="8"/>
      </w:r>
      <w:r>
        <w:t xml:space="preserve"> </w:t>
      </w:r>
    </w:p>
    <w:p w14:paraId="67145064" w14:textId="03E6EFEE" w:rsidR="00E85E3F" w:rsidRDefault="00E85E3F" w:rsidP="00E85E3F">
      <w:pPr>
        <w:pStyle w:val="BodyText"/>
      </w:pPr>
      <w:r>
        <w:t xml:space="preserve">In terms of assigning weights, all questions selected for the US MOPS comparison score are of scaled type and have incremental weightings. To ensure consistency, the weights used in the US MOPS were also applied to the corresponding 12 MCM questions. Treatment for invalid responses are also consistent with the treatment in the US MOPS, such that responses that are invalid are either excluded from the sample or the responses are given a score value of zero. The calculation of </w:t>
      </w:r>
      <w:r w:rsidR="00CE19C9">
        <w:t>dimension scores</w:t>
      </w:r>
      <w:r>
        <w:t xml:space="preserve"> and overall scores are also consistently applied. A summary of the selected MCM questions and the adjustments made for alignment to US MOPS are found in Appendix D.</w:t>
      </w:r>
    </w:p>
    <w:p w14:paraId="7A177C96" w14:textId="46BD4EDA" w:rsidR="00E85E3F" w:rsidRDefault="00E85E3F" w:rsidP="00E85E3F">
      <w:pPr>
        <w:pStyle w:val="BodyText"/>
      </w:pPr>
      <w:r>
        <w:t xml:space="preserve">In developing results comparable to US MOPS, the categorical groupings regarding size, industry and age were adjusted to be consistent across the two surveys. The industry codes used by the US, North American Industry Classification System (NAICS) were compared to the Australian and New Zealand Standard Industry Classification (ANZSIC) categories. Table 3.3 below presents the US MOPS NAICS manufacturing industry categories and identifies those that have an equivalent ANZSIC category. The international </w:t>
      </w:r>
      <w:r>
        <w:lastRenderedPageBreak/>
        <w:t>comparison can only be conducted for those industry categories that are able to be aligned across the two surveys.</w:t>
      </w:r>
    </w:p>
    <w:p w14:paraId="209A2C26" w14:textId="0304DD10" w:rsidR="009F1235" w:rsidRDefault="009F1235" w:rsidP="00072E96">
      <w:pPr>
        <w:pStyle w:val="Caption"/>
      </w:pPr>
      <w:r w:rsidRPr="000618FB">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3</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3</w:t>
      </w:r>
      <w:r>
        <w:rPr>
          <w:noProof/>
        </w:rPr>
        <w:fldChar w:fldCharType="end"/>
      </w:r>
      <w:r w:rsidRPr="000618FB">
        <w:t xml:space="preserve">: </w:t>
      </w:r>
      <w:r w:rsidR="00072E96">
        <w:t xml:space="preserve">US </w:t>
      </w:r>
      <w:r w:rsidR="00072E96">
        <w:rPr>
          <w:rFonts w:eastAsia="Arial" w:cs="Arial"/>
        </w:rPr>
        <w:t>Management and Organisational Practices Survey (MOPS) manufacturing industry classification comparison with ANZSIC</w:t>
      </w:r>
    </w:p>
    <w:tbl>
      <w:tblPr>
        <w:tblStyle w:val="OCETable"/>
        <w:tblW w:w="5099" w:type="pct"/>
        <w:tblInd w:w="57" w:type="dxa"/>
        <w:tblLayout w:type="fixed"/>
        <w:tblLook w:val="04A0" w:firstRow="1" w:lastRow="0" w:firstColumn="1" w:lastColumn="0" w:noHBand="0" w:noVBand="1"/>
        <w:tblCaption w:val="Table 3.3: US Management and Organisational Practices Survey (MOPS) manufacturing industry classification comparison with ANZSIC"/>
        <w:tblDescription w:val="Table 3.3 shows the comparability manufacturing classification between the US, North American Industry Classification System (NAICS) and the Australian and New Zealand Standard Industry Classification (ANZSIC). Full comparability only exists in 9 out 22 industry codes."/>
      </w:tblPr>
      <w:tblGrid>
        <w:gridCol w:w="794"/>
        <w:gridCol w:w="4961"/>
        <w:gridCol w:w="1276"/>
      </w:tblGrid>
      <w:tr w:rsidR="009F1235" w14:paraId="765B8D27"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794" w:type="dxa"/>
          </w:tcPr>
          <w:p w14:paraId="4AD0CE8F" w14:textId="7E4B74C7" w:rsidR="009F1235" w:rsidRPr="003924F0" w:rsidRDefault="009F1235" w:rsidP="003924F0">
            <w:pPr>
              <w:pStyle w:val="Tableheadertext"/>
            </w:pPr>
            <w:r w:rsidRPr="003924F0">
              <w:t>NAICScode</w:t>
            </w:r>
          </w:p>
        </w:tc>
        <w:tc>
          <w:tcPr>
            <w:tcW w:w="4961" w:type="dxa"/>
          </w:tcPr>
          <w:p w14:paraId="47912E46" w14:textId="77777777" w:rsidR="009F1235" w:rsidRPr="003924F0" w:rsidRDefault="009F1235" w:rsidP="003924F0">
            <w:pPr>
              <w:pStyle w:val="Tableheadertext"/>
            </w:pPr>
          </w:p>
        </w:tc>
        <w:tc>
          <w:tcPr>
            <w:tcW w:w="1276" w:type="dxa"/>
          </w:tcPr>
          <w:p w14:paraId="19FC126D" w14:textId="796A1FE3" w:rsidR="009F1235" w:rsidRPr="003924F0" w:rsidRDefault="009F1235" w:rsidP="00597784">
            <w:pPr>
              <w:pStyle w:val="Tableheadertext"/>
            </w:pPr>
            <w:r w:rsidRPr="003924F0">
              <w:t>ComparableWith ANSZIC</w:t>
            </w:r>
          </w:p>
        </w:tc>
      </w:tr>
      <w:tr w:rsidR="009F1235" w:rsidRPr="006904CC" w14:paraId="2FC7FA1A"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3142FBCB" w14:textId="77777777" w:rsidR="009F1235" w:rsidRPr="006B68B2" w:rsidRDefault="009F1235" w:rsidP="007B3DA1">
            <w:pPr>
              <w:pStyle w:val="Tablebodytext"/>
            </w:pPr>
            <w:r w:rsidRPr="006B68B2">
              <w:t xml:space="preserve">31-33 </w:t>
            </w:r>
          </w:p>
        </w:tc>
        <w:tc>
          <w:tcPr>
            <w:tcW w:w="4961" w:type="dxa"/>
          </w:tcPr>
          <w:p w14:paraId="71C26080" w14:textId="77777777" w:rsidR="009F1235" w:rsidRDefault="009F1235" w:rsidP="007B3DA1">
            <w:pPr>
              <w:pStyle w:val="Tablebodytext"/>
            </w:pPr>
            <w:r w:rsidRPr="0048404C">
              <w:t xml:space="preserve">Manufacturing </w:t>
            </w:r>
          </w:p>
        </w:tc>
        <w:tc>
          <w:tcPr>
            <w:tcW w:w="1276" w:type="dxa"/>
          </w:tcPr>
          <w:p w14:paraId="48FD12D3" w14:textId="77777777" w:rsidR="009F1235" w:rsidRDefault="009F1235" w:rsidP="007B3DA1">
            <w:pPr>
              <w:pStyle w:val="Tablebodytext"/>
            </w:pPr>
            <w:r w:rsidRPr="006904CC">
              <w:t>Yes</w:t>
            </w:r>
          </w:p>
        </w:tc>
      </w:tr>
      <w:tr w:rsidR="009F1235" w:rsidRPr="006904CC" w14:paraId="1400D03E"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25D27BEF" w14:textId="77777777" w:rsidR="009F1235" w:rsidRPr="006B68B2" w:rsidRDefault="009F1235" w:rsidP="007B3DA1">
            <w:pPr>
              <w:pStyle w:val="Tablebodytext"/>
            </w:pPr>
            <w:r w:rsidRPr="006B68B2">
              <w:t xml:space="preserve">311 </w:t>
            </w:r>
          </w:p>
        </w:tc>
        <w:tc>
          <w:tcPr>
            <w:tcW w:w="4961" w:type="dxa"/>
          </w:tcPr>
          <w:p w14:paraId="16E9340D" w14:textId="77777777" w:rsidR="009F1235" w:rsidRDefault="009F1235" w:rsidP="007B3DA1">
            <w:pPr>
              <w:pStyle w:val="Tablebodytext"/>
            </w:pPr>
            <w:r w:rsidRPr="0048404C">
              <w:t xml:space="preserve">Food Manufacturing </w:t>
            </w:r>
          </w:p>
        </w:tc>
        <w:tc>
          <w:tcPr>
            <w:tcW w:w="1276" w:type="dxa"/>
          </w:tcPr>
          <w:p w14:paraId="0B7EA15B" w14:textId="77777777" w:rsidR="009F1235" w:rsidRDefault="009F1235" w:rsidP="007B3DA1">
            <w:pPr>
              <w:pStyle w:val="Tablebodytext"/>
            </w:pPr>
            <w:r w:rsidRPr="006904CC">
              <w:t>No</w:t>
            </w:r>
          </w:p>
        </w:tc>
      </w:tr>
      <w:tr w:rsidR="009F1235" w:rsidRPr="006904CC" w14:paraId="341AFC2E"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7E418621" w14:textId="77777777" w:rsidR="009F1235" w:rsidRPr="006B68B2" w:rsidRDefault="009F1235" w:rsidP="007B3DA1">
            <w:pPr>
              <w:pStyle w:val="Tablebodytext"/>
            </w:pPr>
            <w:r w:rsidRPr="006B68B2">
              <w:t xml:space="preserve">312 </w:t>
            </w:r>
          </w:p>
        </w:tc>
        <w:tc>
          <w:tcPr>
            <w:tcW w:w="4961" w:type="dxa"/>
          </w:tcPr>
          <w:p w14:paraId="32C39541" w14:textId="77777777" w:rsidR="009F1235" w:rsidRDefault="009F1235" w:rsidP="007B3DA1">
            <w:pPr>
              <w:pStyle w:val="Tablebodytext"/>
            </w:pPr>
            <w:r>
              <w:t xml:space="preserve">Beverage and Tobacco Product </w:t>
            </w:r>
            <w:r w:rsidRPr="0048404C">
              <w:t xml:space="preserve">Manufacturing </w:t>
            </w:r>
          </w:p>
        </w:tc>
        <w:tc>
          <w:tcPr>
            <w:tcW w:w="1276" w:type="dxa"/>
          </w:tcPr>
          <w:p w14:paraId="14419C6F" w14:textId="77777777" w:rsidR="009F1235" w:rsidRDefault="009F1235" w:rsidP="007B3DA1">
            <w:pPr>
              <w:pStyle w:val="Tablebodytext"/>
            </w:pPr>
            <w:r w:rsidRPr="006904CC">
              <w:t>Yes</w:t>
            </w:r>
          </w:p>
        </w:tc>
      </w:tr>
      <w:tr w:rsidR="009F1235" w:rsidRPr="006904CC" w14:paraId="6F1B2962"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0A4950D9" w14:textId="77777777" w:rsidR="009F1235" w:rsidRPr="006B68B2" w:rsidRDefault="009F1235" w:rsidP="007B3DA1">
            <w:pPr>
              <w:pStyle w:val="Tablebodytext"/>
            </w:pPr>
            <w:r w:rsidRPr="006B68B2">
              <w:t xml:space="preserve">313 </w:t>
            </w:r>
          </w:p>
        </w:tc>
        <w:tc>
          <w:tcPr>
            <w:tcW w:w="4961" w:type="dxa"/>
          </w:tcPr>
          <w:p w14:paraId="39AF4A08" w14:textId="77565334" w:rsidR="009F1235" w:rsidRDefault="009F1235" w:rsidP="007B3DA1">
            <w:pPr>
              <w:pStyle w:val="Tablebodytext"/>
            </w:pPr>
            <w:r w:rsidRPr="0048404C">
              <w:t>Textile Mills*</w:t>
            </w:r>
          </w:p>
        </w:tc>
        <w:tc>
          <w:tcPr>
            <w:tcW w:w="1276" w:type="dxa"/>
          </w:tcPr>
          <w:p w14:paraId="14B7ED66" w14:textId="77777777" w:rsidR="009F1235" w:rsidRDefault="009F1235" w:rsidP="007B3DA1">
            <w:pPr>
              <w:pStyle w:val="Tablebodytext"/>
            </w:pPr>
            <w:r w:rsidRPr="006904CC">
              <w:t>No</w:t>
            </w:r>
          </w:p>
        </w:tc>
      </w:tr>
      <w:tr w:rsidR="009F1235" w:rsidRPr="006904CC" w14:paraId="3AE00331"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000F91D0" w14:textId="77777777" w:rsidR="009F1235" w:rsidRPr="006B68B2" w:rsidRDefault="009F1235" w:rsidP="007B3DA1">
            <w:pPr>
              <w:pStyle w:val="Tablebodytext"/>
            </w:pPr>
            <w:r w:rsidRPr="006B68B2">
              <w:t xml:space="preserve">314 </w:t>
            </w:r>
          </w:p>
        </w:tc>
        <w:tc>
          <w:tcPr>
            <w:tcW w:w="4961" w:type="dxa"/>
          </w:tcPr>
          <w:p w14:paraId="705979C1" w14:textId="45C2E8F4" w:rsidR="009F1235" w:rsidRDefault="009F1235" w:rsidP="007B3DA1">
            <w:pPr>
              <w:pStyle w:val="Tablebodytext"/>
            </w:pPr>
            <w:r w:rsidRPr="0048404C">
              <w:t>Textile Product Mills*</w:t>
            </w:r>
          </w:p>
        </w:tc>
        <w:tc>
          <w:tcPr>
            <w:tcW w:w="1276" w:type="dxa"/>
          </w:tcPr>
          <w:p w14:paraId="33A0CCDD" w14:textId="77777777" w:rsidR="009F1235" w:rsidRDefault="009F1235" w:rsidP="007B3DA1">
            <w:pPr>
              <w:pStyle w:val="Tablebodytext"/>
            </w:pPr>
            <w:r w:rsidRPr="006904CC">
              <w:t>No</w:t>
            </w:r>
          </w:p>
        </w:tc>
      </w:tr>
      <w:tr w:rsidR="009F1235" w:rsidRPr="006904CC" w14:paraId="135F7B6F"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3EE73E86" w14:textId="77777777" w:rsidR="009F1235" w:rsidRPr="006B68B2" w:rsidRDefault="009F1235" w:rsidP="007B3DA1">
            <w:pPr>
              <w:pStyle w:val="Tablebodytext"/>
            </w:pPr>
            <w:r w:rsidRPr="006B68B2">
              <w:t xml:space="preserve">315 </w:t>
            </w:r>
          </w:p>
        </w:tc>
        <w:tc>
          <w:tcPr>
            <w:tcW w:w="4961" w:type="dxa"/>
          </w:tcPr>
          <w:p w14:paraId="48567EB5" w14:textId="616FA43E" w:rsidR="009F1235" w:rsidRDefault="009F1235" w:rsidP="007B3DA1">
            <w:pPr>
              <w:pStyle w:val="Tablebodytext"/>
            </w:pPr>
            <w:r w:rsidRPr="0048404C">
              <w:t>Apparel Manufacturing*</w:t>
            </w:r>
          </w:p>
        </w:tc>
        <w:tc>
          <w:tcPr>
            <w:tcW w:w="1276" w:type="dxa"/>
          </w:tcPr>
          <w:p w14:paraId="3947D267" w14:textId="77777777" w:rsidR="009F1235" w:rsidRDefault="009F1235" w:rsidP="007B3DA1">
            <w:pPr>
              <w:pStyle w:val="Tablebodytext"/>
            </w:pPr>
            <w:r w:rsidRPr="006904CC">
              <w:t>Yes</w:t>
            </w:r>
          </w:p>
        </w:tc>
      </w:tr>
      <w:tr w:rsidR="009F1235" w:rsidRPr="006904CC" w14:paraId="630F8E3D"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510F05C6" w14:textId="77777777" w:rsidR="009F1235" w:rsidRPr="006B68B2" w:rsidRDefault="009F1235" w:rsidP="007B3DA1">
            <w:pPr>
              <w:pStyle w:val="Tablebodytext"/>
            </w:pPr>
            <w:r w:rsidRPr="006B68B2">
              <w:t xml:space="preserve">316 </w:t>
            </w:r>
          </w:p>
        </w:tc>
        <w:tc>
          <w:tcPr>
            <w:tcW w:w="4961" w:type="dxa"/>
          </w:tcPr>
          <w:p w14:paraId="485D5C77" w14:textId="12FCC2EE" w:rsidR="009F1235" w:rsidRDefault="009F1235" w:rsidP="007B3DA1">
            <w:pPr>
              <w:pStyle w:val="Tablebodytext"/>
            </w:pPr>
            <w:r w:rsidRPr="0048404C">
              <w:t>Leather and Allied Product Manufacturing*</w:t>
            </w:r>
          </w:p>
        </w:tc>
        <w:tc>
          <w:tcPr>
            <w:tcW w:w="1276" w:type="dxa"/>
          </w:tcPr>
          <w:p w14:paraId="40B10B69" w14:textId="77777777" w:rsidR="009F1235" w:rsidRDefault="009F1235" w:rsidP="007B3DA1">
            <w:pPr>
              <w:pStyle w:val="Tablebodytext"/>
            </w:pPr>
            <w:r w:rsidRPr="006904CC">
              <w:t>Yes</w:t>
            </w:r>
          </w:p>
        </w:tc>
      </w:tr>
      <w:tr w:rsidR="009F1235" w:rsidRPr="006904CC" w14:paraId="2DF29D60"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66D0A4DB" w14:textId="77777777" w:rsidR="009F1235" w:rsidRPr="006B68B2" w:rsidRDefault="009F1235" w:rsidP="007B3DA1">
            <w:pPr>
              <w:pStyle w:val="Tablebodytext"/>
            </w:pPr>
            <w:r w:rsidRPr="006B68B2">
              <w:t xml:space="preserve">321 </w:t>
            </w:r>
          </w:p>
        </w:tc>
        <w:tc>
          <w:tcPr>
            <w:tcW w:w="4961" w:type="dxa"/>
          </w:tcPr>
          <w:p w14:paraId="6D515892" w14:textId="77777777" w:rsidR="009F1235" w:rsidRDefault="009F1235" w:rsidP="007B3DA1">
            <w:pPr>
              <w:pStyle w:val="Tablebodytext"/>
            </w:pPr>
            <w:r w:rsidRPr="0048404C">
              <w:t xml:space="preserve">Wood Product Manufacturing </w:t>
            </w:r>
          </w:p>
        </w:tc>
        <w:tc>
          <w:tcPr>
            <w:tcW w:w="1276" w:type="dxa"/>
          </w:tcPr>
          <w:p w14:paraId="64BFD245" w14:textId="77777777" w:rsidR="009F1235" w:rsidRDefault="009F1235" w:rsidP="007B3DA1">
            <w:pPr>
              <w:pStyle w:val="Tablebodytext"/>
            </w:pPr>
            <w:r w:rsidRPr="006904CC">
              <w:t>No</w:t>
            </w:r>
          </w:p>
        </w:tc>
      </w:tr>
      <w:tr w:rsidR="009F1235" w:rsidRPr="006904CC" w14:paraId="2CC0FBD8"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4F8C2C76" w14:textId="77777777" w:rsidR="009F1235" w:rsidRPr="006B68B2" w:rsidRDefault="009F1235" w:rsidP="007B3DA1">
            <w:pPr>
              <w:pStyle w:val="Tablebodytext"/>
            </w:pPr>
            <w:r w:rsidRPr="006B68B2">
              <w:t xml:space="preserve">322 </w:t>
            </w:r>
          </w:p>
        </w:tc>
        <w:tc>
          <w:tcPr>
            <w:tcW w:w="4961" w:type="dxa"/>
          </w:tcPr>
          <w:p w14:paraId="4F929ABC" w14:textId="05CEE73A" w:rsidR="009F1235" w:rsidRDefault="009F1235" w:rsidP="007B3DA1">
            <w:pPr>
              <w:pStyle w:val="Tablebodytext"/>
            </w:pPr>
            <w:r w:rsidRPr="0048404C">
              <w:t>Paper Manufacturing*</w:t>
            </w:r>
          </w:p>
        </w:tc>
        <w:tc>
          <w:tcPr>
            <w:tcW w:w="1276" w:type="dxa"/>
          </w:tcPr>
          <w:p w14:paraId="4646FF67" w14:textId="77777777" w:rsidR="009F1235" w:rsidRDefault="009F1235" w:rsidP="007B3DA1">
            <w:pPr>
              <w:pStyle w:val="Tablebodytext"/>
            </w:pPr>
            <w:r w:rsidRPr="006904CC">
              <w:t>No</w:t>
            </w:r>
          </w:p>
        </w:tc>
      </w:tr>
      <w:tr w:rsidR="009F1235" w:rsidRPr="006904CC" w14:paraId="04D2D257"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028A56C1" w14:textId="77777777" w:rsidR="009F1235" w:rsidRPr="006B68B2" w:rsidRDefault="009F1235" w:rsidP="007B3DA1">
            <w:pPr>
              <w:pStyle w:val="Tablebodytext"/>
            </w:pPr>
            <w:r w:rsidRPr="006B68B2">
              <w:t xml:space="preserve">323 </w:t>
            </w:r>
          </w:p>
        </w:tc>
        <w:tc>
          <w:tcPr>
            <w:tcW w:w="4961" w:type="dxa"/>
          </w:tcPr>
          <w:p w14:paraId="102ECFF5" w14:textId="77777777" w:rsidR="009F1235" w:rsidRDefault="009F1235" w:rsidP="007B3DA1">
            <w:pPr>
              <w:pStyle w:val="Tablebodytext"/>
            </w:pPr>
            <w:r w:rsidRPr="0048404C">
              <w:t xml:space="preserve">Printing and Related Support Activities </w:t>
            </w:r>
          </w:p>
        </w:tc>
        <w:tc>
          <w:tcPr>
            <w:tcW w:w="1276" w:type="dxa"/>
          </w:tcPr>
          <w:p w14:paraId="6EEC9310" w14:textId="77777777" w:rsidR="009F1235" w:rsidRDefault="009F1235" w:rsidP="007B3DA1">
            <w:pPr>
              <w:pStyle w:val="Tablebodytext"/>
            </w:pPr>
            <w:r w:rsidRPr="006904CC">
              <w:t>No</w:t>
            </w:r>
          </w:p>
        </w:tc>
      </w:tr>
      <w:tr w:rsidR="009F1235" w:rsidRPr="006904CC" w14:paraId="409EA691"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26DBFB18" w14:textId="77777777" w:rsidR="009F1235" w:rsidRPr="006B68B2" w:rsidRDefault="009F1235" w:rsidP="007B3DA1">
            <w:pPr>
              <w:pStyle w:val="Tablebodytext"/>
            </w:pPr>
            <w:r w:rsidRPr="006B68B2">
              <w:t xml:space="preserve">324 </w:t>
            </w:r>
          </w:p>
        </w:tc>
        <w:tc>
          <w:tcPr>
            <w:tcW w:w="4961" w:type="dxa"/>
          </w:tcPr>
          <w:p w14:paraId="603C96FE" w14:textId="77777777" w:rsidR="009F1235" w:rsidRDefault="009F1235" w:rsidP="007B3DA1">
            <w:pPr>
              <w:pStyle w:val="Tablebodytext"/>
            </w:pPr>
            <w:r w:rsidRPr="0048404C">
              <w:t xml:space="preserve">Petroleum and Coal Products Manufacturing </w:t>
            </w:r>
          </w:p>
        </w:tc>
        <w:tc>
          <w:tcPr>
            <w:tcW w:w="1276" w:type="dxa"/>
          </w:tcPr>
          <w:p w14:paraId="0F796EDC" w14:textId="77777777" w:rsidR="009F1235" w:rsidRDefault="009F1235" w:rsidP="007B3DA1">
            <w:pPr>
              <w:pStyle w:val="Tablebodytext"/>
            </w:pPr>
            <w:r w:rsidRPr="006904CC">
              <w:t>No</w:t>
            </w:r>
          </w:p>
        </w:tc>
      </w:tr>
      <w:tr w:rsidR="009F1235" w:rsidRPr="006904CC" w14:paraId="6DE0296E"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2168EECE" w14:textId="77777777" w:rsidR="009F1235" w:rsidRPr="006B68B2" w:rsidRDefault="009F1235" w:rsidP="007B3DA1">
            <w:pPr>
              <w:pStyle w:val="Tablebodytext"/>
            </w:pPr>
            <w:r w:rsidRPr="006B68B2">
              <w:t xml:space="preserve">325 </w:t>
            </w:r>
          </w:p>
        </w:tc>
        <w:tc>
          <w:tcPr>
            <w:tcW w:w="4961" w:type="dxa"/>
          </w:tcPr>
          <w:p w14:paraId="519E1E6A" w14:textId="6D894979" w:rsidR="009F1235" w:rsidRDefault="009F1235" w:rsidP="007B3DA1">
            <w:pPr>
              <w:pStyle w:val="Tablebodytext"/>
            </w:pPr>
            <w:r w:rsidRPr="0048404C">
              <w:t>Chemical Manufacturing*</w:t>
            </w:r>
          </w:p>
        </w:tc>
        <w:tc>
          <w:tcPr>
            <w:tcW w:w="1276" w:type="dxa"/>
          </w:tcPr>
          <w:p w14:paraId="3A01B095" w14:textId="77777777" w:rsidR="009F1235" w:rsidRDefault="009F1235" w:rsidP="007B3DA1">
            <w:pPr>
              <w:pStyle w:val="Tablebodytext"/>
            </w:pPr>
            <w:r w:rsidRPr="006904CC">
              <w:t>No</w:t>
            </w:r>
          </w:p>
        </w:tc>
      </w:tr>
      <w:tr w:rsidR="009F1235" w:rsidRPr="006904CC" w14:paraId="5FC2AF83"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4BA250FA" w14:textId="77777777" w:rsidR="009F1235" w:rsidRPr="006B68B2" w:rsidRDefault="009F1235" w:rsidP="007B3DA1">
            <w:pPr>
              <w:pStyle w:val="Tablebodytext"/>
            </w:pPr>
            <w:r w:rsidRPr="006B68B2">
              <w:t xml:space="preserve">326 </w:t>
            </w:r>
          </w:p>
        </w:tc>
        <w:tc>
          <w:tcPr>
            <w:tcW w:w="4961" w:type="dxa"/>
          </w:tcPr>
          <w:p w14:paraId="2D0975F1" w14:textId="46D4AA02" w:rsidR="009F1235" w:rsidRDefault="009F1235" w:rsidP="007B3DA1">
            <w:pPr>
              <w:pStyle w:val="Tablebodytext"/>
            </w:pPr>
            <w:r w:rsidRPr="0048404C">
              <w:t>Plastics and Rubber Products Manufacturing*</w:t>
            </w:r>
          </w:p>
        </w:tc>
        <w:tc>
          <w:tcPr>
            <w:tcW w:w="1276" w:type="dxa"/>
          </w:tcPr>
          <w:p w14:paraId="5EFE6056" w14:textId="77777777" w:rsidR="009F1235" w:rsidRDefault="009F1235" w:rsidP="007B3DA1">
            <w:pPr>
              <w:pStyle w:val="Tablebodytext"/>
            </w:pPr>
            <w:r w:rsidRPr="006904CC">
              <w:t>Yes</w:t>
            </w:r>
          </w:p>
        </w:tc>
      </w:tr>
      <w:tr w:rsidR="009F1235" w:rsidRPr="006904CC" w14:paraId="1F18F49E"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4AD4207C" w14:textId="77777777" w:rsidR="009F1235" w:rsidRPr="006B68B2" w:rsidRDefault="009F1235" w:rsidP="007B3DA1">
            <w:pPr>
              <w:pStyle w:val="Tablebodytext"/>
            </w:pPr>
            <w:r w:rsidRPr="006B68B2">
              <w:t xml:space="preserve">327 </w:t>
            </w:r>
          </w:p>
        </w:tc>
        <w:tc>
          <w:tcPr>
            <w:tcW w:w="4961" w:type="dxa"/>
          </w:tcPr>
          <w:p w14:paraId="46EF2477" w14:textId="77777777" w:rsidR="009F1235" w:rsidRDefault="009F1235" w:rsidP="007B3DA1">
            <w:pPr>
              <w:pStyle w:val="Tablebodytext"/>
            </w:pPr>
            <w:r w:rsidRPr="0048404C">
              <w:t>Non</w:t>
            </w:r>
            <w:r>
              <w:t>-</w:t>
            </w:r>
            <w:r w:rsidRPr="0048404C">
              <w:t xml:space="preserve">metallic Mineral Product Manufacturing </w:t>
            </w:r>
          </w:p>
        </w:tc>
        <w:tc>
          <w:tcPr>
            <w:tcW w:w="1276" w:type="dxa"/>
          </w:tcPr>
          <w:p w14:paraId="5F56C6E4" w14:textId="77777777" w:rsidR="009F1235" w:rsidRDefault="009F1235" w:rsidP="007B3DA1">
            <w:pPr>
              <w:pStyle w:val="Tablebodytext"/>
            </w:pPr>
            <w:r w:rsidRPr="006904CC">
              <w:t>No</w:t>
            </w:r>
          </w:p>
        </w:tc>
      </w:tr>
      <w:tr w:rsidR="009F1235" w:rsidRPr="006904CC" w14:paraId="6C8B18E5"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1B6D186F" w14:textId="77777777" w:rsidR="009F1235" w:rsidRPr="006B68B2" w:rsidRDefault="009F1235" w:rsidP="007B3DA1">
            <w:pPr>
              <w:pStyle w:val="Tablebodytext"/>
            </w:pPr>
            <w:r w:rsidRPr="006B68B2">
              <w:t xml:space="preserve">331 </w:t>
            </w:r>
          </w:p>
        </w:tc>
        <w:tc>
          <w:tcPr>
            <w:tcW w:w="4961" w:type="dxa"/>
          </w:tcPr>
          <w:p w14:paraId="434F154B" w14:textId="77777777" w:rsidR="009F1235" w:rsidRDefault="009F1235" w:rsidP="007B3DA1">
            <w:pPr>
              <w:pStyle w:val="Tablebodytext"/>
            </w:pPr>
            <w:r w:rsidRPr="0048404C">
              <w:t xml:space="preserve">Primary Metal Manufacturing </w:t>
            </w:r>
          </w:p>
        </w:tc>
        <w:tc>
          <w:tcPr>
            <w:tcW w:w="1276" w:type="dxa"/>
          </w:tcPr>
          <w:p w14:paraId="4BF0B636" w14:textId="77777777" w:rsidR="009F1235" w:rsidRDefault="009F1235" w:rsidP="007B3DA1">
            <w:pPr>
              <w:pStyle w:val="Tablebodytext"/>
            </w:pPr>
            <w:r w:rsidRPr="006904CC">
              <w:t>No</w:t>
            </w:r>
          </w:p>
        </w:tc>
      </w:tr>
      <w:tr w:rsidR="009F1235" w:rsidRPr="006904CC" w14:paraId="155E00B7"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2F46FCE2" w14:textId="77777777" w:rsidR="009F1235" w:rsidRPr="006B68B2" w:rsidRDefault="009F1235" w:rsidP="007B3DA1">
            <w:pPr>
              <w:pStyle w:val="Tablebodytext"/>
            </w:pPr>
            <w:r w:rsidRPr="006B68B2">
              <w:t xml:space="preserve">332 </w:t>
            </w:r>
          </w:p>
        </w:tc>
        <w:tc>
          <w:tcPr>
            <w:tcW w:w="4961" w:type="dxa"/>
          </w:tcPr>
          <w:p w14:paraId="51602EF6" w14:textId="77777777" w:rsidR="009F1235" w:rsidRDefault="009F1235" w:rsidP="007B3DA1">
            <w:pPr>
              <w:pStyle w:val="Tablebodytext"/>
            </w:pPr>
            <w:r w:rsidRPr="0048404C">
              <w:t xml:space="preserve">Fabricated Metal Product Manufacturing </w:t>
            </w:r>
          </w:p>
        </w:tc>
        <w:tc>
          <w:tcPr>
            <w:tcW w:w="1276" w:type="dxa"/>
          </w:tcPr>
          <w:p w14:paraId="71F66A6E" w14:textId="77777777" w:rsidR="009F1235" w:rsidRDefault="009F1235" w:rsidP="007B3DA1">
            <w:pPr>
              <w:pStyle w:val="Tablebodytext"/>
            </w:pPr>
            <w:r w:rsidRPr="006904CC">
              <w:t>Yes</w:t>
            </w:r>
          </w:p>
        </w:tc>
      </w:tr>
      <w:tr w:rsidR="009F1235" w:rsidRPr="006904CC" w14:paraId="123C9FBD"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524E1E9B" w14:textId="77777777" w:rsidR="009F1235" w:rsidRPr="006B68B2" w:rsidRDefault="009F1235" w:rsidP="007B3DA1">
            <w:pPr>
              <w:pStyle w:val="Tablebodytext"/>
            </w:pPr>
            <w:r w:rsidRPr="006B68B2">
              <w:t xml:space="preserve">333 </w:t>
            </w:r>
          </w:p>
        </w:tc>
        <w:tc>
          <w:tcPr>
            <w:tcW w:w="4961" w:type="dxa"/>
          </w:tcPr>
          <w:p w14:paraId="19F90E02" w14:textId="77777777" w:rsidR="009F1235" w:rsidRDefault="009F1235" w:rsidP="007B3DA1">
            <w:pPr>
              <w:pStyle w:val="Tablebodytext"/>
            </w:pPr>
            <w:r w:rsidRPr="0048404C">
              <w:t xml:space="preserve">Machinery Manufacturing </w:t>
            </w:r>
          </w:p>
        </w:tc>
        <w:tc>
          <w:tcPr>
            <w:tcW w:w="1276" w:type="dxa"/>
          </w:tcPr>
          <w:p w14:paraId="029B1336" w14:textId="77777777" w:rsidR="009F1235" w:rsidRDefault="009F1235" w:rsidP="007B3DA1">
            <w:pPr>
              <w:pStyle w:val="Tablebodytext"/>
            </w:pPr>
            <w:r w:rsidRPr="006904CC">
              <w:t>Yes</w:t>
            </w:r>
          </w:p>
        </w:tc>
      </w:tr>
      <w:tr w:rsidR="009F1235" w:rsidRPr="006904CC" w14:paraId="650C3B52"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3AC8D414" w14:textId="77777777" w:rsidR="009F1235" w:rsidRPr="006B68B2" w:rsidRDefault="009F1235" w:rsidP="007B3DA1">
            <w:pPr>
              <w:pStyle w:val="Tablebodytext"/>
            </w:pPr>
            <w:r w:rsidRPr="006B68B2">
              <w:t xml:space="preserve">334 </w:t>
            </w:r>
          </w:p>
        </w:tc>
        <w:tc>
          <w:tcPr>
            <w:tcW w:w="4961" w:type="dxa"/>
          </w:tcPr>
          <w:p w14:paraId="457CD982" w14:textId="77777777" w:rsidR="009F1235" w:rsidRDefault="009F1235" w:rsidP="007B3DA1">
            <w:pPr>
              <w:pStyle w:val="Tablebodytext"/>
            </w:pPr>
            <w:r w:rsidRPr="0048404C">
              <w:t xml:space="preserve">Computer and Electronic Product Manufacturing </w:t>
            </w:r>
          </w:p>
        </w:tc>
        <w:tc>
          <w:tcPr>
            <w:tcW w:w="1276" w:type="dxa"/>
          </w:tcPr>
          <w:p w14:paraId="61B12CB0" w14:textId="77777777" w:rsidR="009F1235" w:rsidRDefault="009F1235" w:rsidP="007B3DA1">
            <w:pPr>
              <w:pStyle w:val="Tablebodytext"/>
            </w:pPr>
            <w:r w:rsidRPr="006904CC">
              <w:t>No</w:t>
            </w:r>
          </w:p>
        </w:tc>
      </w:tr>
      <w:tr w:rsidR="009F1235" w:rsidRPr="006904CC" w14:paraId="37CD8878"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214C9B66" w14:textId="77777777" w:rsidR="009F1235" w:rsidRPr="006B68B2" w:rsidRDefault="009F1235" w:rsidP="007B3DA1">
            <w:pPr>
              <w:pStyle w:val="Tablebodytext"/>
            </w:pPr>
            <w:r w:rsidRPr="006B68B2">
              <w:t xml:space="preserve">335 </w:t>
            </w:r>
          </w:p>
        </w:tc>
        <w:tc>
          <w:tcPr>
            <w:tcW w:w="4961" w:type="dxa"/>
          </w:tcPr>
          <w:p w14:paraId="12F24D08" w14:textId="678ADCBA" w:rsidR="009F1235" w:rsidRDefault="009F1235" w:rsidP="007B3DA1">
            <w:pPr>
              <w:pStyle w:val="Tablebodytext"/>
            </w:pPr>
            <w:r w:rsidRPr="0048404C">
              <w:t>Electrical Equipment, Appliance, and Component Manufacturing*</w:t>
            </w:r>
          </w:p>
        </w:tc>
        <w:tc>
          <w:tcPr>
            <w:tcW w:w="1276" w:type="dxa"/>
          </w:tcPr>
          <w:p w14:paraId="7481EF7D" w14:textId="77777777" w:rsidR="009F1235" w:rsidRDefault="009F1235" w:rsidP="007B3DA1">
            <w:pPr>
              <w:pStyle w:val="Tablebodytext"/>
            </w:pPr>
            <w:r w:rsidRPr="006904CC">
              <w:t>Yes</w:t>
            </w:r>
          </w:p>
        </w:tc>
      </w:tr>
      <w:tr w:rsidR="009F1235" w:rsidRPr="006904CC" w14:paraId="216E3BD2"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62F93963" w14:textId="77777777" w:rsidR="009F1235" w:rsidRPr="006B68B2" w:rsidRDefault="009F1235" w:rsidP="007B3DA1">
            <w:pPr>
              <w:pStyle w:val="Tablebodytext"/>
            </w:pPr>
            <w:r w:rsidRPr="006B68B2">
              <w:t xml:space="preserve">336 </w:t>
            </w:r>
          </w:p>
        </w:tc>
        <w:tc>
          <w:tcPr>
            <w:tcW w:w="4961" w:type="dxa"/>
          </w:tcPr>
          <w:p w14:paraId="0E1B63FC" w14:textId="77777777" w:rsidR="009F1235" w:rsidRDefault="009F1235" w:rsidP="007B3DA1">
            <w:pPr>
              <w:pStyle w:val="Tablebodytext"/>
            </w:pPr>
            <w:r w:rsidRPr="0048404C">
              <w:t xml:space="preserve">Transportation Equipment Manufacturing </w:t>
            </w:r>
          </w:p>
        </w:tc>
        <w:tc>
          <w:tcPr>
            <w:tcW w:w="1276" w:type="dxa"/>
          </w:tcPr>
          <w:p w14:paraId="4BD765EE" w14:textId="77777777" w:rsidR="009F1235" w:rsidRDefault="009F1235" w:rsidP="007B3DA1">
            <w:pPr>
              <w:pStyle w:val="Tablebodytext"/>
            </w:pPr>
            <w:r w:rsidRPr="006904CC">
              <w:t>No</w:t>
            </w:r>
          </w:p>
        </w:tc>
      </w:tr>
      <w:tr w:rsidR="009F1235" w:rsidRPr="006904CC" w14:paraId="0B88FEAB" w14:textId="77777777" w:rsidTr="00072E96">
        <w:trPr>
          <w:cnfStyle w:val="000000100000" w:firstRow="0" w:lastRow="0" w:firstColumn="0" w:lastColumn="0" w:oddVBand="0" w:evenVBand="0" w:oddHBand="1" w:evenHBand="0" w:firstRowFirstColumn="0" w:firstRowLastColumn="0" w:lastRowFirstColumn="0" w:lastRowLastColumn="0"/>
          <w:trHeight w:val="227"/>
        </w:trPr>
        <w:tc>
          <w:tcPr>
            <w:tcW w:w="794" w:type="dxa"/>
          </w:tcPr>
          <w:p w14:paraId="1CF9B165" w14:textId="77777777" w:rsidR="009F1235" w:rsidRPr="006B68B2" w:rsidRDefault="009F1235" w:rsidP="007B3DA1">
            <w:pPr>
              <w:pStyle w:val="Tablebodytext"/>
            </w:pPr>
            <w:r w:rsidRPr="006B68B2">
              <w:t xml:space="preserve">337 </w:t>
            </w:r>
          </w:p>
        </w:tc>
        <w:tc>
          <w:tcPr>
            <w:tcW w:w="4961" w:type="dxa"/>
          </w:tcPr>
          <w:p w14:paraId="32173BD2" w14:textId="77777777" w:rsidR="009F1235" w:rsidRDefault="009F1235" w:rsidP="007B3DA1">
            <w:pPr>
              <w:pStyle w:val="Tablebodytext"/>
            </w:pPr>
            <w:r w:rsidRPr="0048404C">
              <w:t xml:space="preserve">Furniture and Related Product Manufacturing </w:t>
            </w:r>
          </w:p>
        </w:tc>
        <w:tc>
          <w:tcPr>
            <w:tcW w:w="1276" w:type="dxa"/>
          </w:tcPr>
          <w:p w14:paraId="405EAFBF" w14:textId="77777777" w:rsidR="009F1235" w:rsidRDefault="009F1235" w:rsidP="007B3DA1">
            <w:pPr>
              <w:pStyle w:val="Tablebodytext"/>
            </w:pPr>
            <w:r w:rsidRPr="006904CC">
              <w:t>No</w:t>
            </w:r>
          </w:p>
        </w:tc>
      </w:tr>
      <w:tr w:rsidR="009F1235" w:rsidRPr="006904CC" w14:paraId="13AA5A44" w14:textId="77777777" w:rsidTr="00072E96">
        <w:trPr>
          <w:cnfStyle w:val="000000010000" w:firstRow="0" w:lastRow="0" w:firstColumn="0" w:lastColumn="0" w:oddVBand="0" w:evenVBand="0" w:oddHBand="0" w:evenHBand="1" w:firstRowFirstColumn="0" w:firstRowLastColumn="0" w:lastRowFirstColumn="0" w:lastRowLastColumn="0"/>
          <w:trHeight w:val="227"/>
        </w:trPr>
        <w:tc>
          <w:tcPr>
            <w:tcW w:w="794" w:type="dxa"/>
          </w:tcPr>
          <w:p w14:paraId="219E9627" w14:textId="77777777" w:rsidR="009F1235" w:rsidRPr="006B68B2" w:rsidRDefault="009F1235" w:rsidP="007B3DA1">
            <w:pPr>
              <w:pStyle w:val="Tablebodytext"/>
            </w:pPr>
            <w:r w:rsidRPr="006B68B2">
              <w:t>339</w:t>
            </w:r>
          </w:p>
        </w:tc>
        <w:tc>
          <w:tcPr>
            <w:tcW w:w="4961" w:type="dxa"/>
          </w:tcPr>
          <w:p w14:paraId="5BF31A34" w14:textId="5542A8C8" w:rsidR="009F1235" w:rsidRDefault="009F1235" w:rsidP="007B3DA1">
            <w:pPr>
              <w:pStyle w:val="Tablebodytext"/>
            </w:pPr>
            <w:r w:rsidRPr="0048404C">
              <w:t>Miscellaneous Manufacturing*</w:t>
            </w:r>
          </w:p>
        </w:tc>
        <w:tc>
          <w:tcPr>
            <w:tcW w:w="1276" w:type="dxa"/>
          </w:tcPr>
          <w:p w14:paraId="18411409" w14:textId="77777777" w:rsidR="009F1235" w:rsidRDefault="009F1235" w:rsidP="007B3DA1">
            <w:pPr>
              <w:pStyle w:val="Tablebodytext"/>
            </w:pPr>
            <w:r>
              <w:t>Yes</w:t>
            </w:r>
          </w:p>
        </w:tc>
      </w:tr>
    </w:tbl>
    <w:p w14:paraId="2B11550D" w14:textId="0D453EC8" w:rsidR="009F1235" w:rsidRDefault="009F1235" w:rsidP="00072E96">
      <w:pPr>
        <w:pStyle w:val="Note"/>
        <w:rPr>
          <w:lang w:eastAsia="en-AU"/>
        </w:rPr>
      </w:pPr>
      <w:r>
        <w:rPr>
          <w:lang w:eastAsia="en-AU"/>
        </w:rPr>
        <w:t xml:space="preserve">Notes: </w:t>
      </w:r>
      <w:r>
        <w:rPr>
          <w:rFonts w:eastAsia="Arial"/>
        </w:rPr>
        <w:t xml:space="preserve">* </w:t>
      </w:r>
      <w:r w:rsidRPr="0048404C">
        <w:rPr>
          <w:rFonts w:eastAsia="Arial"/>
        </w:rPr>
        <w:t>Denotes those</w:t>
      </w:r>
      <w:r>
        <w:rPr>
          <w:rFonts w:eastAsia="Arial"/>
        </w:rPr>
        <w:t xml:space="preserve"> categories</w:t>
      </w:r>
      <w:r w:rsidRPr="0048404C">
        <w:rPr>
          <w:rFonts w:eastAsia="Arial"/>
        </w:rPr>
        <w:t xml:space="preserve"> with no equivalent ANZ</w:t>
      </w:r>
      <w:r>
        <w:rPr>
          <w:rFonts w:eastAsia="Arial"/>
        </w:rPr>
        <w:t>S</w:t>
      </w:r>
      <w:r w:rsidRPr="0048404C">
        <w:rPr>
          <w:rFonts w:eastAsia="Arial"/>
        </w:rPr>
        <w:t>IC</w:t>
      </w:r>
      <w:r>
        <w:rPr>
          <w:rFonts w:eastAsia="Arial"/>
        </w:rPr>
        <w:t xml:space="preserve"> codes</w:t>
      </w:r>
      <w:r w:rsidRPr="0048404C">
        <w:rPr>
          <w:rFonts w:eastAsia="Arial"/>
        </w:rPr>
        <w:t xml:space="preserve"> </w:t>
      </w:r>
      <w:r>
        <w:rPr>
          <w:rFonts w:eastAsia="Arial"/>
        </w:rPr>
        <w:t>for</w:t>
      </w:r>
      <w:r w:rsidRPr="0048404C">
        <w:rPr>
          <w:rFonts w:eastAsia="Arial"/>
        </w:rPr>
        <w:t xml:space="preserve"> </w:t>
      </w:r>
      <w:r w:rsidR="00CE19C9">
        <w:rPr>
          <w:rFonts w:eastAsia="Arial"/>
        </w:rPr>
        <w:t xml:space="preserve">sub-divisions of </w:t>
      </w:r>
      <w:r w:rsidRPr="0048404C">
        <w:rPr>
          <w:rFonts w:eastAsia="Arial"/>
        </w:rPr>
        <w:t xml:space="preserve">manufacturing </w:t>
      </w:r>
      <w:r w:rsidR="00CE19C9">
        <w:rPr>
          <w:rFonts w:eastAsia="Arial"/>
        </w:rPr>
        <w:t>industry.</w:t>
      </w:r>
    </w:p>
    <w:p w14:paraId="52F8A8B1" w14:textId="079287C3" w:rsidR="009F1235" w:rsidRDefault="009F1235" w:rsidP="00072E96">
      <w:pPr>
        <w:pStyle w:val="Source"/>
        <w:rPr>
          <w:lang w:eastAsia="en-AU"/>
        </w:rPr>
      </w:pPr>
      <w:r>
        <w:rPr>
          <w:lang w:eastAsia="en-AU"/>
        </w:rPr>
        <w:t xml:space="preserve">Source: </w:t>
      </w:r>
      <w:r>
        <w:rPr>
          <w:rFonts w:eastAsia="Arial"/>
        </w:rPr>
        <w:t>US Census Bureau, Massachusetts Institute of Technology, National Bureau of Economic Research and Stanford University (2015) Management and Organizational Practices Survey.</w:t>
      </w:r>
    </w:p>
    <w:p w14:paraId="13968775" w14:textId="38390313" w:rsidR="009F1235" w:rsidRDefault="009F1235" w:rsidP="009F1235">
      <w:pPr>
        <w:ind w:left="0"/>
        <w:rPr>
          <w:rFonts w:eastAsia="Arial" w:cs="Arial"/>
          <w:vertAlign w:val="superscript"/>
        </w:rPr>
      </w:pPr>
      <w:r>
        <w:rPr>
          <w:rFonts w:eastAsia="Arial" w:cs="Arial"/>
        </w:rPr>
        <w:t xml:space="preserve">A similar issue also arises for the categories of employee size and firm age. In order to conduct an international comparison, the results from the MCM are aligned to US MOPS categories. The comparison between the US and Australian scores are presented in Section 5. Furthermore, the calculated US MOPS structured management score consists of the unweighted average score of 16 questions, whereas the comparable MCM only contains 12 of the 16 in the international comparison. For a more accurate comparison, the </w:t>
      </w:r>
      <w:r>
        <w:rPr>
          <w:rFonts w:eastAsia="Arial" w:cs="Arial"/>
        </w:rPr>
        <w:lastRenderedPageBreak/>
        <w:t>structured management score was constructed using 12 US MOPS questions comparable to MCM.</w:t>
      </w:r>
      <w:r w:rsidR="00AE2082">
        <w:rPr>
          <w:rStyle w:val="FootnoteReference"/>
          <w:rFonts w:eastAsia="Arial" w:cs="Arial"/>
        </w:rPr>
        <w:footnoteReference w:id="9"/>
      </w:r>
      <w:r>
        <w:rPr>
          <w:rFonts w:eastAsia="Arial" w:cs="Arial"/>
          <w:vertAlign w:val="superscript"/>
        </w:rPr>
        <w:t xml:space="preserve"> </w:t>
      </w:r>
    </w:p>
    <w:p w14:paraId="4C01A83E" w14:textId="1A03EAC3" w:rsidR="009F1235" w:rsidRDefault="009F1235" w:rsidP="00BF1BEF">
      <w:pPr>
        <w:pStyle w:val="Heading2"/>
        <w:ind w:left="0" w:firstLine="0"/>
      </w:pPr>
      <w:r>
        <w:t>Use of the BLADE dataset</w:t>
      </w:r>
    </w:p>
    <w:p w14:paraId="79CA79D0" w14:textId="3BDC9F1E" w:rsidR="009F1235" w:rsidRDefault="009F1235" w:rsidP="009F1235">
      <w:pPr>
        <w:ind w:left="0"/>
        <w:rPr>
          <w:rFonts w:eastAsia="Arial" w:cs="Arial"/>
        </w:rPr>
      </w:pPr>
      <w:r>
        <w:rPr>
          <w:rFonts w:eastAsia="Arial" w:cs="Arial"/>
        </w:rPr>
        <w:t>T</w:t>
      </w:r>
      <w:r w:rsidR="00B90627">
        <w:rPr>
          <w:rFonts w:eastAsia="Arial" w:cs="Arial"/>
        </w:rPr>
        <w:t>o conduct</w:t>
      </w:r>
      <w:r>
        <w:rPr>
          <w:rFonts w:eastAsia="Arial" w:cs="Arial"/>
        </w:rPr>
        <w:t xml:space="preserve"> the analysis in this report, two separate derivations of MCM data are used: The Management and Organisational Capabilities of Australian Businesses Microdata (referred to as the MOC microdata), and a dataset linking the MOC microdata with financial data collected for tax purposes referred to as the Business Longitudinal Analysis Data Environment (BLADE). For the analysis that required BLADE data (presented in Section 6) comments are included on the reduction in sample size due to the availability of common data linking the individual firms across the two datasets. Analysis could only be conducted for firms that have the required data present across the two separate derivations of MCM data, potentially resulting in different sample size. It is worth noting that in MOC microdata firm size categories differ from the MCM data, for example the top employment range in the MOC is 100 or more employees, while in the MCM is 200 or more employees.</w:t>
      </w:r>
    </w:p>
    <w:p w14:paraId="3857C3EB" w14:textId="1BF466A3" w:rsidR="009F1235" w:rsidRDefault="00072E96" w:rsidP="00BF1BEF">
      <w:pPr>
        <w:pStyle w:val="Heading2"/>
        <w:ind w:left="0" w:firstLine="0"/>
      </w:pPr>
      <w:r>
        <w:t>Sample descriptive statistics</w:t>
      </w:r>
    </w:p>
    <w:p w14:paraId="0DC36488" w14:textId="550EE8E5" w:rsidR="00072E96" w:rsidRDefault="00072E96" w:rsidP="00072E96">
      <w:pPr>
        <w:pStyle w:val="BodyText"/>
        <w:rPr>
          <w:rFonts w:eastAsia="Arial" w:cs="Arial"/>
        </w:rPr>
      </w:pPr>
      <w:r>
        <w:rPr>
          <w:rFonts w:eastAsia="Arial" w:cs="Arial"/>
        </w:rPr>
        <w:t>Table 3.4 describes the distribution of sample based on firm characteristics. For the firm size (employment range), a greater number of firms that participated in the survey consisted of 0–4 number of employees. The majority of firms that became a part of the study had been in business for more than 9 years. Out of the sample of 12,536, only 5.3 per cent of companies had franchising agreement whereas around 12.7 per cent of the firms had foreign ownership. 61.7 per cent of the firms that participated in the study had undertaken innovative activity.</w:t>
      </w:r>
    </w:p>
    <w:p w14:paraId="5616DAF6" w14:textId="5BFEBF1B" w:rsidR="00072E96" w:rsidRDefault="00072E96" w:rsidP="00072E96">
      <w:pPr>
        <w:pStyle w:val="Caption"/>
      </w:pPr>
      <w:r w:rsidRPr="000618FB">
        <w:lastRenderedPageBreak/>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3</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4</w:t>
      </w:r>
      <w:r>
        <w:rPr>
          <w:noProof/>
        </w:rPr>
        <w:fldChar w:fldCharType="end"/>
      </w:r>
      <w:r w:rsidRPr="000618FB">
        <w:t xml:space="preserve">: </w:t>
      </w:r>
      <w:r>
        <w:t>Survey sample descriptive statistics of firm characteristics, 2015–16</w:t>
      </w:r>
    </w:p>
    <w:tbl>
      <w:tblPr>
        <w:tblStyle w:val="OCETable"/>
        <w:tblW w:w="5000" w:type="pct"/>
        <w:tblInd w:w="57" w:type="dxa"/>
        <w:tblLayout w:type="fixed"/>
        <w:tblLook w:val="04A0" w:firstRow="1" w:lastRow="0" w:firstColumn="1" w:lastColumn="0" w:noHBand="0" w:noVBand="1"/>
        <w:tblCaption w:val="Table 3.4: Survey sample descriptive statistics of firm characteristics, 2015–16"/>
        <w:tblDescription w:val="Table 3.4 provides descriptive statistics of five different firm characteristics of Australian business included in the Australian Bureau of Statistics’ Management and Organisational Capabilities of Australian Business, 2015–16. These characteristics are:  firm size, firm age, existence or not of franchising agreement, foreign ownership and innovation status. Figures representing these firms’ characteristics are presented as frequencies and percentages."/>
      </w:tblPr>
      <w:tblGrid>
        <w:gridCol w:w="2211"/>
        <w:gridCol w:w="2410"/>
        <w:gridCol w:w="1134"/>
        <w:gridCol w:w="1139"/>
      </w:tblGrid>
      <w:tr w:rsidR="00072E96" w14:paraId="1BDD967E"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2211" w:type="dxa"/>
          </w:tcPr>
          <w:p w14:paraId="1CDDB5A4" w14:textId="77777777" w:rsidR="00072E96" w:rsidRPr="003924F0" w:rsidRDefault="00072E96" w:rsidP="003924F0">
            <w:pPr>
              <w:pStyle w:val="Tableheadertext"/>
            </w:pPr>
            <w:r w:rsidRPr="003924F0">
              <w:t>Variable</w:t>
            </w:r>
          </w:p>
        </w:tc>
        <w:tc>
          <w:tcPr>
            <w:tcW w:w="2410" w:type="dxa"/>
          </w:tcPr>
          <w:p w14:paraId="008E1C70" w14:textId="77777777" w:rsidR="00072E96" w:rsidRPr="003924F0" w:rsidRDefault="00072E96" w:rsidP="003924F0">
            <w:pPr>
              <w:pStyle w:val="Tableheadertext"/>
            </w:pPr>
            <w:r w:rsidRPr="003924F0">
              <w:t>Category</w:t>
            </w:r>
          </w:p>
        </w:tc>
        <w:tc>
          <w:tcPr>
            <w:tcW w:w="1134" w:type="dxa"/>
          </w:tcPr>
          <w:p w14:paraId="66E5AF94" w14:textId="77777777" w:rsidR="00072E96" w:rsidRPr="003924F0" w:rsidRDefault="00072E96" w:rsidP="00F4384C">
            <w:pPr>
              <w:pStyle w:val="Tableheadertext"/>
              <w:jc w:val="right"/>
            </w:pPr>
            <w:r w:rsidRPr="003924F0">
              <w:t>Frequency</w:t>
            </w:r>
          </w:p>
        </w:tc>
        <w:tc>
          <w:tcPr>
            <w:tcW w:w="1139" w:type="dxa"/>
          </w:tcPr>
          <w:p w14:paraId="148DB821" w14:textId="7AAC470B" w:rsidR="00072E96" w:rsidRPr="003924F0" w:rsidRDefault="00072E96" w:rsidP="00F4384C">
            <w:pPr>
              <w:pStyle w:val="Tableheadertext"/>
              <w:jc w:val="right"/>
            </w:pPr>
            <w:r w:rsidRPr="003924F0">
              <w:t>Per cent</w:t>
            </w:r>
          </w:p>
        </w:tc>
      </w:tr>
      <w:tr w:rsidR="00072E96" w:rsidRPr="007B3DA1" w14:paraId="26C5E4E4" w14:textId="77777777" w:rsidTr="00072E96">
        <w:trPr>
          <w:cnfStyle w:val="000000100000" w:firstRow="0" w:lastRow="0" w:firstColumn="0" w:lastColumn="0" w:oddVBand="0" w:evenVBand="0" w:oddHBand="1" w:evenHBand="0" w:firstRowFirstColumn="0" w:firstRowLastColumn="0" w:lastRowFirstColumn="0" w:lastRowLastColumn="0"/>
        </w:trPr>
        <w:tc>
          <w:tcPr>
            <w:tcW w:w="2211" w:type="dxa"/>
            <w:vMerge w:val="restart"/>
            <w:shd w:val="clear" w:color="auto" w:fill="auto"/>
          </w:tcPr>
          <w:p w14:paraId="362B4AA6" w14:textId="77777777" w:rsidR="00072E96" w:rsidRPr="007B3DA1" w:rsidRDefault="00072E96" w:rsidP="007B3DA1">
            <w:pPr>
              <w:pStyle w:val="Tablebodytext"/>
            </w:pPr>
            <w:r w:rsidRPr="007B3DA1">
              <w:t>Firm Size</w:t>
            </w:r>
          </w:p>
          <w:p w14:paraId="35DB9B18" w14:textId="77777777" w:rsidR="00072E96" w:rsidRPr="007B3DA1" w:rsidRDefault="00072E96" w:rsidP="007B3DA1">
            <w:pPr>
              <w:pStyle w:val="Tablebodytext"/>
            </w:pPr>
            <w:r w:rsidRPr="007B3DA1">
              <w:t>(employment range)</w:t>
            </w:r>
          </w:p>
        </w:tc>
        <w:tc>
          <w:tcPr>
            <w:tcW w:w="2410" w:type="dxa"/>
            <w:shd w:val="clear" w:color="auto" w:fill="auto"/>
          </w:tcPr>
          <w:p w14:paraId="44D9CAED" w14:textId="77777777" w:rsidR="00072E96" w:rsidRPr="007B3DA1" w:rsidRDefault="00072E96" w:rsidP="007B3DA1">
            <w:pPr>
              <w:pStyle w:val="Tablebodytext"/>
            </w:pPr>
            <w:r w:rsidRPr="007B3DA1">
              <w:t>0 to 4 employees</w:t>
            </w:r>
          </w:p>
        </w:tc>
        <w:tc>
          <w:tcPr>
            <w:tcW w:w="1134" w:type="dxa"/>
            <w:shd w:val="clear" w:color="auto" w:fill="auto"/>
          </w:tcPr>
          <w:p w14:paraId="724AAC74" w14:textId="77777777" w:rsidR="00072E96" w:rsidRPr="007B3DA1" w:rsidRDefault="00072E96" w:rsidP="007B3DA1">
            <w:pPr>
              <w:pStyle w:val="Tablebodytext"/>
              <w:jc w:val="right"/>
            </w:pPr>
            <w:r w:rsidRPr="007B3DA1">
              <w:t>5,393</w:t>
            </w:r>
          </w:p>
        </w:tc>
        <w:tc>
          <w:tcPr>
            <w:tcW w:w="1139" w:type="dxa"/>
            <w:shd w:val="clear" w:color="auto" w:fill="auto"/>
          </w:tcPr>
          <w:p w14:paraId="35C6CD7C" w14:textId="77777777" w:rsidR="00072E96" w:rsidRPr="007B3DA1" w:rsidRDefault="00072E96" w:rsidP="007B3DA1">
            <w:pPr>
              <w:pStyle w:val="Tablebodytext"/>
              <w:jc w:val="right"/>
            </w:pPr>
            <w:r w:rsidRPr="007B3DA1">
              <w:t>43.0</w:t>
            </w:r>
          </w:p>
        </w:tc>
      </w:tr>
      <w:tr w:rsidR="00072E96" w:rsidRPr="007B3DA1" w14:paraId="082DE1FA" w14:textId="77777777" w:rsidTr="00072E96">
        <w:trPr>
          <w:cnfStyle w:val="000000010000" w:firstRow="0" w:lastRow="0" w:firstColumn="0" w:lastColumn="0" w:oddVBand="0" w:evenVBand="0" w:oddHBand="0" w:evenHBand="1" w:firstRowFirstColumn="0" w:firstRowLastColumn="0" w:lastRowFirstColumn="0" w:lastRowLastColumn="0"/>
        </w:trPr>
        <w:tc>
          <w:tcPr>
            <w:tcW w:w="2211" w:type="dxa"/>
            <w:vMerge/>
            <w:shd w:val="clear" w:color="auto" w:fill="auto"/>
          </w:tcPr>
          <w:p w14:paraId="10EAC650" w14:textId="77777777" w:rsidR="00072E96" w:rsidRPr="007B3DA1" w:rsidRDefault="00072E96" w:rsidP="007B3DA1">
            <w:pPr>
              <w:pStyle w:val="Tablebodytext"/>
            </w:pPr>
          </w:p>
        </w:tc>
        <w:tc>
          <w:tcPr>
            <w:tcW w:w="2410" w:type="dxa"/>
            <w:shd w:val="clear" w:color="auto" w:fill="auto"/>
          </w:tcPr>
          <w:p w14:paraId="19C6A97B" w14:textId="77777777" w:rsidR="00072E96" w:rsidRPr="007B3DA1" w:rsidRDefault="00072E96" w:rsidP="007B3DA1">
            <w:pPr>
              <w:pStyle w:val="Tablebodytext"/>
            </w:pPr>
            <w:r w:rsidRPr="007B3DA1">
              <w:t>5 to 19 employees</w:t>
            </w:r>
          </w:p>
        </w:tc>
        <w:tc>
          <w:tcPr>
            <w:tcW w:w="1134" w:type="dxa"/>
            <w:shd w:val="clear" w:color="auto" w:fill="auto"/>
          </w:tcPr>
          <w:p w14:paraId="756092EC" w14:textId="77777777" w:rsidR="00072E96" w:rsidRPr="007B3DA1" w:rsidRDefault="00072E96" w:rsidP="007B3DA1">
            <w:pPr>
              <w:pStyle w:val="Tablebodytext"/>
              <w:jc w:val="right"/>
            </w:pPr>
            <w:r w:rsidRPr="007B3DA1">
              <w:t>3204</w:t>
            </w:r>
          </w:p>
        </w:tc>
        <w:tc>
          <w:tcPr>
            <w:tcW w:w="1139" w:type="dxa"/>
            <w:shd w:val="clear" w:color="auto" w:fill="auto"/>
          </w:tcPr>
          <w:p w14:paraId="14F14D44" w14:textId="77777777" w:rsidR="00072E96" w:rsidRPr="007B3DA1" w:rsidRDefault="00072E96" w:rsidP="007B3DA1">
            <w:pPr>
              <w:pStyle w:val="Tablebodytext"/>
              <w:jc w:val="right"/>
            </w:pPr>
            <w:r w:rsidRPr="007B3DA1">
              <w:t>25.6</w:t>
            </w:r>
          </w:p>
        </w:tc>
      </w:tr>
      <w:tr w:rsidR="00072E96" w:rsidRPr="007B3DA1" w14:paraId="3B143A9A" w14:textId="77777777" w:rsidTr="00072E96">
        <w:trPr>
          <w:cnfStyle w:val="000000100000" w:firstRow="0" w:lastRow="0" w:firstColumn="0" w:lastColumn="0" w:oddVBand="0" w:evenVBand="0" w:oddHBand="1" w:evenHBand="0" w:firstRowFirstColumn="0" w:firstRowLastColumn="0" w:lastRowFirstColumn="0" w:lastRowLastColumn="0"/>
        </w:trPr>
        <w:tc>
          <w:tcPr>
            <w:tcW w:w="2211" w:type="dxa"/>
            <w:vMerge/>
            <w:shd w:val="clear" w:color="auto" w:fill="auto"/>
          </w:tcPr>
          <w:p w14:paraId="6342F71B" w14:textId="77777777" w:rsidR="00072E96" w:rsidRPr="007B3DA1" w:rsidRDefault="00072E96" w:rsidP="007B3DA1">
            <w:pPr>
              <w:pStyle w:val="Tablebodytext"/>
            </w:pPr>
          </w:p>
        </w:tc>
        <w:tc>
          <w:tcPr>
            <w:tcW w:w="2410" w:type="dxa"/>
            <w:shd w:val="clear" w:color="auto" w:fill="auto"/>
          </w:tcPr>
          <w:p w14:paraId="1B0EA4FF" w14:textId="77777777" w:rsidR="00072E96" w:rsidRPr="007B3DA1" w:rsidRDefault="00072E96" w:rsidP="007B3DA1">
            <w:pPr>
              <w:pStyle w:val="Tablebodytext"/>
            </w:pPr>
            <w:r w:rsidRPr="007B3DA1">
              <w:t>20 to 99 employees</w:t>
            </w:r>
          </w:p>
        </w:tc>
        <w:tc>
          <w:tcPr>
            <w:tcW w:w="1134" w:type="dxa"/>
            <w:shd w:val="clear" w:color="auto" w:fill="auto"/>
          </w:tcPr>
          <w:p w14:paraId="1BDC8A7A" w14:textId="77777777" w:rsidR="00072E96" w:rsidRPr="007B3DA1" w:rsidRDefault="00072E96" w:rsidP="007B3DA1">
            <w:pPr>
              <w:pStyle w:val="Tablebodytext"/>
              <w:jc w:val="right"/>
            </w:pPr>
            <w:r w:rsidRPr="007B3DA1">
              <w:t>1244</w:t>
            </w:r>
          </w:p>
        </w:tc>
        <w:tc>
          <w:tcPr>
            <w:tcW w:w="1139" w:type="dxa"/>
            <w:shd w:val="clear" w:color="auto" w:fill="auto"/>
          </w:tcPr>
          <w:p w14:paraId="76B93ADD" w14:textId="77777777" w:rsidR="00072E96" w:rsidRPr="007B3DA1" w:rsidRDefault="00072E96" w:rsidP="007B3DA1">
            <w:pPr>
              <w:pStyle w:val="Tablebodytext"/>
              <w:jc w:val="right"/>
            </w:pPr>
            <w:r w:rsidRPr="007B3DA1">
              <w:t>9.9</w:t>
            </w:r>
          </w:p>
        </w:tc>
      </w:tr>
      <w:tr w:rsidR="00072E96" w:rsidRPr="007B3DA1" w14:paraId="4FCD9BD6" w14:textId="77777777" w:rsidTr="00072E96">
        <w:trPr>
          <w:cnfStyle w:val="000000010000" w:firstRow="0" w:lastRow="0" w:firstColumn="0" w:lastColumn="0" w:oddVBand="0" w:evenVBand="0" w:oddHBand="0" w:evenHBand="1" w:firstRowFirstColumn="0" w:firstRowLastColumn="0" w:lastRowFirstColumn="0" w:lastRowLastColumn="0"/>
        </w:trPr>
        <w:tc>
          <w:tcPr>
            <w:tcW w:w="2211" w:type="dxa"/>
            <w:vMerge/>
            <w:shd w:val="clear" w:color="auto" w:fill="auto"/>
          </w:tcPr>
          <w:p w14:paraId="12190BC7" w14:textId="77777777" w:rsidR="00072E96" w:rsidRPr="007B3DA1" w:rsidRDefault="00072E96" w:rsidP="007B3DA1">
            <w:pPr>
              <w:pStyle w:val="Tablebodytext"/>
            </w:pPr>
          </w:p>
        </w:tc>
        <w:tc>
          <w:tcPr>
            <w:tcW w:w="2410" w:type="dxa"/>
            <w:shd w:val="clear" w:color="auto" w:fill="auto"/>
          </w:tcPr>
          <w:p w14:paraId="65E57EFF" w14:textId="77777777" w:rsidR="00072E96" w:rsidRPr="007B3DA1" w:rsidRDefault="00072E96" w:rsidP="007B3DA1">
            <w:pPr>
              <w:pStyle w:val="Tablebodytext"/>
            </w:pPr>
            <w:r w:rsidRPr="007B3DA1">
              <w:t>100 or more employees</w:t>
            </w:r>
          </w:p>
        </w:tc>
        <w:tc>
          <w:tcPr>
            <w:tcW w:w="1134" w:type="dxa"/>
            <w:shd w:val="clear" w:color="auto" w:fill="auto"/>
          </w:tcPr>
          <w:p w14:paraId="3045F533" w14:textId="77777777" w:rsidR="00072E96" w:rsidRPr="007B3DA1" w:rsidRDefault="00072E96" w:rsidP="007B3DA1">
            <w:pPr>
              <w:pStyle w:val="Tablebodytext"/>
              <w:jc w:val="right"/>
            </w:pPr>
            <w:r w:rsidRPr="007B3DA1">
              <w:t>2695</w:t>
            </w:r>
          </w:p>
        </w:tc>
        <w:tc>
          <w:tcPr>
            <w:tcW w:w="1139" w:type="dxa"/>
            <w:shd w:val="clear" w:color="auto" w:fill="auto"/>
          </w:tcPr>
          <w:p w14:paraId="06DC62F9" w14:textId="77777777" w:rsidR="00072E96" w:rsidRPr="007B3DA1" w:rsidRDefault="00072E96" w:rsidP="007B3DA1">
            <w:pPr>
              <w:pStyle w:val="Tablebodytext"/>
              <w:jc w:val="right"/>
            </w:pPr>
            <w:r w:rsidRPr="007B3DA1">
              <w:t>21.5</w:t>
            </w:r>
          </w:p>
        </w:tc>
      </w:tr>
      <w:tr w:rsidR="00072E96" w:rsidRPr="007B3DA1" w14:paraId="121FA044" w14:textId="77777777" w:rsidTr="00072E96">
        <w:trPr>
          <w:cnfStyle w:val="000000100000" w:firstRow="0" w:lastRow="0" w:firstColumn="0" w:lastColumn="0" w:oddVBand="0" w:evenVBand="0" w:oddHBand="1" w:evenHBand="0" w:firstRowFirstColumn="0" w:firstRowLastColumn="0" w:lastRowFirstColumn="0" w:lastRowLastColumn="0"/>
        </w:trPr>
        <w:tc>
          <w:tcPr>
            <w:tcW w:w="2211" w:type="dxa"/>
            <w:vMerge w:val="restart"/>
          </w:tcPr>
          <w:p w14:paraId="3C7C6B97" w14:textId="77777777" w:rsidR="00072E96" w:rsidRPr="007B3DA1" w:rsidRDefault="00072E96" w:rsidP="007B3DA1">
            <w:pPr>
              <w:pStyle w:val="Tablebodytext"/>
            </w:pPr>
            <w:r w:rsidRPr="007B3DA1">
              <w:t>Firm Age  (years of operation - regardless of ownership)</w:t>
            </w:r>
          </w:p>
        </w:tc>
        <w:tc>
          <w:tcPr>
            <w:tcW w:w="2410" w:type="dxa"/>
          </w:tcPr>
          <w:p w14:paraId="0C384398" w14:textId="77777777" w:rsidR="00072E96" w:rsidRPr="007B3DA1" w:rsidRDefault="00072E96" w:rsidP="007B3DA1">
            <w:pPr>
              <w:pStyle w:val="Tablebodytext"/>
            </w:pPr>
            <w:r w:rsidRPr="007B3DA1">
              <w:t>Less than 1 to less than 4 years</w:t>
            </w:r>
          </w:p>
        </w:tc>
        <w:tc>
          <w:tcPr>
            <w:tcW w:w="1134" w:type="dxa"/>
          </w:tcPr>
          <w:p w14:paraId="6585D97C" w14:textId="77777777" w:rsidR="00072E96" w:rsidRPr="007B3DA1" w:rsidRDefault="00072E96" w:rsidP="007B3DA1">
            <w:pPr>
              <w:pStyle w:val="Tablebodytext"/>
              <w:jc w:val="right"/>
            </w:pPr>
            <w:r w:rsidRPr="007B3DA1">
              <w:t>1769</w:t>
            </w:r>
          </w:p>
        </w:tc>
        <w:tc>
          <w:tcPr>
            <w:tcW w:w="1139" w:type="dxa"/>
          </w:tcPr>
          <w:p w14:paraId="5AF55DE2" w14:textId="77777777" w:rsidR="00072E96" w:rsidRPr="007B3DA1" w:rsidRDefault="00072E96" w:rsidP="007B3DA1">
            <w:pPr>
              <w:pStyle w:val="Tablebodytext"/>
              <w:jc w:val="right"/>
            </w:pPr>
            <w:r w:rsidRPr="007B3DA1">
              <w:t>14.1</w:t>
            </w:r>
          </w:p>
        </w:tc>
      </w:tr>
      <w:tr w:rsidR="00072E96" w:rsidRPr="007B3DA1" w14:paraId="52FE8F02" w14:textId="77777777" w:rsidTr="00072E96">
        <w:trPr>
          <w:cnfStyle w:val="000000010000" w:firstRow="0" w:lastRow="0" w:firstColumn="0" w:lastColumn="0" w:oddVBand="0" w:evenVBand="0" w:oddHBand="0" w:evenHBand="1" w:firstRowFirstColumn="0" w:firstRowLastColumn="0" w:lastRowFirstColumn="0" w:lastRowLastColumn="0"/>
        </w:trPr>
        <w:tc>
          <w:tcPr>
            <w:tcW w:w="2211" w:type="dxa"/>
            <w:vMerge/>
            <w:shd w:val="clear" w:color="auto" w:fill="DEE8F1"/>
          </w:tcPr>
          <w:p w14:paraId="6253F92A" w14:textId="77777777" w:rsidR="00072E96" w:rsidRPr="007B3DA1" w:rsidRDefault="00072E96" w:rsidP="007B3DA1">
            <w:pPr>
              <w:pStyle w:val="Tablebodytext"/>
            </w:pPr>
          </w:p>
        </w:tc>
        <w:tc>
          <w:tcPr>
            <w:tcW w:w="2410" w:type="dxa"/>
            <w:shd w:val="clear" w:color="auto" w:fill="DEE8F1"/>
          </w:tcPr>
          <w:p w14:paraId="4A8A9D65" w14:textId="77777777" w:rsidR="00072E96" w:rsidRPr="007B3DA1" w:rsidRDefault="00072E96" w:rsidP="007B3DA1">
            <w:pPr>
              <w:pStyle w:val="Tablebodytext"/>
            </w:pPr>
            <w:r w:rsidRPr="007B3DA1">
              <w:t>4 to less than 9 years</w:t>
            </w:r>
          </w:p>
        </w:tc>
        <w:tc>
          <w:tcPr>
            <w:tcW w:w="1134" w:type="dxa"/>
            <w:shd w:val="clear" w:color="auto" w:fill="DEE8F1"/>
          </w:tcPr>
          <w:p w14:paraId="42C4FD10" w14:textId="77777777" w:rsidR="00072E96" w:rsidRPr="007B3DA1" w:rsidRDefault="00072E96" w:rsidP="007B3DA1">
            <w:pPr>
              <w:pStyle w:val="Tablebodytext"/>
              <w:jc w:val="right"/>
            </w:pPr>
            <w:r w:rsidRPr="007B3DA1">
              <w:t>1918</w:t>
            </w:r>
          </w:p>
        </w:tc>
        <w:tc>
          <w:tcPr>
            <w:tcW w:w="1139" w:type="dxa"/>
            <w:shd w:val="clear" w:color="auto" w:fill="DEE8F1"/>
          </w:tcPr>
          <w:p w14:paraId="1A2D32B2" w14:textId="77777777" w:rsidR="00072E96" w:rsidRPr="007B3DA1" w:rsidRDefault="00072E96" w:rsidP="007B3DA1">
            <w:pPr>
              <w:pStyle w:val="Tablebodytext"/>
              <w:jc w:val="right"/>
            </w:pPr>
            <w:r w:rsidRPr="007B3DA1">
              <w:t>15.3</w:t>
            </w:r>
          </w:p>
        </w:tc>
      </w:tr>
      <w:tr w:rsidR="00072E96" w:rsidRPr="007B3DA1" w14:paraId="0AE34541" w14:textId="77777777" w:rsidTr="00072E96">
        <w:trPr>
          <w:cnfStyle w:val="000000100000" w:firstRow="0" w:lastRow="0" w:firstColumn="0" w:lastColumn="0" w:oddVBand="0" w:evenVBand="0" w:oddHBand="1" w:evenHBand="0" w:firstRowFirstColumn="0" w:firstRowLastColumn="0" w:lastRowFirstColumn="0" w:lastRowLastColumn="0"/>
        </w:trPr>
        <w:tc>
          <w:tcPr>
            <w:tcW w:w="2211" w:type="dxa"/>
            <w:vMerge/>
          </w:tcPr>
          <w:p w14:paraId="0AC13059" w14:textId="77777777" w:rsidR="00072E96" w:rsidRPr="007B3DA1" w:rsidRDefault="00072E96" w:rsidP="007B3DA1">
            <w:pPr>
              <w:pStyle w:val="Tablebodytext"/>
            </w:pPr>
          </w:p>
        </w:tc>
        <w:tc>
          <w:tcPr>
            <w:tcW w:w="2410" w:type="dxa"/>
          </w:tcPr>
          <w:p w14:paraId="30687A09" w14:textId="77777777" w:rsidR="00072E96" w:rsidRPr="007B3DA1" w:rsidRDefault="00072E96" w:rsidP="007B3DA1">
            <w:pPr>
              <w:pStyle w:val="Tablebodytext"/>
            </w:pPr>
            <w:r w:rsidRPr="007B3DA1">
              <w:t>9 years or more</w:t>
            </w:r>
          </w:p>
        </w:tc>
        <w:tc>
          <w:tcPr>
            <w:tcW w:w="1134" w:type="dxa"/>
          </w:tcPr>
          <w:p w14:paraId="331E6B7C" w14:textId="77777777" w:rsidR="00072E96" w:rsidRPr="007B3DA1" w:rsidRDefault="00072E96" w:rsidP="007B3DA1">
            <w:pPr>
              <w:pStyle w:val="Tablebodytext"/>
              <w:jc w:val="right"/>
            </w:pPr>
            <w:r w:rsidRPr="007B3DA1">
              <w:t>8801</w:t>
            </w:r>
          </w:p>
        </w:tc>
        <w:tc>
          <w:tcPr>
            <w:tcW w:w="1139" w:type="dxa"/>
          </w:tcPr>
          <w:p w14:paraId="310E4113" w14:textId="77777777" w:rsidR="00072E96" w:rsidRPr="007B3DA1" w:rsidRDefault="00072E96" w:rsidP="007B3DA1">
            <w:pPr>
              <w:pStyle w:val="Tablebodytext"/>
              <w:jc w:val="right"/>
            </w:pPr>
            <w:r w:rsidRPr="007B3DA1">
              <w:t>70.2</w:t>
            </w:r>
          </w:p>
        </w:tc>
      </w:tr>
      <w:tr w:rsidR="00072E96" w:rsidRPr="007B3DA1" w14:paraId="3993B914" w14:textId="77777777" w:rsidTr="00072E96">
        <w:trPr>
          <w:cnfStyle w:val="000000010000" w:firstRow="0" w:lastRow="0" w:firstColumn="0" w:lastColumn="0" w:oddVBand="0" w:evenVBand="0" w:oddHBand="0" w:evenHBand="1" w:firstRowFirstColumn="0" w:firstRowLastColumn="0" w:lastRowFirstColumn="0" w:lastRowLastColumn="0"/>
        </w:trPr>
        <w:tc>
          <w:tcPr>
            <w:tcW w:w="2211" w:type="dxa"/>
            <w:vMerge/>
            <w:shd w:val="clear" w:color="auto" w:fill="DEE8F1"/>
          </w:tcPr>
          <w:p w14:paraId="4BE48FCD" w14:textId="77777777" w:rsidR="00072E96" w:rsidRPr="007B3DA1" w:rsidRDefault="00072E96" w:rsidP="007B3DA1">
            <w:pPr>
              <w:pStyle w:val="Tablebodytext"/>
            </w:pPr>
          </w:p>
        </w:tc>
        <w:tc>
          <w:tcPr>
            <w:tcW w:w="2410" w:type="dxa"/>
            <w:shd w:val="clear" w:color="auto" w:fill="DEE8F1"/>
          </w:tcPr>
          <w:p w14:paraId="1A6D865D" w14:textId="77777777" w:rsidR="00072E96" w:rsidRPr="007B3DA1" w:rsidRDefault="00072E96" w:rsidP="007B3DA1">
            <w:pPr>
              <w:pStyle w:val="Tablebodytext"/>
            </w:pPr>
            <w:r w:rsidRPr="007B3DA1">
              <w:t>Missing</w:t>
            </w:r>
          </w:p>
        </w:tc>
        <w:tc>
          <w:tcPr>
            <w:tcW w:w="1134" w:type="dxa"/>
            <w:shd w:val="clear" w:color="auto" w:fill="DEE8F1"/>
          </w:tcPr>
          <w:p w14:paraId="76C85DEC" w14:textId="77777777" w:rsidR="00072E96" w:rsidRPr="007B3DA1" w:rsidRDefault="00072E96" w:rsidP="007B3DA1">
            <w:pPr>
              <w:pStyle w:val="Tablebodytext"/>
              <w:jc w:val="right"/>
            </w:pPr>
            <w:r w:rsidRPr="007B3DA1">
              <w:t>48</w:t>
            </w:r>
          </w:p>
        </w:tc>
        <w:tc>
          <w:tcPr>
            <w:tcW w:w="1139" w:type="dxa"/>
            <w:shd w:val="clear" w:color="auto" w:fill="DEE8F1"/>
          </w:tcPr>
          <w:p w14:paraId="7FC81327" w14:textId="77777777" w:rsidR="00072E96" w:rsidRPr="007B3DA1" w:rsidRDefault="00072E96" w:rsidP="007B3DA1">
            <w:pPr>
              <w:pStyle w:val="Tablebodytext"/>
              <w:jc w:val="right"/>
            </w:pPr>
            <w:r w:rsidRPr="007B3DA1">
              <w:t>0.4</w:t>
            </w:r>
          </w:p>
        </w:tc>
      </w:tr>
      <w:tr w:rsidR="00072E96" w:rsidRPr="007B3DA1" w14:paraId="634E7EAD" w14:textId="77777777" w:rsidTr="00072E96">
        <w:trPr>
          <w:cnfStyle w:val="000000100000" w:firstRow="0" w:lastRow="0" w:firstColumn="0" w:lastColumn="0" w:oddVBand="0" w:evenVBand="0" w:oddHBand="1" w:evenHBand="0" w:firstRowFirstColumn="0" w:firstRowLastColumn="0" w:lastRowFirstColumn="0" w:lastRowLastColumn="0"/>
        </w:trPr>
        <w:tc>
          <w:tcPr>
            <w:tcW w:w="2211" w:type="dxa"/>
            <w:vMerge w:val="restart"/>
            <w:shd w:val="clear" w:color="auto" w:fill="auto"/>
          </w:tcPr>
          <w:p w14:paraId="12E81286" w14:textId="77777777" w:rsidR="00072E96" w:rsidRPr="007B3DA1" w:rsidRDefault="00072E96" w:rsidP="007B3DA1">
            <w:pPr>
              <w:pStyle w:val="Tablebodytext"/>
            </w:pPr>
            <w:r w:rsidRPr="007B3DA1">
              <w:t>Franchising Agreement</w:t>
            </w:r>
          </w:p>
        </w:tc>
        <w:tc>
          <w:tcPr>
            <w:tcW w:w="2410" w:type="dxa"/>
            <w:shd w:val="clear" w:color="auto" w:fill="auto"/>
          </w:tcPr>
          <w:p w14:paraId="6C1B4976" w14:textId="77777777" w:rsidR="00072E96" w:rsidRPr="007B3DA1" w:rsidRDefault="00072E96" w:rsidP="007B3DA1">
            <w:pPr>
              <w:pStyle w:val="Tablebodytext"/>
            </w:pPr>
            <w:r w:rsidRPr="007B3DA1">
              <w:t>No</w:t>
            </w:r>
          </w:p>
        </w:tc>
        <w:tc>
          <w:tcPr>
            <w:tcW w:w="1134" w:type="dxa"/>
            <w:shd w:val="clear" w:color="auto" w:fill="auto"/>
          </w:tcPr>
          <w:p w14:paraId="6DDE2934" w14:textId="77777777" w:rsidR="00072E96" w:rsidRPr="007B3DA1" w:rsidRDefault="00072E96" w:rsidP="007B3DA1">
            <w:pPr>
              <w:pStyle w:val="Tablebodytext"/>
              <w:jc w:val="right"/>
            </w:pPr>
            <w:r w:rsidRPr="007B3DA1">
              <w:t>11769</w:t>
            </w:r>
          </w:p>
        </w:tc>
        <w:tc>
          <w:tcPr>
            <w:tcW w:w="1139" w:type="dxa"/>
            <w:shd w:val="clear" w:color="auto" w:fill="auto"/>
          </w:tcPr>
          <w:p w14:paraId="7EDF9B1C" w14:textId="77777777" w:rsidR="00072E96" w:rsidRPr="007B3DA1" w:rsidRDefault="00072E96" w:rsidP="007B3DA1">
            <w:pPr>
              <w:pStyle w:val="Tablebodytext"/>
              <w:jc w:val="right"/>
            </w:pPr>
            <w:r w:rsidRPr="007B3DA1">
              <w:t>93.9</w:t>
            </w:r>
          </w:p>
        </w:tc>
      </w:tr>
      <w:tr w:rsidR="00072E96" w:rsidRPr="007B3DA1" w14:paraId="1B8BA99F" w14:textId="77777777" w:rsidTr="00072E96">
        <w:trPr>
          <w:cnfStyle w:val="000000010000" w:firstRow="0" w:lastRow="0" w:firstColumn="0" w:lastColumn="0" w:oddVBand="0" w:evenVBand="0" w:oddHBand="0" w:evenHBand="1" w:firstRowFirstColumn="0" w:firstRowLastColumn="0" w:lastRowFirstColumn="0" w:lastRowLastColumn="0"/>
        </w:trPr>
        <w:tc>
          <w:tcPr>
            <w:tcW w:w="2211" w:type="dxa"/>
            <w:vMerge/>
            <w:shd w:val="clear" w:color="auto" w:fill="auto"/>
          </w:tcPr>
          <w:p w14:paraId="555E9647" w14:textId="77777777" w:rsidR="00072E96" w:rsidRPr="007B3DA1" w:rsidRDefault="00072E96" w:rsidP="007B3DA1">
            <w:pPr>
              <w:pStyle w:val="Tablebodytext"/>
            </w:pPr>
          </w:p>
        </w:tc>
        <w:tc>
          <w:tcPr>
            <w:tcW w:w="2410" w:type="dxa"/>
            <w:shd w:val="clear" w:color="auto" w:fill="auto"/>
          </w:tcPr>
          <w:p w14:paraId="28B7FD0F" w14:textId="77777777" w:rsidR="00072E96" w:rsidRPr="007B3DA1" w:rsidRDefault="00072E96" w:rsidP="007B3DA1">
            <w:pPr>
              <w:pStyle w:val="Tablebodytext"/>
            </w:pPr>
            <w:r w:rsidRPr="007B3DA1">
              <w:t>Yes</w:t>
            </w:r>
          </w:p>
        </w:tc>
        <w:tc>
          <w:tcPr>
            <w:tcW w:w="1134" w:type="dxa"/>
            <w:shd w:val="clear" w:color="auto" w:fill="auto"/>
          </w:tcPr>
          <w:p w14:paraId="3573E511" w14:textId="77777777" w:rsidR="00072E96" w:rsidRPr="007B3DA1" w:rsidRDefault="00072E96" w:rsidP="007B3DA1">
            <w:pPr>
              <w:pStyle w:val="Tablebodytext"/>
              <w:jc w:val="right"/>
            </w:pPr>
            <w:r w:rsidRPr="007B3DA1">
              <w:t>661</w:t>
            </w:r>
          </w:p>
        </w:tc>
        <w:tc>
          <w:tcPr>
            <w:tcW w:w="1139" w:type="dxa"/>
            <w:shd w:val="clear" w:color="auto" w:fill="auto"/>
          </w:tcPr>
          <w:p w14:paraId="3A2794FE" w14:textId="77777777" w:rsidR="00072E96" w:rsidRPr="007B3DA1" w:rsidRDefault="00072E96" w:rsidP="007B3DA1">
            <w:pPr>
              <w:pStyle w:val="Tablebodytext"/>
              <w:jc w:val="right"/>
            </w:pPr>
            <w:r w:rsidRPr="007B3DA1">
              <w:t>5.3</w:t>
            </w:r>
          </w:p>
        </w:tc>
      </w:tr>
      <w:tr w:rsidR="00072E96" w:rsidRPr="007B3DA1" w14:paraId="2E47C378" w14:textId="77777777" w:rsidTr="00072E96">
        <w:trPr>
          <w:cnfStyle w:val="000000100000" w:firstRow="0" w:lastRow="0" w:firstColumn="0" w:lastColumn="0" w:oddVBand="0" w:evenVBand="0" w:oddHBand="1" w:evenHBand="0" w:firstRowFirstColumn="0" w:firstRowLastColumn="0" w:lastRowFirstColumn="0" w:lastRowLastColumn="0"/>
        </w:trPr>
        <w:tc>
          <w:tcPr>
            <w:tcW w:w="2211" w:type="dxa"/>
            <w:vMerge/>
            <w:shd w:val="clear" w:color="auto" w:fill="auto"/>
          </w:tcPr>
          <w:p w14:paraId="57F6E7F7" w14:textId="77777777" w:rsidR="00072E96" w:rsidRPr="007B3DA1" w:rsidRDefault="00072E96" w:rsidP="007B3DA1">
            <w:pPr>
              <w:pStyle w:val="Tablebodytext"/>
            </w:pPr>
          </w:p>
        </w:tc>
        <w:tc>
          <w:tcPr>
            <w:tcW w:w="2410" w:type="dxa"/>
            <w:shd w:val="clear" w:color="auto" w:fill="auto"/>
          </w:tcPr>
          <w:p w14:paraId="362DD934" w14:textId="77777777" w:rsidR="00072E96" w:rsidRPr="007B3DA1" w:rsidRDefault="00072E96" w:rsidP="007B3DA1">
            <w:pPr>
              <w:pStyle w:val="Tablebodytext"/>
            </w:pPr>
            <w:r w:rsidRPr="007B3DA1">
              <w:t>Missing</w:t>
            </w:r>
          </w:p>
        </w:tc>
        <w:tc>
          <w:tcPr>
            <w:tcW w:w="1134" w:type="dxa"/>
            <w:shd w:val="clear" w:color="auto" w:fill="auto"/>
          </w:tcPr>
          <w:p w14:paraId="17F27E01" w14:textId="77777777" w:rsidR="00072E96" w:rsidRPr="007B3DA1" w:rsidRDefault="00072E96" w:rsidP="007B3DA1">
            <w:pPr>
              <w:pStyle w:val="Tablebodytext"/>
              <w:jc w:val="right"/>
            </w:pPr>
            <w:r w:rsidRPr="007B3DA1">
              <w:t>106</w:t>
            </w:r>
          </w:p>
        </w:tc>
        <w:tc>
          <w:tcPr>
            <w:tcW w:w="1139" w:type="dxa"/>
            <w:shd w:val="clear" w:color="auto" w:fill="auto"/>
          </w:tcPr>
          <w:p w14:paraId="4CD8A53C" w14:textId="77777777" w:rsidR="00072E96" w:rsidRPr="007B3DA1" w:rsidRDefault="00072E96" w:rsidP="007B3DA1">
            <w:pPr>
              <w:pStyle w:val="Tablebodytext"/>
              <w:jc w:val="right"/>
            </w:pPr>
            <w:r w:rsidRPr="007B3DA1">
              <w:t>0.9</w:t>
            </w:r>
          </w:p>
        </w:tc>
      </w:tr>
      <w:tr w:rsidR="00072E96" w:rsidRPr="007B3DA1" w14:paraId="77F7053F" w14:textId="77777777" w:rsidTr="00072E96">
        <w:trPr>
          <w:cnfStyle w:val="000000010000" w:firstRow="0" w:lastRow="0" w:firstColumn="0" w:lastColumn="0" w:oddVBand="0" w:evenVBand="0" w:oddHBand="0" w:evenHBand="1" w:firstRowFirstColumn="0" w:firstRowLastColumn="0" w:lastRowFirstColumn="0" w:lastRowLastColumn="0"/>
        </w:trPr>
        <w:tc>
          <w:tcPr>
            <w:tcW w:w="2211" w:type="dxa"/>
            <w:vMerge w:val="restart"/>
            <w:shd w:val="clear" w:color="auto" w:fill="DEE8F1"/>
          </w:tcPr>
          <w:p w14:paraId="52F3E166" w14:textId="77777777" w:rsidR="00072E96" w:rsidRPr="007B3DA1" w:rsidRDefault="00072E96" w:rsidP="007B3DA1">
            <w:pPr>
              <w:pStyle w:val="Tablebodytext"/>
            </w:pPr>
            <w:r w:rsidRPr="007B3DA1">
              <w:t>Foreign Ownership</w:t>
            </w:r>
          </w:p>
        </w:tc>
        <w:tc>
          <w:tcPr>
            <w:tcW w:w="2410" w:type="dxa"/>
            <w:shd w:val="clear" w:color="auto" w:fill="DEE8F1"/>
          </w:tcPr>
          <w:p w14:paraId="711AE0CA" w14:textId="77777777" w:rsidR="00072E96" w:rsidRPr="007B3DA1" w:rsidRDefault="00072E96" w:rsidP="007B3DA1">
            <w:pPr>
              <w:pStyle w:val="Tablebodytext"/>
            </w:pPr>
            <w:r w:rsidRPr="007B3DA1">
              <w:t>No</w:t>
            </w:r>
          </w:p>
        </w:tc>
        <w:tc>
          <w:tcPr>
            <w:tcW w:w="1134" w:type="dxa"/>
            <w:shd w:val="clear" w:color="auto" w:fill="DEE8F1"/>
          </w:tcPr>
          <w:p w14:paraId="2F2EA450" w14:textId="77777777" w:rsidR="00072E96" w:rsidRPr="007B3DA1" w:rsidRDefault="00072E96" w:rsidP="007B3DA1">
            <w:pPr>
              <w:pStyle w:val="Tablebodytext"/>
              <w:jc w:val="right"/>
            </w:pPr>
            <w:r w:rsidRPr="007B3DA1">
              <w:t>10857</w:t>
            </w:r>
          </w:p>
        </w:tc>
        <w:tc>
          <w:tcPr>
            <w:tcW w:w="1139" w:type="dxa"/>
            <w:shd w:val="clear" w:color="auto" w:fill="DEE8F1"/>
          </w:tcPr>
          <w:p w14:paraId="2B625F84" w14:textId="77777777" w:rsidR="00072E96" w:rsidRPr="007B3DA1" w:rsidRDefault="00072E96" w:rsidP="007B3DA1">
            <w:pPr>
              <w:pStyle w:val="Tablebodytext"/>
              <w:jc w:val="right"/>
            </w:pPr>
            <w:r w:rsidRPr="007B3DA1">
              <w:t>86.6</w:t>
            </w:r>
          </w:p>
        </w:tc>
      </w:tr>
      <w:tr w:rsidR="00072E96" w:rsidRPr="007B3DA1" w14:paraId="6C486187" w14:textId="77777777" w:rsidTr="00072E96">
        <w:trPr>
          <w:cnfStyle w:val="000000100000" w:firstRow="0" w:lastRow="0" w:firstColumn="0" w:lastColumn="0" w:oddVBand="0" w:evenVBand="0" w:oddHBand="1" w:evenHBand="0" w:firstRowFirstColumn="0" w:firstRowLastColumn="0" w:lastRowFirstColumn="0" w:lastRowLastColumn="0"/>
        </w:trPr>
        <w:tc>
          <w:tcPr>
            <w:tcW w:w="2211" w:type="dxa"/>
            <w:vMerge/>
          </w:tcPr>
          <w:p w14:paraId="5A9127DD" w14:textId="77777777" w:rsidR="00072E96" w:rsidRPr="007B3DA1" w:rsidRDefault="00072E96" w:rsidP="007B3DA1">
            <w:pPr>
              <w:pStyle w:val="Tablebodytext"/>
            </w:pPr>
          </w:p>
        </w:tc>
        <w:tc>
          <w:tcPr>
            <w:tcW w:w="2410" w:type="dxa"/>
          </w:tcPr>
          <w:p w14:paraId="0DB32B5F" w14:textId="77777777" w:rsidR="00072E96" w:rsidRPr="007B3DA1" w:rsidRDefault="00072E96" w:rsidP="007B3DA1">
            <w:pPr>
              <w:pStyle w:val="Tablebodytext"/>
            </w:pPr>
            <w:r w:rsidRPr="007B3DA1">
              <w:t>Yes</w:t>
            </w:r>
          </w:p>
        </w:tc>
        <w:tc>
          <w:tcPr>
            <w:tcW w:w="1134" w:type="dxa"/>
          </w:tcPr>
          <w:p w14:paraId="2D938613" w14:textId="77777777" w:rsidR="00072E96" w:rsidRPr="007B3DA1" w:rsidRDefault="00072E96" w:rsidP="007B3DA1">
            <w:pPr>
              <w:pStyle w:val="Tablebodytext"/>
              <w:jc w:val="right"/>
            </w:pPr>
            <w:r w:rsidRPr="007B3DA1">
              <w:t>1587</w:t>
            </w:r>
          </w:p>
        </w:tc>
        <w:tc>
          <w:tcPr>
            <w:tcW w:w="1139" w:type="dxa"/>
          </w:tcPr>
          <w:p w14:paraId="0F8B40FA" w14:textId="77777777" w:rsidR="00072E96" w:rsidRPr="007B3DA1" w:rsidRDefault="00072E96" w:rsidP="007B3DA1">
            <w:pPr>
              <w:pStyle w:val="Tablebodytext"/>
              <w:jc w:val="right"/>
            </w:pPr>
            <w:r w:rsidRPr="007B3DA1">
              <w:t>12.7</w:t>
            </w:r>
          </w:p>
        </w:tc>
      </w:tr>
      <w:tr w:rsidR="00072E96" w:rsidRPr="007B3DA1" w14:paraId="42ADE983" w14:textId="77777777" w:rsidTr="00072E96">
        <w:trPr>
          <w:cnfStyle w:val="000000010000" w:firstRow="0" w:lastRow="0" w:firstColumn="0" w:lastColumn="0" w:oddVBand="0" w:evenVBand="0" w:oddHBand="0" w:evenHBand="1" w:firstRowFirstColumn="0" w:firstRowLastColumn="0" w:lastRowFirstColumn="0" w:lastRowLastColumn="0"/>
        </w:trPr>
        <w:tc>
          <w:tcPr>
            <w:tcW w:w="2211" w:type="dxa"/>
            <w:vMerge/>
            <w:shd w:val="clear" w:color="auto" w:fill="DEE8F1"/>
          </w:tcPr>
          <w:p w14:paraId="2FD2666A" w14:textId="77777777" w:rsidR="00072E96" w:rsidRPr="007B3DA1" w:rsidRDefault="00072E96" w:rsidP="007B3DA1">
            <w:pPr>
              <w:pStyle w:val="Tablebodytext"/>
            </w:pPr>
          </w:p>
        </w:tc>
        <w:tc>
          <w:tcPr>
            <w:tcW w:w="2410" w:type="dxa"/>
            <w:shd w:val="clear" w:color="auto" w:fill="DEE8F1"/>
          </w:tcPr>
          <w:p w14:paraId="35AFB96A" w14:textId="77777777" w:rsidR="00072E96" w:rsidRPr="007B3DA1" w:rsidRDefault="00072E96" w:rsidP="007B3DA1">
            <w:pPr>
              <w:pStyle w:val="Tablebodytext"/>
            </w:pPr>
            <w:r w:rsidRPr="007B3DA1">
              <w:t xml:space="preserve">Missing </w:t>
            </w:r>
          </w:p>
        </w:tc>
        <w:tc>
          <w:tcPr>
            <w:tcW w:w="1134" w:type="dxa"/>
            <w:shd w:val="clear" w:color="auto" w:fill="DEE8F1"/>
          </w:tcPr>
          <w:p w14:paraId="3168E73C" w14:textId="77777777" w:rsidR="00072E96" w:rsidRPr="007B3DA1" w:rsidRDefault="00072E96" w:rsidP="007B3DA1">
            <w:pPr>
              <w:pStyle w:val="Tablebodytext"/>
              <w:jc w:val="right"/>
            </w:pPr>
            <w:r w:rsidRPr="007B3DA1">
              <w:t>92</w:t>
            </w:r>
          </w:p>
        </w:tc>
        <w:tc>
          <w:tcPr>
            <w:tcW w:w="1139" w:type="dxa"/>
            <w:shd w:val="clear" w:color="auto" w:fill="DEE8F1"/>
          </w:tcPr>
          <w:p w14:paraId="207BA677" w14:textId="77777777" w:rsidR="00072E96" w:rsidRPr="007B3DA1" w:rsidRDefault="00072E96" w:rsidP="007B3DA1">
            <w:pPr>
              <w:pStyle w:val="Tablebodytext"/>
              <w:jc w:val="right"/>
            </w:pPr>
            <w:r w:rsidRPr="007B3DA1">
              <w:t>0.7</w:t>
            </w:r>
          </w:p>
        </w:tc>
      </w:tr>
      <w:tr w:rsidR="00072E96" w:rsidRPr="007B3DA1" w14:paraId="62A176B0" w14:textId="77777777" w:rsidTr="00072E96">
        <w:trPr>
          <w:cnfStyle w:val="000000100000" w:firstRow="0" w:lastRow="0" w:firstColumn="0" w:lastColumn="0" w:oddVBand="0" w:evenVBand="0" w:oddHBand="1" w:evenHBand="0" w:firstRowFirstColumn="0" w:firstRowLastColumn="0" w:lastRowFirstColumn="0" w:lastRowLastColumn="0"/>
        </w:trPr>
        <w:tc>
          <w:tcPr>
            <w:tcW w:w="2211" w:type="dxa"/>
            <w:vMerge w:val="restart"/>
            <w:shd w:val="clear" w:color="auto" w:fill="FFFFFF" w:themeFill="background1"/>
          </w:tcPr>
          <w:p w14:paraId="60EA948B" w14:textId="77777777" w:rsidR="00072E96" w:rsidRPr="007B3DA1" w:rsidRDefault="00072E96" w:rsidP="007B3DA1">
            <w:pPr>
              <w:pStyle w:val="Tablebodytext"/>
            </w:pPr>
            <w:r w:rsidRPr="007B3DA1">
              <w:t>Innovation-active</w:t>
            </w:r>
          </w:p>
        </w:tc>
        <w:tc>
          <w:tcPr>
            <w:tcW w:w="2410" w:type="dxa"/>
            <w:shd w:val="clear" w:color="auto" w:fill="FFFFFF" w:themeFill="background1"/>
          </w:tcPr>
          <w:p w14:paraId="22517808" w14:textId="77777777" w:rsidR="00072E96" w:rsidRPr="007B3DA1" w:rsidRDefault="00072E96" w:rsidP="007B3DA1">
            <w:pPr>
              <w:pStyle w:val="Tablebodytext"/>
            </w:pPr>
            <w:r w:rsidRPr="007B3DA1">
              <w:t>No</w:t>
            </w:r>
          </w:p>
        </w:tc>
        <w:tc>
          <w:tcPr>
            <w:tcW w:w="1134" w:type="dxa"/>
            <w:shd w:val="clear" w:color="auto" w:fill="FFFFFF" w:themeFill="background1"/>
          </w:tcPr>
          <w:p w14:paraId="2A769516" w14:textId="77777777" w:rsidR="00072E96" w:rsidRPr="007B3DA1" w:rsidRDefault="00072E96" w:rsidP="007B3DA1">
            <w:pPr>
              <w:pStyle w:val="Tablebodytext"/>
              <w:jc w:val="right"/>
            </w:pPr>
            <w:r w:rsidRPr="007B3DA1">
              <w:t>4805</w:t>
            </w:r>
          </w:p>
        </w:tc>
        <w:tc>
          <w:tcPr>
            <w:tcW w:w="1139" w:type="dxa"/>
            <w:shd w:val="clear" w:color="auto" w:fill="FFFFFF" w:themeFill="background1"/>
          </w:tcPr>
          <w:p w14:paraId="22424017" w14:textId="77777777" w:rsidR="00072E96" w:rsidRPr="007B3DA1" w:rsidRDefault="00072E96" w:rsidP="007B3DA1">
            <w:pPr>
              <w:pStyle w:val="Tablebodytext"/>
              <w:jc w:val="right"/>
            </w:pPr>
            <w:r w:rsidRPr="007B3DA1">
              <w:t>30.3</w:t>
            </w:r>
          </w:p>
        </w:tc>
      </w:tr>
      <w:tr w:rsidR="00072E96" w:rsidRPr="007B3DA1" w14:paraId="21395505" w14:textId="77777777" w:rsidTr="00072E96">
        <w:trPr>
          <w:cnfStyle w:val="000000010000" w:firstRow="0" w:lastRow="0" w:firstColumn="0" w:lastColumn="0" w:oddVBand="0" w:evenVBand="0" w:oddHBand="0" w:evenHBand="1" w:firstRowFirstColumn="0" w:firstRowLastColumn="0" w:lastRowFirstColumn="0" w:lastRowLastColumn="0"/>
        </w:trPr>
        <w:tc>
          <w:tcPr>
            <w:tcW w:w="2211" w:type="dxa"/>
            <w:vMerge/>
          </w:tcPr>
          <w:p w14:paraId="675330F3" w14:textId="77777777" w:rsidR="00072E96" w:rsidRPr="007B3DA1" w:rsidRDefault="00072E96" w:rsidP="007B3DA1">
            <w:pPr>
              <w:pStyle w:val="Tablebodytext"/>
            </w:pPr>
          </w:p>
        </w:tc>
        <w:tc>
          <w:tcPr>
            <w:tcW w:w="2410" w:type="dxa"/>
          </w:tcPr>
          <w:p w14:paraId="7D89D382" w14:textId="77777777" w:rsidR="00072E96" w:rsidRPr="007B3DA1" w:rsidRDefault="00072E96" w:rsidP="007B3DA1">
            <w:pPr>
              <w:pStyle w:val="Tablebodytext"/>
            </w:pPr>
            <w:r w:rsidRPr="007B3DA1">
              <w:t>Yes</w:t>
            </w:r>
          </w:p>
        </w:tc>
        <w:tc>
          <w:tcPr>
            <w:tcW w:w="1134" w:type="dxa"/>
          </w:tcPr>
          <w:p w14:paraId="2B841E62" w14:textId="77777777" w:rsidR="00072E96" w:rsidRPr="007B3DA1" w:rsidRDefault="00072E96" w:rsidP="007B3DA1">
            <w:pPr>
              <w:pStyle w:val="Tablebodytext"/>
              <w:jc w:val="right"/>
            </w:pPr>
            <w:r w:rsidRPr="007B3DA1">
              <w:t>7731</w:t>
            </w:r>
          </w:p>
        </w:tc>
        <w:tc>
          <w:tcPr>
            <w:tcW w:w="1139" w:type="dxa"/>
          </w:tcPr>
          <w:p w14:paraId="068E6EB2" w14:textId="77777777" w:rsidR="00072E96" w:rsidRPr="007B3DA1" w:rsidRDefault="00072E96" w:rsidP="007B3DA1">
            <w:pPr>
              <w:pStyle w:val="Tablebodytext"/>
              <w:jc w:val="right"/>
            </w:pPr>
            <w:r w:rsidRPr="007B3DA1">
              <w:t>61.7</w:t>
            </w:r>
          </w:p>
        </w:tc>
      </w:tr>
    </w:tbl>
    <w:p w14:paraId="56F64413" w14:textId="77777777" w:rsidR="00072E96" w:rsidRDefault="00072E96" w:rsidP="00072E96">
      <w:pPr>
        <w:pStyle w:val="Note"/>
        <w:rPr>
          <w:lang w:eastAsia="en-AU"/>
        </w:rPr>
      </w:pPr>
    </w:p>
    <w:p w14:paraId="20A73992" w14:textId="1269AB1E" w:rsidR="00072E96" w:rsidRDefault="00072E96" w:rsidP="00072E96">
      <w:pPr>
        <w:pStyle w:val="Source"/>
        <w:rPr>
          <w:rFonts w:eastAsia="Arial"/>
          <w:szCs w:val="16"/>
        </w:rPr>
      </w:pPr>
      <w:r>
        <w:rPr>
          <w:lang w:eastAsia="en-AU"/>
        </w:rPr>
        <w:t xml:space="preserve">Source: </w:t>
      </w:r>
      <w:r>
        <w:rPr>
          <w:rFonts w:eastAsia="Arial"/>
          <w:szCs w:val="16"/>
        </w:rPr>
        <w:t>Australian Bureau of Statistics 2016, Management and Organisational Capabilities of Australian Business, 2015–16. Expanded Confidentialised Unit Record File (CURF)</w:t>
      </w:r>
    </w:p>
    <w:p w14:paraId="7F499482" w14:textId="736B19FE" w:rsidR="00072E96" w:rsidRDefault="00072E96" w:rsidP="00072E96">
      <w:pPr>
        <w:pStyle w:val="BodyText"/>
      </w:pPr>
      <w:r>
        <w:t xml:space="preserve">The Table 3.5 presents the basic sample descriptive statistics of the </w:t>
      </w:r>
      <w:r w:rsidR="00F4384C">
        <w:br/>
      </w:r>
      <w:r>
        <w:t>manager level characteristics for the sample of MCM respondents for the period 2015–16.</w:t>
      </w:r>
    </w:p>
    <w:p w14:paraId="07E1E5CB" w14:textId="4F49E95E" w:rsidR="00072E96" w:rsidRDefault="00072E96" w:rsidP="00072E96">
      <w:pPr>
        <w:pStyle w:val="Caption"/>
      </w:pPr>
      <w:r w:rsidRPr="000618FB">
        <w:lastRenderedPageBreak/>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3</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5</w:t>
      </w:r>
      <w:r>
        <w:rPr>
          <w:noProof/>
        </w:rPr>
        <w:fldChar w:fldCharType="end"/>
      </w:r>
      <w:r w:rsidRPr="000618FB">
        <w:t xml:space="preserve">: </w:t>
      </w:r>
      <w:r>
        <w:t>Descriptive statistics of principal manager characteristics, 2015–16</w:t>
      </w:r>
    </w:p>
    <w:tbl>
      <w:tblPr>
        <w:tblStyle w:val="OCETable"/>
        <w:tblW w:w="5000" w:type="pct"/>
        <w:tblInd w:w="57" w:type="dxa"/>
        <w:tblLayout w:type="fixed"/>
        <w:tblLook w:val="04A0" w:firstRow="1" w:lastRow="0" w:firstColumn="1" w:lastColumn="0" w:noHBand="0" w:noVBand="1"/>
        <w:tblCaption w:val="Table 3.5: Descriptive statistics of principal manager characteristics, 2015–16"/>
        <w:tblDescription w:val="Table 3.5 provides descriptive statistics of five different characteristics of the principal manager included in the Australian Bureau of Statistics’ Management and Organisational Capabilities of Australian Business, 2015–16. These characteristics are: age of the principal manager, gender of principal manager, tenure of the principal manager and education of the principal manager. Figures representing the characteristics of the principal manager are presented as frequencies and percentages.&#10;Principal managers in the age range 50 to 59 years old represented the largest group with 35 per cent of the sample. Male managers accounted for 80 per cent of the sample. Five years or less was the most common tenure of the principal manger with 27 per cent of the sample. And about 47 per cent of the principal managers had bachelor or above as educational level.&#10;"/>
      </w:tblPr>
      <w:tblGrid>
        <w:gridCol w:w="1723"/>
        <w:gridCol w:w="1724"/>
        <w:gridCol w:w="1723"/>
        <w:gridCol w:w="1724"/>
      </w:tblGrid>
      <w:tr w:rsidR="00072E96" w14:paraId="59EE45B3"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1723" w:type="dxa"/>
          </w:tcPr>
          <w:p w14:paraId="271EA640" w14:textId="77777777" w:rsidR="00072E96" w:rsidRDefault="00072E96" w:rsidP="00072E96">
            <w:pPr>
              <w:pStyle w:val="Tableheadertext"/>
              <w:jc w:val="center"/>
              <w:rPr>
                <w:lang w:val="en"/>
              </w:rPr>
            </w:pPr>
            <w:r>
              <w:rPr>
                <w:lang w:val="en"/>
              </w:rPr>
              <w:t>Variable</w:t>
            </w:r>
          </w:p>
        </w:tc>
        <w:tc>
          <w:tcPr>
            <w:tcW w:w="1724" w:type="dxa"/>
          </w:tcPr>
          <w:p w14:paraId="5DDCBC51" w14:textId="77777777" w:rsidR="00072E96" w:rsidRDefault="00072E96" w:rsidP="00072E96">
            <w:pPr>
              <w:pStyle w:val="Tableheadertext"/>
              <w:jc w:val="center"/>
              <w:rPr>
                <w:lang w:val="en"/>
              </w:rPr>
            </w:pPr>
            <w:r>
              <w:rPr>
                <w:lang w:val="en"/>
              </w:rPr>
              <w:t>Category</w:t>
            </w:r>
          </w:p>
        </w:tc>
        <w:tc>
          <w:tcPr>
            <w:tcW w:w="1723" w:type="dxa"/>
          </w:tcPr>
          <w:p w14:paraId="78315750" w14:textId="77777777" w:rsidR="00072E96" w:rsidRDefault="00072E96" w:rsidP="00597784">
            <w:pPr>
              <w:pStyle w:val="Tableheadertext"/>
              <w:jc w:val="right"/>
              <w:rPr>
                <w:lang w:val="en"/>
              </w:rPr>
            </w:pPr>
            <w:r>
              <w:rPr>
                <w:lang w:val="en"/>
              </w:rPr>
              <w:t>Sample size</w:t>
            </w:r>
          </w:p>
        </w:tc>
        <w:tc>
          <w:tcPr>
            <w:tcW w:w="1724" w:type="dxa"/>
          </w:tcPr>
          <w:p w14:paraId="17EF7F2B" w14:textId="7AD64EF9" w:rsidR="00072E96" w:rsidRDefault="00072E96" w:rsidP="00597784">
            <w:pPr>
              <w:pStyle w:val="Tableheadertext"/>
              <w:jc w:val="right"/>
              <w:rPr>
                <w:lang w:val="en"/>
              </w:rPr>
            </w:pPr>
            <w:r>
              <w:rPr>
                <w:lang w:val="en"/>
              </w:rPr>
              <w:t>Per cent</w:t>
            </w:r>
          </w:p>
        </w:tc>
      </w:tr>
      <w:tr w:rsidR="00072E96" w14:paraId="076234B7"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val="restart"/>
          </w:tcPr>
          <w:p w14:paraId="24F4BCE5" w14:textId="77777777" w:rsidR="00072E96" w:rsidRPr="003924F0" w:rsidRDefault="00072E96" w:rsidP="003924F0">
            <w:pPr>
              <w:pStyle w:val="Tablebodytext"/>
            </w:pPr>
          </w:p>
          <w:p w14:paraId="5BFF6100" w14:textId="77777777" w:rsidR="00072E96" w:rsidRPr="003924F0" w:rsidRDefault="00072E96" w:rsidP="003924F0">
            <w:pPr>
              <w:pStyle w:val="Tablebodytext"/>
            </w:pPr>
          </w:p>
          <w:p w14:paraId="6F392599" w14:textId="77777777" w:rsidR="00072E96" w:rsidRPr="003924F0" w:rsidRDefault="00072E96" w:rsidP="003924F0">
            <w:pPr>
              <w:pStyle w:val="Tablebodytext"/>
            </w:pPr>
          </w:p>
          <w:p w14:paraId="7E644E4C" w14:textId="77777777" w:rsidR="00072E96" w:rsidRPr="003924F0" w:rsidRDefault="00072E96" w:rsidP="003924F0">
            <w:pPr>
              <w:pStyle w:val="Tablebodytext"/>
            </w:pPr>
            <w:r w:rsidRPr="003924F0">
              <w:t>Age of Principal Manager</w:t>
            </w:r>
          </w:p>
        </w:tc>
        <w:tc>
          <w:tcPr>
            <w:tcW w:w="1724" w:type="dxa"/>
          </w:tcPr>
          <w:p w14:paraId="691CB337" w14:textId="77777777" w:rsidR="00072E96" w:rsidRPr="003924F0" w:rsidRDefault="00072E96" w:rsidP="003924F0">
            <w:pPr>
              <w:pStyle w:val="Tablebodytext"/>
            </w:pPr>
            <w:r w:rsidRPr="003924F0">
              <w:t>Less than 30 years old</w:t>
            </w:r>
          </w:p>
        </w:tc>
        <w:tc>
          <w:tcPr>
            <w:tcW w:w="1723" w:type="dxa"/>
          </w:tcPr>
          <w:p w14:paraId="0D143DB2" w14:textId="77777777" w:rsidR="00072E96" w:rsidRDefault="00072E96" w:rsidP="00072E96">
            <w:pPr>
              <w:pStyle w:val="Tablebodytext"/>
              <w:jc w:val="right"/>
              <w:rPr>
                <w:lang w:val="en"/>
              </w:rPr>
            </w:pPr>
            <w:r w:rsidRPr="00F07FD5">
              <w:rPr>
                <w:lang w:val="en"/>
              </w:rPr>
              <w:t>296</w:t>
            </w:r>
          </w:p>
        </w:tc>
        <w:tc>
          <w:tcPr>
            <w:tcW w:w="1724" w:type="dxa"/>
          </w:tcPr>
          <w:p w14:paraId="5C8F7AAD" w14:textId="77777777" w:rsidR="00072E96" w:rsidRDefault="00072E96" w:rsidP="00072E96">
            <w:pPr>
              <w:pStyle w:val="Tablebodytext"/>
              <w:jc w:val="right"/>
              <w:rPr>
                <w:lang w:val="en"/>
              </w:rPr>
            </w:pPr>
            <w:r w:rsidRPr="00F07FD5">
              <w:rPr>
                <w:lang w:val="en"/>
              </w:rPr>
              <w:t>2.36</w:t>
            </w:r>
          </w:p>
        </w:tc>
      </w:tr>
      <w:tr w:rsidR="00072E96" w14:paraId="7A53CEF3"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DEE8F1"/>
          </w:tcPr>
          <w:p w14:paraId="5D8CF93D" w14:textId="77777777" w:rsidR="00072E96" w:rsidRPr="003924F0" w:rsidRDefault="00072E96" w:rsidP="003924F0">
            <w:pPr>
              <w:pStyle w:val="Tablebodytext"/>
            </w:pPr>
          </w:p>
        </w:tc>
        <w:tc>
          <w:tcPr>
            <w:tcW w:w="1724" w:type="dxa"/>
            <w:shd w:val="clear" w:color="auto" w:fill="DEE8F1"/>
          </w:tcPr>
          <w:p w14:paraId="0442922C" w14:textId="77777777" w:rsidR="00072E96" w:rsidRPr="003924F0" w:rsidRDefault="00072E96" w:rsidP="003924F0">
            <w:pPr>
              <w:pStyle w:val="Tablebodytext"/>
            </w:pPr>
            <w:r w:rsidRPr="003924F0">
              <w:t>30 to 39 years old</w:t>
            </w:r>
          </w:p>
        </w:tc>
        <w:tc>
          <w:tcPr>
            <w:tcW w:w="1723" w:type="dxa"/>
            <w:shd w:val="clear" w:color="auto" w:fill="DEE8F1"/>
          </w:tcPr>
          <w:p w14:paraId="08EE62E0" w14:textId="77777777" w:rsidR="00072E96" w:rsidRDefault="00072E96" w:rsidP="00072E96">
            <w:pPr>
              <w:pStyle w:val="Tablebodytext"/>
              <w:jc w:val="right"/>
              <w:rPr>
                <w:lang w:val="en"/>
              </w:rPr>
            </w:pPr>
            <w:r w:rsidRPr="00F07FD5">
              <w:rPr>
                <w:lang w:val="en"/>
              </w:rPr>
              <w:t>1,532</w:t>
            </w:r>
          </w:p>
        </w:tc>
        <w:tc>
          <w:tcPr>
            <w:tcW w:w="1724" w:type="dxa"/>
            <w:shd w:val="clear" w:color="auto" w:fill="DEE8F1"/>
          </w:tcPr>
          <w:p w14:paraId="3C53EA64" w14:textId="77777777" w:rsidR="00072E96" w:rsidRDefault="00072E96" w:rsidP="00072E96">
            <w:pPr>
              <w:pStyle w:val="Tablebodytext"/>
              <w:jc w:val="right"/>
              <w:rPr>
                <w:lang w:val="en"/>
              </w:rPr>
            </w:pPr>
            <w:r w:rsidRPr="00F07FD5">
              <w:rPr>
                <w:lang w:val="en"/>
              </w:rPr>
              <w:t>12.22</w:t>
            </w:r>
          </w:p>
        </w:tc>
      </w:tr>
      <w:tr w:rsidR="00072E96" w14:paraId="30681D49"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tcPr>
          <w:p w14:paraId="7C372B32" w14:textId="77777777" w:rsidR="00072E96" w:rsidRPr="003924F0" w:rsidRDefault="00072E96" w:rsidP="003924F0">
            <w:pPr>
              <w:pStyle w:val="Tablebodytext"/>
            </w:pPr>
          </w:p>
        </w:tc>
        <w:tc>
          <w:tcPr>
            <w:tcW w:w="1724" w:type="dxa"/>
          </w:tcPr>
          <w:p w14:paraId="6B812528" w14:textId="77777777" w:rsidR="00072E96" w:rsidRPr="003924F0" w:rsidRDefault="00072E96" w:rsidP="003924F0">
            <w:pPr>
              <w:pStyle w:val="Tablebodytext"/>
            </w:pPr>
            <w:r w:rsidRPr="003924F0">
              <w:t>40 to 49 years old</w:t>
            </w:r>
          </w:p>
        </w:tc>
        <w:tc>
          <w:tcPr>
            <w:tcW w:w="1723" w:type="dxa"/>
          </w:tcPr>
          <w:p w14:paraId="547B6372" w14:textId="77777777" w:rsidR="00072E96" w:rsidRDefault="00072E96" w:rsidP="00072E96">
            <w:pPr>
              <w:pStyle w:val="Tablebodytext"/>
              <w:jc w:val="right"/>
              <w:rPr>
                <w:lang w:val="en"/>
              </w:rPr>
            </w:pPr>
            <w:r w:rsidRPr="00F07FD5">
              <w:rPr>
                <w:lang w:val="en"/>
              </w:rPr>
              <w:t>3,451</w:t>
            </w:r>
          </w:p>
        </w:tc>
        <w:tc>
          <w:tcPr>
            <w:tcW w:w="1724" w:type="dxa"/>
          </w:tcPr>
          <w:p w14:paraId="1CA2E641" w14:textId="77777777" w:rsidR="00072E96" w:rsidRDefault="00072E96" w:rsidP="00072E96">
            <w:pPr>
              <w:pStyle w:val="Tablebodytext"/>
              <w:jc w:val="right"/>
              <w:rPr>
                <w:lang w:val="en"/>
              </w:rPr>
            </w:pPr>
            <w:r w:rsidRPr="00F07FD5">
              <w:rPr>
                <w:lang w:val="en"/>
              </w:rPr>
              <w:t>27.53</w:t>
            </w:r>
          </w:p>
        </w:tc>
      </w:tr>
      <w:tr w:rsidR="00072E96" w14:paraId="3E983477"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DEE8F1"/>
          </w:tcPr>
          <w:p w14:paraId="253852E9" w14:textId="77777777" w:rsidR="00072E96" w:rsidRPr="003924F0" w:rsidRDefault="00072E96" w:rsidP="003924F0">
            <w:pPr>
              <w:pStyle w:val="Tablebodytext"/>
            </w:pPr>
          </w:p>
        </w:tc>
        <w:tc>
          <w:tcPr>
            <w:tcW w:w="1724" w:type="dxa"/>
            <w:shd w:val="clear" w:color="auto" w:fill="DEE8F1"/>
          </w:tcPr>
          <w:p w14:paraId="7CD182DE" w14:textId="77777777" w:rsidR="00072E96" w:rsidRPr="003924F0" w:rsidRDefault="00072E96" w:rsidP="003924F0">
            <w:pPr>
              <w:pStyle w:val="Tablebodytext"/>
            </w:pPr>
            <w:r w:rsidRPr="003924F0">
              <w:t>50 to 59 years old</w:t>
            </w:r>
          </w:p>
        </w:tc>
        <w:tc>
          <w:tcPr>
            <w:tcW w:w="1723" w:type="dxa"/>
            <w:shd w:val="clear" w:color="auto" w:fill="DEE8F1"/>
          </w:tcPr>
          <w:p w14:paraId="0C9670C5" w14:textId="77777777" w:rsidR="00072E96" w:rsidRDefault="00072E96" w:rsidP="00072E96">
            <w:pPr>
              <w:pStyle w:val="Tablebodytext"/>
              <w:jc w:val="right"/>
              <w:rPr>
                <w:lang w:val="en"/>
              </w:rPr>
            </w:pPr>
            <w:r w:rsidRPr="00F07FD5">
              <w:rPr>
                <w:lang w:val="en"/>
              </w:rPr>
              <w:t>4,406</w:t>
            </w:r>
          </w:p>
        </w:tc>
        <w:tc>
          <w:tcPr>
            <w:tcW w:w="1724" w:type="dxa"/>
            <w:shd w:val="clear" w:color="auto" w:fill="DEE8F1"/>
          </w:tcPr>
          <w:p w14:paraId="0270DB42" w14:textId="77777777" w:rsidR="00072E96" w:rsidRDefault="00072E96" w:rsidP="00072E96">
            <w:pPr>
              <w:pStyle w:val="Tablebodytext"/>
              <w:jc w:val="right"/>
              <w:rPr>
                <w:lang w:val="en"/>
              </w:rPr>
            </w:pPr>
            <w:r w:rsidRPr="00F07FD5">
              <w:rPr>
                <w:lang w:val="en"/>
              </w:rPr>
              <w:t>35.15</w:t>
            </w:r>
          </w:p>
        </w:tc>
      </w:tr>
      <w:tr w:rsidR="00072E96" w14:paraId="68CA3630"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tcPr>
          <w:p w14:paraId="702189A1" w14:textId="77777777" w:rsidR="00072E96" w:rsidRPr="003924F0" w:rsidRDefault="00072E96" w:rsidP="003924F0">
            <w:pPr>
              <w:pStyle w:val="Tablebodytext"/>
            </w:pPr>
          </w:p>
        </w:tc>
        <w:tc>
          <w:tcPr>
            <w:tcW w:w="1724" w:type="dxa"/>
          </w:tcPr>
          <w:p w14:paraId="51A9D282" w14:textId="77777777" w:rsidR="00072E96" w:rsidRPr="003924F0" w:rsidRDefault="00072E96" w:rsidP="003924F0">
            <w:pPr>
              <w:pStyle w:val="Tablebodytext"/>
            </w:pPr>
            <w:r w:rsidRPr="003924F0">
              <w:t>60 or more years old</w:t>
            </w:r>
          </w:p>
        </w:tc>
        <w:tc>
          <w:tcPr>
            <w:tcW w:w="1723" w:type="dxa"/>
          </w:tcPr>
          <w:p w14:paraId="7AFDAA27" w14:textId="77777777" w:rsidR="00072E96" w:rsidRDefault="00072E96" w:rsidP="00072E96">
            <w:pPr>
              <w:pStyle w:val="Tablebodytext"/>
              <w:jc w:val="right"/>
              <w:rPr>
                <w:lang w:val="en"/>
              </w:rPr>
            </w:pPr>
            <w:r w:rsidRPr="00F07FD5">
              <w:rPr>
                <w:lang w:val="en"/>
              </w:rPr>
              <w:t>2,617</w:t>
            </w:r>
          </w:p>
        </w:tc>
        <w:tc>
          <w:tcPr>
            <w:tcW w:w="1724" w:type="dxa"/>
          </w:tcPr>
          <w:p w14:paraId="70758DB4" w14:textId="77777777" w:rsidR="00072E96" w:rsidRDefault="00072E96" w:rsidP="00072E96">
            <w:pPr>
              <w:pStyle w:val="Tablebodytext"/>
              <w:jc w:val="right"/>
              <w:rPr>
                <w:lang w:val="en"/>
              </w:rPr>
            </w:pPr>
            <w:r w:rsidRPr="00F07FD5">
              <w:rPr>
                <w:lang w:val="en"/>
              </w:rPr>
              <w:t>20.88</w:t>
            </w:r>
          </w:p>
        </w:tc>
      </w:tr>
      <w:tr w:rsidR="00072E96" w14:paraId="72D1CE99"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DEE8F1"/>
          </w:tcPr>
          <w:p w14:paraId="308DBCC2" w14:textId="77777777" w:rsidR="00072E96" w:rsidRPr="003924F0" w:rsidRDefault="00072E96" w:rsidP="003924F0">
            <w:pPr>
              <w:pStyle w:val="Tablebodytext"/>
            </w:pPr>
          </w:p>
        </w:tc>
        <w:tc>
          <w:tcPr>
            <w:tcW w:w="1724" w:type="dxa"/>
            <w:shd w:val="clear" w:color="auto" w:fill="DEE8F1"/>
          </w:tcPr>
          <w:p w14:paraId="488F38D7" w14:textId="77777777" w:rsidR="00072E96" w:rsidRPr="003924F0" w:rsidRDefault="00072E96" w:rsidP="003924F0">
            <w:pPr>
              <w:pStyle w:val="Tablebodytext"/>
            </w:pPr>
            <w:r w:rsidRPr="003924F0">
              <w:t>Missing</w:t>
            </w:r>
          </w:p>
        </w:tc>
        <w:tc>
          <w:tcPr>
            <w:tcW w:w="1723" w:type="dxa"/>
            <w:shd w:val="clear" w:color="auto" w:fill="DEE8F1"/>
          </w:tcPr>
          <w:p w14:paraId="39846C31" w14:textId="77777777" w:rsidR="00072E96" w:rsidRDefault="00072E96" w:rsidP="00072E96">
            <w:pPr>
              <w:pStyle w:val="Tablebodytext"/>
              <w:jc w:val="right"/>
              <w:rPr>
                <w:lang w:val="en"/>
              </w:rPr>
            </w:pPr>
            <w:r w:rsidRPr="00F07FD5">
              <w:rPr>
                <w:lang w:val="en"/>
              </w:rPr>
              <w:t>234</w:t>
            </w:r>
          </w:p>
        </w:tc>
        <w:tc>
          <w:tcPr>
            <w:tcW w:w="1724" w:type="dxa"/>
            <w:shd w:val="clear" w:color="auto" w:fill="DEE8F1"/>
          </w:tcPr>
          <w:p w14:paraId="283776B5" w14:textId="77777777" w:rsidR="00072E96" w:rsidRDefault="00072E96" w:rsidP="00072E96">
            <w:pPr>
              <w:pStyle w:val="Tablebodytext"/>
              <w:jc w:val="right"/>
              <w:rPr>
                <w:lang w:val="en"/>
              </w:rPr>
            </w:pPr>
            <w:r w:rsidRPr="00F07FD5">
              <w:rPr>
                <w:lang w:val="en"/>
              </w:rPr>
              <w:t>1.87</w:t>
            </w:r>
          </w:p>
        </w:tc>
      </w:tr>
      <w:tr w:rsidR="00072E96" w14:paraId="6248827E"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val="restart"/>
            <w:shd w:val="clear" w:color="auto" w:fill="auto"/>
          </w:tcPr>
          <w:p w14:paraId="75EFC368" w14:textId="77777777" w:rsidR="00072E96" w:rsidRPr="003924F0" w:rsidRDefault="00072E96" w:rsidP="003924F0">
            <w:pPr>
              <w:pStyle w:val="Tablebodytext"/>
            </w:pPr>
          </w:p>
          <w:p w14:paraId="0A28687E" w14:textId="77777777" w:rsidR="00072E96" w:rsidRPr="003924F0" w:rsidRDefault="00072E96" w:rsidP="003924F0">
            <w:pPr>
              <w:pStyle w:val="Tablebodytext"/>
            </w:pPr>
            <w:r w:rsidRPr="003924F0">
              <w:t>Gender of Principal Manager</w:t>
            </w:r>
          </w:p>
        </w:tc>
        <w:tc>
          <w:tcPr>
            <w:tcW w:w="1724" w:type="dxa"/>
            <w:shd w:val="clear" w:color="auto" w:fill="auto"/>
          </w:tcPr>
          <w:p w14:paraId="4B3D590E" w14:textId="77777777" w:rsidR="00072E96" w:rsidRPr="003924F0" w:rsidRDefault="00072E96" w:rsidP="003924F0">
            <w:pPr>
              <w:pStyle w:val="Tablebodytext"/>
            </w:pPr>
            <w:r w:rsidRPr="003924F0">
              <w:t>Male</w:t>
            </w:r>
          </w:p>
        </w:tc>
        <w:tc>
          <w:tcPr>
            <w:tcW w:w="1723" w:type="dxa"/>
            <w:shd w:val="clear" w:color="auto" w:fill="auto"/>
          </w:tcPr>
          <w:p w14:paraId="0B8E392B" w14:textId="77777777" w:rsidR="00072E96" w:rsidRDefault="00072E96" w:rsidP="00072E96">
            <w:pPr>
              <w:pStyle w:val="Tablebodytext"/>
              <w:jc w:val="right"/>
              <w:rPr>
                <w:lang w:val="en"/>
              </w:rPr>
            </w:pPr>
            <w:r w:rsidRPr="00F07FD5">
              <w:rPr>
                <w:lang w:val="en"/>
              </w:rPr>
              <w:t>10,223</w:t>
            </w:r>
          </w:p>
        </w:tc>
        <w:tc>
          <w:tcPr>
            <w:tcW w:w="1724" w:type="dxa"/>
            <w:shd w:val="clear" w:color="auto" w:fill="auto"/>
          </w:tcPr>
          <w:p w14:paraId="6A33DA3F" w14:textId="77777777" w:rsidR="00072E96" w:rsidRDefault="00072E96" w:rsidP="00072E96">
            <w:pPr>
              <w:pStyle w:val="Tablebodytext"/>
              <w:jc w:val="right"/>
              <w:rPr>
                <w:lang w:val="en"/>
              </w:rPr>
            </w:pPr>
            <w:r w:rsidRPr="00F07FD5">
              <w:rPr>
                <w:lang w:val="en"/>
              </w:rPr>
              <w:t>81.55</w:t>
            </w:r>
          </w:p>
        </w:tc>
      </w:tr>
      <w:tr w:rsidR="00072E96" w14:paraId="5D3E24FF"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auto"/>
          </w:tcPr>
          <w:p w14:paraId="12C3134A" w14:textId="77777777" w:rsidR="00072E96" w:rsidRPr="003924F0" w:rsidRDefault="00072E96" w:rsidP="003924F0">
            <w:pPr>
              <w:pStyle w:val="Tablebodytext"/>
            </w:pPr>
          </w:p>
        </w:tc>
        <w:tc>
          <w:tcPr>
            <w:tcW w:w="1724" w:type="dxa"/>
            <w:shd w:val="clear" w:color="auto" w:fill="auto"/>
          </w:tcPr>
          <w:p w14:paraId="60C7A67E" w14:textId="77777777" w:rsidR="00072E96" w:rsidRPr="003924F0" w:rsidRDefault="00072E96" w:rsidP="003924F0">
            <w:pPr>
              <w:pStyle w:val="Tablebodytext"/>
            </w:pPr>
            <w:r w:rsidRPr="003924F0">
              <w:t>Female</w:t>
            </w:r>
          </w:p>
        </w:tc>
        <w:tc>
          <w:tcPr>
            <w:tcW w:w="1723" w:type="dxa"/>
            <w:shd w:val="clear" w:color="auto" w:fill="auto"/>
          </w:tcPr>
          <w:p w14:paraId="664B1AD8" w14:textId="77777777" w:rsidR="00072E96" w:rsidRDefault="00072E96" w:rsidP="00072E96">
            <w:pPr>
              <w:pStyle w:val="Tablebodytext"/>
              <w:jc w:val="right"/>
              <w:rPr>
                <w:lang w:val="en"/>
              </w:rPr>
            </w:pPr>
            <w:r w:rsidRPr="00F07FD5">
              <w:rPr>
                <w:lang w:val="en"/>
              </w:rPr>
              <w:t>1,916</w:t>
            </w:r>
          </w:p>
        </w:tc>
        <w:tc>
          <w:tcPr>
            <w:tcW w:w="1724" w:type="dxa"/>
            <w:shd w:val="clear" w:color="auto" w:fill="auto"/>
          </w:tcPr>
          <w:p w14:paraId="6A51BFF6" w14:textId="77777777" w:rsidR="00072E96" w:rsidRDefault="00072E96" w:rsidP="00072E96">
            <w:pPr>
              <w:pStyle w:val="Tablebodytext"/>
              <w:jc w:val="right"/>
              <w:rPr>
                <w:lang w:val="en"/>
              </w:rPr>
            </w:pPr>
            <w:r w:rsidRPr="00F07FD5">
              <w:rPr>
                <w:lang w:val="en"/>
              </w:rPr>
              <w:t>15.28</w:t>
            </w:r>
          </w:p>
        </w:tc>
      </w:tr>
      <w:tr w:rsidR="00072E96" w14:paraId="49A4DD9A"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shd w:val="clear" w:color="auto" w:fill="auto"/>
          </w:tcPr>
          <w:p w14:paraId="341E224E" w14:textId="77777777" w:rsidR="00072E96" w:rsidRPr="003924F0" w:rsidRDefault="00072E96" w:rsidP="003924F0">
            <w:pPr>
              <w:pStyle w:val="Tablebodytext"/>
            </w:pPr>
          </w:p>
        </w:tc>
        <w:tc>
          <w:tcPr>
            <w:tcW w:w="1724" w:type="dxa"/>
            <w:shd w:val="clear" w:color="auto" w:fill="auto"/>
          </w:tcPr>
          <w:p w14:paraId="0316D1BF" w14:textId="77777777" w:rsidR="00072E96" w:rsidRPr="003924F0" w:rsidRDefault="00072E96" w:rsidP="003924F0">
            <w:pPr>
              <w:pStyle w:val="Tablebodytext"/>
            </w:pPr>
            <w:r w:rsidRPr="003924F0">
              <w:t>Missing</w:t>
            </w:r>
          </w:p>
        </w:tc>
        <w:tc>
          <w:tcPr>
            <w:tcW w:w="1723" w:type="dxa"/>
            <w:shd w:val="clear" w:color="auto" w:fill="auto"/>
          </w:tcPr>
          <w:p w14:paraId="1D7943D6" w14:textId="77777777" w:rsidR="00072E96" w:rsidRDefault="00072E96" w:rsidP="00072E96">
            <w:pPr>
              <w:pStyle w:val="Tablebodytext"/>
              <w:jc w:val="right"/>
              <w:rPr>
                <w:lang w:val="en"/>
              </w:rPr>
            </w:pPr>
            <w:r w:rsidRPr="00F07FD5">
              <w:rPr>
                <w:lang w:val="en"/>
              </w:rPr>
              <w:t>397</w:t>
            </w:r>
          </w:p>
        </w:tc>
        <w:tc>
          <w:tcPr>
            <w:tcW w:w="1724" w:type="dxa"/>
            <w:shd w:val="clear" w:color="auto" w:fill="auto"/>
          </w:tcPr>
          <w:p w14:paraId="502C2C1B" w14:textId="77777777" w:rsidR="00072E96" w:rsidRDefault="00072E96" w:rsidP="00072E96">
            <w:pPr>
              <w:pStyle w:val="Tablebodytext"/>
              <w:jc w:val="right"/>
              <w:rPr>
                <w:lang w:val="en"/>
              </w:rPr>
            </w:pPr>
            <w:r w:rsidRPr="00F07FD5">
              <w:rPr>
                <w:lang w:val="en"/>
              </w:rPr>
              <w:t>3.17</w:t>
            </w:r>
          </w:p>
        </w:tc>
      </w:tr>
      <w:tr w:rsidR="00072E96" w14:paraId="463E44BD"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val="restart"/>
            <w:shd w:val="clear" w:color="auto" w:fill="DEE8F1"/>
          </w:tcPr>
          <w:p w14:paraId="54D635F6" w14:textId="77777777" w:rsidR="00072E96" w:rsidRPr="003924F0" w:rsidRDefault="00072E96" w:rsidP="003924F0">
            <w:pPr>
              <w:pStyle w:val="Tablebodytext"/>
            </w:pPr>
          </w:p>
          <w:p w14:paraId="38E0F01D" w14:textId="77777777" w:rsidR="00072E96" w:rsidRPr="003924F0" w:rsidRDefault="00072E96" w:rsidP="003924F0">
            <w:pPr>
              <w:pStyle w:val="Tablebodytext"/>
            </w:pPr>
          </w:p>
          <w:p w14:paraId="286868E5" w14:textId="77777777" w:rsidR="00072E96" w:rsidRPr="003924F0" w:rsidRDefault="00072E96" w:rsidP="003924F0">
            <w:pPr>
              <w:pStyle w:val="Tablebodytext"/>
            </w:pPr>
          </w:p>
          <w:p w14:paraId="488CE34C" w14:textId="77777777" w:rsidR="00072E96" w:rsidRPr="003924F0" w:rsidRDefault="00072E96" w:rsidP="003924F0">
            <w:pPr>
              <w:pStyle w:val="Tablebodytext"/>
            </w:pPr>
            <w:r w:rsidRPr="003924F0">
              <w:t>Tenure of the Principal Manager</w:t>
            </w:r>
          </w:p>
        </w:tc>
        <w:tc>
          <w:tcPr>
            <w:tcW w:w="1724" w:type="dxa"/>
            <w:shd w:val="clear" w:color="auto" w:fill="DEE8F1"/>
          </w:tcPr>
          <w:p w14:paraId="5FF8A6BC" w14:textId="77777777" w:rsidR="00072E96" w:rsidRPr="003924F0" w:rsidRDefault="00072E96" w:rsidP="003924F0">
            <w:pPr>
              <w:pStyle w:val="Tablebodytext"/>
            </w:pPr>
            <w:r w:rsidRPr="003924F0">
              <w:t>Less than 5 years</w:t>
            </w:r>
          </w:p>
        </w:tc>
        <w:tc>
          <w:tcPr>
            <w:tcW w:w="1723" w:type="dxa"/>
            <w:shd w:val="clear" w:color="auto" w:fill="DEE8F1"/>
          </w:tcPr>
          <w:p w14:paraId="6121691D" w14:textId="77777777" w:rsidR="00072E96" w:rsidRDefault="00072E96" w:rsidP="00072E96">
            <w:pPr>
              <w:pStyle w:val="Tablebodytext"/>
              <w:jc w:val="right"/>
              <w:rPr>
                <w:lang w:val="en"/>
              </w:rPr>
            </w:pPr>
            <w:r w:rsidRPr="00F07FD5">
              <w:rPr>
                <w:lang w:val="en"/>
              </w:rPr>
              <w:t>3,387</w:t>
            </w:r>
          </w:p>
        </w:tc>
        <w:tc>
          <w:tcPr>
            <w:tcW w:w="1724" w:type="dxa"/>
            <w:shd w:val="clear" w:color="auto" w:fill="DEE8F1"/>
          </w:tcPr>
          <w:p w14:paraId="59CA702D" w14:textId="77777777" w:rsidR="00072E96" w:rsidRDefault="00072E96" w:rsidP="00072E96">
            <w:pPr>
              <w:pStyle w:val="Tablebodytext"/>
              <w:jc w:val="right"/>
              <w:rPr>
                <w:lang w:val="en"/>
              </w:rPr>
            </w:pPr>
            <w:r w:rsidRPr="00F07FD5">
              <w:rPr>
                <w:lang w:val="en"/>
              </w:rPr>
              <w:t>27.02</w:t>
            </w:r>
          </w:p>
        </w:tc>
      </w:tr>
      <w:tr w:rsidR="00072E96" w14:paraId="604DC37C"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tcPr>
          <w:p w14:paraId="5DDFF10F" w14:textId="77777777" w:rsidR="00072E96" w:rsidRPr="003924F0" w:rsidRDefault="00072E96" w:rsidP="003924F0">
            <w:pPr>
              <w:pStyle w:val="Tablebodytext"/>
            </w:pPr>
          </w:p>
        </w:tc>
        <w:tc>
          <w:tcPr>
            <w:tcW w:w="1724" w:type="dxa"/>
          </w:tcPr>
          <w:p w14:paraId="732FA397" w14:textId="77777777" w:rsidR="00072E96" w:rsidRPr="003924F0" w:rsidRDefault="00072E96" w:rsidP="003924F0">
            <w:pPr>
              <w:pStyle w:val="Tablebodytext"/>
            </w:pPr>
            <w:r w:rsidRPr="003924F0">
              <w:t>5 to 9 years</w:t>
            </w:r>
          </w:p>
        </w:tc>
        <w:tc>
          <w:tcPr>
            <w:tcW w:w="1723" w:type="dxa"/>
          </w:tcPr>
          <w:p w14:paraId="05A3BB37" w14:textId="77777777" w:rsidR="00072E96" w:rsidRDefault="00072E96" w:rsidP="00072E96">
            <w:pPr>
              <w:pStyle w:val="Tablebodytext"/>
              <w:jc w:val="right"/>
              <w:rPr>
                <w:lang w:val="en"/>
              </w:rPr>
            </w:pPr>
            <w:r w:rsidRPr="00F07FD5">
              <w:rPr>
                <w:lang w:val="en"/>
              </w:rPr>
              <w:t>2,346</w:t>
            </w:r>
          </w:p>
        </w:tc>
        <w:tc>
          <w:tcPr>
            <w:tcW w:w="1724" w:type="dxa"/>
          </w:tcPr>
          <w:p w14:paraId="7551DB0F" w14:textId="77777777" w:rsidR="00072E96" w:rsidRDefault="00072E96" w:rsidP="00072E96">
            <w:pPr>
              <w:pStyle w:val="Tablebodytext"/>
              <w:jc w:val="right"/>
              <w:rPr>
                <w:lang w:val="en"/>
              </w:rPr>
            </w:pPr>
            <w:r w:rsidRPr="00F07FD5">
              <w:rPr>
                <w:lang w:val="en"/>
              </w:rPr>
              <w:t>18.71</w:t>
            </w:r>
          </w:p>
        </w:tc>
      </w:tr>
      <w:tr w:rsidR="00072E96" w14:paraId="6F65A749"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DEE8F1"/>
          </w:tcPr>
          <w:p w14:paraId="225161C3" w14:textId="77777777" w:rsidR="00072E96" w:rsidRPr="003924F0" w:rsidRDefault="00072E96" w:rsidP="003924F0">
            <w:pPr>
              <w:pStyle w:val="Tablebodytext"/>
            </w:pPr>
          </w:p>
        </w:tc>
        <w:tc>
          <w:tcPr>
            <w:tcW w:w="1724" w:type="dxa"/>
            <w:shd w:val="clear" w:color="auto" w:fill="DEE8F1"/>
          </w:tcPr>
          <w:p w14:paraId="27203708" w14:textId="77777777" w:rsidR="00072E96" w:rsidRPr="003924F0" w:rsidRDefault="00072E96" w:rsidP="003924F0">
            <w:pPr>
              <w:pStyle w:val="Tablebodytext"/>
            </w:pPr>
            <w:r w:rsidRPr="003924F0">
              <w:t>10 to 14 years</w:t>
            </w:r>
          </w:p>
        </w:tc>
        <w:tc>
          <w:tcPr>
            <w:tcW w:w="1723" w:type="dxa"/>
            <w:shd w:val="clear" w:color="auto" w:fill="DEE8F1"/>
          </w:tcPr>
          <w:p w14:paraId="19EBE26F" w14:textId="77777777" w:rsidR="00072E96" w:rsidRDefault="00072E96" w:rsidP="00072E96">
            <w:pPr>
              <w:pStyle w:val="Tablebodytext"/>
              <w:jc w:val="right"/>
              <w:rPr>
                <w:lang w:val="en"/>
              </w:rPr>
            </w:pPr>
            <w:r w:rsidRPr="00F07FD5">
              <w:rPr>
                <w:lang w:val="en"/>
              </w:rPr>
              <w:t>1,792</w:t>
            </w:r>
          </w:p>
        </w:tc>
        <w:tc>
          <w:tcPr>
            <w:tcW w:w="1724" w:type="dxa"/>
            <w:shd w:val="clear" w:color="auto" w:fill="DEE8F1"/>
          </w:tcPr>
          <w:p w14:paraId="095A7C77" w14:textId="77777777" w:rsidR="00072E96" w:rsidRDefault="00072E96" w:rsidP="00072E96">
            <w:pPr>
              <w:pStyle w:val="Tablebodytext"/>
              <w:jc w:val="right"/>
              <w:rPr>
                <w:lang w:val="en"/>
              </w:rPr>
            </w:pPr>
            <w:r w:rsidRPr="00F07FD5">
              <w:rPr>
                <w:lang w:val="en"/>
              </w:rPr>
              <w:t>14.29</w:t>
            </w:r>
          </w:p>
        </w:tc>
      </w:tr>
      <w:tr w:rsidR="00072E96" w14:paraId="494AFDC6"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tcPr>
          <w:p w14:paraId="29CF955B" w14:textId="77777777" w:rsidR="00072E96" w:rsidRPr="003924F0" w:rsidRDefault="00072E96" w:rsidP="003924F0">
            <w:pPr>
              <w:pStyle w:val="Tablebodytext"/>
            </w:pPr>
          </w:p>
        </w:tc>
        <w:tc>
          <w:tcPr>
            <w:tcW w:w="1724" w:type="dxa"/>
          </w:tcPr>
          <w:p w14:paraId="1BA18506" w14:textId="77777777" w:rsidR="00072E96" w:rsidRPr="003924F0" w:rsidRDefault="00072E96" w:rsidP="003924F0">
            <w:pPr>
              <w:pStyle w:val="Tablebodytext"/>
            </w:pPr>
            <w:r w:rsidRPr="003924F0">
              <w:t>15 to 19 years</w:t>
            </w:r>
          </w:p>
        </w:tc>
        <w:tc>
          <w:tcPr>
            <w:tcW w:w="1723" w:type="dxa"/>
          </w:tcPr>
          <w:p w14:paraId="1E78FD2A" w14:textId="77777777" w:rsidR="00072E96" w:rsidRDefault="00072E96" w:rsidP="00072E96">
            <w:pPr>
              <w:pStyle w:val="Tablebodytext"/>
              <w:jc w:val="right"/>
              <w:rPr>
                <w:lang w:val="en"/>
              </w:rPr>
            </w:pPr>
            <w:r w:rsidRPr="00F07FD5">
              <w:rPr>
                <w:lang w:val="en"/>
              </w:rPr>
              <w:t>1,568</w:t>
            </w:r>
          </w:p>
        </w:tc>
        <w:tc>
          <w:tcPr>
            <w:tcW w:w="1724" w:type="dxa"/>
          </w:tcPr>
          <w:p w14:paraId="229500C3" w14:textId="77777777" w:rsidR="00072E96" w:rsidRDefault="00072E96" w:rsidP="00072E96">
            <w:pPr>
              <w:pStyle w:val="Tablebodytext"/>
              <w:jc w:val="right"/>
              <w:rPr>
                <w:lang w:val="en"/>
              </w:rPr>
            </w:pPr>
            <w:r w:rsidRPr="00F07FD5">
              <w:rPr>
                <w:lang w:val="en"/>
              </w:rPr>
              <w:t>12.51</w:t>
            </w:r>
          </w:p>
        </w:tc>
      </w:tr>
      <w:tr w:rsidR="00072E96" w14:paraId="5267FD10"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DEE8F1"/>
          </w:tcPr>
          <w:p w14:paraId="5CF672F7" w14:textId="77777777" w:rsidR="00072E96" w:rsidRPr="003924F0" w:rsidRDefault="00072E96" w:rsidP="003924F0">
            <w:pPr>
              <w:pStyle w:val="Tablebodytext"/>
            </w:pPr>
          </w:p>
        </w:tc>
        <w:tc>
          <w:tcPr>
            <w:tcW w:w="1724" w:type="dxa"/>
            <w:shd w:val="clear" w:color="auto" w:fill="DEE8F1"/>
          </w:tcPr>
          <w:p w14:paraId="75A545FE" w14:textId="77777777" w:rsidR="00072E96" w:rsidRPr="003924F0" w:rsidRDefault="00072E96" w:rsidP="003924F0">
            <w:pPr>
              <w:pStyle w:val="Tablebodytext"/>
            </w:pPr>
            <w:r w:rsidRPr="003924F0">
              <w:t>Greater than or equal to 20 years</w:t>
            </w:r>
          </w:p>
        </w:tc>
        <w:tc>
          <w:tcPr>
            <w:tcW w:w="1723" w:type="dxa"/>
            <w:shd w:val="clear" w:color="auto" w:fill="DEE8F1"/>
          </w:tcPr>
          <w:p w14:paraId="607B206D" w14:textId="77777777" w:rsidR="00072E96" w:rsidRDefault="00072E96" w:rsidP="00072E96">
            <w:pPr>
              <w:pStyle w:val="Tablebodytext"/>
              <w:jc w:val="right"/>
              <w:rPr>
                <w:lang w:val="en"/>
              </w:rPr>
            </w:pPr>
            <w:r w:rsidRPr="00F07FD5">
              <w:rPr>
                <w:lang w:val="en"/>
              </w:rPr>
              <w:t>3,000</w:t>
            </w:r>
          </w:p>
        </w:tc>
        <w:tc>
          <w:tcPr>
            <w:tcW w:w="1724" w:type="dxa"/>
            <w:shd w:val="clear" w:color="auto" w:fill="DEE8F1"/>
          </w:tcPr>
          <w:p w14:paraId="6E97D8E0" w14:textId="77777777" w:rsidR="00072E96" w:rsidRDefault="00072E96" w:rsidP="00072E96">
            <w:pPr>
              <w:pStyle w:val="Tablebodytext"/>
              <w:jc w:val="right"/>
              <w:rPr>
                <w:lang w:val="en"/>
              </w:rPr>
            </w:pPr>
            <w:r w:rsidRPr="00F07FD5">
              <w:rPr>
                <w:lang w:val="en"/>
              </w:rPr>
              <w:t>23.93</w:t>
            </w:r>
          </w:p>
        </w:tc>
      </w:tr>
      <w:tr w:rsidR="00072E96" w14:paraId="4727914C"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tcPr>
          <w:p w14:paraId="7A643A08" w14:textId="77777777" w:rsidR="00072E96" w:rsidRPr="003924F0" w:rsidRDefault="00072E96" w:rsidP="003924F0">
            <w:pPr>
              <w:pStyle w:val="Tablebodytext"/>
            </w:pPr>
          </w:p>
        </w:tc>
        <w:tc>
          <w:tcPr>
            <w:tcW w:w="1724" w:type="dxa"/>
          </w:tcPr>
          <w:p w14:paraId="72134255" w14:textId="77777777" w:rsidR="00072E96" w:rsidRPr="003924F0" w:rsidRDefault="00072E96" w:rsidP="003924F0">
            <w:pPr>
              <w:pStyle w:val="Tablebodytext"/>
            </w:pPr>
            <w:r w:rsidRPr="003924F0">
              <w:t>Missing</w:t>
            </w:r>
          </w:p>
        </w:tc>
        <w:tc>
          <w:tcPr>
            <w:tcW w:w="1723" w:type="dxa"/>
          </w:tcPr>
          <w:p w14:paraId="67E4B9C7" w14:textId="77777777" w:rsidR="00072E96" w:rsidRDefault="00072E96" w:rsidP="00072E96">
            <w:pPr>
              <w:pStyle w:val="Tablebodytext"/>
              <w:jc w:val="right"/>
              <w:rPr>
                <w:lang w:val="en"/>
              </w:rPr>
            </w:pPr>
            <w:r w:rsidRPr="00F07FD5">
              <w:rPr>
                <w:lang w:val="en"/>
              </w:rPr>
              <w:t>443</w:t>
            </w:r>
          </w:p>
        </w:tc>
        <w:tc>
          <w:tcPr>
            <w:tcW w:w="1724" w:type="dxa"/>
          </w:tcPr>
          <w:p w14:paraId="4CB7EDB8" w14:textId="77777777" w:rsidR="00072E96" w:rsidRDefault="00072E96" w:rsidP="00072E96">
            <w:pPr>
              <w:pStyle w:val="Tablebodytext"/>
              <w:jc w:val="right"/>
              <w:rPr>
                <w:lang w:val="en"/>
              </w:rPr>
            </w:pPr>
            <w:r w:rsidRPr="00F07FD5">
              <w:rPr>
                <w:lang w:val="en"/>
              </w:rPr>
              <w:t>3.53</w:t>
            </w:r>
          </w:p>
        </w:tc>
      </w:tr>
      <w:tr w:rsidR="00072E96" w14:paraId="5589A674"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val="restart"/>
            <w:shd w:val="clear" w:color="auto" w:fill="auto"/>
          </w:tcPr>
          <w:p w14:paraId="53FDE833" w14:textId="77777777" w:rsidR="00072E96" w:rsidRPr="003924F0" w:rsidRDefault="00072E96" w:rsidP="003924F0">
            <w:pPr>
              <w:pStyle w:val="Tablebodytext"/>
            </w:pPr>
          </w:p>
          <w:p w14:paraId="4EC1D354" w14:textId="77777777" w:rsidR="00072E96" w:rsidRPr="003924F0" w:rsidRDefault="00072E96" w:rsidP="003924F0">
            <w:pPr>
              <w:pStyle w:val="Tablebodytext"/>
            </w:pPr>
          </w:p>
          <w:p w14:paraId="7CD51F72" w14:textId="77777777" w:rsidR="00072E96" w:rsidRPr="003924F0" w:rsidRDefault="00072E96" w:rsidP="003924F0">
            <w:pPr>
              <w:pStyle w:val="Tablebodytext"/>
            </w:pPr>
          </w:p>
          <w:p w14:paraId="172441C4" w14:textId="77777777" w:rsidR="00072E96" w:rsidRPr="003924F0" w:rsidRDefault="00072E96" w:rsidP="003924F0">
            <w:pPr>
              <w:pStyle w:val="Tablebodytext"/>
            </w:pPr>
          </w:p>
          <w:p w14:paraId="64FBBEAA" w14:textId="77777777" w:rsidR="00072E96" w:rsidRPr="003924F0" w:rsidRDefault="00072E96" w:rsidP="003924F0">
            <w:pPr>
              <w:pStyle w:val="Tablebodytext"/>
            </w:pPr>
          </w:p>
          <w:p w14:paraId="28CE5E05" w14:textId="77777777" w:rsidR="00072E96" w:rsidRPr="003924F0" w:rsidRDefault="00072E96" w:rsidP="003924F0">
            <w:pPr>
              <w:pStyle w:val="Tablebodytext"/>
            </w:pPr>
            <w:r w:rsidRPr="003924F0">
              <w:t>Education of the Principal Manager</w:t>
            </w:r>
          </w:p>
        </w:tc>
        <w:tc>
          <w:tcPr>
            <w:tcW w:w="1724" w:type="dxa"/>
            <w:shd w:val="clear" w:color="auto" w:fill="auto"/>
          </w:tcPr>
          <w:p w14:paraId="0FF9ACA0" w14:textId="77777777" w:rsidR="00072E96" w:rsidRPr="003924F0" w:rsidRDefault="00072E96" w:rsidP="003924F0">
            <w:pPr>
              <w:pStyle w:val="Tablebodytext"/>
            </w:pPr>
            <w:r w:rsidRPr="003924F0">
              <w:t>Bachelor degree or higher</w:t>
            </w:r>
          </w:p>
        </w:tc>
        <w:tc>
          <w:tcPr>
            <w:tcW w:w="1723" w:type="dxa"/>
            <w:shd w:val="clear" w:color="auto" w:fill="auto"/>
          </w:tcPr>
          <w:p w14:paraId="7860428C" w14:textId="77777777" w:rsidR="00072E96" w:rsidRDefault="00072E96" w:rsidP="00072E96">
            <w:pPr>
              <w:pStyle w:val="Tablebodytext"/>
              <w:jc w:val="right"/>
              <w:rPr>
                <w:lang w:val="en"/>
              </w:rPr>
            </w:pPr>
            <w:r w:rsidRPr="00F07FD5">
              <w:rPr>
                <w:lang w:val="en"/>
              </w:rPr>
              <w:t>5,873</w:t>
            </w:r>
          </w:p>
        </w:tc>
        <w:tc>
          <w:tcPr>
            <w:tcW w:w="1724" w:type="dxa"/>
            <w:shd w:val="clear" w:color="auto" w:fill="auto"/>
          </w:tcPr>
          <w:p w14:paraId="1FE5FF8E" w14:textId="77777777" w:rsidR="00072E96" w:rsidRDefault="00072E96" w:rsidP="00072E96">
            <w:pPr>
              <w:pStyle w:val="Tablebodytext"/>
              <w:jc w:val="right"/>
              <w:rPr>
                <w:lang w:val="en"/>
              </w:rPr>
            </w:pPr>
            <w:r w:rsidRPr="00F07FD5">
              <w:rPr>
                <w:lang w:val="en"/>
              </w:rPr>
              <w:t>46.85</w:t>
            </w:r>
          </w:p>
        </w:tc>
      </w:tr>
      <w:tr w:rsidR="00072E96" w14:paraId="49744F6A"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shd w:val="clear" w:color="auto" w:fill="auto"/>
          </w:tcPr>
          <w:p w14:paraId="1CC38F01" w14:textId="77777777" w:rsidR="00072E96" w:rsidRPr="003924F0" w:rsidRDefault="00072E96" w:rsidP="003924F0">
            <w:pPr>
              <w:pStyle w:val="Tablebodytext"/>
            </w:pPr>
          </w:p>
        </w:tc>
        <w:tc>
          <w:tcPr>
            <w:tcW w:w="1724" w:type="dxa"/>
            <w:shd w:val="clear" w:color="auto" w:fill="auto"/>
          </w:tcPr>
          <w:p w14:paraId="1551CB32" w14:textId="77777777" w:rsidR="00072E96" w:rsidRPr="003924F0" w:rsidRDefault="00072E96" w:rsidP="003924F0">
            <w:pPr>
              <w:pStyle w:val="Tablebodytext"/>
            </w:pPr>
            <w:r w:rsidRPr="003924F0">
              <w:t>Advanced diploma or diploma</w:t>
            </w:r>
          </w:p>
        </w:tc>
        <w:tc>
          <w:tcPr>
            <w:tcW w:w="1723" w:type="dxa"/>
            <w:shd w:val="clear" w:color="auto" w:fill="auto"/>
          </w:tcPr>
          <w:p w14:paraId="7DECE89E" w14:textId="77777777" w:rsidR="00072E96" w:rsidRDefault="00072E96" w:rsidP="00072E96">
            <w:pPr>
              <w:pStyle w:val="Tablebodytext"/>
              <w:jc w:val="right"/>
              <w:rPr>
                <w:lang w:val="en"/>
              </w:rPr>
            </w:pPr>
            <w:r w:rsidRPr="00F07FD5">
              <w:rPr>
                <w:lang w:val="en"/>
              </w:rPr>
              <w:t>1,394</w:t>
            </w:r>
          </w:p>
        </w:tc>
        <w:tc>
          <w:tcPr>
            <w:tcW w:w="1724" w:type="dxa"/>
            <w:shd w:val="clear" w:color="auto" w:fill="auto"/>
          </w:tcPr>
          <w:p w14:paraId="04A50317" w14:textId="77777777" w:rsidR="00072E96" w:rsidRDefault="00072E96" w:rsidP="00072E96">
            <w:pPr>
              <w:pStyle w:val="Tablebodytext"/>
              <w:jc w:val="right"/>
              <w:rPr>
                <w:lang w:val="en"/>
              </w:rPr>
            </w:pPr>
            <w:r w:rsidRPr="00F07FD5">
              <w:rPr>
                <w:lang w:val="en"/>
              </w:rPr>
              <w:t>11.12</w:t>
            </w:r>
          </w:p>
        </w:tc>
      </w:tr>
      <w:tr w:rsidR="00072E96" w14:paraId="4B7B82FE"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auto"/>
          </w:tcPr>
          <w:p w14:paraId="0E1768FB" w14:textId="77777777" w:rsidR="00072E96" w:rsidRPr="003924F0" w:rsidRDefault="00072E96" w:rsidP="003924F0">
            <w:pPr>
              <w:pStyle w:val="Tablebodytext"/>
            </w:pPr>
          </w:p>
        </w:tc>
        <w:tc>
          <w:tcPr>
            <w:tcW w:w="1724" w:type="dxa"/>
            <w:shd w:val="clear" w:color="auto" w:fill="auto"/>
          </w:tcPr>
          <w:p w14:paraId="332325FF" w14:textId="77777777" w:rsidR="00072E96" w:rsidRPr="003924F0" w:rsidRDefault="00072E96" w:rsidP="003924F0">
            <w:pPr>
              <w:pStyle w:val="Tablebodytext"/>
            </w:pPr>
            <w:r w:rsidRPr="003924F0">
              <w:t>Certificate III or IV (including trade</w:t>
            </w:r>
          </w:p>
        </w:tc>
        <w:tc>
          <w:tcPr>
            <w:tcW w:w="1723" w:type="dxa"/>
            <w:shd w:val="clear" w:color="auto" w:fill="auto"/>
          </w:tcPr>
          <w:p w14:paraId="6675860B" w14:textId="77777777" w:rsidR="00072E96" w:rsidRDefault="00072E96" w:rsidP="00072E96">
            <w:pPr>
              <w:pStyle w:val="Tablebodytext"/>
              <w:jc w:val="right"/>
              <w:rPr>
                <w:lang w:val="en"/>
              </w:rPr>
            </w:pPr>
            <w:r w:rsidRPr="00F07FD5">
              <w:rPr>
                <w:lang w:val="en"/>
              </w:rPr>
              <w:t>1,765</w:t>
            </w:r>
          </w:p>
        </w:tc>
        <w:tc>
          <w:tcPr>
            <w:tcW w:w="1724" w:type="dxa"/>
            <w:shd w:val="clear" w:color="auto" w:fill="auto"/>
          </w:tcPr>
          <w:p w14:paraId="45A44F1A" w14:textId="77777777" w:rsidR="00072E96" w:rsidRDefault="00072E96" w:rsidP="00072E96">
            <w:pPr>
              <w:pStyle w:val="Tablebodytext"/>
              <w:jc w:val="right"/>
              <w:rPr>
                <w:lang w:val="en"/>
              </w:rPr>
            </w:pPr>
            <w:r w:rsidRPr="00F07FD5">
              <w:rPr>
                <w:lang w:val="en"/>
              </w:rPr>
              <w:t>14.08</w:t>
            </w:r>
          </w:p>
        </w:tc>
      </w:tr>
      <w:tr w:rsidR="00072E96" w14:paraId="2E478698"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shd w:val="clear" w:color="auto" w:fill="auto"/>
          </w:tcPr>
          <w:p w14:paraId="5C5D2F5A" w14:textId="77777777" w:rsidR="00072E96" w:rsidRPr="003924F0" w:rsidRDefault="00072E96" w:rsidP="003924F0">
            <w:pPr>
              <w:pStyle w:val="Tablebodytext"/>
            </w:pPr>
          </w:p>
        </w:tc>
        <w:tc>
          <w:tcPr>
            <w:tcW w:w="1724" w:type="dxa"/>
            <w:shd w:val="clear" w:color="auto" w:fill="auto"/>
          </w:tcPr>
          <w:p w14:paraId="7DEE6ACE" w14:textId="77777777" w:rsidR="00072E96" w:rsidRPr="003924F0" w:rsidRDefault="00072E96" w:rsidP="003924F0">
            <w:pPr>
              <w:pStyle w:val="Tablebodytext"/>
            </w:pPr>
            <w:r w:rsidRPr="003924F0">
              <w:t>Year 12 or equivalent</w:t>
            </w:r>
          </w:p>
        </w:tc>
        <w:tc>
          <w:tcPr>
            <w:tcW w:w="1723" w:type="dxa"/>
            <w:shd w:val="clear" w:color="auto" w:fill="auto"/>
          </w:tcPr>
          <w:p w14:paraId="3E845C3E" w14:textId="77777777" w:rsidR="00072E96" w:rsidRDefault="00072E96" w:rsidP="00072E96">
            <w:pPr>
              <w:pStyle w:val="Tablebodytext"/>
              <w:jc w:val="right"/>
              <w:rPr>
                <w:lang w:val="en"/>
              </w:rPr>
            </w:pPr>
            <w:r w:rsidRPr="00F07FD5">
              <w:rPr>
                <w:lang w:val="en"/>
              </w:rPr>
              <w:t>1,614</w:t>
            </w:r>
          </w:p>
        </w:tc>
        <w:tc>
          <w:tcPr>
            <w:tcW w:w="1724" w:type="dxa"/>
            <w:shd w:val="clear" w:color="auto" w:fill="auto"/>
          </w:tcPr>
          <w:p w14:paraId="76D396A7" w14:textId="77777777" w:rsidR="00072E96" w:rsidRDefault="00072E96" w:rsidP="00072E96">
            <w:pPr>
              <w:pStyle w:val="Tablebodytext"/>
              <w:jc w:val="right"/>
              <w:rPr>
                <w:lang w:val="en"/>
              </w:rPr>
            </w:pPr>
            <w:r w:rsidRPr="00F07FD5">
              <w:rPr>
                <w:lang w:val="en"/>
              </w:rPr>
              <w:t>12.87</w:t>
            </w:r>
          </w:p>
        </w:tc>
      </w:tr>
      <w:tr w:rsidR="00072E96" w14:paraId="38296D0A"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auto"/>
          </w:tcPr>
          <w:p w14:paraId="09034DDD" w14:textId="77777777" w:rsidR="00072E96" w:rsidRPr="003924F0" w:rsidRDefault="00072E96" w:rsidP="003924F0">
            <w:pPr>
              <w:pStyle w:val="Tablebodytext"/>
            </w:pPr>
          </w:p>
        </w:tc>
        <w:tc>
          <w:tcPr>
            <w:tcW w:w="1724" w:type="dxa"/>
            <w:shd w:val="clear" w:color="auto" w:fill="auto"/>
          </w:tcPr>
          <w:p w14:paraId="5ECEC630" w14:textId="77777777" w:rsidR="00072E96" w:rsidRPr="003924F0" w:rsidRDefault="00072E96" w:rsidP="003924F0">
            <w:pPr>
              <w:pStyle w:val="Tablebodytext"/>
            </w:pPr>
            <w:r w:rsidRPr="003924F0">
              <w:t>Year 11 or below</w:t>
            </w:r>
          </w:p>
        </w:tc>
        <w:tc>
          <w:tcPr>
            <w:tcW w:w="1723" w:type="dxa"/>
            <w:shd w:val="clear" w:color="auto" w:fill="auto"/>
          </w:tcPr>
          <w:p w14:paraId="3D961467" w14:textId="77777777" w:rsidR="00072E96" w:rsidRDefault="00072E96" w:rsidP="00072E96">
            <w:pPr>
              <w:pStyle w:val="Tablebodytext"/>
              <w:jc w:val="right"/>
              <w:rPr>
                <w:lang w:val="en"/>
              </w:rPr>
            </w:pPr>
            <w:r w:rsidRPr="00F07FD5">
              <w:rPr>
                <w:lang w:val="en"/>
              </w:rPr>
              <w:t>1,432</w:t>
            </w:r>
          </w:p>
        </w:tc>
        <w:tc>
          <w:tcPr>
            <w:tcW w:w="1724" w:type="dxa"/>
            <w:shd w:val="clear" w:color="auto" w:fill="auto"/>
          </w:tcPr>
          <w:p w14:paraId="41997BA6" w14:textId="77777777" w:rsidR="00072E96" w:rsidRDefault="00072E96" w:rsidP="00072E96">
            <w:pPr>
              <w:pStyle w:val="Tablebodytext"/>
              <w:jc w:val="right"/>
              <w:rPr>
                <w:lang w:val="en"/>
              </w:rPr>
            </w:pPr>
            <w:r w:rsidRPr="00F07FD5">
              <w:rPr>
                <w:lang w:val="en"/>
              </w:rPr>
              <w:t>11.42</w:t>
            </w:r>
          </w:p>
        </w:tc>
      </w:tr>
      <w:tr w:rsidR="00072E96" w14:paraId="55D50F64" w14:textId="77777777" w:rsidTr="00072E96">
        <w:trPr>
          <w:cnfStyle w:val="000000100000" w:firstRow="0" w:lastRow="0" w:firstColumn="0" w:lastColumn="0" w:oddVBand="0" w:evenVBand="0" w:oddHBand="1" w:evenHBand="0" w:firstRowFirstColumn="0" w:firstRowLastColumn="0" w:lastRowFirstColumn="0" w:lastRowLastColumn="0"/>
        </w:trPr>
        <w:tc>
          <w:tcPr>
            <w:tcW w:w="1723" w:type="dxa"/>
            <w:vMerge/>
            <w:shd w:val="clear" w:color="auto" w:fill="auto"/>
          </w:tcPr>
          <w:p w14:paraId="2848FB64" w14:textId="77777777" w:rsidR="00072E96" w:rsidRPr="003924F0" w:rsidRDefault="00072E96" w:rsidP="003924F0">
            <w:pPr>
              <w:pStyle w:val="Tablebodytext"/>
            </w:pPr>
          </w:p>
        </w:tc>
        <w:tc>
          <w:tcPr>
            <w:tcW w:w="1724" w:type="dxa"/>
            <w:shd w:val="clear" w:color="auto" w:fill="auto"/>
          </w:tcPr>
          <w:p w14:paraId="12E0EE3E" w14:textId="77777777" w:rsidR="00072E96" w:rsidRPr="003924F0" w:rsidRDefault="00072E96" w:rsidP="003924F0">
            <w:pPr>
              <w:pStyle w:val="Tablebodytext"/>
            </w:pPr>
            <w:r w:rsidRPr="003924F0">
              <w:t>Did not go to school</w:t>
            </w:r>
          </w:p>
        </w:tc>
        <w:tc>
          <w:tcPr>
            <w:tcW w:w="1723" w:type="dxa"/>
            <w:shd w:val="clear" w:color="auto" w:fill="auto"/>
          </w:tcPr>
          <w:p w14:paraId="5A207BDE" w14:textId="77777777" w:rsidR="00072E96" w:rsidRDefault="00072E96" w:rsidP="00072E96">
            <w:pPr>
              <w:pStyle w:val="Tablebodytext"/>
              <w:jc w:val="right"/>
              <w:rPr>
                <w:lang w:val="en"/>
              </w:rPr>
            </w:pPr>
            <w:r w:rsidRPr="00F07FD5">
              <w:rPr>
                <w:lang w:val="en"/>
              </w:rPr>
              <w:t>65</w:t>
            </w:r>
          </w:p>
        </w:tc>
        <w:tc>
          <w:tcPr>
            <w:tcW w:w="1724" w:type="dxa"/>
            <w:shd w:val="clear" w:color="auto" w:fill="auto"/>
          </w:tcPr>
          <w:p w14:paraId="2B3CC818" w14:textId="77777777" w:rsidR="00072E96" w:rsidRDefault="00072E96" w:rsidP="00072E96">
            <w:pPr>
              <w:pStyle w:val="Tablebodytext"/>
              <w:jc w:val="right"/>
              <w:rPr>
                <w:lang w:val="en"/>
              </w:rPr>
            </w:pPr>
            <w:r w:rsidRPr="00F07FD5">
              <w:rPr>
                <w:lang w:val="en"/>
              </w:rPr>
              <w:t>0.52</w:t>
            </w:r>
          </w:p>
        </w:tc>
      </w:tr>
      <w:tr w:rsidR="00072E96" w14:paraId="0BD67E35" w14:textId="77777777" w:rsidTr="00072E96">
        <w:trPr>
          <w:cnfStyle w:val="000000010000" w:firstRow="0" w:lastRow="0" w:firstColumn="0" w:lastColumn="0" w:oddVBand="0" w:evenVBand="0" w:oddHBand="0" w:evenHBand="1" w:firstRowFirstColumn="0" w:firstRowLastColumn="0" w:lastRowFirstColumn="0" w:lastRowLastColumn="0"/>
        </w:trPr>
        <w:tc>
          <w:tcPr>
            <w:tcW w:w="1723" w:type="dxa"/>
            <w:vMerge/>
            <w:shd w:val="clear" w:color="auto" w:fill="auto"/>
          </w:tcPr>
          <w:p w14:paraId="69BC64E3" w14:textId="77777777" w:rsidR="00072E96" w:rsidRPr="003924F0" w:rsidRDefault="00072E96" w:rsidP="003924F0">
            <w:pPr>
              <w:pStyle w:val="Tablebodytext"/>
            </w:pPr>
          </w:p>
        </w:tc>
        <w:tc>
          <w:tcPr>
            <w:tcW w:w="1724" w:type="dxa"/>
            <w:shd w:val="clear" w:color="auto" w:fill="auto"/>
          </w:tcPr>
          <w:p w14:paraId="7B775870" w14:textId="77777777" w:rsidR="00072E96" w:rsidRPr="003924F0" w:rsidRDefault="00072E96" w:rsidP="003924F0">
            <w:pPr>
              <w:pStyle w:val="Tablebodytext"/>
            </w:pPr>
            <w:r w:rsidRPr="003924F0">
              <w:t>Missing</w:t>
            </w:r>
          </w:p>
        </w:tc>
        <w:tc>
          <w:tcPr>
            <w:tcW w:w="1723" w:type="dxa"/>
            <w:shd w:val="clear" w:color="auto" w:fill="auto"/>
          </w:tcPr>
          <w:p w14:paraId="2C88CA2F" w14:textId="77777777" w:rsidR="00072E96" w:rsidRDefault="00072E96" w:rsidP="00072E96">
            <w:pPr>
              <w:pStyle w:val="Tablebodytext"/>
              <w:jc w:val="right"/>
              <w:rPr>
                <w:lang w:val="en"/>
              </w:rPr>
            </w:pPr>
            <w:r w:rsidRPr="00F07FD5">
              <w:rPr>
                <w:lang w:val="en"/>
              </w:rPr>
              <w:t>393</w:t>
            </w:r>
          </w:p>
        </w:tc>
        <w:tc>
          <w:tcPr>
            <w:tcW w:w="1724" w:type="dxa"/>
            <w:shd w:val="clear" w:color="auto" w:fill="auto"/>
          </w:tcPr>
          <w:p w14:paraId="16C12C8B" w14:textId="77777777" w:rsidR="00072E96" w:rsidRDefault="00072E96" w:rsidP="00072E96">
            <w:pPr>
              <w:pStyle w:val="Tablebodytext"/>
              <w:jc w:val="right"/>
              <w:rPr>
                <w:lang w:val="en"/>
              </w:rPr>
            </w:pPr>
            <w:r w:rsidRPr="00F07FD5">
              <w:rPr>
                <w:lang w:val="en"/>
              </w:rPr>
              <w:t>3.13</w:t>
            </w:r>
          </w:p>
        </w:tc>
      </w:tr>
    </w:tbl>
    <w:p w14:paraId="46095593" w14:textId="1C249426" w:rsidR="003924F0" w:rsidRDefault="00072E96" w:rsidP="00072E96">
      <w:pPr>
        <w:pStyle w:val="Source"/>
        <w:rPr>
          <w:rFonts w:eastAsia="Arial"/>
          <w:szCs w:val="16"/>
        </w:rPr>
      </w:pPr>
      <w:r>
        <w:rPr>
          <w:lang w:eastAsia="en-AU"/>
        </w:rPr>
        <w:t xml:space="preserve">Source: </w:t>
      </w:r>
      <w:r>
        <w:rPr>
          <w:rFonts w:eastAsia="Arial"/>
          <w:szCs w:val="16"/>
        </w:rPr>
        <w:t>Australian Bureau of Statistics 2016, Management and Organisational Capabilities of Australian Business, 2015–16. Expanded Confidentialised Unit Record File (CURF).</w:t>
      </w:r>
    </w:p>
    <w:p w14:paraId="42542FB9" w14:textId="77777777" w:rsidR="003924F0" w:rsidRDefault="003924F0" w:rsidP="003924F0">
      <w:pPr>
        <w:pStyle w:val="BodyText"/>
        <w:rPr>
          <w:rFonts w:cs="Arial"/>
          <w:color w:val="005CAF"/>
          <w:sz w:val="16"/>
          <w:lang w:val="en"/>
        </w:rPr>
      </w:pPr>
      <w:r>
        <w:br w:type="page"/>
      </w:r>
    </w:p>
    <w:p w14:paraId="1A3706A7" w14:textId="44547374" w:rsidR="00072E96" w:rsidRDefault="00072E96" w:rsidP="00072E96">
      <w:pPr>
        <w:pStyle w:val="Heading1"/>
        <w:rPr>
          <w:lang w:val="en" w:eastAsia="en-AU"/>
        </w:rPr>
      </w:pPr>
      <w:r>
        <w:rPr>
          <w:lang w:val="en" w:eastAsia="en-AU"/>
        </w:rPr>
        <w:lastRenderedPageBreak/>
        <w:t>Analysis of Australian management capability scores</w:t>
      </w:r>
    </w:p>
    <w:p w14:paraId="6B76FF51" w14:textId="4CAA20FD" w:rsidR="00072E96" w:rsidRDefault="00072E96" w:rsidP="00072E96">
      <w:pPr>
        <w:pStyle w:val="BodyText"/>
      </w:pPr>
      <w:r>
        <w:t xml:space="preserve">This section presents average management capability scores across different dimensions for the entire sample as well as differences by firm characteristics. </w:t>
      </w:r>
      <w:r>
        <w:rPr>
          <w:highlight w:val="white"/>
        </w:rPr>
        <w:t>Average scores for each individual unique question is</w:t>
      </w:r>
      <w:r w:rsidR="009F1CAB">
        <w:rPr>
          <w:highlight w:val="white"/>
        </w:rPr>
        <w:t xml:space="preserve"> provided in Appendix </w:t>
      </w:r>
      <w:r w:rsidR="001C644F">
        <w:rPr>
          <w:highlight w:val="white"/>
        </w:rPr>
        <w:t>B</w:t>
      </w:r>
      <w:r w:rsidR="001C644F">
        <w:t>.</w:t>
      </w:r>
    </w:p>
    <w:p w14:paraId="2640A2F1" w14:textId="4E2559C5" w:rsidR="009F1CAB" w:rsidRDefault="009F1CAB" w:rsidP="0047756B">
      <w:pPr>
        <w:pStyle w:val="Caption"/>
        <w:pBdr>
          <w:top w:val="single" w:sz="2" w:space="0" w:color="595A5B"/>
        </w:pBdr>
      </w:pPr>
      <w:r>
        <w:t>Figure</w:t>
      </w:r>
      <w:r w:rsidRPr="000618FB">
        <w:t xml:space="preserve"> </w:t>
      </w:r>
      <w:r w:rsidR="00937C30">
        <w:rPr>
          <w:noProof/>
        </w:rPr>
        <w:fldChar w:fldCharType="begin"/>
      </w:r>
      <w:r w:rsidR="00937C30">
        <w:rPr>
          <w:noProof/>
        </w:rPr>
        <w:instrText xml:space="preserve"> STYLEREF 1 \s </w:instrText>
      </w:r>
      <w:r w:rsidR="00937C30">
        <w:rPr>
          <w:noProof/>
        </w:rPr>
        <w:fldChar w:fldCharType="separate"/>
      </w:r>
      <w:r w:rsidR="00111F76">
        <w:rPr>
          <w:noProof/>
        </w:rPr>
        <w:t>4</w:t>
      </w:r>
      <w:r w:rsidR="00937C30">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1</w:t>
      </w:r>
      <w:r w:rsidRPr="000618FB">
        <w:fldChar w:fldCharType="end"/>
      </w:r>
      <w:r>
        <w:t>: Average management capability scores, all firms, 2015–16</w:t>
      </w:r>
    </w:p>
    <w:tbl>
      <w:tblPr>
        <w:tblStyle w:val="OCETable"/>
        <w:tblW w:w="4940" w:type="pct"/>
        <w:tblInd w:w="108" w:type="dxa"/>
        <w:tblLayout w:type="fixed"/>
        <w:tblLook w:val="04A0" w:firstRow="1" w:lastRow="0" w:firstColumn="1" w:lastColumn="0" w:noHBand="0" w:noVBand="1"/>
        <w:tblCaption w:val="Figure 4.1: Average management capability scores, all firms, 2015–16"/>
        <w:tblDescription w:val="Figure 4.1 shows average management capability scores for all firms over the period 2015–16. The scores relate to Overall Management Capability (OMC), Digital Management Capability (DMC), Environmental Management Capability (EMC) and Strategic Management Capability (SMC)."/>
      </w:tblPr>
      <w:tblGrid>
        <w:gridCol w:w="6811"/>
      </w:tblGrid>
      <w:tr w:rsidR="009F1CAB" w14:paraId="5B0BE77D" w14:textId="77777777" w:rsidTr="00DD3656">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18B7B79E" w14:textId="2617C1ED" w:rsidR="009F1CAB" w:rsidRDefault="00FF0964" w:rsidP="00B17BDA">
            <w:pPr>
              <w:pStyle w:val="PlaceholderWide"/>
            </w:pPr>
            <w:r>
              <w:rPr>
                <w:noProof/>
                <w:lang w:eastAsia="en-AU"/>
              </w:rPr>
              <w:drawing>
                <wp:inline distT="0" distB="0" distL="0" distR="0" wp14:anchorId="78775FF6" wp14:editId="0810A5EB">
                  <wp:extent cx="4187825" cy="2503805"/>
                  <wp:effectExtent l="0" t="0" r="3175" b="0"/>
                  <wp:docPr id="8" name="Chart 8" descr="Figure 4.1 shows average management capability scores for all firms over the period 2015–16. The scores relate to Overall Management Capability (OMC), Digital Management Capability (DMC), Environmental Management Capability (EMC) and Strategic Management Capability (SMC)." title="Figure 4.1: Average management capability scores, all firms,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72BC7E00" w14:textId="750EACD8" w:rsidR="009F1CAB" w:rsidRPr="00C62F3A" w:rsidRDefault="009F1CAB" w:rsidP="00ED5951">
      <w:pPr>
        <w:pStyle w:val="Note"/>
        <w:spacing w:line="240" w:lineRule="auto"/>
      </w:pPr>
      <w:r>
        <w:t>Notes: Authors’ calculations</w:t>
      </w:r>
    </w:p>
    <w:p w14:paraId="443AACCD" w14:textId="1860A5BC" w:rsidR="009F1CAB" w:rsidRDefault="009F1CAB" w:rsidP="00ED5951">
      <w:pPr>
        <w:pStyle w:val="Source"/>
        <w:spacing w:line="240" w:lineRule="auto"/>
      </w:pPr>
      <w:r>
        <w:t xml:space="preserve">Source: </w:t>
      </w:r>
      <w:r>
        <w:rPr>
          <w:rFonts w:eastAsia="Arial"/>
          <w:szCs w:val="16"/>
        </w:rPr>
        <w:t>Australian Bureau of Statistics 2016, Management and Organisational Capabilities of Australian Business, 2015-16. Expanded Confidentialised Unit Record File (CURF), ABS DataLab.</w:t>
      </w:r>
    </w:p>
    <w:p w14:paraId="4C0704EA" w14:textId="77777777" w:rsidR="00072E96" w:rsidRPr="00072E96" w:rsidRDefault="00072E96" w:rsidP="00072E96">
      <w:pPr>
        <w:pStyle w:val="BodyText"/>
        <w:rPr>
          <w:lang w:val="en" w:eastAsia="en-AU"/>
        </w:rPr>
      </w:pPr>
    </w:p>
    <w:p w14:paraId="399E45A0" w14:textId="77777777" w:rsidR="00072E96" w:rsidRPr="00072E96" w:rsidRDefault="00072E96" w:rsidP="00072E96">
      <w:pPr>
        <w:pStyle w:val="BodyText"/>
        <w:rPr>
          <w:lang w:val="en"/>
        </w:rPr>
      </w:pPr>
    </w:p>
    <w:p w14:paraId="0DACF5E0" w14:textId="239F64EA" w:rsidR="00962AB5" w:rsidRDefault="00962AB5" w:rsidP="00B17BDA">
      <w:pPr>
        <w:pStyle w:val="Caption"/>
      </w:pPr>
      <w:r w:rsidRPr="000618FB">
        <w:lastRenderedPageBreak/>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1</w:t>
      </w:r>
      <w:r>
        <w:rPr>
          <w:noProof/>
        </w:rPr>
        <w:fldChar w:fldCharType="end"/>
      </w:r>
      <w:r w:rsidRPr="000618FB">
        <w:t xml:space="preserve">: </w:t>
      </w:r>
      <w:r>
        <w:t>Descriptive statistics of Australian management scores, all firms, 2015–16</w:t>
      </w:r>
    </w:p>
    <w:tbl>
      <w:tblPr>
        <w:tblStyle w:val="OCETable"/>
        <w:tblW w:w="5000" w:type="pct"/>
        <w:tblInd w:w="57" w:type="dxa"/>
        <w:tblLayout w:type="fixed"/>
        <w:tblLook w:val="04A0" w:firstRow="1" w:lastRow="0" w:firstColumn="1" w:lastColumn="0" w:noHBand="0" w:noVBand="1"/>
        <w:tblCaption w:val="Table 4.1: Descriptive statistics of Australian management scores, all firms, 2015–16"/>
        <w:tblDescription w:val="Table 4.1 presents descriptive statistics of the six scores developed in this report: Overall Management Capability (OMC); Overall Management Capability (OMCv2); Digital Management Capability (DMC); Environmental Management Capability (EMC); Supply Chain Management Capability (SCMC), Strategic Management Capability (SMC). Descriptive statistics of the six scores include: the number of observations, average score, median value and standard deviation. "/>
      </w:tblPr>
      <w:tblGrid>
        <w:gridCol w:w="1644"/>
        <w:gridCol w:w="1418"/>
        <w:gridCol w:w="1074"/>
        <w:gridCol w:w="1379"/>
        <w:gridCol w:w="1379"/>
      </w:tblGrid>
      <w:tr w:rsidR="00962AB5" w:rsidRPr="008E1736" w14:paraId="307E16F2"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1644" w:type="dxa"/>
          </w:tcPr>
          <w:p w14:paraId="5DF75C3A" w14:textId="77777777" w:rsidR="00962AB5" w:rsidRPr="008E1736" w:rsidRDefault="00962AB5" w:rsidP="00B17BDA">
            <w:pPr>
              <w:pStyle w:val="Tableheadertext"/>
            </w:pPr>
            <w:r w:rsidRPr="008E1736">
              <w:t>Score</w:t>
            </w:r>
          </w:p>
        </w:tc>
        <w:tc>
          <w:tcPr>
            <w:tcW w:w="1418" w:type="dxa"/>
          </w:tcPr>
          <w:p w14:paraId="2E827BBE" w14:textId="32DAD8A4" w:rsidR="00962AB5" w:rsidRPr="008E1736" w:rsidRDefault="00962AB5" w:rsidP="00597784">
            <w:pPr>
              <w:pStyle w:val="Tableheadertext"/>
              <w:jc w:val="right"/>
            </w:pPr>
            <w:r w:rsidRPr="008E1736">
              <w:t>Number of</w:t>
            </w:r>
            <w:r w:rsidR="00CD7908">
              <w:t xml:space="preserve"> </w:t>
            </w:r>
            <w:r w:rsidRPr="008E1736">
              <w:t>Observations (n)</w:t>
            </w:r>
          </w:p>
        </w:tc>
        <w:tc>
          <w:tcPr>
            <w:tcW w:w="1074" w:type="dxa"/>
          </w:tcPr>
          <w:p w14:paraId="5ED1E217" w14:textId="77777777" w:rsidR="00962AB5" w:rsidRPr="008E1736" w:rsidRDefault="00962AB5" w:rsidP="00597784">
            <w:pPr>
              <w:pStyle w:val="Tableheadertext"/>
              <w:jc w:val="right"/>
            </w:pPr>
            <w:r w:rsidRPr="008E1736">
              <w:t>Average score</w:t>
            </w:r>
          </w:p>
        </w:tc>
        <w:tc>
          <w:tcPr>
            <w:tcW w:w="1379" w:type="dxa"/>
          </w:tcPr>
          <w:p w14:paraId="34DB83CB" w14:textId="77777777" w:rsidR="00962AB5" w:rsidRPr="008E1736" w:rsidRDefault="00962AB5" w:rsidP="00597784">
            <w:pPr>
              <w:pStyle w:val="Tableheadertext"/>
              <w:jc w:val="right"/>
            </w:pPr>
            <w:r w:rsidRPr="008E1736">
              <w:t>Median</w:t>
            </w:r>
          </w:p>
        </w:tc>
        <w:tc>
          <w:tcPr>
            <w:tcW w:w="1379" w:type="dxa"/>
          </w:tcPr>
          <w:p w14:paraId="645BCAC0" w14:textId="77777777" w:rsidR="00962AB5" w:rsidRPr="008E1736" w:rsidRDefault="00962AB5" w:rsidP="00597784">
            <w:pPr>
              <w:pStyle w:val="Tableheadertext"/>
              <w:jc w:val="right"/>
            </w:pPr>
            <w:r w:rsidRPr="008E1736">
              <w:t>Standard    Deviation</w:t>
            </w:r>
          </w:p>
        </w:tc>
      </w:tr>
      <w:tr w:rsidR="00962AB5" w14:paraId="7F668EBB" w14:textId="77777777" w:rsidTr="00B17BDA">
        <w:trPr>
          <w:cnfStyle w:val="000000100000" w:firstRow="0" w:lastRow="0" w:firstColumn="0" w:lastColumn="0" w:oddVBand="0" w:evenVBand="0" w:oddHBand="1" w:evenHBand="0" w:firstRowFirstColumn="0" w:firstRowLastColumn="0" w:lastRowFirstColumn="0" w:lastRowLastColumn="0"/>
        </w:trPr>
        <w:tc>
          <w:tcPr>
            <w:tcW w:w="1644" w:type="dxa"/>
          </w:tcPr>
          <w:p w14:paraId="70430AAB" w14:textId="77777777" w:rsidR="00962AB5" w:rsidRPr="000E0EED" w:rsidRDefault="00962AB5" w:rsidP="007B3DA1">
            <w:pPr>
              <w:pStyle w:val="Tablebodytext"/>
            </w:pPr>
            <w:r w:rsidRPr="000E0EED">
              <w:t xml:space="preserve">Overall Management Capability </w:t>
            </w:r>
            <w:r w:rsidRPr="000E0EED">
              <w:rPr>
                <w:b/>
              </w:rPr>
              <w:t>(OMC)</w:t>
            </w:r>
          </w:p>
        </w:tc>
        <w:tc>
          <w:tcPr>
            <w:tcW w:w="1418" w:type="dxa"/>
          </w:tcPr>
          <w:p w14:paraId="56FD2A45" w14:textId="77777777" w:rsidR="00962AB5" w:rsidRDefault="00962AB5" w:rsidP="007B3DA1">
            <w:pPr>
              <w:pStyle w:val="Tablebodytext"/>
              <w:jc w:val="right"/>
            </w:pPr>
          </w:p>
          <w:p w14:paraId="494B857D" w14:textId="77777777" w:rsidR="00962AB5" w:rsidRPr="000E0EED" w:rsidRDefault="00962AB5" w:rsidP="007B3DA1">
            <w:pPr>
              <w:pStyle w:val="Tablebodytext"/>
              <w:jc w:val="right"/>
            </w:pPr>
            <w:r w:rsidRPr="000E0EED">
              <w:t>7537</w:t>
            </w:r>
          </w:p>
        </w:tc>
        <w:tc>
          <w:tcPr>
            <w:tcW w:w="1074" w:type="dxa"/>
          </w:tcPr>
          <w:p w14:paraId="714CDFE1" w14:textId="77777777" w:rsidR="00962AB5" w:rsidRDefault="00962AB5" w:rsidP="007B3DA1">
            <w:pPr>
              <w:pStyle w:val="Tablebodytext"/>
              <w:jc w:val="right"/>
            </w:pPr>
          </w:p>
          <w:p w14:paraId="2D35A1EB" w14:textId="77777777" w:rsidR="00962AB5" w:rsidRPr="000E0EED" w:rsidRDefault="00962AB5" w:rsidP="007B3DA1">
            <w:pPr>
              <w:pStyle w:val="Tablebodytext"/>
              <w:jc w:val="right"/>
            </w:pPr>
            <w:r w:rsidRPr="000E0EED">
              <w:t>0.275</w:t>
            </w:r>
          </w:p>
        </w:tc>
        <w:tc>
          <w:tcPr>
            <w:tcW w:w="1379" w:type="dxa"/>
          </w:tcPr>
          <w:p w14:paraId="7D916C7D" w14:textId="77777777" w:rsidR="00962AB5" w:rsidRDefault="00962AB5" w:rsidP="007B3DA1">
            <w:pPr>
              <w:pStyle w:val="Tablebodytext"/>
              <w:jc w:val="right"/>
            </w:pPr>
          </w:p>
          <w:p w14:paraId="4EFBF97C" w14:textId="77777777" w:rsidR="00962AB5" w:rsidRPr="000E0EED" w:rsidRDefault="00962AB5" w:rsidP="007B3DA1">
            <w:pPr>
              <w:pStyle w:val="Tablebodytext"/>
              <w:jc w:val="right"/>
            </w:pPr>
            <w:r w:rsidRPr="000E0EED">
              <w:t>0.262</w:t>
            </w:r>
          </w:p>
        </w:tc>
        <w:tc>
          <w:tcPr>
            <w:tcW w:w="1379" w:type="dxa"/>
          </w:tcPr>
          <w:p w14:paraId="339EF07A" w14:textId="77777777" w:rsidR="00962AB5" w:rsidRDefault="00962AB5" w:rsidP="007B3DA1">
            <w:pPr>
              <w:pStyle w:val="Tablebodytext"/>
              <w:jc w:val="right"/>
            </w:pPr>
          </w:p>
          <w:p w14:paraId="737C3768" w14:textId="77777777" w:rsidR="00962AB5" w:rsidRPr="000E0EED" w:rsidRDefault="00962AB5" w:rsidP="007B3DA1">
            <w:pPr>
              <w:pStyle w:val="Tablebodytext"/>
              <w:jc w:val="right"/>
            </w:pPr>
            <w:r w:rsidRPr="000E0EED">
              <w:t>0.147</w:t>
            </w:r>
          </w:p>
        </w:tc>
      </w:tr>
      <w:tr w:rsidR="00962AB5" w14:paraId="57283A6F" w14:textId="77777777" w:rsidTr="00B17BDA">
        <w:trPr>
          <w:cnfStyle w:val="000000010000" w:firstRow="0" w:lastRow="0" w:firstColumn="0" w:lastColumn="0" w:oddVBand="0" w:evenVBand="0" w:oddHBand="0" w:evenHBand="1" w:firstRowFirstColumn="0" w:firstRowLastColumn="0" w:lastRowFirstColumn="0" w:lastRowLastColumn="0"/>
        </w:trPr>
        <w:tc>
          <w:tcPr>
            <w:tcW w:w="1644" w:type="dxa"/>
          </w:tcPr>
          <w:p w14:paraId="1C7EA92D" w14:textId="77777777" w:rsidR="00962AB5" w:rsidRPr="000E0EED" w:rsidRDefault="00962AB5" w:rsidP="007B3DA1">
            <w:pPr>
              <w:pStyle w:val="Tablebodytext"/>
            </w:pPr>
            <w:r w:rsidRPr="000E0EED">
              <w:t xml:space="preserve">Overall Management Capability </w:t>
            </w:r>
            <w:r w:rsidRPr="000E0EED">
              <w:rPr>
                <w:b/>
              </w:rPr>
              <w:t>(OMCv2)</w:t>
            </w:r>
            <w:r>
              <w:rPr>
                <w:rStyle w:val="FootnoteReference"/>
                <w:rFonts w:eastAsia="Arial"/>
                <w:b/>
                <w:sz w:val="20"/>
                <w:szCs w:val="22"/>
              </w:rPr>
              <w:footnoteReference w:id="10"/>
            </w:r>
          </w:p>
        </w:tc>
        <w:tc>
          <w:tcPr>
            <w:tcW w:w="1418" w:type="dxa"/>
          </w:tcPr>
          <w:p w14:paraId="422CE5F6" w14:textId="77777777" w:rsidR="00962AB5" w:rsidRDefault="00962AB5" w:rsidP="007B3DA1">
            <w:pPr>
              <w:pStyle w:val="Tablebodytext"/>
              <w:jc w:val="right"/>
            </w:pPr>
          </w:p>
          <w:p w14:paraId="4F7ED433" w14:textId="77777777" w:rsidR="00962AB5" w:rsidRPr="000E0EED" w:rsidRDefault="00962AB5" w:rsidP="007B3DA1">
            <w:pPr>
              <w:pStyle w:val="Tablebodytext"/>
              <w:jc w:val="right"/>
            </w:pPr>
            <w:r w:rsidRPr="000E0EED">
              <w:t>12536</w:t>
            </w:r>
          </w:p>
        </w:tc>
        <w:tc>
          <w:tcPr>
            <w:tcW w:w="1074" w:type="dxa"/>
          </w:tcPr>
          <w:p w14:paraId="4F9F8D75" w14:textId="77777777" w:rsidR="00962AB5" w:rsidRDefault="00962AB5" w:rsidP="007B3DA1">
            <w:pPr>
              <w:pStyle w:val="Tablebodytext"/>
              <w:jc w:val="right"/>
            </w:pPr>
          </w:p>
          <w:p w14:paraId="37028EAE" w14:textId="77777777" w:rsidR="00962AB5" w:rsidRPr="000E0EED" w:rsidRDefault="00962AB5" w:rsidP="007B3DA1">
            <w:pPr>
              <w:pStyle w:val="Tablebodytext"/>
              <w:jc w:val="right"/>
            </w:pPr>
            <w:r w:rsidRPr="000E0EED">
              <w:t>0.262</w:t>
            </w:r>
          </w:p>
        </w:tc>
        <w:tc>
          <w:tcPr>
            <w:tcW w:w="1379" w:type="dxa"/>
          </w:tcPr>
          <w:p w14:paraId="7828867E" w14:textId="77777777" w:rsidR="00962AB5" w:rsidRDefault="00962AB5" w:rsidP="007B3DA1">
            <w:pPr>
              <w:pStyle w:val="Tablebodytext"/>
              <w:jc w:val="right"/>
            </w:pPr>
          </w:p>
          <w:p w14:paraId="45BC9572" w14:textId="77777777" w:rsidR="00962AB5" w:rsidRPr="000E0EED" w:rsidRDefault="00962AB5" w:rsidP="007B3DA1">
            <w:pPr>
              <w:pStyle w:val="Tablebodytext"/>
              <w:jc w:val="right"/>
            </w:pPr>
            <w:r w:rsidRPr="000E0EED">
              <w:t>0.244</w:t>
            </w:r>
          </w:p>
        </w:tc>
        <w:tc>
          <w:tcPr>
            <w:tcW w:w="1379" w:type="dxa"/>
          </w:tcPr>
          <w:p w14:paraId="6EBE120D" w14:textId="77777777" w:rsidR="00962AB5" w:rsidRDefault="00962AB5" w:rsidP="007B3DA1">
            <w:pPr>
              <w:pStyle w:val="Tablebodytext"/>
              <w:jc w:val="right"/>
            </w:pPr>
          </w:p>
          <w:p w14:paraId="0CC75C2F" w14:textId="77777777" w:rsidR="00962AB5" w:rsidRPr="000E0EED" w:rsidRDefault="00962AB5" w:rsidP="007B3DA1">
            <w:pPr>
              <w:pStyle w:val="Tablebodytext"/>
              <w:jc w:val="right"/>
            </w:pPr>
            <w:r w:rsidRPr="000E0EED">
              <w:t>0.158</w:t>
            </w:r>
          </w:p>
        </w:tc>
      </w:tr>
      <w:tr w:rsidR="00962AB5" w14:paraId="41BE4AF9" w14:textId="77777777" w:rsidTr="00B17BDA">
        <w:trPr>
          <w:cnfStyle w:val="000000100000" w:firstRow="0" w:lastRow="0" w:firstColumn="0" w:lastColumn="0" w:oddVBand="0" w:evenVBand="0" w:oddHBand="1" w:evenHBand="0" w:firstRowFirstColumn="0" w:firstRowLastColumn="0" w:lastRowFirstColumn="0" w:lastRowLastColumn="0"/>
        </w:trPr>
        <w:tc>
          <w:tcPr>
            <w:tcW w:w="1644" w:type="dxa"/>
          </w:tcPr>
          <w:p w14:paraId="3D56997A" w14:textId="77777777" w:rsidR="00962AB5" w:rsidRPr="000E0EED" w:rsidRDefault="00962AB5" w:rsidP="007B3DA1">
            <w:pPr>
              <w:pStyle w:val="Tablebodytext"/>
            </w:pPr>
            <w:r w:rsidRPr="000E0EED">
              <w:t xml:space="preserve">Digital Management Capability </w:t>
            </w:r>
            <w:r w:rsidRPr="000E0EED">
              <w:rPr>
                <w:b/>
              </w:rPr>
              <w:t>(DMC)</w:t>
            </w:r>
          </w:p>
        </w:tc>
        <w:tc>
          <w:tcPr>
            <w:tcW w:w="1418" w:type="dxa"/>
          </w:tcPr>
          <w:p w14:paraId="3E4ABF67" w14:textId="77777777" w:rsidR="00962AB5" w:rsidRDefault="00962AB5" w:rsidP="007B3DA1">
            <w:pPr>
              <w:pStyle w:val="Tablebodytext"/>
              <w:jc w:val="right"/>
            </w:pPr>
          </w:p>
          <w:p w14:paraId="549DA357" w14:textId="77777777" w:rsidR="00962AB5" w:rsidRPr="000E0EED" w:rsidRDefault="00962AB5" w:rsidP="007B3DA1">
            <w:pPr>
              <w:pStyle w:val="Tablebodytext"/>
              <w:jc w:val="right"/>
            </w:pPr>
            <w:r w:rsidRPr="000E0EED">
              <w:t>12536</w:t>
            </w:r>
          </w:p>
        </w:tc>
        <w:tc>
          <w:tcPr>
            <w:tcW w:w="1074" w:type="dxa"/>
          </w:tcPr>
          <w:p w14:paraId="3E90210A" w14:textId="77777777" w:rsidR="00962AB5" w:rsidRDefault="00962AB5" w:rsidP="007B3DA1">
            <w:pPr>
              <w:pStyle w:val="Tablebodytext"/>
              <w:jc w:val="right"/>
            </w:pPr>
          </w:p>
          <w:p w14:paraId="3A504DB5" w14:textId="77777777" w:rsidR="00962AB5" w:rsidRPr="000E0EED" w:rsidRDefault="00962AB5" w:rsidP="007B3DA1">
            <w:pPr>
              <w:pStyle w:val="Tablebodytext"/>
              <w:jc w:val="right"/>
            </w:pPr>
            <w:r w:rsidRPr="000E0EED">
              <w:t>0.108</w:t>
            </w:r>
          </w:p>
        </w:tc>
        <w:tc>
          <w:tcPr>
            <w:tcW w:w="1379" w:type="dxa"/>
          </w:tcPr>
          <w:p w14:paraId="35C1E0C3" w14:textId="77777777" w:rsidR="00962AB5" w:rsidRDefault="00962AB5" w:rsidP="007B3DA1">
            <w:pPr>
              <w:pStyle w:val="Tablebodytext"/>
              <w:jc w:val="right"/>
            </w:pPr>
          </w:p>
          <w:p w14:paraId="69D861AB" w14:textId="77777777" w:rsidR="00962AB5" w:rsidRPr="000E0EED" w:rsidRDefault="00962AB5" w:rsidP="007B3DA1">
            <w:pPr>
              <w:pStyle w:val="Tablebodytext"/>
              <w:jc w:val="right"/>
            </w:pPr>
            <w:r w:rsidRPr="000E0EED">
              <w:t>0</w:t>
            </w:r>
            <w:r>
              <w:t>.00</w:t>
            </w:r>
          </w:p>
        </w:tc>
        <w:tc>
          <w:tcPr>
            <w:tcW w:w="1379" w:type="dxa"/>
          </w:tcPr>
          <w:p w14:paraId="2D27CC3E" w14:textId="77777777" w:rsidR="00962AB5" w:rsidRDefault="00962AB5" w:rsidP="007B3DA1">
            <w:pPr>
              <w:pStyle w:val="Tablebodytext"/>
              <w:jc w:val="right"/>
            </w:pPr>
          </w:p>
          <w:p w14:paraId="6AD3284F" w14:textId="77777777" w:rsidR="00962AB5" w:rsidRPr="000E0EED" w:rsidRDefault="00962AB5" w:rsidP="007B3DA1">
            <w:pPr>
              <w:pStyle w:val="Tablebodytext"/>
              <w:jc w:val="right"/>
            </w:pPr>
            <w:r w:rsidRPr="000E0EED">
              <w:t>0.159</w:t>
            </w:r>
          </w:p>
        </w:tc>
      </w:tr>
      <w:tr w:rsidR="00962AB5" w14:paraId="7463F4FE" w14:textId="77777777" w:rsidTr="00B17BDA">
        <w:trPr>
          <w:cnfStyle w:val="000000010000" w:firstRow="0" w:lastRow="0" w:firstColumn="0" w:lastColumn="0" w:oddVBand="0" w:evenVBand="0" w:oddHBand="0" w:evenHBand="1" w:firstRowFirstColumn="0" w:firstRowLastColumn="0" w:lastRowFirstColumn="0" w:lastRowLastColumn="0"/>
        </w:trPr>
        <w:tc>
          <w:tcPr>
            <w:tcW w:w="1644" w:type="dxa"/>
          </w:tcPr>
          <w:p w14:paraId="3C4EF811" w14:textId="77777777" w:rsidR="00962AB5" w:rsidRPr="000E0EED" w:rsidRDefault="00962AB5" w:rsidP="007B3DA1">
            <w:pPr>
              <w:pStyle w:val="Tablebodytext"/>
            </w:pPr>
            <w:r w:rsidRPr="000E0EED">
              <w:t xml:space="preserve">Environmental Management Capability </w:t>
            </w:r>
            <w:r w:rsidRPr="000E0EED">
              <w:rPr>
                <w:b/>
              </w:rPr>
              <w:t>(EMC)</w:t>
            </w:r>
          </w:p>
        </w:tc>
        <w:tc>
          <w:tcPr>
            <w:tcW w:w="1418" w:type="dxa"/>
          </w:tcPr>
          <w:p w14:paraId="3C8F7433" w14:textId="77777777" w:rsidR="00962AB5" w:rsidRDefault="00962AB5" w:rsidP="007B3DA1">
            <w:pPr>
              <w:pStyle w:val="Tablebodytext"/>
              <w:jc w:val="right"/>
            </w:pPr>
          </w:p>
          <w:p w14:paraId="6669A211" w14:textId="77777777" w:rsidR="00962AB5" w:rsidRPr="000E0EED" w:rsidRDefault="00962AB5" w:rsidP="007B3DA1">
            <w:pPr>
              <w:pStyle w:val="Tablebodytext"/>
              <w:jc w:val="right"/>
            </w:pPr>
            <w:r w:rsidRPr="000E0EED">
              <w:t>12536</w:t>
            </w:r>
          </w:p>
        </w:tc>
        <w:tc>
          <w:tcPr>
            <w:tcW w:w="1074" w:type="dxa"/>
          </w:tcPr>
          <w:p w14:paraId="7D7B4256" w14:textId="77777777" w:rsidR="00962AB5" w:rsidRDefault="00962AB5" w:rsidP="007B3DA1">
            <w:pPr>
              <w:pStyle w:val="Tablebodytext"/>
              <w:jc w:val="right"/>
            </w:pPr>
          </w:p>
          <w:p w14:paraId="7CACC71D" w14:textId="77777777" w:rsidR="00962AB5" w:rsidRPr="000E0EED" w:rsidRDefault="00962AB5" w:rsidP="007B3DA1">
            <w:pPr>
              <w:pStyle w:val="Tablebodytext"/>
              <w:jc w:val="right"/>
            </w:pPr>
            <w:r w:rsidRPr="000E0EED">
              <w:t>0.125</w:t>
            </w:r>
          </w:p>
        </w:tc>
        <w:tc>
          <w:tcPr>
            <w:tcW w:w="1379" w:type="dxa"/>
          </w:tcPr>
          <w:p w14:paraId="0B5F96B4" w14:textId="77777777" w:rsidR="00962AB5" w:rsidRDefault="00962AB5" w:rsidP="007B3DA1">
            <w:pPr>
              <w:pStyle w:val="Tablebodytext"/>
              <w:jc w:val="right"/>
            </w:pPr>
          </w:p>
          <w:p w14:paraId="6D2531E8" w14:textId="77777777" w:rsidR="00962AB5" w:rsidRPr="000E0EED" w:rsidRDefault="00962AB5" w:rsidP="007B3DA1">
            <w:pPr>
              <w:pStyle w:val="Tablebodytext"/>
              <w:jc w:val="right"/>
            </w:pPr>
            <w:r w:rsidRPr="000E0EED">
              <w:t>0.05</w:t>
            </w:r>
          </w:p>
        </w:tc>
        <w:tc>
          <w:tcPr>
            <w:tcW w:w="1379" w:type="dxa"/>
          </w:tcPr>
          <w:p w14:paraId="46F88C2A" w14:textId="77777777" w:rsidR="00962AB5" w:rsidRDefault="00962AB5" w:rsidP="007B3DA1">
            <w:pPr>
              <w:pStyle w:val="Tablebodytext"/>
              <w:jc w:val="right"/>
            </w:pPr>
          </w:p>
          <w:p w14:paraId="4825FCE7" w14:textId="77777777" w:rsidR="00962AB5" w:rsidRPr="000E0EED" w:rsidRDefault="00962AB5" w:rsidP="007B3DA1">
            <w:pPr>
              <w:pStyle w:val="Tablebodytext"/>
              <w:jc w:val="right"/>
            </w:pPr>
            <w:r w:rsidRPr="000E0EED">
              <w:t>0.178</w:t>
            </w:r>
          </w:p>
        </w:tc>
      </w:tr>
      <w:tr w:rsidR="00962AB5" w14:paraId="604362FE" w14:textId="77777777" w:rsidTr="00B17BDA">
        <w:trPr>
          <w:cnfStyle w:val="000000100000" w:firstRow="0" w:lastRow="0" w:firstColumn="0" w:lastColumn="0" w:oddVBand="0" w:evenVBand="0" w:oddHBand="1" w:evenHBand="0" w:firstRowFirstColumn="0" w:firstRowLastColumn="0" w:lastRowFirstColumn="0" w:lastRowLastColumn="0"/>
        </w:trPr>
        <w:tc>
          <w:tcPr>
            <w:tcW w:w="1644" w:type="dxa"/>
          </w:tcPr>
          <w:p w14:paraId="39BAB4A0" w14:textId="77777777" w:rsidR="00962AB5" w:rsidRPr="000E0EED" w:rsidRDefault="00962AB5" w:rsidP="007B3DA1">
            <w:pPr>
              <w:pStyle w:val="Tablebodytext"/>
            </w:pPr>
            <w:r w:rsidRPr="000E0EED">
              <w:t xml:space="preserve">Supply Chain Management Capability </w:t>
            </w:r>
            <w:r w:rsidRPr="000E0EED">
              <w:rPr>
                <w:b/>
              </w:rPr>
              <w:t>(SCMC)</w:t>
            </w:r>
          </w:p>
        </w:tc>
        <w:tc>
          <w:tcPr>
            <w:tcW w:w="1418" w:type="dxa"/>
          </w:tcPr>
          <w:p w14:paraId="4AB03DCF" w14:textId="77777777" w:rsidR="00962AB5" w:rsidRDefault="00962AB5" w:rsidP="007B3DA1">
            <w:pPr>
              <w:pStyle w:val="Tablebodytext"/>
              <w:jc w:val="right"/>
            </w:pPr>
          </w:p>
          <w:p w14:paraId="66400650" w14:textId="77777777" w:rsidR="00962AB5" w:rsidRPr="000E0EED" w:rsidRDefault="00962AB5" w:rsidP="007B3DA1">
            <w:pPr>
              <w:pStyle w:val="Tablebodytext"/>
              <w:jc w:val="right"/>
            </w:pPr>
            <w:r w:rsidRPr="000E0EED">
              <w:t>7537</w:t>
            </w:r>
          </w:p>
        </w:tc>
        <w:tc>
          <w:tcPr>
            <w:tcW w:w="1074" w:type="dxa"/>
          </w:tcPr>
          <w:p w14:paraId="413F1C48" w14:textId="77777777" w:rsidR="00962AB5" w:rsidRDefault="00962AB5" w:rsidP="007B3DA1">
            <w:pPr>
              <w:pStyle w:val="Tablebodytext"/>
              <w:jc w:val="right"/>
            </w:pPr>
          </w:p>
          <w:p w14:paraId="2D2CBB3E" w14:textId="77777777" w:rsidR="00962AB5" w:rsidRPr="000E0EED" w:rsidRDefault="00962AB5" w:rsidP="007B3DA1">
            <w:pPr>
              <w:pStyle w:val="Tablebodytext"/>
              <w:jc w:val="right"/>
            </w:pPr>
            <w:r w:rsidRPr="000E0EED">
              <w:t>0.169</w:t>
            </w:r>
          </w:p>
        </w:tc>
        <w:tc>
          <w:tcPr>
            <w:tcW w:w="1379" w:type="dxa"/>
          </w:tcPr>
          <w:p w14:paraId="2817FF22" w14:textId="77777777" w:rsidR="00962AB5" w:rsidRDefault="00962AB5" w:rsidP="007B3DA1">
            <w:pPr>
              <w:pStyle w:val="Tablebodytext"/>
              <w:jc w:val="right"/>
            </w:pPr>
          </w:p>
          <w:p w14:paraId="3BA38B60" w14:textId="77777777" w:rsidR="00962AB5" w:rsidRPr="000E0EED" w:rsidRDefault="00962AB5" w:rsidP="007B3DA1">
            <w:pPr>
              <w:pStyle w:val="Tablebodytext"/>
              <w:jc w:val="right"/>
            </w:pPr>
            <w:r w:rsidRPr="000E0EED">
              <w:t>0.133</w:t>
            </w:r>
          </w:p>
        </w:tc>
        <w:tc>
          <w:tcPr>
            <w:tcW w:w="1379" w:type="dxa"/>
          </w:tcPr>
          <w:p w14:paraId="0C26BB6B" w14:textId="77777777" w:rsidR="00962AB5" w:rsidRDefault="00962AB5" w:rsidP="007B3DA1">
            <w:pPr>
              <w:pStyle w:val="Tablebodytext"/>
              <w:jc w:val="right"/>
            </w:pPr>
          </w:p>
          <w:p w14:paraId="44F0ADAB" w14:textId="77777777" w:rsidR="00962AB5" w:rsidRPr="000E0EED" w:rsidRDefault="00962AB5" w:rsidP="007B3DA1">
            <w:pPr>
              <w:pStyle w:val="Tablebodytext"/>
              <w:jc w:val="right"/>
            </w:pPr>
            <w:r w:rsidRPr="000E0EED">
              <w:t>0.173</w:t>
            </w:r>
          </w:p>
        </w:tc>
      </w:tr>
      <w:tr w:rsidR="00962AB5" w14:paraId="76E6BD8B" w14:textId="77777777" w:rsidTr="00B17BDA">
        <w:trPr>
          <w:cnfStyle w:val="000000010000" w:firstRow="0" w:lastRow="0" w:firstColumn="0" w:lastColumn="0" w:oddVBand="0" w:evenVBand="0" w:oddHBand="0" w:evenHBand="1" w:firstRowFirstColumn="0" w:firstRowLastColumn="0" w:lastRowFirstColumn="0" w:lastRowLastColumn="0"/>
        </w:trPr>
        <w:tc>
          <w:tcPr>
            <w:tcW w:w="1644" w:type="dxa"/>
          </w:tcPr>
          <w:p w14:paraId="14399D5E" w14:textId="77777777" w:rsidR="00962AB5" w:rsidRPr="000E0EED" w:rsidRDefault="00962AB5" w:rsidP="007B3DA1">
            <w:pPr>
              <w:pStyle w:val="Tablebodytext"/>
            </w:pPr>
            <w:r w:rsidRPr="000E0EED">
              <w:t xml:space="preserve">Strategic Management Capability </w:t>
            </w:r>
            <w:r w:rsidRPr="000E0EED">
              <w:rPr>
                <w:b/>
              </w:rPr>
              <w:t>(SMC)</w:t>
            </w:r>
          </w:p>
        </w:tc>
        <w:tc>
          <w:tcPr>
            <w:tcW w:w="1418" w:type="dxa"/>
          </w:tcPr>
          <w:p w14:paraId="0156D2A1" w14:textId="77777777" w:rsidR="00962AB5" w:rsidRDefault="00962AB5" w:rsidP="007B3DA1">
            <w:pPr>
              <w:pStyle w:val="Tablebodytext"/>
              <w:jc w:val="right"/>
            </w:pPr>
          </w:p>
          <w:p w14:paraId="7ADB15CB" w14:textId="77777777" w:rsidR="00962AB5" w:rsidRPr="000E0EED" w:rsidRDefault="00962AB5" w:rsidP="007B3DA1">
            <w:pPr>
              <w:pStyle w:val="Tablebodytext"/>
              <w:jc w:val="right"/>
            </w:pPr>
            <w:r w:rsidRPr="000E0EED">
              <w:t>12536</w:t>
            </w:r>
          </w:p>
        </w:tc>
        <w:tc>
          <w:tcPr>
            <w:tcW w:w="1074" w:type="dxa"/>
          </w:tcPr>
          <w:p w14:paraId="41E00C80" w14:textId="77777777" w:rsidR="00962AB5" w:rsidRDefault="00962AB5" w:rsidP="007B3DA1">
            <w:pPr>
              <w:pStyle w:val="Tablebodytext"/>
              <w:jc w:val="right"/>
            </w:pPr>
          </w:p>
          <w:p w14:paraId="4B4C6457" w14:textId="77777777" w:rsidR="00962AB5" w:rsidRPr="000E0EED" w:rsidRDefault="00962AB5" w:rsidP="007B3DA1">
            <w:pPr>
              <w:pStyle w:val="Tablebodytext"/>
              <w:jc w:val="right"/>
            </w:pPr>
            <w:r w:rsidRPr="000E0EED">
              <w:t>0.386</w:t>
            </w:r>
          </w:p>
        </w:tc>
        <w:tc>
          <w:tcPr>
            <w:tcW w:w="1379" w:type="dxa"/>
          </w:tcPr>
          <w:p w14:paraId="4CB22F47" w14:textId="77777777" w:rsidR="00962AB5" w:rsidRDefault="00962AB5" w:rsidP="007B3DA1">
            <w:pPr>
              <w:pStyle w:val="Tablebodytext"/>
              <w:jc w:val="right"/>
            </w:pPr>
          </w:p>
          <w:p w14:paraId="6ACC902E" w14:textId="77777777" w:rsidR="00962AB5" w:rsidRPr="000E0EED" w:rsidRDefault="00962AB5" w:rsidP="007B3DA1">
            <w:pPr>
              <w:pStyle w:val="Tablebodytext"/>
              <w:jc w:val="right"/>
            </w:pPr>
            <w:r w:rsidRPr="000E0EED">
              <w:t>0.38</w:t>
            </w:r>
            <w:r>
              <w:t>0</w:t>
            </w:r>
          </w:p>
        </w:tc>
        <w:tc>
          <w:tcPr>
            <w:tcW w:w="1379" w:type="dxa"/>
          </w:tcPr>
          <w:p w14:paraId="44C4294D" w14:textId="77777777" w:rsidR="00962AB5" w:rsidRDefault="00962AB5" w:rsidP="007B3DA1">
            <w:pPr>
              <w:pStyle w:val="Tablebodytext"/>
              <w:jc w:val="right"/>
            </w:pPr>
          </w:p>
          <w:p w14:paraId="34713ABA" w14:textId="77777777" w:rsidR="00962AB5" w:rsidRPr="000E0EED" w:rsidRDefault="00962AB5" w:rsidP="007B3DA1">
            <w:pPr>
              <w:pStyle w:val="Tablebodytext"/>
              <w:jc w:val="right"/>
            </w:pPr>
            <w:r w:rsidRPr="000E0EED">
              <w:t>0.204</w:t>
            </w:r>
          </w:p>
        </w:tc>
      </w:tr>
    </w:tbl>
    <w:p w14:paraId="29126268" w14:textId="2C42650C" w:rsidR="00962AB5" w:rsidRDefault="00962AB5" w:rsidP="00B17BDA">
      <w:pPr>
        <w:pStyle w:val="Note"/>
        <w:rPr>
          <w:lang w:eastAsia="en-AU"/>
        </w:rPr>
      </w:pPr>
      <w:r>
        <w:rPr>
          <w:lang w:eastAsia="en-AU"/>
        </w:rPr>
        <w:t xml:space="preserve">Notes: </w:t>
      </w:r>
      <w:r>
        <w:t>Authors’ calculations</w:t>
      </w:r>
    </w:p>
    <w:p w14:paraId="7B3871EE" w14:textId="10B5D60F" w:rsidR="00072E96" w:rsidRDefault="00962AB5" w:rsidP="00962AB5">
      <w:pPr>
        <w:pStyle w:val="Source"/>
        <w:rPr>
          <w:rFonts w:eastAsia="Arial"/>
          <w:szCs w:val="16"/>
        </w:rPr>
      </w:pPr>
      <w:r>
        <w:rPr>
          <w:lang w:eastAsia="en-AU"/>
        </w:rPr>
        <w:t xml:space="preserve">Source: </w:t>
      </w:r>
      <w:r>
        <w:rPr>
          <w:rFonts w:eastAsia="Arial"/>
          <w:szCs w:val="16"/>
        </w:rPr>
        <w:t>Australian Bureau of Statistics 2016, Management and Organisational Capabilities of Australian Business, 2015–16. Expanded Confidentialised Unit Record File (CURF), ABS DataLab</w:t>
      </w:r>
    </w:p>
    <w:p w14:paraId="611BEC3B" w14:textId="565D3053" w:rsidR="00962AB5" w:rsidRDefault="00962AB5" w:rsidP="00962AB5">
      <w:pPr>
        <w:pStyle w:val="BodyText"/>
      </w:pPr>
      <w:r>
        <w:t>The smaller sample size for SCMC (n= 7537) is due to the reasons described in Section 3.4. The lowest performing score is related to DMC at 0.108 showing a lack of digital and technology integration into businesses. This is followed closely by EMC at 0.125, indicating a very low penetration and adoption of environmental practices by the sampled firms. SMC is the highest scoring dimension found to be 0.386 indicating that firms on average tend to have more general management practices such as performance measurement and strategic planning before having the more nuanced practices of EMC, DMC or SCMC. The following sections provide descriptive results by a number of firm’s characteristics.</w:t>
      </w:r>
    </w:p>
    <w:p w14:paraId="3C9B9F23" w14:textId="4BD21CC3" w:rsidR="00962AB5" w:rsidRDefault="00962AB5" w:rsidP="00851368">
      <w:pPr>
        <w:pStyle w:val="Heading2"/>
        <w:ind w:left="0" w:firstLine="0"/>
        <w:rPr>
          <w:lang w:val="en" w:eastAsia="en-AU"/>
        </w:rPr>
      </w:pPr>
      <w:r>
        <w:rPr>
          <w:lang w:val="en" w:eastAsia="en-AU"/>
        </w:rPr>
        <w:t>Management capability scores by firm employment size</w:t>
      </w:r>
    </w:p>
    <w:p w14:paraId="32218AAF" w14:textId="233FABB2" w:rsidR="00962AB5" w:rsidRDefault="00962AB5" w:rsidP="00962AB5">
      <w:pPr>
        <w:pStyle w:val="BodyText"/>
        <w:rPr>
          <w:rFonts w:ascii="Arial" w:eastAsia="Arial" w:hAnsi="Arial" w:cs="Arial"/>
        </w:rPr>
      </w:pPr>
      <w:r>
        <w:rPr>
          <w:rFonts w:ascii="Arial" w:eastAsia="Arial" w:hAnsi="Arial" w:cs="Arial"/>
        </w:rPr>
        <w:t xml:space="preserve">Figure 4.2 illustrates the average management capability scores by firm size according to number of employees in the firm. Values are presented in Table B1 Appendix B. An interesting note in this figure is that there is a consistency in the magnitude of scores irrespective of the dimension of management capability. As expected, the average MC scores for the larger firms are higher than smaller firms across all management score dimensions. This is consistent with earlier studies that have shown the level of management capability, and </w:t>
      </w:r>
      <w:r>
        <w:rPr>
          <w:rFonts w:ascii="Arial" w:eastAsia="Arial" w:hAnsi="Arial" w:cs="Arial"/>
        </w:rPr>
        <w:lastRenderedPageBreak/>
        <w:t>the presence of structured management practices tend to increase with firm size (Bloom and Van Reenen 2010). The variations in management scores across the different sized firms are statistically significant.</w:t>
      </w:r>
    </w:p>
    <w:p w14:paraId="766DC52C" w14:textId="49120295" w:rsidR="00962AB5" w:rsidRDefault="00962AB5" w:rsidP="00B17BDA">
      <w:pPr>
        <w:pStyle w:val="Caption"/>
      </w:pPr>
      <w:r>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2</w:t>
      </w:r>
      <w:r w:rsidRPr="000618FB">
        <w:fldChar w:fldCharType="end"/>
      </w:r>
      <w:r>
        <w:t>: Average management capability scores of Australian firms by employment size, 2015–16</w:t>
      </w:r>
    </w:p>
    <w:tbl>
      <w:tblPr>
        <w:tblStyle w:val="OCETable"/>
        <w:tblW w:w="5000" w:type="pct"/>
        <w:tblLayout w:type="fixed"/>
        <w:tblLook w:val="04A0" w:firstRow="1" w:lastRow="0" w:firstColumn="1" w:lastColumn="0" w:noHBand="0" w:noVBand="1"/>
        <w:tblCaption w:val="Figure 4.2: Average management capability scores of Australian firms by employment size, 2015–16"/>
        <w:tblDescription w:val="Figure 4.2 illustrates the average management capability scores by firm size according to number of employees in the firm over the period 2015-16. The scores relate to Overall Management Capability (OMC), Digital Management Capability (DMC), Environmental Management Capability (EMC) and Strategic Management Capability (SMC)."/>
      </w:tblPr>
      <w:tblGrid>
        <w:gridCol w:w="6894"/>
      </w:tblGrid>
      <w:tr w:rsidR="00962AB5" w14:paraId="5957BFB8" w14:textId="77777777" w:rsidTr="00DD3656">
        <w:trPr>
          <w:cnfStyle w:val="100000000000" w:firstRow="1" w:lastRow="0" w:firstColumn="0" w:lastColumn="0" w:oddVBand="0" w:evenVBand="0" w:oddHBand="0" w:evenHBand="0" w:firstRowFirstColumn="0" w:firstRowLastColumn="0" w:lastRowFirstColumn="0" w:lastRowLastColumn="0"/>
          <w:trHeight w:val="5191"/>
          <w:tblHeader/>
        </w:trPr>
        <w:tc>
          <w:tcPr>
            <w:tcW w:w="6894" w:type="dxa"/>
            <w:shd w:val="clear" w:color="auto" w:fill="auto"/>
          </w:tcPr>
          <w:p w14:paraId="6C321B8C" w14:textId="66A99E59" w:rsidR="00962AB5" w:rsidRDefault="00FF0964" w:rsidP="00962AB5">
            <w:pPr>
              <w:pStyle w:val="PlaceholderWide"/>
            </w:pPr>
            <w:r>
              <w:rPr>
                <w:noProof/>
                <w:lang w:eastAsia="en-AU"/>
              </w:rPr>
              <w:drawing>
                <wp:inline distT="0" distB="0" distL="0" distR="0" wp14:anchorId="142CBBA3" wp14:editId="241B9E05">
                  <wp:extent cx="4240530" cy="3192145"/>
                  <wp:effectExtent l="0" t="0" r="7620" b="8255"/>
                  <wp:docPr id="9" name="Chart 9" descr="Figure 4.2 illustrates the average management capability scores by firm size according to number of employees in the firm over the period 2015-16. The scores relate to Overall Management Capability (OMC), Digital Management Capability (DMC), Environmental Management Capability (EMC) and Strategic Management Capability (SMC)." title="Figure 4.2: Average management capability scores of Australian firms by employment size,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1662EB69" w14:textId="39F4C346" w:rsidR="00962AB5" w:rsidRPr="00C62F3A" w:rsidRDefault="00962AB5" w:rsidP="00B17BDA">
      <w:pPr>
        <w:pStyle w:val="Note"/>
      </w:pPr>
      <w:r>
        <w:t>Notes: Authors’ calculations. Detailed information in Table B1 Appendix B.</w:t>
      </w:r>
    </w:p>
    <w:p w14:paraId="6BEDCE65" w14:textId="7DF41A56" w:rsidR="00962AB5" w:rsidRDefault="00962AB5" w:rsidP="00B17BDA">
      <w:pPr>
        <w:pStyle w:val="Source"/>
      </w:pPr>
      <w:r>
        <w:t xml:space="preserve">Source: </w:t>
      </w:r>
      <w:r>
        <w:rPr>
          <w:rFonts w:eastAsia="Arial"/>
          <w:szCs w:val="16"/>
        </w:rPr>
        <w:t>Australian Bureau of Statistics 2016, Management and Organisational Capabilities of Australian Business, 2015–16. Expanded Confidentialised Unit Record File (CURF), ABS DataLab</w:t>
      </w:r>
      <w:r>
        <w:t xml:space="preserve"> </w:t>
      </w:r>
    </w:p>
    <w:p w14:paraId="67FAC7D6" w14:textId="6574EA0F" w:rsidR="00962AB5" w:rsidRDefault="00851368" w:rsidP="00851368">
      <w:pPr>
        <w:pStyle w:val="Heading2"/>
        <w:ind w:left="0" w:firstLine="0"/>
        <w:rPr>
          <w:lang w:val="en" w:eastAsia="en-AU"/>
        </w:rPr>
      </w:pPr>
      <w:r>
        <w:rPr>
          <w:lang w:val="en" w:eastAsia="en-AU"/>
        </w:rPr>
        <w:t xml:space="preserve">Management capability scores by industry                                                                                                                                                                                                                                                                                                                                                                                                                                                                                                                                                                                                                                                                                   </w:t>
      </w:r>
    </w:p>
    <w:p w14:paraId="346EE270" w14:textId="54D85D90" w:rsidR="007F0B1F" w:rsidRDefault="007F0B1F" w:rsidP="007F0B1F">
      <w:pPr>
        <w:pStyle w:val="BodyText"/>
        <w:rPr>
          <w:rFonts w:ascii="Arial" w:eastAsia="Arial" w:hAnsi="Arial" w:cs="Arial"/>
        </w:rPr>
      </w:pPr>
      <w:r>
        <w:rPr>
          <w:rFonts w:ascii="Arial" w:eastAsia="Arial" w:hAnsi="Arial" w:cs="Arial"/>
        </w:rPr>
        <w:t xml:space="preserve">Figures 4.3 to 4.7 (and Table B2 Appendix B) present the average for each management capability score type by ANZSIC industry division ranked from highest to lowest. </w:t>
      </w:r>
    </w:p>
    <w:p w14:paraId="7E575BEA" w14:textId="2EBD8CF2" w:rsidR="007F0B1F" w:rsidRDefault="007F0B1F" w:rsidP="007F0B1F">
      <w:pPr>
        <w:pStyle w:val="BodyText"/>
        <w:rPr>
          <w:rFonts w:ascii="Arial" w:eastAsia="Arial" w:hAnsi="Arial" w:cs="Arial"/>
        </w:rPr>
      </w:pPr>
      <w:r>
        <w:rPr>
          <w:rFonts w:ascii="Arial" w:eastAsia="Arial" w:hAnsi="Arial" w:cs="Arial"/>
        </w:rPr>
        <w:t xml:space="preserve">In terms of Overall Management Capability (Figure 4.3) the best performing industry sector is the </w:t>
      </w:r>
      <w:r w:rsidRPr="000D7D90">
        <w:rPr>
          <w:rFonts w:ascii="Arial" w:eastAsia="Arial" w:hAnsi="Arial" w:cs="Arial"/>
          <w:i/>
        </w:rPr>
        <w:t>Health Care and Social Assistance</w:t>
      </w:r>
      <w:r>
        <w:rPr>
          <w:rFonts w:ascii="Arial" w:eastAsia="Arial" w:hAnsi="Arial" w:cs="Arial"/>
        </w:rPr>
        <w:t xml:space="preserve"> industry, closely followed by </w:t>
      </w:r>
      <w:r w:rsidRPr="000D7D90">
        <w:rPr>
          <w:rFonts w:ascii="Arial" w:eastAsia="Arial" w:hAnsi="Arial" w:cs="Arial"/>
          <w:i/>
        </w:rPr>
        <w:t>Accommodation and Food Services</w:t>
      </w:r>
      <w:r>
        <w:rPr>
          <w:rFonts w:ascii="Arial" w:eastAsia="Arial" w:hAnsi="Arial" w:cs="Arial"/>
        </w:rPr>
        <w:t xml:space="preserve"> while </w:t>
      </w:r>
      <w:r w:rsidRPr="000D7D90">
        <w:rPr>
          <w:rFonts w:ascii="Arial" w:eastAsia="Arial" w:hAnsi="Arial" w:cs="Arial"/>
          <w:i/>
        </w:rPr>
        <w:t>Agriculture</w:t>
      </w:r>
      <w:r>
        <w:rPr>
          <w:rFonts w:ascii="Arial" w:eastAsia="Arial" w:hAnsi="Arial" w:cs="Arial"/>
        </w:rPr>
        <w:t xml:space="preserve"> is the lowest performing sector in this score.</w:t>
      </w:r>
    </w:p>
    <w:p w14:paraId="7AA02F26" w14:textId="68F11A6F" w:rsidR="00771558" w:rsidRDefault="00771558"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3</w:t>
      </w:r>
      <w:r w:rsidRPr="000618FB">
        <w:fldChar w:fldCharType="end"/>
      </w:r>
      <w:r>
        <w:t>: Average Overall Management Capability (OMC) Score by ANZSIC</w:t>
      </w:r>
      <w:r w:rsidR="00596FF1">
        <w:t xml:space="preserve"> </w:t>
      </w:r>
      <w:r>
        <w:t>industry</w:t>
      </w:r>
      <w:r w:rsidR="00596FF1">
        <w:t xml:space="preserve"> </w:t>
      </w:r>
      <w:r>
        <w:t>division, 2015–16</w:t>
      </w:r>
    </w:p>
    <w:tbl>
      <w:tblPr>
        <w:tblStyle w:val="OCETable"/>
        <w:tblW w:w="6992" w:type="pct"/>
        <w:tblInd w:w="-2694" w:type="dxa"/>
        <w:tblLayout w:type="fixed"/>
        <w:tblLook w:val="04A0" w:firstRow="1" w:lastRow="0" w:firstColumn="1" w:lastColumn="0" w:noHBand="0" w:noVBand="1"/>
        <w:tblCaption w:val="Figure 4.3: Average Overall Management Capability (OMC) Score by ANZSIC industry division, 2015–16"/>
        <w:tblDescription w:val="Figures 4.3 present the average for overall management capability score type by ANZSIC industry division ranked from highest to lowest over the period 2015-16."/>
      </w:tblPr>
      <w:tblGrid>
        <w:gridCol w:w="9641"/>
      </w:tblGrid>
      <w:tr w:rsidR="00771558" w14:paraId="4F49371A" w14:textId="77777777" w:rsidTr="00DD3656">
        <w:trPr>
          <w:cnfStyle w:val="100000000000" w:firstRow="1" w:lastRow="0" w:firstColumn="0" w:lastColumn="0" w:oddVBand="0" w:evenVBand="0" w:oddHBand="0" w:evenHBand="0" w:firstRowFirstColumn="0" w:firstRowLastColumn="0" w:lastRowFirstColumn="0" w:lastRowLastColumn="0"/>
          <w:tblHeader/>
        </w:trPr>
        <w:tc>
          <w:tcPr>
            <w:tcW w:w="9641" w:type="dxa"/>
            <w:shd w:val="clear" w:color="auto" w:fill="auto"/>
          </w:tcPr>
          <w:p w14:paraId="6E3DAE00" w14:textId="47D3A3C8" w:rsidR="00771558" w:rsidRDefault="009366DC" w:rsidP="003924F0">
            <w:pPr>
              <w:pStyle w:val="PlaceholderWide"/>
              <w:jc w:val="both"/>
            </w:pPr>
            <w:r>
              <w:rPr>
                <w:noProof/>
                <w:lang w:eastAsia="en-AU"/>
              </w:rPr>
              <w:drawing>
                <wp:inline distT="0" distB="0" distL="0" distR="0" wp14:anchorId="1D3F1483" wp14:editId="0E605D2A">
                  <wp:extent cx="6176514" cy="3341370"/>
                  <wp:effectExtent l="0" t="0" r="0" b="0"/>
                  <wp:docPr id="1" name="Chart 1" descr="Figures 4.3 present the average for overall management capability score type by ANZSIC industry division ranked from highest to lowest over the period 2015-16." title="Figure 4.3: Average Overall Management Capability (OMC) Score by ANZSIC industry division,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46D3B916" w14:textId="09E8F483" w:rsidR="00771558" w:rsidRPr="00C62F3A" w:rsidRDefault="00771558" w:rsidP="00B17BDA">
      <w:pPr>
        <w:pStyle w:val="Note"/>
      </w:pPr>
      <w:r>
        <w:t xml:space="preserve">Notes: </w:t>
      </w:r>
      <w:r w:rsidR="00086733">
        <w:t>OMC</w:t>
      </w:r>
      <w:r w:rsidR="000D7D90">
        <w:t>v2</w:t>
      </w:r>
      <w:r w:rsidR="00086733">
        <w:t xml:space="preserve"> excludes supply chain management. Authors’ calculations. Detailed information in Table B2, Appendix B.</w:t>
      </w:r>
    </w:p>
    <w:p w14:paraId="43705643" w14:textId="27CF8C06" w:rsidR="00771558" w:rsidRDefault="00771558" w:rsidP="00B17BDA">
      <w:pPr>
        <w:pStyle w:val="Source"/>
      </w:pPr>
      <w:r>
        <w:t xml:space="preserve">Source: </w:t>
      </w:r>
      <w:r w:rsidR="00086733">
        <w:rPr>
          <w:rFonts w:eastAsia="Arial"/>
          <w:szCs w:val="16"/>
        </w:rPr>
        <w:t>Australian Bureau of Statistics 2016, Management and Organisational Capabilities of Australian Business, 2015–16. Expanded Confidentialised Unit Record File (CURF), ABS DataLab</w:t>
      </w:r>
    </w:p>
    <w:p w14:paraId="3A7F684A" w14:textId="0D081C90" w:rsidR="00086733" w:rsidRDefault="00086733" w:rsidP="00086733">
      <w:pPr>
        <w:pStyle w:val="BodyText"/>
        <w:rPr>
          <w:lang w:val="en"/>
        </w:rPr>
      </w:pPr>
      <w:r>
        <w:rPr>
          <w:rFonts w:ascii="Arial" w:eastAsia="Arial" w:hAnsi="Arial" w:cs="Arial"/>
        </w:rPr>
        <w:t xml:space="preserve">Figure 4.4 (and Table B2 Appendix B) show the SMC score across all ANZSIC divisions. The values of the score suggest that strategic management practices have been adopted across all industry divisions to a larger extent that other more specific management practices. However, there are also some noticeable differences across industry sectors. For example, </w:t>
      </w:r>
      <w:r w:rsidRPr="00C37E3C">
        <w:rPr>
          <w:rFonts w:ascii="Arial" w:eastAsia="Arial" w:hAnsi="Arial" w:cs="Arial"/>
          <w:i/>
        </w:rPr>
        <w:t>Health Care</w:t>
      </w:r>
      <w:r>
        <w:rPr>
          <w:rFonts w:ascii="Arial" w:eastAsia="Arial" w:hAnsi="Arial" w:cs="Arial"/>
        </w:rPr>
        <w:t xml:space="preserve"> and </w:t>
      </w:r>
      <w:r w:rsidRPr="00C37E3C">
        <w:rPr>
          <w:rFonts w:ascii="Arial" w:eastAsia="Arial" w:hAnsi="Arial" w:cs="Arial"/>
          <w:i/>
        </w:rPr>
        <w:t>Social Assistance; Accommodation</w:t>
      </w:r>
      <w:r>
        <w:rPr>
          <w:rFonts w:ascii="Arial" w:eastAsia="Arial" w:hAnsi="Arial" w:cs="Arial"/>
        </w:rPr>
        <w:t xml:space="preserve"> </w:t>
      </w:r>
      <w:r w:rsidRPr="000D7D90">
        <w:rPr>
          <w:rFonts w:ascii="Arial" w:eastAsia="Arial" w:hAnsi="Arial" w:cs="Arial"/>
          <w:i/>
        </w:rPr>
        <w:t>and</w:t>
      </w:r>
      <w:r>
        <w:rPr>
          <w:rFonts w:ascii="Arial" w:eastAsia="Arial" w:hAnsi="Arial" w:cs="Arial"/>
        </w:rPr>
        <w:t xml:space="preserve"> </w:t>
      </w:r>
      <w:r w:rsidRPr="00C37E3C">
        <w:rPr>
          <w:rFonts w:ascii="Arial" w:eastAsia="Arial" w:hAnsi="Arial" w:cs="Arial"/>
          <w:i/>
        </w:rPr>
        <w:t>Food Services</w:t>
      </w:r>
      <w:r>
        <w:rPr>
          <w:rFonts w:ascii="Arial" w:eastAsia="Arial" w:hAnsi="Arial" w:cs="Arial"/>
        </w:rPr>
        <w:t xml:space="preserve">; and </w:t>
      </w:r>
      <w:r w:rsidRPr="00C37E3C">
        <w:rPr>
          <w:rFonts w:ascii="Arial" w:eastAsia="Arial" w:hAnsi="Arial" w:cs="Arial"/>
          <w:i/>
        </w:rPr>
        <w:t>Administrative and Support Services</w:t>
      </w:r>
      <w:r>
        <w:rPr>
          <w:rFonts w:ascii="Arial" w:eastAsia="Arial" w:hAnsi="Arial" w:cs="Arial"/>
        </w:rPr>
        <w:t xml:space="preserve"> show the highest level of strategic management score whereas </w:t>
      </w:r>
      <w:r w:rsidRPr="008044B6">
        <w:rPr>
          <w:rFonts w:ascii="Arial" w:eastAsia="Arial" w:hAnsi="Arial" w:cs="Arial"/>
          <w:i/>
        </w:rPr>
        <w:t>Agriculture, Forestry and Fishing</w:t>
      </w:r>
      <w:r>
        <w:rPr>
          <w:rFonts w:ascii="Arial" w:eastAsia="Arial" w:hAnsi="Arial" w:cs="Arial"/>
        </w:rPr>
        <w:t xml:space="preserve"> shows the lowest score.</w:t>
      </w:r>
    </w:p>
    <w:p w14:paraId="75AE7516" w14:textId="4F334274" w:rsidR="008038DE" w:rsidRPr="008038DE" w:rsidRDefault="00086733" w:rsidP="00DD3656">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4</w:t>
      </w:r>
      <w:r w:rsidRPr="000618FB">
        <w:fldChar w:fldCharType="end"/>
      </w:r>
      <w:r>
        <w:t>: Average Strategic Management Capability (SMC) Score by ANZSIC industry division, 2015–16</w:t>
      </w:r>
    </w:p>
    <w:tbl>
      <w:tblPr>
        <w:tblStyle w:val="OCETable"/>
        <w:tblpPr w:leftFromText="180" w:rightFromText="180" w:vertAnchor="text" w:tblpX="-1559" w:tblpY="1"/>
        <w:tblOverlap w:val="never"/>
        <w:tblW w:w="6580" w:type="pct"/>
        <w:tblLayout w:type="fixed"/>
        <w:tblLook w:val="04A0" w:firstRow="1" w:lastRow="0" w:firstColumn="1" w:lastColumn="0" w:noHBand="0" w:noVBand="1"/>
        <w:tblCaption w:val="Figure 4.4: Average Strategic Management Capability (SMC) Score by ANZSIC industry division, 2015–16"/>
        <w:tblDescription w:val="Figures 4.4 present the average for Strategic management capability score type by ANZSIC industry division ranked from highest to lowest over the period 2015-16."/>
      </w:tblPr>
      <w:tblGrid>
        <w:gridCol w:w="9073"/>
      </w:tblGrid>
      <w:tr w:rsidR="00086733" w14:paraId="3F8D9906" w14:textId="77777777" w:rsidTr="00DD3656">
        <w:trPr>
          <w:cnfStyle w:val="100000000000" w:firstRow="1" w:lastRow="0" w:firstColumn="0" w:lastColumn="0" w:oddVBand="0" w:evenVBand="0" w:oddHBand="0" w:evenHBand="0" w:firstRowFirstColumn="0" w:firstRowLastColumn="0" w:lastRowFirstColumn="0" w:lastRowLastColumn="0"/>
          <w:tblHeader/>
        </w:trPr>
        <w:tc>
          <w:tcPr>
            <w:tcW w:w="9073" w:type="dxa"/>
            <w:shd w:val="clear" w:color="auto" w:fill="auto"/>
          </w:tcPr>
          <w:p w14:paraId="03C88B1D" w14:textId="5A293FF4" w:rsidR="00086733" w:rsidRPr="00937C30" w:rsidRDefault="008038DE" w:rsidP="0034602B">
            <w:pPr>
              <w:pStyle w:val="PlaceholderWide"/>
              <w:ind w:left="-250"/>
              <w:jc w:val="left"/>
            </w:pPr>
            <w:r>
              <w:rPr>
                <w:noProof/>
                <w:lang w:eastAsia="en-AU"/>
              </w:rPr>
              <w:drawing>
                <wp:inline distT="0" distB="0" distL="0" distR="0" wp14:anchorId="7B87569E" wp14:editId="78B5A5E7">
                  <wp:extent cx="5693434" cy="3338423"/>
                  <wp:effectExtent l="0" t="0" r="2540" b="0"/>
                  <wp:docPr id="11" name="Chart 11" descr="Figures 4.4 present the average for Strategic management capability score type by ANZSIC industry division ranked from highest to lowest over the period 2015-16." title="Figure 4.4: Average Strategic Management Capability (SMC) Score by ANZSIC industry division,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36344B94" w14:textId="55B0C921" w:rsidR="00086733" w:rsidRPr="00C62F3A" w:rsidRDefault="00086733" w:rsidP="00B17BDA">
      <w:pPr>
        <w:pStyle w:val="Note"/>
      </w:pPr>
      <w:r>
        <w:t>Notes: Authors’ calculations.</w:t>
      </w:r>
      <w:r w:rsidRPr="00FB64CA">
        <w:t xml:space="preserve"> </w:t>
      </w:r>
      <w:r>
        <w:t>Excludes supply chain management. Detailed information in Table</w:t>
      </w:r>
      <w:r>
        <w:rPr>
          <w:rFonts w:eastAsia="Arial"/>
        </w:rPr>
        <w:t xml:space="preserve"> B2 Appendix B.</w:t>
      </w:r>
    </w:p>
    <w:p w14:paraId="0F4442C9" w14:textId="7A20E85A" w:rsidR="00086733" w:rsidRDefault="00086733" w:rsidP="00B17BDA">
      <w:pPr>
        <w:pStyle w:val="Source"/>
      </w:pPr>
      <w:r>
        <w:t xml:space="preserve">Source: </w:t>
      </w:r>
      <w:r>
        <w:rPr>
          <w:rFonts w:eastAsia="Arial"/>
          <w:szCs w:val="16"/>
        </w:rPr>
        <w:t>Australian Bureau of Statistics 2016, Management and Organisational Capabilities of Australian Business, 2015–16. Expanded Confidentialised Unit Record File (CURF), ABS DataLab</w:t>
      </w:r>
    </w:p>
    <w:p w14:paraId="7F42BEE1" w14:textId="284E3D52" w:rsidR="00086733" w:rsidRPr="00B4610B" w:rsidRDefault="00086733" w:rsidP="00086733">
      <w:pPr>
        <w:ind w:left="0"/>
        <w:rPr>
          <w:rFonts w:eastAsia="Arial" w:cs="Arial"/>
          <w:i/>
        </w:rPr>
      </w:pPr>
      <w:r>
        <w:rPr>
          <w:rFonts w:eastAsia="Arial" w:cs="Arial"/>
        </w:rPr>
        <w:t xml:space="preserve">For the more specific management capabilities, there are also some significant differences across industries. For example, for Digital Management Capability score Figure 4.5 (and Table B2 Appendix B), </w:t>
      </w:r>
      <w:r w:rsidRPr="00B4610B">
        <w:rPr>
          <w:rFonts w:eastAsia="Arial" w:cs="Arial"/>
          <w:i/>
        </w:rPr>
        <w:t>Financial and Insurance Services</w:t>
      </w:r>
      <w:r>
        <w:rPr>
          <w:rFonts w:eastAsia="Arial" w:cs="Arial"/>
        </w:rPr>
        <w:t xml:space="preserve">, and </w:t>
      </w:r>
      <w:r w:rsidRPr="00B4610B">
        <w:rPr>
          <w:rFonts w:eastAsia="Arial" w:cs="Arial"/>
          <w:i/>
        </w:rPr>
        <w:t>Healthcare</w:t>
      </w:r>
      <w:r>
        <w:rPr>
          <w:rFonts w:eastAsia="Arial" w:cs="Arial"/>
          <w:i/>
        </w:rPr>
        <w:t xml:space="preserve"> and Social Assistance</w:t>
      </w:r>
      <w:r>
        <w:rPr>
          <w:rFonts w:eastAsia="Arial" w:cs="Arial"/>
        </w:rPr>
        <w:t xml:space="preserve"> industry divisions show the highest scores of digital management capability relative to the other industry sectors</w:t>
      </w:r>
      <w:r w:rsidRPr="00B4610B">
        <w:rPr>
          <w:rFonts w:eastAsia="Arial" w:cs="Arial"/>
          <w:i/>
        </w:rPr>
        <w:t>.</w:t>
      </w:r>
    </w:p>
    <w:p w14:paraId="3EA1C1FD" w14:textId="765A650E" w:rsidR="00086733" w:rsidRPr="00B4610B" w:rsidRDefault="00086733" w:rsidP="00086733">
      <w:pPr>
        <w:pStyle w:val="BodyText"/>
        <w:rPr>
          <w:lang w:val="en"/>
        </w:rPr>
      </w:pPr>
      <w:r w:rsidRPr="00B4610B">
        <w:rPr>
          <w:rFonts w:eastAsia="Arial" w:cs="Arial"/>
          <w:i/>
        </w:rPr>
        <w:t>Mining</w:t>
      </w:r>
      <w:r>
        <w:rPr>
          <w:rFonts w:eastAsia="Arial" w:cs="Arial"/>
        </w:rPr>
        <w:t xml:space="preserve"> and </w:t>
      </w:r>
      <w:r w:rsidRPr="00B4610B">
        <w:rPr>
          <w:rFonts w:eastAsia="Arial" w:cs="Arial"/>
          <w:i/>
        </w:rPr>
        <w:t xml:space="preserve">Electricity, </w:t>
      </w:r>
      <w:r w:rsidRPr="009A30DE">
        <w:rPr>
          <w:rFonts w:eastAsia="Arial" w:cs="Arial"/>
          <w:i/>
        </w:rPr>
        <w:t>Gas,</w:t>
      </w:r>
      <w:r w:rsidRPr="00B4610B">
        <w:rPr>
          <w:rFonts w:eastAsia="Arial" w:cs="Arial"/>
          <w:i/>
        </w:rPr>
        <w:t xml:space="preserve"> Water and Waste services</w:t>
      </w:r>
      <w:r>
        <w:rPr>
          <w:rFonts w:eastAsia="Arial" w:cs="Arial"/>
        </w:rPr>
        <w:t xml:space="preserve"> show the most advanced environmental management practices</w:t>
      </w:r>
      <w:r w:rsidR="000D7D90">
        <w:rPr>
          <w:rFonts w:eastAsia="Arial" w:cs="Arial"/>
        </w:rPr>
        <w:t xml:space="preserve"> </w:t>
      </w:r>
      <w:r>
        <w:rPr>
          <w:rFonts w:eastAsia="Arial" w:cs="Arial"/>
        </w:rPr>
        <w:t xml:space="preserve">(Figure 4.6). This could be partly due to the nature of operations (and type of business activity) that have a more direct impact on environmental concerns than other industries. </w:t>
      </w:r>
    </w:p>
    <w:p w14:paraId="0B0E8892" w14:textId="3C1DE2A6" w:rsidR="00086733" w:rsidRDefault="00086733"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5</w:t>
      </w:r>
      <w:r w:rsidRPr="000618FB">
        <w:fldChar w:fldCharType="end"/>
      </w:r>
      <w:r>
        <w:t>: Average Digital Management Capability (DMC) score by ANZSIC industry division, 2015–16</w:t>
      </w:r>
    </w:p>
    <w:tbl>
      <w:tblPr>
        <w:tblStyle w:val="OCETable"/>
        <w:tblW w:w="6374" w:type="pct"/>
        <w:tblInd w:w="-1843" w:type="dxa"/>
        <w:tblLayout w:type="fixed"/>
        <w:tblLook w:val="04A0" w:firstRow="1" w:lastRow="0" w:firstColumn="1" w:lastColumn="0" w:noHBand="0" w:noVBand="1"/>
        <w:tblCaption w:val="Figure 4.5: Average Digital Management Capability (DMC) score by ANZSIC industry division, 2015–16"/>
        <w:tblDescription w:val="Figures 4.5 present the average for Digital management capability score type by ANZSIC industry division ranked from highest to lowest over the period 2015-16."/>
      </w:tblPr>
      <w:tblGrid>
        <w:gridCol w:w="8788"/>
      </w:tblGrid>
      <w:tr w:rsidR="00086733" w14:paraId="792009A2" w14:textId="77777777" w:rsidTr="00DD3656">
        <w:trPr>
          <w:cnfStyle w:val="100000000000" w:firstRow="1" w:lastRow="0" w:firstColumn="0" w:lastColumn="0" w:oddVBand="0" w:evenVBand="0" w:oddHBand="0" w:evenHBand="0" w:firstRowFirstColumn="0" w:firstRowLastColumn="0" w:lastRowFirstColumn="0" w:lastRowLastColumn="0"/>
          <w:tblHeader/>
        </w:trPr>
        <w:tc>
          <w:tcPr>
            <w:tcW w:w="8788" w:type="dxa"/>
            <w:shd w:val="clear" w:color="auto" w:fill="auto"/>
          </w:tcPr>
          <w:p w14:paraId="4799FA31" w14:textId="186F57C7" w:rsidR="00086733" w:rsidRDefault="00017D45" w:rsidP="0034602B">
            <w:pPr>
              <w:pStyle w:val="PlaceholderWide"/>
              <w:ind w:left="-2343" w:firstLine="2127"/>
            </w:pPr>
            <w:r>
              <w:rPr>
                <w:noProof/>
                <w:lang w:eastAsia="en-AU"/>
              </w:rPr>
              <w:drawing>
                <wp:inline distT="0" distB="0" distL="0" distR="0" wp14:anchorId="4B06FB94" wp14:editId="60253BE2">
                  <wp:extent cx="5443220" cy="3275330"/>
                  <wp:effectExtent l="0" t="0" r="5080" b="1270"/>
                  <wp:docPr id="12" name="Chart 12" descr="Figures 4.5 present the average for Digital management capability score type by ANZSIC industry division ranked from highest to lowest over the period 2015-16." title="Figure 4.5: Average Digital Management Capability (DMC) score by ANZSIC industry division,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5D1E71E7" w14:textId="1E425965" w:rsidR="00086733" w:rsidRPr="00C62F3A" w:rsidRDefault="00086733" w:rsidP="00B17BDA">
      <w:pPr>
        <w:pStyle w:val="Note"/>
      </w:pPr>
      <w:r>
        <w:t>Notes: Authors’ calculations. Detailed information in Table</w:t>
      </w:r>
      <w:r>
        <w:rPr>
          <w:rFonts w:eastAsia="Arial"/>
        </w:rPr>
        <w:t xml:space="preserve"> B2 Appendix B</w:t>
      </w:r>
      <w:r>
        <w:t>.</w:t>
      </w:r>
    </w:p>
    <w:p w14:paraId="7404940A" w14:textId="726C31FC" w:rsidR="00086733" w:rsidRPr="00086733" w:rsidRDefault="00086733" w:rsidP="00086733">
      <w:pPr>
        <w:pStyle w:val="Source"/>
        <w:spacing w:after="120" w:line="240" w:lineRule="auto"/>
        <w:rPr>
          <w:rFonts w:eastAsia="Arial"/>
          <w:szCs w:val="16"/>
        </w:rPr>
      </w:pPr>
      <w:r>
        <w:t xml:space="preserve">Source: </w:t>
      </w:r>
      <w:r>
        <w:rPr>
          <w:rFonts w:eastAsia="Arial"/>
          <w:szCs w:val="16"/>
        </w:rPr>
        <w:t>Australian Bureau of Statistics 2016, Management and Organisational Capabilities of Australian Business, 2015–16. Expanded Confidentialised Unit Record File (CURF), ABS DataLab</w:t>
      </w:r>
    </w:p>
    <w:p w14:paraId="4424A18D" w14:textId="7560B302" w:rsidR="00086733" w:rsidRDefault="00086733" w:rsidP="00086733">
      <w:pPr>
        <w:pStyle w:val="BodyText"/>
      </w:pPr>
      <w:r>
        <w:rPr>
          <w:rFonts w:ascii="Arial" w:hAnsi="Arial"/>
        </w:rPr>
        <w:t xml:space="preserve">Similarly, the highest scoring industries for SCMC are </w:t>
      </w:r>
      <w:r w:rsidRPr="006F7A94">
        <w:rPr>
          <w:rFonts w:ascii="Arial" w:hAnsi="Arial"/>
          <w:i/>
        </w:rPr>
        <w:t>Wholesale Trade</w:t>
      </w:r>
      <w:r>
        <w:rPr>
          <w:rFonts w:ascii="Arial" w:hAnsi="Arial"/>
        </w:rPr>
        <w:t xml:space="preserve"> and </w:t>
      </w:r>
      <w:r w:rsidRPr="006F7A94">
        <w:rPr>
          <w:rFonts w:ascii="Arial" w:hAnsi="Arial"/>
          <w:i/>
        </w:rPr>
        <w:t>Retail Trade</w:t>
      </w:r>
      <w:r>
        <w:rPr>
          <w:rFonts w:ascii="Arial" w:hAnsi="Arial"/>
          <w:i/>
        </w:rPr>
        <w:t xml:space="preserve"> </w:t>
      </w:r>
      <w:r w:rsidRPr="00DB6CEF">
        <w:rPr>
          <w:rFonts w:ascii="Arial" w:hAnsi="Arial"/>
        </w:rPr>
        <w:t>(Figure 4.7).</w:t>
      </w:r>
      <w:r>
        <w:rPr>
          <w:rFonts w:ascii="Arial" w:hAnsi="Arial"/>
        </w:rPr>
        <w:t xml:space="preserve"> Although the nature of the business operations in these sectors, which primarily involving the distribution of goods and services, may bias the higher SCMC score towards these industries, the score involves a number of generic questions related to training, KPIs and relationships with customers. Other supply chain related sectors such as </w:t>
      </w:r>
      <w:r w:rsidRPr="001E48DC">
        <w:rPr>
          <w:rFonts w:ascii="Arial" w:hAnsi="Arial"/>
          <w:i/>
        </w:rPr>
        <w:t>Transport, Postal and Warehousing</w:t>
      </w:r>
      <w:r>
        <w:rPr>
          <w:rFonts w:ascii="Arial" w:hAnsi="Arial"/>
          <w:i/>
        </w:rPr>
        <w:t>,</w:t>
      </w:r>
      <w:r>
        <w:rPr>
          <w:rFonts w:ascii="Arial" w:hAnsi="Arial"/>
        </w:rPr>
        <w:t xml:space="preserve"> and </w:t>
      </w:r>
      <w:r w:rsidRPr="001E48DC">
        <w:rPr>
          <w:rFonts w:ascii="Arial" w:hAnsi="Arial"/>
          <w:i/>
        </w:rPr>
        <w:t xml:space="preserve">Financial </w:t>
      </w:r>
      <w:r w:rsidRPr="00DB6CEF">
        <w:rPr>
          <w:rFonts w:ascii="Arial" w:hAnsi="Arial"/>
          <w:i/>
        </w:rPr>
        <w:t>and</w:t>
      </w:r>
      <w:r w:rsidRPr="001E48DC">
        <w:rPr>
          <w:rFonts w:ascii="Arial" w:hAnsi="Arial"/>
          <w:i/>
        </w:rPr>
        <w:t xml:space="preserve"> Insurance Services</w:t>
      </w:r>
      <w:r>
        <w:rPr>
          <w:rFonts w:ascii="Arial" w:hAnsi="Arial"/>
          <w:i/>
        </w:rPr>
        <w:t xml:space="preserve"> </w:t>
      </w:r>
      <w:r>
        <w:rPr>
          <w:rFonts w:ascii="Arial" w:hAnsi="Arial"/>
        </w:rPr>
        <w:t xml:space="preserve">ranked significantly lower in the SCMC score. The </w:t>
      </w:r>
      <w:r w:rsidRPr="008B1E43">
        <w:rPr>
          <w:rFonts w:ascii="Arial" w:hAnsi="Arial"/>
          <w:i/>
        </w:rPr>
        <w:t>Arts</w:t>
      </w:r>
      <w:r w:rsidRPr="00DB6CEF">
        <w:rPr>
          <w:rFonts w:ascii="Arial" w:hAnsi="Arial"/>
          <w:i/>
        </w:rPr>
        <w:t xml:space="preserve"> and</w:t>
      </w:r>
      <w:r>
        <w:rPr>
          <w:rFonts w:ascii="Arial" w:hAnsi="Arial"/>
        </w:rPr>
        <w:t xml:space="preserve"> </w:t>
      </w:r>
      <w:r w:rsidRPr="001E48DC">
        <w:rPr>
          <w:rFonts w:ascii="Arial" w:hAnsi="Arial"/>
          <w:i/>
        </w:rPr>
        <w:t>Recreation Services</w:t>
      </w:r>
      <w:r>
        <w:rPr>
          <w:rFonts w:ascii="Arial" w:hAnsi="Arial"/>
        </w:rPr>
        <w:t xml:space="preserve"> scored the lowest for supply chain related management practices relativ</w:t>
      </w:r>
      <w:r>
        <w:t xml:space="preserve">e to the other industry sectors. </w:t>
      </w:r>
      <w:r>
        <w:rPr>
          <w:i/>
        </w:rPr>
        <w:t>A</w:t>
      </w:r>
      <w:r w:rsidRPr="00DB6CEF">
        <w:rPr>
          <w:i/>
        </w:rPr>
        <w:t>griculture</w:t>
      </w:r>
      <w:r>
        <w:t>, which includes food supply chain operations also shows a very low supply chain management capability score.</w:t>
      </w:r>
    </w:p>
    <w:p w14:paraId="1C9E1D69" w14:textId="34DD60C1" w:rsidR="00086733" w:rsidRDefault="00086733"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6</w:t>
      </w:r>
      <w:r w:rsidRPr="000618FB">
        <w:fldChar w:fldCharType="end"/>
      </w:r>
      <w:r>
        <w:t>: Average Environmental Management Capability (EMC) score by ANZSIC industry division, 2015–16</w:t>
      </w:r>
    </w:p>
    <w:tbl>
      <w:tblPr>
        <w:tblStyle w:val="OCETable"/>
        <w:tblW w:w="6271" w:type="pct"/>
        <w:tblInd w:w="-1701" w:type="dxa"/>
        <w:tblLayout w:type="fixed"/>
        <w:tblLook w:val="04A0" w:firstRow="1" w:lastRow="0" w:firstColumn="1" w:lastColumn="0" w:noHBand="0" w:noVBand="1"/>
        <w:tblCaption w:val="Figure 4.6: Average Environmental Management Capability (EMC) score by ANZSIC industry division, 2015–16"/>
        <w:tblDescription w:val="Figures 4.6 present the average for Environmental management capability score type by ANZSIC industry division ranked from highest to lowest over the period 2015-16."/>
      </w:tblPr>
      <w:tblGrid>
        <w:gridCol w:w="8646"/>
      </w:tblGrid>
      <w:tr w:rsidR="00086733" w14:paraId="072133AA" w14:textId="77777777" w:rsidTr="00DD3656">
        <w:trPr>
          <w:cnfStyle w:val="100000000000" w:firstRow="1" w:lastRow="0" w:firstColumn="0" w:lastColumn="0" w:oddVBand="0" w:evenVBand="0" w:oddHBand="0" w:evenHBand="0" w:firstRowFirstColumn="0" w:firstRowLastColumn="0" w:lastRowFirstColumn="0" w:lastRowLastColumn="0"/>
          <w:trHeight w:val="5089"/>
          <w:tblHeader/>
        </w:trPr>
        <w:tc>
          <w:tcPr>
            <w:tcW w:w="8646" w:type="dxa"/>
            <w:shd w:val="clear" w:color="auto" w:fill="auto"/>
          </w:tcPr>
          <w:p w14:paraId="78DB10D2" w14:textId="49892ABA" w:rsidR="00086733" w:rsidRDefault="00851368" w:rsidP="0034602B">
            <w:pPr>
              <w:pStyle w:val="PlaceholderWide"/>
              <w:ind w:left="-250"/>
            </w:pPr>
            <w:r>
              <w:rPr>
                <w:noProof/>
                <w:lang w:eastAsia="en-AU"/>
              </w:rPr>
              <w:drawing>
                <wp:inline distT="0" distB="0" distL="0" distR="0" wp14:anchorId="2E390946" wp14:editId="4A66E233">
                  <wp:extent cx="5353050" cy="3371215"/>
                  <wp:effectExtent l="0" t="0" r="0" b="635"/>
                  <wp:docPr id="5" name="Chart 5" descr="Figures 4.6 present the average for Environmental management capability score type by ANZSIC industry division ranked from highest to lowest over the period 2015-16." title="Figure 4.6: Average Environmental Management Capability (EMC) score by ANZSIC industry division,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1FC7BF7A" w14:textId="1A2305EA" w:rsidR="00086733" w:rsidRPr="00C62F3A" w:rsidRDefault="00086733" w:rsidP="00B17BDA">
      <w:pPr>
        <w:pStyle w:val="Note"/>
      </w:pPr>
      <w:r>
        <w:t>Notes: Authors’ calculations. Detailed information in Table</w:t>
      </w:r>
      <w:r>
        <w:rPr>
          <w:rFonts w:eastAsia="Arial"/>
        </w:rPr>
        <w:t xml:space="preserve"> B2 Appendix B</w:t>
      </w:r>
      <w:r>
        <w:t>.</w:t>
      </w:r>
    </w:p>
    <w:p w14:paraId="4D096012" w14:textId="0AA0A5B0" w:rsidR="00086733" w:rsidRDefault="00086733" w:rsidP="00B17BDA">
      <w:pPr>
        <w:pStyle w:val="Source"/>
      </w:pPr>
      <w:r>
        <w:t xml:space="preserve">Source: </w:t>
      </w:r>
      <w:r>
        <w:rPr>
          <w:rFonts w:eastAsia="Arial"/>
          <w:szCs w:val="16"/>
        </w:rPr>
        <w:t>Australian Bureau of Statistics 2016, Management and Organisational Capabilities of Australian Business, 2015–16. Expanded Confidentialised Unit Record File (CURF), ABS DataLab</w:t>
      </w:r>
    </w:p>
    <w:p w14:paraId="7927D565" w14:textId="4CA6AB10" w:rsidR="00086733" w:rsidRDefault="00086733"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7</w:t>
      </w:r>
      <w:r w:rsidRPr="000618FB">
        <w:fldChar w:fldCharType="end"/>
      </w:r>
      <w:r>
        <w:t>: Average Supply chain Management Capability (SCMC) score by ANZSIC industry division, 2015–16</w:t>
      </w:r>
    </w:p>
    <w:tbl>
      <w:tblPr>
        <w:tblStyle w:val="OCETable"/>
        <w:tblW w:w="6580" w:type="pct"/>
        <w:tblInd w:w="-2127" w:type="dxa"/>
        <w:tblLayout w:type="fixed"/>
        <w:tblLook w:val="04A0" w:firstRow="1" w:lastRow="0" w:firstColumn="1" w:lastColumn="0" w:noHBand="0" w:noVBand="1"/>
        <w:tblCaption w:val="Figure 4.7: Average Supply chain Management Capability (SCMC) score by ANZSIC industry division, 2015–16"/>
        <w:tblDescription w:val="Figures 4.7 present the average for Supply chain management capability score type by ANZSIC industry division ranked from highest to lowest over the period 2015-16."/>
      </w:tblPr>
      <w:tblGrid>
        <w:gridCol w:w="9073"/>
      </w:tblGrid>
      <w:tr w:rsidR="00086733" w14:paraId="131AAF77"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9073" w:type="dxa"/>
            <w:shd w:val="clear" w:color="auto" w:fill="auto"/>
          </w:tcPr>
          <w:p w14:paraId="08327762" w14:textId="14501088" w:rsidR="00086733" w:rsidRDefault="00851368" w:rsidP="00086733">
            <w:pPr>
              <w:pStyle w:val="PlaceholderWide"/>
            </w:pPr>
            <w:r>
              <w:rPr>
                <w:noProof/>
                <w:lang w:eastAsia="en-AU"/>
              </w:rPr>
              <w:drawing>
                <wp:inline distT="0" distB="0" distL="0" distR="0" wp14:anchorId="5E96E003" wp14:editId="64428AAC">
                  <wp:extent cx="5462588" cy="3243263"/>
                  <wp:effectExtent l="0" t="0" r="5080" b="0"/>
                  <wp:docPr id="6" name="Chart 6" descr="Figures 4.7 present the average for Supply chain management capability score type by ANZSIC industry division ranked from highest to lowest over the period 2015-16." title="Figure 4.7: Average Supply chain Management Capability (SCMC) score by ANZSIC industry division,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01CA18F0" w14:textId="3CEB8734" w:rsidR="00086733" w:rsidRPr="00C62F3A" w:rsidRDefault="00086733" w:rsidP="00B17BDA">
      <w:pPr>
        <w:pStyle w:val="Note"/>
      </w:pPr>
      <w:r>
        <w:t>Notes: Authors’ calculations. Detailed information in Table</w:t>
      </w:r>
      <w:r>
        <w:rPr>
          <w:rFonts w:eastAsia="Arial"/>
        </w:rPr>
        <w:t xml:space="preserve"> B2 Appendix B</w:t>
      </w:r>
      <w:r>
        <w:t>.</w:t>
      </w:r>
    </w:p>
    <w:p w14:paraId="56239951" w14:textId="32AEADDC" w:rsidR="007F0B1F" w:rsidRDefault="00086733" w:rsidP="00086733">
      <w:pPr>
        <w:pStyle w:val="Source"/>
        <w:rPr>
          <w:rFonts w:eastAsia="Arial"/>
          <w:szCs w:val="16"/>
        </w:rPr>
      </w:pPr>
      <w:r>
        <w:t xml:space="preserve">Source: </w:t>
      </w:r>
      <w:r>
        <w:rPr>
          <w:rFonts w:eastAsia="Arial"/>
          <w:szCs w:val="16"/>
        </w:rPr>
        <w:t>Australian Bureau of Statistics 2016, Management and Organisational Capabilities of Australian Business, 2015–16. Expanded Confidentialised Unit Record File (CURF), ABS DataLab</w:t>
      </w:r>
    </w:p>
    <w:p w14:paraId="7DAD556F" w14:textId="65761071" w:rsidR="00086733" w:rsidRDefault="007136C6" w:rsidP="00BF1BEF">
      <w:pPr>
        <w:pStyle w:val="Heading2"/>
        <w:ind w:left="0" w:firstLine="0"/>
        <w:rPr>
          <w:lang w:val="en"/>
        </w:rPr>
      </w:pPr>
      <w:r>
        <w:rPr>
          <w:lang w:val="en"/>
        </w:rPr>
        <w:t>Management capability scores by firm age</w:t>
      </w:r>
    </w:p>
    <w:p w14:paraId="72C1113B" w14:textId="7BEDC86B" w:rsidR="007136C6" w:rsidRDefault="007136C6" w:rsidP="007136C6">
      <w:pPr>
        <w:pStyle w:val="BodyText"/>
      </w:pPr>
      <w:r>
        <w:t>Figure 4.8 (and Table B3 Appendix B) present average management capability scores by firm age measured by the number of years in operation. Firms that have been in operation for at least nine years tend to have a higher score in all dimensions of management capability compared to their younger counterparts. Although the difference between firms that are less than 1 to 4 years old and 4 to less than 9 is less apparent, the results indicate the older the firm, the better the management capability score.</w:t>
      </w:r>
    </w:p>
    <w:p w14:paraId="56A07E2E" w14:textId="1FF116F8" w:rsidR="007136C6" w:rsidRDefault="007136C6"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8</w:t>
      </w:r>
      <w:r w:rsidRPr="000618FB">
        <w:fldChar w:fldCharType="end"/>
      </w:r>
      <w:r>
        <w:t>: Average management capability scores of Australian firms by firm age, 2015–16</w:t>
      </w:r>
    </w:p>
    <w:tbl>
      <w:tblPr>
        <w:tblStyle w:val="OCETable"/>
        <w:tblW w:w="4940" w:type="pct"/>
        <w:tblInd w:w="-142" w:type="dxa"/>
        <w:tblLayout w:type="fixed"/>
        <w:tblLook w:val="04A0" w:firstRow="1" w:lastRow="0" w:firstColumn="1" w:lastColumn="0" w:noHBand="0" w:noVBand="1"/>
        <w:tblCaption w:val="Figure 4.8: Average management capability scores of Australian firms by firm age, 2015–16"/>
        <w:tblDescription w:val="Figure 4.8 presents average management capability scores by firm age measured by the number of years in operation and by type of management capability (overall capability, digital capability, environmental capability and supply chain capability). "/>
      </w:tblPr>
      <w:tblGrid>
        <w:gridCol w:w="6811"/>
      </w:tblGrid>
      <w:tr w:rsidR="007136C6" w14:paraId="633FFEBF"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66158945" w14:textId="2A0A1153" w:rsidR="007136C6" w:rsidRDefault="00851368" w:rsidP="007136C6">
            <w:pPr>
              <w:pStyle w:val="PlaceholderWide"/>
            </w:pPr>
            <w:r>
              <w:rPr>
                <w:noProof/>
                <w:lang w:eastAsia="en-AU"/>
              </w:rPr>
              <w:drawing>
                <wp:inline distT="0" distB="0" distL="0" distR="0" wp14:anchorId="5F475BDE" wp14:editId="2EC058CE">
                  <wp:extent cx="4187825" cy="2558415"/>
                  <wp:effectExtent l="0" t="0" r="3175" b="0"/>
                  <wp:docPr id="7" name="Chart 7" descr="Figure 4.8 presents average management capability scores by firm age measured by the number of years in operation and by type of management capability (overall capability, digital capability, environmental capability and supply chain capability).  " title="Figure 4.8: Average management capability scores of Australian firms by firm age,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291CC7B2" w14:textId="57983896" w:rsidR="007136C6" w:rsidRPr="00C62F3A" w:rsidRDefault="007136C6" w:rsidP="00B17BDA">
      <w:pPr>
        <w:pStyle w:val="Note"/>
      </w:pPr>
      <w:r>
        <w:t>Notes: Authors’ calculations. Detailed information in Table B3 Appendix B</w:t>
      </w:r>
    </w:p>
    <w:p w14:paraId="5025B721" w14:textId="05BFA4D8" w:rsidR="007136C6" w:rsidRDefault="007136C6" w:rsidP="00B17BDA">
      <w:pPr>
        <w:pStyle w:val="Source"/>
      </w:pPr>
      <w:r>
        <w:t xml:space="preserve">Source: </w:t>
      </w:r>
      <w:r>
        <w:rPr>
          <w:rFonts w:eastAsia="Arial"/>
          <w:szCs w:val="16"/>
        </w:rPr>
        <w:t>Australian Bureau of Statistics 2016, Management and Organisational Capabilities of Australian Business, 2015–16. Expanded Confidentialised Unit Record File (CURF), ABS DataLab</w:t>
      </w:r>
      <w:r>
        <w:t xml:space="preserve"> </w:t>
      </w:r>
    </w:p>
    <w:p w14:paraId="0F37A9B4" w14:textId="76B0B6B5" w:rsidR="007136C6" w:rsidRDefault="007136C6" w:rsidP="00BF1BEF">
      <w:pPr>
        <w:pStyle w:val="Heading2"/>
        <w:ind w:left="0" w:firstLine="0"/>
        <w:rPr>
          <w:lang w:val="en"/>
        </w:rPr>
      </w:pPr>
      <w:r>
        <w:rPr>
          <w:lang w:val="en"/>
        </w:rPr>
        <w:t>Management capability scores by foreign ownership</w:t>
      </w:r>
    </w:p>
    <w:p w14:paraId="4666F423" w14:textId="68A50A73" w:rsidR="007136C6" w:rsidRDefault="007136C6" w:rsidP="007136C6">
      <w:pPr>
        <w:pStyle w:val="BodyText"/>
      </w:pPr>
      <w:r>
        <w:t>Figure 4.9 (and Table B4 in Appendix B) present average management capability scores by foreign ownership status of firms.  The results indicate that those firms that had some degree of foreign ownership tend to have higher scores of management capability across all dimensions than those that did not have foreign ownership. Prior evidence depicts similar results: foreign multinationals tend to encourage more structured management practices than purely domestic firms (Agarwal, Brown et al. 2014). Interestingly, in specific dimensions like DMC, EMC and SCMC the gap in scores between locally and foreign owed firms widens.</w:t>
      </w:r>
    </w:p>
    <w:p w14:paraId="4A0D8F1E" w14:textId="1E8ED092" w:rsidR="007136C6" w:rsidRDefault="007136C6"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9</w:t>
      </w:r>
      <w:r w:rsidRPr="000618FB">
        <w:fldChar w:fldCharType="end"/>
      </w:r>
      <w:r>
        <w:t>: Average management capability scores of Australian firms by foreign ownership status, 2015–16</w:t>
      </w:r>
    </w:p>
    <w:tbl>
      <w:tblPr>
        <w:tblStyle w:val="OCETable"/>
        <w:tblW w:w="4940" w:type="pct"/>
        <w:tblLayout w:type="fixed"/>
        <w:tblLook w:val="04A0" w:firstRow="1" w:lastRow="0" w:firstColumn="1" w:lastColumn="0" w:noHBand="0" w:noVBand="1"/>
        <w:tblCaption w:val="Figure 4.9: Average management capability scores of Australian firms by foreign ownership status, 2015–16"/>
        <w:tblDescription w:val="Figure 4.9 presents average management capability scores by foreign ownership status of firms (foreign ownership and no foreign ownership), by type of management capability (overall capability, digital capability, environmental capability and supply chain capability)."/>
      </w:tblPr>
      <w:tblGrid>
        <w:gridCol w:w="6811"/>
      </w:tblGrid>
      <w:tr w:rsidR="007136C6" w14:paraId="5B7F262D"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05384A18" w14:textId="00515D62" w:rsidR="007136C6" w:rsidRDefault="007136C6" w:rsidP="007136C6">
            <w:pPr>
              <w:pStyle w:val="PlaceholderWide"/>
            </w:pPr>
            <w:r>
              <w:rPr>
                <w:noProof/>
                <w:lang w:eastAsia="en-AU"/>
              </w:rPr>
              <w:drawing>
                <wp:inline distT="0" distB="0" distL="0" distR="0" wp14:anchorId="6E68112A" wp14:editId="7153028C">
                  <wp:extent cx="4187825" cy="2512695"/>
                  <wp:effectExtent l="0" t="0" r="3175" b="1905"/>
                  <wp:docPr id="25" name="Chart 25" descr="Figure 4.9 presents average management capability scores by foreign ownership status of firms (foreign ownership and no foreign ownership), by type of management capability (overall capability, digital capability, environmental capability and supply chain capability)." title="Figure 4.9: Average management capability scores of Australian firms by foreign ownership status,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37E873AD" w14:textId="30B0EE91" w:rsidR="007136C6" w:rsidRPr="00C62F3A" w:rsidRDefault="007136C6" w:rsidP="00B17BDA">
      <w:pPr>
        <w:pStyle w:val="Note"/>
      </w:pPr>
      <w:r>
        <w:t>Notes: Authors’ calculations. Detailed information in Table B4, Appendix B.</w:t>
      </w:r>
    </w:p>
    <w:p w14:paraId="6BAA79D4" w14:textId="0EBD0220" w:rsidR="007136C6" w:rsidRDefault="007136C6" w:rsidP="00B17BDA">
      <w:pPr>
        <w:pStyle w:val="Source"/>
      </w:pPr>
      <w:r>
        <w:t xml:space="preserve">Source: </w:t>
      </w:r>
      <w:r>
        <w:rPr>
          <w:rFonts w:eastAsia="Arial"/>
          <w:szCs w:val="16"/>
        </w:rPr>
        <w:t>Australian Bureau of Statistics 2016, Management and Organisational Capabilities of Australian Business, 2015–16. Expanded Confidentialised Unit Record File (CURF), ABS DataLab</w:t>
      </w:r>
      <w:r>
        <w:t xml:space="preserve">. </w:t>
      </w:r>
    </w:p>
    <w:p w14:paraId="6DBE2B22" w14:textId="7A5E1B6A" w:rsidR="006B6073" w:rsidRPr="006B6073" w:rsidRDefault="006B6073" w:rsidP="00BF1BEF">
      <w:pPr>
        <w:pStyle w:val="Heading2"/>
        <w:ind w:left="0" w:firstLine="0"/>
        <w:rPr>
          <w:lang w:val="en"/>
        </w:rPr>
      </w:pPr>
      <w:r>
        <w:rPr>
          <w:lang w:val="en"/>
        </w:rPr>
        <w:t>Management capability scores by firms’ innovation status</w:t>
      </w:r>
    </w:p>
    <w:p w14:paraId="28373ABB" w14:textId="79345E09" w:rsidR="006B6073" w:rsidRDefault="006B6073" w:rsidP="006B6073">
      <w:pPr>
        <w:ind w:left="0"/>
      </w:pPr>
      <w:r>
        <w:rPr>
          <w:rFonts w:eastAsia="Arial" w:cs="Arial"/>
        </w:rPr>
        <w:t>Figure 4.10 (and Table B5 Appendix B) present average management capability scores by innovation status of firms. Following the definition used by the ABS in the Business Cha</w:t>
      </w:r>
      <w:r w:rsidR="002D31E7">
        <w:rPr>
          <w:rFonts w:eastAsia="Arial" w:cs="Arial"/>
        </w:rPr>
        <w:t>racteristics Survey, innovation-</w:t>
      </w:r>
      <w:r>
        <w:rPr>
          <w:rFonts w:eastAsia="Arial" w:cs="Arial"/>
        </w:rPr>
        <w:t xml:space="preserve">active firms are firms that </w:t>
      </w:r>
      <w:r>
        <w:t>undertake any innovative activity whether it be introducing innovation, innovation still in progress or abandoned.</w:t>
      </w:r>
    </w:p>
    <w:p w14:paraId="463CA1B7" w14:textId="4A29672B" w:rsidR="007136C6" w:rsidRDefault="006B6073" w:rsidP="006B6073">
      <w:pPr>
        <w:pStyle w:val="BodyText"/>
        <w:rPr>
          <w:rFonts w:eastAsia="Arial" w:cs="Arial"/>
        </w:rPr>
      </w:pPr>
      <w:r>
        <w:rPr>
          <w:rFonts w:eastAsia="Arial" w:cs="Arial"/>
        </w:rPr>
        <w:t>For all dimension of management</w:t>
      </w:r>
      <w:r w:rsidR="002D31E7">
        <w:rPr>
          <w:rFonts w:eastAsia="Arial" w:cs="Arial"/>
        </w:rPr>
        <w:t>, innovation-</w:t>
      </w:r>
      <w:r>
        <w:rPr>
          <w:rFonts w:eastAsia="Arial" w:cs="Arial"/>
        </w:rPr>
        <w:t>active firms have a significantly higher score than those classified as non-innovation-active firms. It has been widely documented that firms that implement structured management practices tend to be more innovative than those that do not (Agarwal Brown et al. 2014).</w:t>
      </w:r>
    </w:p>
    <w:p w14:paraId="5DB632A3" w14:textId="79877C26" w:rsidR="006B6073" w:rsidRDefault="006B6073"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4</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10</w:t>
      </w:r>
      <w:r w:rsidRPr="000618FB">
        <w:fldChar w:fldCharType="end"/>
      </w:r>
      <w:r>
        <w:t>: Average management capability scores of Australian firms by innovation status, 2015–16</w:t>
      </w:r>
    </w:p>
    <w:tbl>
      <w:tblPr>
        <w:tblStyle w:val="OCETable"/>
        <w:tblW w:w="6617" w:type="pct"/>
        <w:tblInd w:w="-1985" w:type="dxa"/>
        <w:tblLayout w:type="fixed"/>
        <w:tblLook w:val="04A0" w:firstRow="1" w:lastRow="0" w:firstColumn="1" w:lastColumn="0" w:noHBand="0" w:noVBand="1"/>
        <w:tblCaption w:val="Figure 4.10: Average management capability scores of Australian firms by innovation status, 2015–16"/>
        <w:tblDescription w:val="Figure 4.10 presents average management capability scores by innovation status of firms (innovation-active and non-innovation-active), by type of management capability (overall capability, digital capability, environmental capability and supply chain capability).   "/>
      </w:tblPr>
      <w:tblGrid>
        <w:gridCol w:w="9124"/>
      </w:tblGrid>
      <w:tr w:rsidR="006B6073" w14:paraId="64743F42" w14:textId="77777777" w:rsidTr="00EC7B73">
        <w:trPr>
          <w:cnfStyle w:val="100000000000" w:firstRow="1" w:lastRow="0" w:firstColumn="0" w:lastColumn="0" w:oddVBand="0" w:evenVBand="0" w:oddHBand="0" w:evenHBand="0" w:firstRowFirstColumn="0" w:firstRowLastColumn="0" w:lastRowFirstColumn="0" w:lastRowLastColumn="0"/>
          <w:trHeight w:val="4787"/>
          <w:tblHeader/>
        </w:trPr>
        <w:tc>
          <w:tcPr>
            <w:tcW w:w="9124" w:type="dxa"/>
            <w:shd w:val="clear" w:color="auto" w:fill="auto"/>
          </w:tcPr>
          <w:p w14:paraId="31C16CB6" w14:textId="36A1D0AD" w:rsidR="006B6073" w:rsidRDefault="00851368" w:rsidP="00597784">
            <w:pPr>
              <w:pStyle w:val="PlaceholderWide"/>
              <w:ind w:left="1310"/>
            </w:pPr>
            <w:r>
              <w:rPr>
                <w:noProof/>
                <w:lang w:eastAsia="en-AU"/>
              </w:rPr>
              <w:t xml:space="preserve">                                                                                                                                                                                                                                                                                                                                                                                                                                </w:t>
            </w:r>
            <w:r>
              <w:rPr>
                <w:noProof/>
                <w:lang w:eastAsia="en-AU"/>
              </w:rPr>
              <w:drawing>
                <wp:inline distT="0" distB="0" distL="0" distR="0" wp14:anchorId="78CF3BA2" wp14:editId="73666BF8">
                  <wp:extent cx="4572000" cy="2743200"/>
                  <wp:effectExtent l="0" t="0" r="0" b="0"/>
                  <wp:docPr id="13" name="Chart 13" descr="Figure 4.10 presents average management capability scores by innovation status of firms (innovation-active and non-innovation-active), by type of management capability (overall capability, digital capability, environmental capability and supply chain capability).   " title="Figure 4.10: Average management capability scores of Australian firms by innovation status,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5AABA935" w14:textId="67FD82FB" w:rsidR="006B6073" w:rsidRPr="00C62F3A" w:rsidRDefault="006B6073" w:rsidP="00B17BDA">
      <w:pPr>
        <w:pStyle w:val="Note"/>
      </w:pPr>
      <w:r>
        <w:t>Notes: Authors’ calculations. Detailed information in Table B5, Appendix 5</w:t>
      </w:r>
    </w:p>
    <w:p w14:paraId="0687351E" w14:textId="0396C7A8" w:rsidR="006B6073" w:rsidRDefault="006B6073" w:rsidP="00B17BDA">
      <w:pPr>
        <w:pStyle w:val="Source"/>
      </w:pPr>
      <w:r>
        <w:t xml:space="preserve">Source: </w:t>
      </w:r>
      <w:r>
        <w:rPr>
          <w:rFonts w:eastAsia="Arial"/>
          <w:szCs w:val="16"/>
        </w:rPr>
        <w:t>Australian Bureau of Statistics 2016, Management and Organisational Capabilities of Australian Business, 2015–16. Expanded Confidentialised Unit Record File (CURF), ABS DataLab</w:t>
      </w:r>
      <w:r>
        <w:t>.</w:t>
      </w:r>
    </w:p>
    <w:p w14:paraId="22FDD1D1" w14:textId="3FE5AC08" w:rsidR="006B6073" w:rsidRDefault="003B3A8A" w:rsidP="003B3A8A">
      <w:pPr>
        <w:pStyle w:val="Heading1"/>
        <w:rPr>
          <w:lang w:val="en"/>
        </w:rPr>
      </w:pPr>
      <w:r>
        <w:rPr>
          <w:lang w:val="en"/>
        </w:rPr>
        <w:t>Comparisons of structured management practices scores between Australian and US firms</w:t>
      </w:r>
    </w:p>
    <w:p w14:paraId="4FADC639" w14:textId="5A359835" w:rsidR="003B3A8A" w:rsidRDefault="003B3A8A" w:rsidP="003B3A8A">
      <w:pPr>
        <w:ind w:left="0"/>
        <w:rPr>
          <w:rFonts w:eastAsia="Arial" w:cs="Arial"/>
        </w:rPr>
      </w:pPr>
      <w:r>
        <w:rPr>
          <w:rFonts w:eastAsia="Arial" w:cs="Arial"/>
        </w:rPr>
        <w:t>This section compares management capabilities between Australian and US firms using the calculation methodology in section 3.3. Questions from the US MOPS that are used for the comparison are presented in Appendix D. As the US MOPS only covers the manufacturing industry, we calculate the international comparison score for the manufacturing industry only (ANZSIC industry division C).</w:t>
      </w:r>
      <w:r w:rsidDel="00207B69">
        <w:rPr>
          <w:rFonts w:eastAsia="Arial" w:cs="Arial"/>
        </w:rPr>
        <w:t xml:space="preserve"> </w:t>
      </w:r>
    </w:p>
    <w:p w14:paraId="35740B63" w14:textId="3DAE0A1C" w:rsidR="003B3A8A" w:rsidRDefault="003B3A8A" w:rsidP="003B3A8A">
      <w:pPr>
        <w:pStyle w:val="BodyText"/>
        <w:rPr>
          <w:rFonts w:ascii="Arial" w:eastAsia="Arial" w:hAnsi="Arial" w:cs="Arial"/>
        </w:rPr>
      </w:pPr>
      <w:r>
        <w:rPr>
          <w:rFonts w:ascii="Arial" w:eastAsia="Arial" w:hAnsi="Arial" w:cs="Arial"/>
        </w:rPr>
        <w:t xml:space="preserve">Table 5.1 presents the average score for the international comparison score using 12 comparable questions but also the 16 questions from US MOPS. The variation between the score calculated with 12 and 16 questions is small. Following the terminology of US MOPS, the score is referred to as the </w:t>
      </w:r>
      <w:r>
        <w:rPr>
          <w:rFonts w:ascii="Arial" w:eastAsia="Arial" w:hAnsi="Arial" w:cs="Arial"/>
          <w:i/>
        </w:rPr>
        <w:t>S</w:t>
      </w:r>
      <w:r w:rsidRPr="000404B3">
        <w:rPr>
          <w:rFonts w:ascii="Arial" w:eastAsia="Arial" w:hAnsi="Arial" w:cs="Arial"/>
          <w:i/>
        </w:rPr>
        <w:t xml:space="preserve">tructured </w:t>
      </w:r>
      <w:r>
        <w:rPr>
          <w:rFonts w:ascii="Arial" w:eastAsia="Arial" w:hAnsi="Arial" w:cs="Arial"/>
          <w:i/>
        </w:rPr>
        <w:t>M</w:t>
      </w:r>
      <w:r w:rsidRPr="000404B3">
        <w:rPr>
          <w:rFonts w:ascii="Arial" w:eastAsia="Arial" w:hAnsi="Arial" w:cs="Arial"/>
          <w:i/>
        </w:rPr>
        <w:t xml:space="preserve">anagement </w:t>
      </w:r>
      <w:r>
        <w:rPr>
          <w:rFonts w:ascii="Arial" w:eastAsia="Arial" w:hAnsi="Arial" w:cs="Arial"/>
          <w:i/>
        </w:rPr>
        <w:t>Practices score</w:t>
      </w:r>
      <w:r>
        <w:rPr>
          <w:rFonts w:ascii="Arial" w:eastAsia="Arial" w:hAnsi="Arial" w:cs="Arial"/>
        </w:rPr>
        <w:t>. The subsequent analyses in this Section show comparisons of this score by firm size, industry and firm age. The results show that US firms consistently have higher scores than their Australian counterparts.</w:t>
      </w:r>
    </w:p>
    <w:p w14:paraId="5C83A6E0" w14:textId="5EAACBFC" w:rsidR="003B3A8A" w:rsidRDefault="003B3A8A" w:rsidP="00B17BDA">
      <w:pPr>
        <w:pStyle w:val="Caption"/>
      </w:pPr>
      <w:r w:rsidRPr="000618FB">
        <w:lastRenderedPageBreak/>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5</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1</w:t>
      </w:r>
      <w:r>
        <w:rPr>
          <w:noProof/>
        </w:rPr>
        <w:fldChar w:fldCharType="end"/>
      </w:r>
      <w:r w:rsidRPr="000618FB">
        <w:t xml:space="preserve">: </w:t>
      </w:r>
      <w:r>
        <w:t>Comparison of structured management practices score between US and Australian manufacturing firms</w:t>
      </w:r>
    </w:p>
    <w:tbl>
      <w:tblPr>
        <w:tblStyle w:val="OCETable"/>
        <w:tblW w:w="4893" w:type="pct"/>
        <w:tblInd w:w="57" w:type="dxa"/>
        <w:tblLayout w:type="fixed"/>
        <w:tblLook w:val="04A0" w:firstRow="1" w:lastRow="0" w:firstColumn="1" w:lastColumn="0" w:noHBand="0" w:noVBand="1"/>
        <w:tblCaption w:val="Table 5.1: Comparison of structured management practices score between US and Australian manufacturing firms"/>
        <w:tblDescription w:val="Table 5.1 presents the average scores for the international comparison using 12 and 16 comparable questions b from the US Management and Organizational Practices Survey (US MOPS) and the Management and Organisational capabilities of Australian Business, 2015–16.  In both cases US firms show higher scores of Structured Management Practices than Australian firms."/>
      </w:tblPr>
      <w:tblGrid>
        <w:gridCol w:w="1376"/>
        <w:gridCol w:w="1967"/>
        <w:gridCol w:w="1702"/>
        <w:gridCol w:w="1701"/>
      </w:tblGrid>
      <w:tr w:rsidR="003B3A8A" w14:paraId="2A31E15B"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1376" w:type="dxa"/>
          </w:tcPr>
          <w:p w14:paraId="61B5DAD3" w14:textId="77777777" w:rsidR="003B3A8A" w:rsidRDefault="003B3A8A" w:rsidP="00B17BDA">
            <w:pPr>
              <w:pStyle w:val="Tableheadertext"/>
              <w:jc w:val="center"/>
            </w:pPr>
            <w:r>
              <w:t>Score</w:t>
            </w:r>
          </w:p>
        </w:tc>
        <w:tc>
          <w:tcPr>
            <w:tcW w:w="1967" w:type="dxa"/>
          </w:tcPr>
          <w:p w14:paraId="1898C29F" w14:textId="77777777" w:rsidR="003B3A8A" w:rsidRDefault="003B3A8A" w:rsidP="00B17BDA">
            <w:pPr>
              <w:pStyle w:val="Tableheadertext"/>
            </w:pPr>
            <w:r>
              <w:t>US average  score (16 questions)</w:t>
            </w:r>
          </w:p>
        </w:tc>
        <w:tc>
          <w:tcPr>
            <w:tcW w:w="1702" w:type="dxa"/>
          </w:tcPr>
          <w:p w14:paraId="376F0BCE" w14:textId="77777777" w:rsidR="003B3A8A" w:rsidRDefault="003B3A8A" w:rsidP="00B17BDA">
            <w:pPr>
              <w:pStyle w:val="Tableheadertext"/>
            </w:pPr>
            <w:r>
              <w:t>US average score (12 questions)</w:t>
            </w:r>
          </w:p>
        </w:tc>
        <w:tc>
          <w:tcPr>
            <w:tcW w:w="1701" w:type="dxa"/>
          </w:tcPr>
          <w:p w14:paraId="3A24A099" w14:textId="77777777" w:rsidR="003B3A8A" w:rsidRDefault="003B3A8A" w:rsidP="00B17BDA">
            <w:pPr>
              <w:pStyle w:val="Tableheadertext"/>
            </w:pPr>
            <w:r>
              <w:t>Australia average score (12 questions)</w:t>
            </w:r>
          </w:p>
        </w:tc>
      </w:tr>
      <w:tr w:rsidR="003B3A8A" w:rsidRPr="00AD0266" w14:paraId="628F5891" w14:textId="77777777" w:rsidTr="00090A74">
        <w:trPr>
          <w:cnfStyle w:val="000000100000" w:firstRow="0" w:lastRow="0" w:firstColumn="0" w:lastColumn="0" w:oddVBand="0" w:evenVBand="0" w:oddHBand="1" w:evenHBand="0" w:firstRowFirstColumn="0" w:firstRowLastColumn="0" w:lastRowFirstColumn="0" w:lastRowLastColumn="0"/>
        </w:trPr>
        <w:tc>
          <w:tcPr>
            <w:tcW w:w="1376" w:type="dxa"/>
          </w:tcPr>
          <w:p w14:paraId="569F1661" w14:textId="77777777" w:rsidR="003B3A8A" w:rsidRPr="00090A74" w:rsidRDefault="003B3A8A" w:rsidP="00090A74">
            <w:pPr>
              <w:pStyle w:val="Tablebodytext"/>
              <w:rPr>
                <w:rFonts w:eastAsia="Arial"/>
              </w:rPr>
            </w:pPr>
            <w:r w:rsidRPr="00090A74">
              <w:rPr>
                <w:rFonts w:eastAsia="Arial"/>
              </w:rPr>
              <w:t>Structured management</w:t>
            </w:r>
          </w:p>
        </w:tc>
        <w:tc>
          <w:tcPr>
            <w:tcW w:w="1967" w:type="dxa"/>
          </w:tcPr>
          <w:p w14:paraId="302A7B87" w14:textId="77777777" w:rsidR="003B3A8A" w:rsidRPr="00090A74" w:rsidRDefault="003B3A8A" w:rsidP="00090A74">
            <w:pPr>
              <w:pStyle w:val="Tablebodytext"/>
              <w:rPr>
                <w:rFonts w:eastAsia="Arial"/>
              </w:rPr>
            </w:pPr>
            <w:r>
              <w:rPr>
                <w:rFonts w:eastAsia="Arial"/>
              </w:rPr>
              <w:t>0.549</w:t>
            </w:r>
          </w:p>
        </w:tc>
        <w:tc>
          <w:tcPr>
            <w:tcW w:w="1702" w:type="dxa"/>
          </w:tcPr>
          <w:p w14:paraId="68D1C049" w14:textId="77777777" w:rsidR="003B3A8A" w:rsidRPr="00090A74" w:rsidRDefault="003B3A8A" w:rsidP="00090A74">
            <w:pPr>
              <w:pStyle w:val="Tablebodytext"/>
              <w:rPr>
                <w:rFonts w:eastAsia="Arial"/>
              </w:rPr>
            </w:pPr>
            <w:r>
              <w:rPr>
                <w:rFonts w:eastAsia="Arial"/>
              </w:rPr>
              <w:t>0.553</w:t>
            </w:r>
          </w:p>
        </w:tc>
        <w:tc>
          <w:tcPr>
            <w:tcW w:w="1701" w:type="dxa"/>
          </w:tcPr>
          <w:p w14:paraId="51CA8CFB" w14:textId="77777777" w:rsidR="003B3A8A" w:rsidRPr="00090A74" w:rsidRDefault="003B3A8A" w:rsidP="00090A74">
            <w:pPr>
              <w:pStyle w:val="Tablebodytext"/>
              <w:rPr>
                <w:rFonts w:eastAsia="Arial"/>
              </w:rPr>
            </w:pPr>
            <w:r>
              <w:rPr>
                <w:rFonts w:eastAsia="Arial"/>
              </w:rPr>
              <w:t>0.348</w:t>
            </w:r>
          </w:p>
        </w:tc>
      </w:tr>
    </w:tbl>
    <w:p w14:paraId="770266C8" w14:textId="4E6653EC" w:rsidR="003B3A8A" w:rsidRDefault="003B3A8A" w:rsidP="00B17BDA">
      <w:pPr>
        <w:pStyle w:val="Source"/>
      </w:pPr>
      <w:r>
        <w:rPr>
          <w:lang w:eastAsia="en-AU"/>
        </w:rPr>
        <w:t xml:space="preserve">Source: </w:t>
      </w:r>
      <w:r>
        <w:rPr>
          <w:rFonts w:eastAsia="Arial"/>
          <w:szCs w:val="16"/>
        </w:rPr>
        <w:t>U.S. Census Bureau, Massachusetts Institute of Technology, National Bureau of Economic Research, and Stanford University; 2015 Management and Organizational Practices Survey. Source for Australian data, Australian Bureau of Statistics 2016, Management and Organisational Capabilities of Australian Business, 2015–16. Expanded Confidentialised Unit Record File (CURF), ABS DataLab</w:t>
      </w:r>
      <w:r>
        <w:t>. Authors’ calculations.</w:t>
      </w:r>
    </w:p>
    <w:p w14:paraId="45650763" w14:textId="58D4C37C" w:rsidR="003B3A8A" w:rsidRDefault="003B3A8A" w:rsidP="00BF1BEF">
      <w:pPr>
        <w:pStyle w:val="Heading2"/>
        <w:ind w:left="0" w:firstLine="0"/>
        <w:rPr>
          <w:lang w:val="en"/>
        </w:rPr>
      </w:pPr>
      <w:r>
        <w:rPr>
          <w:lang w:val="en"/>
        </w:rPr>
        <w:t>Comparison by firm employment size</w:t>
      </w:r>
    </w:p>
    <w:p w14:paraId="4FD927B2" w14:textId="64EC25DF" w:rsidR="003B3A8A" w:rsidRDefault="003B3A8A" w:rsidP="003B3A8A">
      <w:pPr>
        <w:pStyle w:val="BodyText"/>
        <w:rPr>
          <w:rFonts w:eastAsia="Arial" w:cs="Arial"/>
        </w:rPr>
      </w:pPr>
      <w:r>
        <w:rPr>
          <w:rFonts w:eastAsia="Arial" w:cs="Arial"/>
        </w:rPr>
        <w:t>Figure 5.1 presents the average Australian and US structured management practice score by firm size using US MOPS categories for employee size.</w:t>
      </w:r>
      <w:r>
        <w:rPr>
          <w:rStyle w:val="FootnoteReference"/>
          <w:rFonts w:eastAsia="Arial" w:cs="Arial"/>
        </w:rPr>
        <w:footnoteReference w:id="11"/>
      </w:r>
      <w:r>
        <w:rPr>
          <w:rFonts w:eastAsia="Arial" w:cs="Arial"/>
        </w:rPr>
        <w:t xml:space="preserve"> As described in Section 3.3, to scale down the scores by size, industry and firm age, a multiplier is applied to the US MOPS scores that is based on 16 questions.</w:t>
      </w:r>
      <w:r>
        <w:rPr>
          <w:rFonts w:eastAsia="Arial" w:cs="Arial"/>
          <w:vertAlign w:val="superscript"/>
        </w:rPr>
        <w:footnoteReference w:id="12"/>
      </w:r>
    </w:p>
    <w:p w14:paraId="39DC6317" w14:textId="49A0B638" w:rsidR="0089035E" w:rsidRDefault="0089035E"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5</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1</w:t>
      </w:r>
      <w:r w:rsidRPr="000618FB">
        <w:fldChar w:fldCharType="end"/>
      </w:r>
      <w:r>
        <w:t>: Comparison of structured management practices score between US and Australian manufacturing firms by employment size</w:t>
      </w:r>
    </w:p>
    <w:tbl>
      <w:tblPr>
        <w:tblStyle w:val="OCETable"/>
        <w:tblW w:w="5347" w:type="pct"/>
        <w:tblInd w:w="-426" w:type="dxa"/>
        <w:tblLayout w:type="fixed"/>
        <w:tblLook w:val="04A0" w:firstRow="1" w:lastRow="0" w:firstColumn="1" w:lastColumn="0" w:noHBand="0" w:noVBand="1"/>
        <w:tblCaption w:val="Figure 5.1: Comparison of structured management practices score between US and Australian manufacturing firms by employment size"/>
        <w:tblDescription w:val="Figure 5.1 shows that based on management scores, US firms outperform Australian firms regardless of the employment size."/>
      </w:tblPr>
      <w:tblGrid>
        <w:gridCol w:w="7372"/>
      </w:tblGrid>
      <w:tr w:rsidR="0089035E" w14:paraId="59661DFC"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7372" w:type="dxa"/>
            <w:shd w:val="clear" w:color="auto" w:fill="auto"/>
          </w:tcPr>
          <w:p w14:paraId="56D235C8" w14:textId="7BDA31F7" w:rsidR="0089035E" w:rsidRDefault="00851368" w:rsidP="0089035E">
            <w:pPr>
              <w:pStyle w:val="PlaceholderWide"/>
            </w:pPr>
            <w:r>
              <w:rPr>
                <w:noProof/>
                <w:lang w:eastAsia="en-AU"/>
              </w:rPr>
              <w:drawing>
                <wp:inline distT="0" distB="0" distL="0" distR="0" wp14:anchorId="7CBBC7B7" wp14:editId="671679E4">
                  <wp:extent cx="4544060" cy="2726690"/>
                  <wp:effectExtent l="0" t="0" r="8890" b="0"/>
                  <wp:docPr id="17" name="Chart 17" descr="Figure 5.1 shows that based on management scores, US firms outperform Australian firms regardless of the employment size." title="Figure 5.1: Comparison of structured management practices score between US and Australian manufacturing firms by employment siz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38A18748" w14:textId="357B7090" w:rsidR="0089035E" w:rsidRDefault="0089035E" w:rsidP="00B17BDA">
      <w:pPr>
        <w:pStyle w:val="Source"/>
      </w:pPr>
      <w:r>
        <w:t xml:space="preserve">Source: </w:t>
      </w:r>
      <w:r>
        <w:rPr>
          <w:rFonts w:eastAsia="Arial"/>
          <w:szCs w:val="16"/>
        </w:rPr>
        <w:t>U.S. Census Bureau, Massachusetts Institute of Technology, National Bureau of Economic Research, and Stanford University; 2015 Management and Organizational Practices Survey. Source for Australian data, Australian Bureau of Statistics 2016, Management and Organisational Capabilities of Australian Business, 2015–16. Expanded Confidentialised Unit Record File (CURF), ABS DataLab</w:t>
      </w:r>
      <w:r>
        <w:t>. Authors’ calculations.</w:t>
      </w:r>
    </w:p>
    <w:p w14:paraId="65394E53" w14:textId="2D42D63C" w:rsidR="0089035E" w:rsidRDefault="0089035E" w:rsidP="0089035E">
      <w:pPr>
        <w:ind w:left="0"/>
        <w:rPr>
          <w:rFonts w:eastAsia="Arial" w:cs="Arial"/>
        </w:rPr>
      </w:pPr>
      <w:r>
        <w:rPr>
          <w:rFonts w:eastAsia="Arial" w:cs="Arial"/>
        </w:rPr>
        <w:t>Figure 5.1 shows that US firms outperform Australian firms regardless of the employment size. The differences are larger for smaller firms (up to 100 employees) compared to the larger sized categories (firms with more than 100 employees). For example, in the 5-9 employee size category the difference between the US and AUS is 0.290, while in the 500-999 employee size category the difference is 0.142. As expected, results show that the management capability scores of larger firms are generally higher than smaller firms.</w:t>
      </w:r>
    </w:p>
    <w:p w14:paraId="5C1EF5CE" w14:textId="02BBC816" w:rsidR="003B3A8A" w:rsidRDefault="0089035E" w:rsidP="00BF1BEF">
      <w:pPr>
        <w:pStyle w:val="Heading2"/>
        <w:ind w:left="0" w:firstLine="0"/>
      </w:pPr>
      <w:r>
        <w:t>Manufacturing industry groups</w:t>
      </w:r>
    </w:p>
    <w:p w14:paraId="06FCF272" w14:textId="77777777" w:rsidR="0089035E" w:rsidRDefault="0089035E" w:rsidP="0089035E">
      <w:pPr>
        <w:ind w:left="0"/>
        <w:rPr>
          <w:rFonts w:eastAsia="Arial" w:cs="Arial"/>
        </w:rPr>
      </w:pPr>
      <w:r>
        <w:rPr>
          <w:rFonts w:eastAsia="Arial" w:cs="Arial"/>
        </w:rPr>
        <w:t xml:space="preserve">Figure 5.2 presents the average </w:t>
      </w:r>
      <w:r>
        <w:t>structured management score</w:t>
      </w:r>
      <w:r>
        <w:rPr>
          <w:rFonts w:eastAsia="Arial" w:cs="Arial"/>
        </w:rPr>
        <w:t xml:space="preserve"> by the comparable industry groups between NAICS and ANZSIC for the manufacturing industry</w:t>
      </w:r>
      <w:r>
        <w:rPr>
          <w:rStyle w:val="FootnoteReference"/>
          <w:rFonts w:eastAsia="Arial" w:cs="Arial"/>
        </w:rPr>
        <w:footnoteReference w:id="13"/>
      </w:r>
      <w:r>
        <w:rPr>
          <w:rFonts w:eastAsia="Arial" w:cs="Arial"/>
        </w:rPr>
        <w:t xml:space="preserve">. </w:t>
      </w:r>
    </w:p>
    <w:p w14:paraId="47C8F069" w14:textId="0CC549CF" w:rsidR="0089035E" w:rsidRDefault="0089035E" w:rsidP="0089035E">
      <w:pPr>
        <w:pStyle w:val="BodyText"/>
        <w:rPr>
          <w:rFonts w:eastAsia="Arial" w:cs="Arial"/>
        </w:rPr>
      </w:pPr>
      <w:r>
        <w:rPr>
          <w:rFonts w:eastAsia="Arial" w:cs="Arial"/>
        </w:rPr>
        <w:t xml:space="preserve">For all of the manufacturing sub industry classifications, the comparison indicates a lower level of structured management practices in Australian firms compared to their US counterparts. The industry with the largest difference between the two surveys is the </w:t>
      </w:r>
      <w:r w:rsidRPr="00A70D57">
        <w:rPr>
          <w:rFonts w:eastAsia="Arial" w:cs="Arial"/>
          <w:i/>
        </w:rPr>
        <w:t>Transport Equipment</w:t>
      </w:r>
      <w:r>
        <w:rPr>
          <w:rFonts w:eastAsia="Arial" w:cs="Arial"/>
        </w:rPr>
        <w:t xml:space="preserve"> </w:t>
      </w:r>
      <w:r w:rsidRPr="00054762">
        <w:rPr>
          <w:rFonts w:eastAsia="Arial" w:cs="Arial"/>
          <w:i/>
        </w:rPr>
        <w:t>Manufacturing</w:t>
      </w:r>
      <w:r>
        <w:rPr>
          <w:rFonts w:eastAsia="Arial" w:cs="Arial"/>
        </w:rPr>
        <w:t xml:space="preserve"> with a difference in scores of 0.313. The smallest difference is </w:t>
      </w:r>
      <w:r w:rsidRPr="00054762">
        <w:rPr>
          <w:rFonts w:eastAsia="Arial" w:cs="Arial"/>
          <w:i/>
        </w:rPr>
        <w:t>in Food Product Manufacturing</w:t>
      </w:r>
      <w:r>
        <w:rPr>
          <w:rFonts w:eastAsia="Arial" w:cs="Arial"/>
        </w:rPr>
        <w:t xml:space="preserve"> with a difference of 0.123 in favour of the US firms.</w:t>
      </w:r>
    </w:p>
    <w:p w14:paraId="26A1042A" w14:textId="5425AA8E" w:rsidR="0089035E" w:rsidRDefault="0089035E"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5</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2</w:t>
      </w:r>
      <w:r w:rsidRPr="000618FB">
        <w:fldChar w:fldCharType="end"/>
      </w:r>
      <w:r>
        <w:t>: Comparison of structured management practices score between US and Australian manufacturing firms by manufacturing industry sub-groups</w:t>
      </w:r>
    </w:p>
    <w:tbl>
      <w:tblPr>
        <w:tblStyle w:val="OCETable"/>
        <w:tblW w:w="6580" w:type="pct"/>
        <w:tblInd w:w="-2127" w:type="dxa"/>
        <w:tblLayout w:type="fixed"/>
        <w:tblLook w:val="04A0" w:firstRow="1" w:lastRow="0" w:firstColumn="1" w:lastColumn="0" w:noHBand="0" w:noVBand="1"/>
        <w:tblCaption w:val="Figure 5.2: Comparison of structured management practices score between US and Australian manufacturing firms by manufacturing industry sub-groups"/>
        <w:tblDescription w:val="Figure 5.2 presents the average structured management score by the comparable industry groups between US and Australian firms based on NAICS and ANZSIC for various manufacturing industries. It shows that US firms outperform Australian firms in all manufacturing industries."/>
      </w:tblPr>
      <w:tblGrid>
        <w:gridCol w:w="9073"/>
      </w:tblGrid>
      <w:tr w:rsidR="0089035E" w14:paraId="78C3872C"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9073" w:type="dxa"/>
            <w:shd w:val="clear" w:color="auto" w:fill="auto"/>
          </w:tcPr>
          <w:p w14:paraId="0A299847" w14:textId="64764B61" w:rsidR="0089035E" w:rsidRDefault="00851368" w:rsidP="0089035E">
            <w:pPr>
              <w:pStyle w:val="PlaceholderWide"/>
            </w:pPr>
            <w:r>
              <w:rPr>
                <w:noProof/>
                <w:lang w:eastAsia="en-AU"/>
              </w:rPr>
              <w:drawing>
                <wp:inline distT="0" distB="0" distL="0" distR="0" wp14:anchorId="2936ABAB" wp14:editId="264C77FD">
                  <wp:extent cx="5524500" cy="3533775"/>
                  <wp:effectExtent l="0" t="0" r="0" b="0"/>
                  <wp:docPr id="18" name="Chart 18" descr="Figure 5.2 presents the average structured management score by the comparable industry groups between US and Australian firms based on NAICS and ANZSIC for various manufacturing industries. It shows that US firms outperform Australian firms in all manufacturing industries." title="Figure 5.2: Comparison of structured management practices score between US and Australian manufacturing firms by manufacturing industry sub-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3FEC4F02" w14:textId="00651936" w:rsidR="0089035E" w:rsidRDefault="0089035E" w:rsidP="00B17BDA">
      <w:pPr>
        <w:pStyle w:val="Source"/>
      </w:pPr>
      <w:r>
        <w:t xml:space="preserve">Source: </w:t>
      </w:r>
      <w:r w:rsidR="00160AA4">
        <w:rPr>
          <w:rFonts w:eastAsia="Arial"/>
          <w:szCs w:val="16"/>
        </w:rPr>
        <w:t>U.S. Census Bureau, Massachusetts Institute of Technology, National Bureau of Economic Research, and Stanford University; 2015 Management and Organizational Practices Survey. Source for Australian data, Australian Bureau of Statistics 2016, Management and Organisational Capabilities of Australian Business, 2015–16. Expanded Confidentialised Unit Record File (CURF), ABS DataLab</w:t>
      </w:r>
      <w:r w:rsidR="00160AA4">
        <w:t>. Authors’ calculations.</w:t>
      </w:r>
    </w:p>
    <w:p w14:paraId="3B231156" w14:textId="5C6D995C" w:rsidR="00160AA4" w:rsidRDefault="00160AA4" w:rsidP="00160AA4">
      <w:pPr>
        <w:pStyle w:val="BodyText"/>
        <w:rPr>
          <w:rFonts w:eastAsia="Arial" w:cs="Arial"/>
        </w:rPr>
      </w:pPr>
      <w:r>
        <w:rPr>
          <w:rFonts w:eastAsia="Arial" w:cs="Arial"/>
        </w:rPr>
        <w:t>Figure 5.3 indicates a lower level of structured management practices in Australian firms compared to their US counterparts in all firm age groups.</w:t>
      </w:r>
      <w:r>
        <w:rPr>
          <w:rStyle w:val="FootnoteReference"/>
          <w:rFonts w:eastAsia="Arial" w:cs="Arial"/>
        </w:rPr>
        <w:footnoteReference w:id="14"/>
      </w:r>
      <w:r>
        <w:rPr>
          <w:rFonts w:eastAsia="Arial" w:cs="Arial"/>
        </w:rPr>
        <w:t xml:space="preserve"> Interestingly, in the US manufacturing sector the youngest age bracket (0-5 years) presents the highest score of structured management practices. In other words, start-ups in the US manufacturing seem to be using better management practices that other firm age groups. In Australia, on the other hand, age seems to be the factor driving better management practices; the older the firm the more structured the management practice.</w:t>
      </w:r>
    </w:p>
    <w:p w14:paraId="3959CD89" w14:textId="6300BDA6" w:rsidR="00B17BDA" w:rsidRDefault="00B17BDA" w:rsidP="00B17BDA">
      <w:pPr>
        <w:pStyle w:val="Caption"/>
      </w:pPr>
      <w:r>
        <w:lastRenderedPageBreak/>
        <w:t>Figure</w:t>
      </w:r>
      <w:r w:rsidRPr="000618FB">
        <w:t xml:space="preserve"> </w:t>
      </w:r>
      <w:r w:rsidR="00FC594E">
        <w:rPr>
          <w:noProof/>
        </w:rPr>
        <w:fldChar w:fldCharType="begin"/>
      </w:r>
      <w:r w:rsidR="00FC594E">
        <w:rPr>
          <w:noProof/>
        </w:rPr>
        <w:instrText xml:space="preserve"> STYLEREF 1 \s </w:instrText>
      </w:r>
      <w:r w:rsidR="00FC594E">
        <w:rPr>
          <w:noProof/>
        </w:rPr>
        <w:fldChar w:fldCharType="separate"/>
      </w:r>
      <w:r w:rsidR="00111F76">
        <w:rPr>
          <w:noProof/>
        </w:rPr>
        <w:t>5</w:t>
      </w:r>
      <w:r w:rsidR="00FC594E">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3</w:t>
      </w:r>
      <w:r w:rsidRPr="000618FB">
        <w:fldChar w:fldCharType="end"/>
      </w:r>
      <w:r>
        <w:t>: Comparison of structured management practice score between US and Australian manufacturing firms by firm’s age</w:t>
      </w:r>
    </w:p>
    <w:tbl>
      <w:tblPr>
        <w:tblStyle w:val="OCETable"/>
        <w:tblW w:w="4940" w:type="pct"/>
        <w:tblInd w:w="108" w:type="dxa"/>
        <w:tblLayout w:type="fixed"/>
        <w:tblLook w:val="04A0" w:firstRow="1" w:lastRow="0" w:firstColumn="1" w:lastColumn="0" w:noHBand="0" w:noVBand="1"/>
        <w:tblCaption w:val="Figure 5.3: Comparison of structured management practice score between US and Australian manufacturing firms by firm’s age"/>
        <w:tblDescription w:val="Figure 5.3 indicates a lower level of structured management practices in Australian firms compared to their US counterparts in all firm age groups."/>
      </w:tblPr>
      <w:tblGrid>
        <w:gridCol w:w="6811"/>
      </w:tblGrid>
      <w:tr w:rsidR="00B17BDA" w14:paraId="2EA58574"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452EC76D" w14:textId="09FD1CE4" w:rsidR="00B17BDA" w:rsidRDefault="000B5F5C" w:rsidP="00D050E2">
            <w:pPr>
              <w:pStyle w:val="PlaceholderWide"/>
              <w:jc w:val="left"/>
            </w:pPr>
            <w:r>
              <w:rPr>
                <w:noProof/>
                <w:lang w:eastAsia="en-AU"/>
              </w:rPr>
              <w:drawing>
                <wp:inline distT="0" distB="0" distL="0" distR="0" wp14:anchorId="4E4A0655" wp14:editId="123BBB3E">
                  <wp:extent cx="4187825" cy="2512695"/>
                  <wp:effectExtent l="0" t="0" r="3175" b="1905"/>
                  <wp:docPr id="19" name="Chart 19" descr="Figure 5.3 indicates a lower level of structured management practices in Australian firms compared to their US counterparts in all firm age groups." title="Figure 5.3: Comparison of structured management practice score between US and Australian manufacturing firms by firm’s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1B2C4D76" w14:textId="6AE26FE9" w:rsidR="003B3A8A" w:rsidRDefault="00B17BDA" w:rsidP="00B17BDA">
      <w:pPr>
        <w:pStyle w:val="Source"/>
      </w:pPr>
      <w:r>
        <w:t xml:space="preserve">Source: </w:t>
      </w:r>
      <w:r>
        <w:rPr>
          <w:rFonts w:eastAsia="Arial"/>
          <w:szCs w:val="16"/>
        </w:rPr>
        <w:t>U.S. Census Bureau, Massachusetts Institute of Technology, National Bureau of Economic Research, and Stanford University; 2015 Management and Organizational Practices Survey. Source for Australian data, Australian Bureau of Statistics 2016, Management and Organisational Capabilities of Australian Business, 2015–16. Expanded Confidentialised Unit Record File (CURF), ABD Data Lab. Authors’ calculations</w:t>
      </w:r>
      <w:r>
        <w:t>.</w:t>
      </w:r>
    </w:p>
    <w:p w14:paraId="740B0417" w14:textId="725EED11" w:rsidR="0095705D" w:rsidRDefault="00A36825" w:rsidP="00A36825">
      <w:pPr>
        <w:pStyle w:val="Heading1"/>
        <w:rPr>
          <w:lang w:val="en"/>
        </w:rPr>
      </w:pPr>
      <w:r>
        <w:rPr>
          <w:lang w:val="en"/>
        </w:rPr>
        <w:t>Management capability scores and firm performance</w:t>
      </w:r>
    </w:p>
    <w:p w14:paraId="5B556CEC" w14:textId="6402661B" w:rsidR="00A36825" w:rsidRDefault="00A36825" w:rsidP="00A36825">
      <w:pPr>
        <w:ind w:left="0"/>
        <w:rPr>
          <w:rFonts w:eastAsia="Arial" w:cs="Arial"/>
        </w:rPr>
      </w:pPr>
      <w:r>
        <w:rPr>
          <w:rFonts w:eastAsia="Arial" w:cs="Arial"/>
        </w:rPr>
        <w:t>In this section we look at association between scores of management capability and indicators of firm performance. Regression analysis is used to show, the association between the management capability scores and productivity, and the association between supply chain management capability score and indicators of export performance.</w:t>
      </w:r>
    </w:p>
    <w:p w14:paraId="1006DD27" w14:textId="29BC0B6D" w:rsidR="00A36825" w:rsidRDefault="00A36825" w:rsidP="00C26413">
      <w:pPr>
        <w:pStyle w:val="Heading2"/>
        <w:ind w:left="0" w:firstLine="0"/>
        <w:rPr>
          <w:lang w:val="en"/>
        </w:rPr>
      </w:pPr>
      <w:r>
        <w:rPr>
          <w:lang w:val="en"/>
        </w:rPr>
        <w:t>Management capability and productivity</w:t>
      </w:r>
    </w:p>
    <w:p w14:paraId="1B8A3EBF" w14:textId="6D374706" w:rsidR="00A36825" w:rsidRDefault="00A36825" w:rsidP="00A36825">
      <w:pPr>
        <w:ind w:left="0"/>
        <w:rPr>
          <w:rFonts w:eastAsia="Arial" w:cs="Arial"/>
          <w:highlight w:val="white"/>
        </w:rPr>
      </w:pPr>
      <w:r>
        <w:rPr>
          <w:rFonts w:eastAsia="Arial" w:cs="Arial"/>
          <w:highlight w:val="white"/>
        </w:rPr>
        <w:t>We examine the association between management capabilities and labour productivity, particularly, value added per employee and sales per employee. We report the change in labour productivity by changing the relevant management capability score by 0.1 (on the scale of 0 to 1).</w:t>
      </w:r>
    </w:p>
    <w:p w14:paraId="2195D485" w14:textId="7D1FEAC7" w:rsidR="00A36825" w:rsidRDefault="00A36825" w:rsidP="00A36825">
      <w:pPr>
        <w:ind w:left="0"/>
        <w:rPr>
          <w:rFonts w:eastAsia="Arial" w:cs="Arial"/>
        </w:rPr>
      </w:pPr>
      <w:r>
        <w:rPr>
          <w:rFonts w:eastAsia="Arial" w:cs="Arial"/>
          <w:highlight w:val="white"/>
        </w:rPr>
        <w:t>Table 6.1 displays the association between management capability scores and two indicators of labour productivity in Australian firms: value added per employee and firm sales per employee.</w:t>
      </w:r>
      <w:r>
        <w:rPr>
          <w:rStyle w:val="FootnoteReference"/>
          <w:rFonts w:eastAsia="Arial" w:cs="Arial"/>
          <w:highlight w:val="white"/>
        </w:rPr>
        <w:footnoteReference w:id="15"/>
      </w:r>
      <w:r>
        <w:rPr>
          <w:rFonts w:eastAsia="Arial" w:cs="Arial"/>
          <w:highlight w:val="white"/>
        </w:rPr>
        <w:t xml:space="preserve"> </w:t>
      </w:r>
      <w:r>
        <w:rPr>
          <w:rFonts w:eastAsia="Arial" w:cs="Arial"/>
        </w:rPr>
        <w:t>All regression analyses were controlled by firm size, industry and age of the firm.</w:t>
      </w:r>
    </w:p>
    <w:p w14:paraId="0C06AF76" w14:textId="0DB46A43" w:rsidR="00A36825" w:rsidRDefault="00A36825" w:rsidP="00A36825">
      <w:pPr>
        <w:ind w:left="0"/>
        <w:rPr>
          <w:rFonts w:eastAsia="Arial" w:cs="Arial"/>
        </w:rPr>
      </w:pPr>
      <w:r>
        <w:rPr>
          <w:rFonts w:eastAsia="Arial" w:cs="Arial"/>
        </w:rPr>
        <w:t xml:space="preserve">The coefficients on the various management capability scores are positive and significant for </w:t>
      </w:r>
      <w:r>
        <w:rPr>
          <w:rFonts w:eastAsia="Arial" w:cs="Arial"/>
          <w:highlight w:val="white"/>
        </w:rPr>
        <w:t>value added per employee and sales per employee</w:t>
      </w:r>
      <w:r>
        <w:rPr>
          <w:rFonts w:eastAsia="Arial" w:cs="Arial"/>
        </w:rPr>
        <w:t xml:space="preserve"> variables. This indicates that management capabilities have a positive association with labour productivity. The coefficient estimates on OMC and OMCv2 are similar </w:t>
      </w:r>
      <w:r>
        <w:rPr>
          <w:rFonts w:eastAsia="Arial" w:cs="Arial"/>
        </w:rPr>
        <w:lastRenderedPageBreak/>
        <w:t xml:space="preserve">for both measures of labour productivity. The smaller coefficient estimate for SCMC may suggest that businesses are not as well interconnected as they could be their effect on labour productivity is small. </w:t>
      </w:r>
    </w:p>
    <w:p w14:paraId="6076669F" w14:textId="2BC262E2" w:rsidR="00A36825" w:rsidRDefault="00A36825" w:rsidP="00630578">
      <w:pPr>
        <w:pStyle w:val="Caption"/>
      </w:pPr>
      <w:r w:rsidRPr="000618FB">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6</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1</w:t>
      </w:r>
      <w:r>
        <w:rPr>
          <w:noProof/>
        </w:rPr>
        <w:fldChar w:fldCharType="end"/>
      </w:r>
      <w:r w:rsidRPr="000618FB">
        <w:t xml:space="preserve">: </w:t>
      </w:r>
      <w:r w:rsidRPr="00481E0B">
        <w:t xml:space="preserve">Association </w:t>
      </w:r>
      <w:r>
        <w:t>between</w:t>
      </w:r>
      <w:r w:rsidRPr="00481E0B">
        <w:t xml:space="preserve"> MC Scores </w:t>
      </w:r>
      <w:r>
        <w:t>and l</w:t>
      </w:r>
      <w:r w:rsidRPr="00481E0B">
        <w:t xml:space="preserve">abour </w:t>
      </w:r>
      <w:r>
        <w:t>p</w:t>
      </w:r>
      <w:r w:rsidRPr="00481E0B">
        <w:t>roductivity</w:t>
      </w:r>
      <w:r>
        <w:t xml:space="preserve"> among Australian firms, 2015–16</w:t>
      </w:r>
    </w:p>
    <w:tbl>
      <w:tblPr>
        <w:tblStyle w:val="OCETable"/>
        <w:tblW w:w="5000" w:type="pct"/>
        <w:tblInd w:w="57" w:type="dxa"/>
        <w:tblLayout w:type="fixed"/>
        <w:tblLook w:val="04A0" w:firstRow="1" w:lastRow="0" w:firstColumn="1" w:lastColumn="0" w:noHBand="0" w:noVBand="1"/>
        <w:tblCaption w:val="Table 6.1: Association between MC Scores and labour productivity among Australian firms, 2015–16"/>
        <w:tblDescription w:val="Table 6.1 shows the association between all management capability scores and two indicators of labour productivity in Australian firms: value added per employee and firm sales per employee. The Table shows that the coefficients on the various management capability scores are positive and significant for value added per employee and sales per employee variables. This indicates that management capabilities have a positive association with labour productivity."/>
      </w:tblPr>
      <w:tblGrid>
        <w:gridCol w:w="1378"/>
        <w:gridCol w:w="1379"/>
        <w:gridCol w:w="1379"/>
        <w:gridCol w:w="1379"/>
        <w:gridCol w:w="1379"/>
      </w:tblGrid>
      <w:tr w:rsidR="00A36825" w14:paraId="706C5D03"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1378" w:type="dxa"/>
          </w:tcPr>
          <w:p w14:paraId="1F75FBE4" w14:textId="5B583175" w:rsidR="00A36825" w:rsidRPr="007B3DA1" w:rsidRDefault="00A36825" w:rsidP="007B3DA1">
            <w:pPr>
              <w:pStyle w:val="Tableheadertext"/>
            </w:pPr>
            <w:r w:rsidRPr="007B3DA1">
              <w:t>Management capability score</w:t>
            </w:r>
          </w:p>
        </w:tc>
        <w:tc>
          <w:tcPr>
            <w:tcW w:w="1379" w:type="dxa"/>
          </w:tcPr>
          <w:p w14:paraId="0C4D14F3" w14:textId="616E4449" w:rsidR="00A36825" w:rsidRPr="007B3DA1" w:rsidRDefault="00A36825" w:rsidP="007B3DA1">
            <w:pPr>
              <w:pStyle w:val="Tableheadertext"/>
              <w:jc w:val="right"/>
            </w:pPr>
            <w:r w:rsidRPr="007B3DA1">
              <w:t>Number of Observations</w:t>
            </w:r>
          </w:p>
        </w:tc>
        <w:tc>
          <w:tcPr>
            <w:tcW w:w="1379" w:type="dxa"/>
          </w:tcPr>
          <w:p w14:paraId="04296DD2" w14:textId="08CDADF1" w:rsidR="00A36825" w:rsidRPr="007B3DA1" w:rsidRDefault="00A36825" w:rsidP="007B3DA1">
            <w:pPr>
              <w:pStyle w:val="Tableheadertext"/>
              <w:jc w:val="right"/>
            </w:pPr>
            <w:r w:rsidRPr="007B3DA1">
              <w:t>Value added per employee</w:t>
            </w:r>
          </w:p>
        </w:tc>
        <w:tc>
          <w:tcPr>
            <w:tcW w:w="1379" w:type="dxa"/>
          </w:tcPr>
          <w:p w14:paraId="4466C5F7" w14:textId="5596A947" w:rsidR="00A36825" w:rsidRPr="007B3DA1" w:rsidRDefault="00A36825" w:rsidP="007B3DA1">
            <w:pPr>
              <w:pStyle w:val="Tableheadertext"/>
              <w:jc w:val="right"/>
            </w:pPr>
            <w:r w:rsidRPr="007B3DA1">
              <w:t>Number of Observations</w:t>
            </w:r>
          </w:p>
        </w:tc>
        <w:tc>
          <w:tcPr>
            <w:tcW w:w="1379" w:type="dxa"/>
          </w:tcPr>
          <w:p w14:paraId="35C562CF" w14:textId="48D585DF" w:rsidR="00A36825" w:rsidRPr="007B3DA1" w:rsidRDefault="00A36825" w:rsidP="007B3DA1">
            <w:pPr>
              <w:pStyle w:val="Tableheadertext"/>
              <w:jc w:val="right"/>
            </w:pPr>
            <w:r w:rsidRPr="007B3DA1">
              <w:t>Sales per employee</w:t>
            </w:r>
          </w:p>
        </w:tc>
      </w:tr>
      <w:tr w:rsidR="00A36825" w14:paraId="52A44074" w14:textId="77777777" w:rsidTr="00630578">
        <w:trPr>
          <w:cnfStyle w:val="000000100000" w:firstRow="0" w:lastRow="0" w:firstColumn="0" w:lastColumn="0" w:oddVBand="0" w:evenVBand="0" w:oddHBand="1" w:evenHBand="0" w:firstRowFirstColumn="0" w:firstRowLastColumn="0" w:lastRowFirstColumn="0" w:lastRowLastColumn="0"/>
        </w:trPr>
        <w:tc>
          <w:tcPr>
            <w:tcW w:w="1378" w:type="dxa"/>
          </w:tcPr>
          <w:p w14:paraId="083936AD" w14:textId="77777777" w:rsidR="00A36825" w:rsidRPr="007B3DA1" w:rsidRDefault="00A36825" w:rsidP="007B3DA1">
            <w:pPr>
              <w:pStyle w:val="Tablebodytext"/>
            </w:pPr>
            <w:r w:rsidRPr="007B3DA1">
              <w:t>OMC</w:t>
            </w:r>
          </w:p>
        </w:tc>
        <w:tc>
          <w:tcPr>
            <w:tcW w:w="1379" w:type="dxa"/>
          </w:tcPr>
          <w:p w14:paraId="15F3449F" w14:textId="77777777" w:rsidR="00A36825" w:rsidRPr="007B3DA1" w:rsidRDefault="00A36825" w:rsidP="007B3DA1">
            <w:pPr>
              <w:pStyle w:val="Tablebodytext"/>
              <w:jc w:val="right"/>
            </w:pPr>
            <w:r w:rsidRPr="007B3DA1">
              <w:t>5761</w:t>
            </w:r>
          </w:p>
        </w:tc>
        <w:tc>
          <w:tcPr>
            <w:tcW w:w="1379" w:type="dxa"/>
          </w:tcPr>
          <w:p w14:paraId="309C3CF6" w14:textId="77777777" w:rsidR="00A36825" w:rsidRPr="007B3DA1" w:rsidRDefault="00A36825" w:rsidP="007B3DA1">
            <w:pPr>
              <w:pStyle w:val="Tablebodytext"/>
              <w:jc w:val="right"/>
            </w:pPr>
            <w:r w:rsidRPr="007B3DA1">
              <w:t xml:space="preserve">        0.619***</w:t>
            </w:r>
          </w:p>
        </w:tc>
        <w:tc>
          <w:tcPr>
            <w:tcW w:w="1379" w:type="dxa"/>
          </w:tcPr>
          <w:p w14:paraId="74DB81DB" w14:textId="77777777" w:rsidR="00A36825" w:rsidRPr="007B3DA1" w:rsidRDefault="00A36825" w:rsidP="007B3DA1">
            <w:pPr>
              <w:pStyle w:val="Tablebodytext"/>
              <w:jc w:val="right"/>
            </w:pPr>
            <w:r w:rsidRPr="007B3DA1">
              <w:t>6269</w:t>
            </w:r>
          </w:p>
        </w:tc>
        <w:tc>
          <w:tcPr>
            <w:tcW w:w="1379" w:type="dxa"/>
          </w:tcPr>
          <w:p w14:paraId="24119C41" w14:textId="77777777" w:rsidR="00A36825" w:rsidRPr="007B3DA1" w:rsidRDefault="00A36825" w:rsidP="007B3DA1">
            <w:pPr>
              <w:pStyle w:val="Tablebodytext"/>
              <w:jc w:val="right"/>
            </w:pPr>
            <w:r w:rsidRPr="007B3DA1">
              <w:t>1.311***</w:t>
            </w:r>
          </w:p>
        </w:tc>
      </w:tr>
      <w:tr w:rsidR="00A36825" w14:paraId="3322D4D5" w14:textId="77777777" w:rsidTr="00630578">
        <w:trPr>
          <w:cnfStyle w:val="000000010000" w:firstRow="0" w:lastRow="0" w:firstColumn="0" w:lastColumn="0" w:oddVBand="0" w:evenVBand="0" w:oddHBand="0" w:evenHBand="1" w:firstRowFirstColumn="0" w:firstRowLastColumn="0" w:lastRowFirstColumn="0" w:lastRowLastColumn="0"/>
        </w:trPr>
        <w:tc>
          <w:tcPr>
            <w:tcW w:w="1378" w:type="dxa"/>
          </w:tcPr>
          <w:p w14:paraId="02498FFD" w14:textId="77777777" w:rsidR="00A36825" w:rsidRPr="007B3DA1" w:rsidRDefault="00A36825" w:rsidP="007B3DA1">
            <w:pPr>
              <w:pStyle w:val="Tablebodytext"/>
            </w:pPr>
            <w:r w:rsidRPr="007B3DA1">
              <w:t>OMCv2</w:t>
            </w:r>
          </w:p>
        </w:tc>
        <w:tc>
          <w:tcPr>
            <w:tcW w:w="1379" w:type="dxa"/>
          </w:tcPr>
          <w:p w14:paraId="5B259B53" w14:textId="77777777" w:rsidR="00A36825" w:rsidRPr="007B3DA1" w:rsidRDefault="00A36825" w:rsidP="007B3DA1">
            <w:pPr>
              <w:pStyle w:val="Tablebodytext"/>
              <w:jc w:val="right"/>
            </w:pPr>
            <w:r w:rsidRPr="007B3DA1">
              <w:t>9415</w:t>
            </w:r>
          </w:p>
        </w:tc>
        <w:tc>
          <w:tcPr>
            <w:tcW w:w="1379" w:type="dxa"/>
          </w:tcPr>
          <w:p w14:paraId="4CC4A4C2" w14:textId="77777777" w:rsidR="00A36825" w:rsidRPr="007B3DA1" w:rsidRDefault="00A36825" w:rsidP="007B3DA1">
            <w:pPr>
              <w:pStyle w:val="Tablebodytext"/>
              <w:jc w:val="right"/>
            </w:pPr>
            <w:r w:rsidRPr="007B3DA1">
              <w:t xml:space="preserve">        0.614***</w:t>
            </w:r>
          </w:p>
        </w:tc>
        <w:tc>
          <w:tcPr>
            <w:tcW w:w="1379" w:type="dxa"/>
          </w:tcPr>
          <w:p w14:paraId="2EF17CA5" w14:textId="77777777" w:rsidR="00A36825" w:rsidRPr="007B3DA1" w:rsidRDefault="00A36825" w:rsidP="007B3DA1">
            <w:pPr>
              <w:pStyle w:val="Tablebodytext"/>
              <w:jc w:val="right"/>
            </w:pPr>
            <w:r w:rsidRPr="007B3DA1">
              <w:t>10230</w:t>
            </w:r>
          </w:p>
        </w:tc>
        <w:tc>
          <w:tcPr>
            <w:tcW w:w="1379" w:type="dxa"/>
          </w:tcPr>
          <w:p w14:paraId="01479B70" w14:textId="77777777" w:rsidR="00A36825" w:rsidRPr="007B3DA1" w:rsidRDefault="00A36825" w:rsidP="007B3DA1">
            <w:pPr>
              <w:pStyle w:val="Tablebodytext"/>
              <w:jc w:val="right"/>
            </w:pPr>
            <w:r w:rsidRPr="007B3DA1">
              <w:t>1.327***</w:t>
            </w:r>
          </w:p>
        </w:tc>
      </w:tr>
      <w:tr w:rsidR="00A36825" w14:paraId="315CCE50" w14:textId="77777777" w:rsidTr="00630578">
        <w:trPr>
          <w:cnfStyle w:val="000000100000" w:firstRow="0" w:lastRow="0" w:firstColumn="0" w:lastColumn="0" w:oddVBand="0" w:evenVBand="0" w:oddHBand="1" w:evenHBand="0" w:firstRowFirstColumn="0" w:firstRowLastColumn="0" w:lastRowFirstColumn="0" w:lastRowLastColumn="0"/>
        </w:trPr>
        <w:tc>
          <w:tcPr>
            <w:tcW w:w="1378" w:type="dxa"/>
          </w:tcPr>
          <w:p w14:paraId="5A4BAB3F" w14:textId="77777777" w:rsidR="00A36825" w:rsidRPr="007B3DA1" w:rsidRDefault="00A36825" w:rsidP="007B3DA1">
            <w:pPr>
              <w:pStyle w:val="Tablebodytext"/>
            </w:pPr>
            <w:r w:rsidRPr="007B3DA1">
              <w:t>DMC</w:t>
            </w:r>
          </w:p>
        </w:tc>
        <w:tc>
          <w:tcPr>
            <w:tcW w:w="1379" w:type="dxa"/>
          </w:tcPr>
          <w:p w14:paraId="23F57A40" w14:textId="77777777" w:rsidR="00A36825" w:rsidRPr="007B3DA1" w:rsidRDefault="00A36825" w:rsidP="007B3DA1">
            <w:pPr>
              <w:pStyle w:val="Tablebodytext"/>
              <w:jc w:val="right"/>
            </w:pPr>
            <w:r w:rsidRPr="007B3DA1">
              <w:t>9409</w:t>
            </w:r>
          </w:p>
        </w:tc>
        <w:tc>
          <w:tcPr>
            <w:tcW w:w="1379" w:type="dxa"/>
          </w:tcPr>
          <w:p w14:paraId="1B5FA9B1" w14:textId="77777777" w:rsidR="00A36825" w:rsidRPr="007B3DA1" w:rsidRDefault="00A36825" w:rsidP="007B3DA1">
            <w:pPr>
              <w:pStyle w:val="Tablebodytext"/>
              <w:jc w:val="right"/>
            </w:pPr>
            <w:r w:rsidRPr="007B3DA1">
              <w:t xml:space="preserve">        0.272***</w:t>
            </w:r>
          </w:p>
        </w:tc>
        <w:tc>
          <w:tcPr>
            <w:tcW w:w="1379" w:type="dxa"/>
          </w:tcPr>
          <w:p w14:paraId="3FFDA6DE" w14:textId="77777777" w:rsidR="00A36825" w:rsidRPr="007B3DA1" w:rsidRDefault="00A36825" w:rsidP="007B3DA1">
            <w:pPr>
              <w:pStyle w:val="Tablebodytext"/>
              <w:jc w:val="right"/>
            </w:pPr>
            <w:r w:rsidRPr="007B3DA1">
              <w:t>10232</w:t>
            </w:r>
          </w:p>
        </w:tc>
        <w:tc>
          <w:tcPr>
            <w:tcW w:w="1379" w:type="dxa"/>
          </w:tcPr>
          <w:p w14:paraId="00F77C00" w14:textId="77777777" w:rsidR="00A36825" w:rsidRPr="007B3DA1" w:rsidRDefault="00A36825" w:rsidP="007B3DA1">
            <w:pPr>
              <w:pStyle w:val="Tablebodytext"/>
              <w:jc w:val="right"/>
            </w:pPr>
            <w:r w:rsidRPr="007B3DA1">
              <w:t>0.450***</w:t>
            </w:r>
          </w:p>
        </w:tc>
      </w:tr>
      <w:tr w:rsidR="00A36825" w14:paraId="78FAC4FB" w14:textId="77777777" w:rsidTr="00630578">
        <w:trPr>
          <w:cnfStyle w:val="000000010000" w:firstRow="0" w:lastRow="0" w:firstColumn="0" w:lastColumn="0" w:oddVBand="0" w:evenVBand="0" w:oddHBand="0" w:evenHBand="1" w:firstRowFirstColumn="0" w:firstRowLastColumn="0" w:lastRowFirstColumn="0" w:lastRowLastColumn="0"/>
        </w:trPr>
        <w:tc>
          <w:tcPr>
            <w:tcW w:w="1378" w:type="dxa"/>
          </w:tcPr>
          <w:p w14:paraId="5063A363" w14:textId="77777777" w:rsidR="00A36825" w:rsidRPr="007B3DA1" w:rsidRDefault="00A36825" w:rsidP="007B3DA1">
            <w:pPr>
              <w:pStyle w:val="Tablebodytext"/>
            </w:pPr>
            <w:r w:rsidRPr="007B3DA1">
              <w:t>EMC</w:t>
            </w:r>
          </w:p>
        </w:tc>
        <w:tc>
          <w:tcPr>
            <w:tcW w:w="1379" w:type="dxa"/>
          </w:tcPr>
          <w:p w14:paraId="197FE785" w14:textId="77777777" w:rsidR="00A36825" w:rsidRPr="007B3DA1" w:rsidRDefault="00A36825" w:rsidP="007B3DA1">
            <w:pPr>
              <w:pStyle w:val="Tablebodytext"/>
              <w:jc w:val="right"/>
            </w:pPr>
            <w:r w:rsidRPr="007B3DA1">
              <w:t>9406</w:t>
            </w:r>
          </w:p>
        </w:tc>
        <w:tc>
          <w:tcPr>
            <w:tcW w:w="1379" w:type="dxa"/>
          </w:tcPr>
          <w:p w14:paraId="5AE18D51" w14:textId="77777777" w:rsidR="00A36825" w:rsidRPr="007B3DA1" w:rsidRDefault="00A36825" w:rsidP="007B3DA1">
            <w:pPr>
              <w:pStyle w:val="Tablebodytext"/>
              <w:jc w:val="right"/>
            </w:pPr>
            <w:r w:rsidRPr="007B3DA1">
              <w:t xml:space="preserve">        0.376***</w:t>
            </w:r>
          </w:p>
        </w:tc>
        <w:tc>
          <w:tcPr>
            <w:tcW w:w="1379" w:type="dxa"/>
          </w:tcPr>
          <w:p w14:paraId="19F73884" w14:textId="77777777" w:rsidR="00A36825" w:rsidRPr="007B3DA1" w:rsidRDefault="00A36825" w:rsidP="007B3DA1">
            <w:pPr>
              <w:pStyle w:val="Tablebodytext"/>
              <w:jc w:val="right"/>
            </w:pPr>
            <w:r w:rsidRPr="007B3DA1">
              <w:t>10235</w:t>
            </w:r>
          </w:p>
        </w:tc>
        <w:tc>
          <w:tcPr>
            <w:tcW w:w="1379" w:type="dxa"/>
          </w:tcPr>
          <w:p w14:paraId="3C3FDC7F" w14:textId="77777777" w:rsidR="00A36825" w:rsidRPr="007B3DA1" w:rsidRDefault="00A36825" w:rsidP="007B3DA1">
            <w:pPr>
              <w:pStyle w:val="Tablebodytext"/>
              <w:jc w:val="right"/>
            </w:pPr>
            <w:r w:rsidRPr="007B3DA1">
              <w:t>0.760***</w:t>
            </w:r>
          </w:p>
        </w:tc>
      </w:tr>
      <w:tr w:rsidR="00A36825" w14:paraId="5A15E1DD" w14:textId="77777777" w:rsidTr="00630578">
        <w:trPr>
          <w:cnfStyle w:val="000000100000" w:firstRow="0" w:lastRow="0" w:firstColumn="0" w:lastColumn="0" w:oddVBand="0" w:evenVBand="0" w:oddHBand="1" w:evenHBand="0" w:firstRowFirstColumn="0" w:firstRowLastColumn="0" w:lastRowFirstColumn="0" w:lastRowLastColumn="0"/>
        </w:trPr>
        <w:tc>
          <w:tcPr>
            <w:tcW w:w="1378" w:type="dxa"/>
          </w:tcPr>
          <w:p w14:paraId="4763D103" w14:textId="77777777" w:rsidR="00A36825" w:rsidRPr="007B3DA1" w:rsidRDefault="00A36825" w:rsidP="007B3DA1">
            <w:pPr>
              <w:pStyle w:val="Tablebodytext"/>
            </w:pPr>
            <w:r w:rsidRPr="007B3DA1">
              <w:t>SCMC</w:t>
            </w:r>
          </w:p>
        </w:tc>
        <w:tc>
          <w:tcPr>
            <w:tcW w:w="1379" w:type="dxa"/>
          </w:tcPr>
          <w:p w14:paraId="5B56356F" w14:textId="77777777" w:rsidR="00A36825" w:rsidRPr="007B3DA1" w:rsidRDefault="00A36825" w:rsidP="007B3DA1">
            <w:pPr>
              <w:pStyle w:val="Tablebodytext"/>
              <w:jc w:val="right"/>
            </w:pPr>
            <w:r w:rsidRPr="007B3DA1">
              <w:t>5765</w:t>
            </w:r>
          </w:p>
        </w:tc>
        <w:tc>
          <w:tcPr>
            <w:tcW w:w="1379" w:type="dxa"/>
          </w:tcPr>
          <w:p w14:paraId="154CB8E5" w14:textId="77777777" w:rsidR="00A36825" w:rsidRPr="007B3DA1" w:rsidRDefault="00A36825" w:rsidP="007B3DA1">
            <w:pPr>
              <w:pStyle w:val="Tablebodytext"/>
              <w:jc w:val="right"/>
            </w:pPr>
            <w:r w:rsidRPr="007B3DA1">
              <w:t xml:space="preserve">        0.184*</w:t>
            </w:r>
          </w:p>
        </w:tc>
        <w:tc>
          <w:tcPr>
            <w:tcW w:w="1379" w:type="dxa"/>
          </w:tcPr>
          <w:p w14:paraId="3B5DED4D" w14:textId="77777777" w:rsidR="00A36825" w:rsidRPr="007B3DA1" w:rsidRDefault="00A36825" w:rsidP="007B3DA1">
            <w:pPr>
              <w:pStyle w:val="Tablebodytext"/>
              <w:jc w:val="right"/>
            </w:pPr>
            <w:r w:rsidRPr="007B3DA1">
              <w:t>6257</w:t>
            </w:r>
          </w:p>
        </w:tc>
        <w:tc>
          <w:tcPr>
            <w:tcW w:w="1379" w:type="dxa"/>
          </w:tcPr>
          <w:p w14:paraId="1D658116" w14:textId="77777777" w:rsidR="00A36825" w:rsidRPr="007B3DA1" w:rsidRDefault="00A36825" w:rsidP="007B3DA1">
            <w:pPr>
              <w:pStyle w:val="Tablebodytext"/>
              <w:jc w:val="right"/>
            </w:pPr>
            <w:r w:rsidRPr="007B3DA1">
              <w:t>0.659***</w:t>
            </w:r>
          </w:p>
        </w:tc>
      </w:tr>
      <w:tr w:rsidR="00A36825" w14:paraId="0347FAF6" w14:textId="77777777" w:rsidTr="00630578">
        <w:trPr>
          <w:cnfStyle w:val="000000010000" w:firstRow="0" w:lastRow="0" w:firstColumn="0" w:lastColumn="0" w:oddVBand="0" w:evenVBand="0" w:oddHBand="0" w:evenHBand="1" w:firstRowFirstColumn="0" w:firstRowLastColumn="0" w:lastRowFirstColumn="0" w:lastRowLastColumn="0"/>
        </w:trPr>
        <w:tc>
          <w:tcPr>
            <w:tcW w:w="1378" w:type="dxa"/>
          </w:tcPr>
          <w:p w14:paraId="1486AFF5" w14:textId="77777777" w:rsidR="00A36825" w:rsidRPr="007B3DA1" w:rsidRDefault="00A36825" w:rsidP="007B3DA1">
            <w:pPr>
              <w:pStyle w:val="Tablebodytext"/>
            </w:pPr>
            <w:r w:rsidRPr="007B3DA1">
              <w:t>SMC</w:t>
            </w:r>
          </w:p>
        </w:tc>
        <w:tc>
          <w:tcPr>
            <w:tcW w:w="1379" w:type="dxa"/>
          </w:tcPr>
          <w:p w14:paraId="0E190739" w14:textId="77777777" w:rsidR="00A36825" w:rsidRPr="007B3DA1" w:rsidRDefault="00A36825" w:rsidP="007B3DA1">
            <w:pPr>
              <w:pStyle w:val="Tablebodytext"/>
              <w:jc w:val="right"/>
            </w:pPr>
            <w:r w:rsidRPr="007B3DA1">
              <w:t>9412</w:t>
            </w:r>
          </w:p>
        </w:tc>
        <w:tc>
          <w:tcPr>
            <w:tcW w:w="1379" w:type="dxa"/>
          </w:tcPr>
          <w:p w14:paraId="7136D88A" w14:textId="77777777" w:rsidR="00A36825" w:rsidRPr="007B3DA1" w:rsidRDefault="00A36825" w:rsidP="007B3DA1">
            <w:pPr>
              <w:pStyle w:val="Tablebodytext"/>
              <w:jc w:val="right"/>
            </w:pPr>
            <w:r w:rsidRPr="007B3DA1">
              <w:t xml:space="preserve">        0.400***</w:t>
            </w:r>
          </w:p>
        </w:tc>
        <w:tc>
          <w:tcPr>
            <w:tcW w:w="1379" w:type="dxa"/>
          </w:tcPr>
          <w:p w14:paraId="601E273C" w14:textId="77777777" w:rsidR="00A36825" w:rsidRPr="007B3DA1" w:rsidRDefault="00A36825" w:rsidP="007B3DA1">
            <w:pPr>
              <w:pStyle w:val="Tablebodytext"/>
              <w:jc w:val="right"/>
            </w:pPr>
            <w:r w:rsidRPr="007B3DA1">
              <w:t>10219</w:t>
            </w:r>
          </w:p>
        </w:tc>
        <w:tc>
          <w:tcPr>
            <w:tcW w:w="1379" w:type="dxa"/>
          </w:tcPr>
          <w:p w14:paraId="7FD4016F" w14:textId="77777777" w:rsidR="00A36825" w:rsidRPr="007B3DA1" w:rsidRDefault="00A36825" w:rsidP="007B3DA1">
            <w:pPr>
              <w:pStyle w:val="Tablebodytext"/>
              <w:jc w:val="right"/>
            </w:pPr>
            <w:r w:rsidRPr="007B3DA1">
              <w:t>0.924***</w:t>
            </w:r>
          </w:p>
        </w:tc>
      </w:tr>
    </w:tbl>
    <w:p w14:paraId="3BDC5527" w14:textId="7D727C44" w:rsidR="00A36825" w:rsidRDefault="00A36825" w:rsidP="00630578">
      <w:pPr>
        <w:pStyle w:val="Note"/>
        <w:rPr>
          <w:lang w:eastAsia="en-AU"/>
        </w:rPr>
      </w:pPr>
      <w:r>
        <w:rPr>
          <w:lang w:eastAsia="en-AU"/>
        </w:rPr>
        <w:t xml:space="preserve">Notes: </w:t>
      </w:r>
      <w:r w:rsidRPr="00E93C76">
        <w:rPr>
          <w:rFonts w:eastAsia="Arial"/>
        </w:rPr>
        <w:t>*** Significant at 1</w:t>
      </w:r>
      <w:r>
        <w:rPr>
          <w:rFonts w:eastAsia="Arial"/>
        </w:rPr>
        <w:t xml:space="preserve"> per cent</w:t>
      </w:r>
      <w:r w:rsidRPr="00E93C76">
        <w:rPr>
          <w:rFonts w:eastAsia="Arial"/>
        </w:rPr>
        <w:t xml:space="preserve"> level; ** significant at 5</w:t>
      </w:r>
      <w:r>
        <w:rPr>
          <w:rFonts w:eastAsia="Arial"/>
        </w:rPr>
        <w:t xml:space="preserve"> per cent level,</w:t>
      </w:r>
      <w:r w:rsidRPr="00E93C76">
        <w:rPr>
          <w:rFonts w:eastAsia="Arial"/>
        </w:rPr>
        <w:t xml:space="preserve"> *  significant at </w:t>
      </w:r>
      <w:r w:rsidR="00D050E2">
        <w:rPr>
          <w:rFonts w:eastAsia="Arial"/>
        </w:rPr>
        <w:br/>
      </w:r>
      <w:r w:rsidRPr="00E93C76">
        <w:rPr>
          <w:rFonts w:eastAsia="Arial"/>
        </w:rPr>
        <w:t>10</w:t>
      </w:r>
      <w:r>
        <w:rPr>
          <w:rFonts w:eastAsia="Arial"/>
        </w:rPr>
        <w:t xml:space="preserve"> per cent level. </w:t>
      </w:r>
      <w:r w:rsidRPr="00481E0B">
        <w:rPr>
          <w:rFonts w:eastAsia="Arial"/>
        </w:rPr>
        <w:t>Authors’ calculations</w:t>
      </w:r>
      <w:r>
        <w:rPr>
          <w:rFonts w:eastAsia="Arial"/>
        </w:rPr>
        <w:t>.</w:t>
      </w:r>
    </w:p>
    <w:p w14:paraId="5DF8B81D" w14:textId="7F5D5D15" w:rsidR="00A36825" w:rsidRDefault="00A36825" w:rsidP="00A36825">
      <w:pPr>
        <w:pStyle w:val="Source"/>
        <w:rPr>
          <w:rFonts w:eastAsia="Arial"/>
          <w:szCs w:val="16"/>
        </w:rPr>
      </w:pPr>
      <w:r>
        <w:rPr>
          <w:lang w:eastAsia="en-AU"/>
        </w:rPr>
        <w:t xml:space="preserve">Source: </w:t>
      </w:r>
      <w:r>
        <w:rPr>
          <w:rFonts w:eastAsia="Arial"/>
          <w:szCs w:val="16"/>
        </w:rPr>
        <w:t>ABS (2018) Business Longitudinal Analysis Data Environment.</w:t>
      </w:r>
    </w:p>
    <w:p w14:paraId="40C39A77" w14:textId="07673997" w:rsidR="00BB4F05" w:rsidRDefault="00A36825" w:rsidP="00BA2F37">
      <w:pPr>
        <w:spacing w:after="0"/>
        <w:ind w:left="0"/>
        <w:rPr>
          <w:rFonts w:eastAsia="Arial" w:cs="Arial"/>
        </w:rPr>
      </w:pPr>
      <w:r>
        <w:rPr>
          <w:rFonts w:eastAsia="Arial" w:cs="Arial"/>
        </w:rPr>
        <w:t xml:space="preserve">To analyse the impact of the improvement of management practices on productivity we model the change on productivity generated by </w:t>
      </w:r>
      <w:r>
        <w:rPr>
          <w:rFonts w:eastAsia="Arial" w:cs="Arial"/>
          <w:highlight w:val="white"/>
        </w:rPr>
        <w:t xml:space="preserve">an increase of 0.1 unit in the management practice scores. </w:t>
      </w:r>
      <w:r>
        <w:rPr>
          <w:rFonts w:eastAsia="Arial" w:cs="Arial"/>
        </w:rPr>
        <w:t xml:space="preserve">Figures 6.1 (a) to (f) show that overall management practices scores (OMC, OMCv2) have the highest impact on both measures of productivity. The strategic management (SMC) also has a considerable </w:t>
      </w:r>
      <w:r w:rsidR="00DA43C4">
        <w:rPr>
          <w:rFonts w:eastAsia="Arial" w:cs="Arial"/>
        </w:rPr>
        <w:t>impact;</w:t>
      </w:r>
      <w:r>
        <w:rPr>
          <w:rFonts w:eastAsia="Arial" w:cs="Arial"/>
        </w:rPr>
        <w:t xml:space="preserve"> however, the influence is minor for the more specific scores such as DMC, EMC and SCMC. </w:t>
      </w:r>
    </w:p>
    <w:p w14:paraId="1E18FA7F" w14:textId="77777777" w:rsidR="00BB4F05" w:rsidRDefault="00BB4F05">
      <w:pPr>
        <w:spacing w:after="200" w:line="276" w:lineRule="auto"/>
        <w:ind w:left="0"/>
        <w:jc w:val="left"/>
        <w:rPr>
          <w:rFonts w:eastAsia="Arial" w:cs="Arial"/>
        </w:rPr>
      </w:pPr>
      <w:r>
        <w:rPr>
          <w:rFonts w:eastAsia="Arial" w:cs="Arial"/>
        </w:rPr>
        <w:br w:type="page"/>
      </w:r>
    </w:p>
    <w:p w14:paraId="167A008D" w14:textId="519AEE4E" w:rsidR="00BA2F37" w:rsidRDefault="00BA2F37" w:rsidP="00BB4F05">
      <w:pPr>
        <w:pStyle w:val="CaptionWide"/>
        <w:keepNext w:val="0"/>
      </w:pPr>
      <w:r>
        <w:lastRenderedPageBreak/>
        <w:t>Figure</w:t>
      </w:r>
      <w:r w:rsidRPr="000618FB">
        <w:t xml:space="preserve"> </w:t>
      </w:r>
      <w:r w:rsidR="00EC7B73">
        <w:rPr>
          <w:noProof/>
        </w:rPr>
        <w:fldChar w:fldCharType="begin"/>
      </w:r>
      <w:r w:rsidR="00EC7B73">
        <w:rPr>
          <w:noProof/>
        </w:rPr>
        <w:instrText xml:space="preserve"> STYLEREF 1 \s </w:instrText>
      </w:r>
      <w:r w:rsidR="00EC7B73">
        <w:rPr>
          <w:noProof/>
        </w:rPr>
        <w:fldChar w:fldCharType="separate"/>
      </w:r>
      <w:r w:rsidR="00111F76">
        <w:rPr>
          <w:noProof/>
        </w:rPr>
        <w:t>6</w:t>
      </w:r>
      <w:r w:rsidR="00EC7B73">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1</w:t>
      </w:r>
      <w:r w:rsidRPr="000618FB">
        <w:fldChar w:fldCharType="end"/>
      </w:r>
      <w:r>
        <w:t>: Impact of management capability</w:t>
      </w:r>
      <w:r w:rsidR="00BB4F05">
        <w:t xml:space="preserve"> on two measures of firm productivity</w:t>
      </w:r>
    </w:p>
    <w:tbl>
      <w:tblPr>
        <w:tblStyle w:val="OCETable"/>
        <w:tblW w:w="6379" w:type="pct"/>
        <w:tblInd w:w="-1877" w:type="dxa"/>
        <w:tblLayout w:type="fixed"/>
        <w:tblLook w:val="04A0" w:firstRow="1" w:lastRow="0" w:firstColumn="1" w:lastColumn="0" w:noHBand="0" w:noVBand="1"/>
        <w:tblCaption w:val="This Table contains figure 6.1"/>
        <w:tblDescription w:val="Figure 6.1 has six panels and shows the impact of management capability on two measures of firm productivity."/>
      </w:tblPr>
      <w:tblGrid>
        <w:gridCol w:w="8795"/>
      </w:tblGrid>
      <w:tr w:rsidR="00BA2F37" w14:paraId="3509B94F" w14:textId="77777777" w:rsidTr="00502720">
        <w:trPr>
          <w:cnfStyle w:val="100000000000" w:firstRow="1" w:lastRow="0" w:firstColumn="0" w:lastColumn="0" w:oddVBand="0" w:evenVBand="0" w:oddHBand="0" w:evenHBand="0" w:firstRowFirstColumn="0" w:firstRowLastColumn="0" w:lastRowFirstColumn="0" w:lastRowLastColumn="0"/>
        </w:trPr>
        <w:tc>
          <w:tcPr>
            <w:tcW w:w="907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F88C57" w14:textId="77777777" w:rsidR="00BA2F37" w:rsidRDefault="00BA2F37" w:rsidP="00F5017F">
            <w:pPr>
              <w:pStyle w:val="PlaceholderWide"/>
              <w:keepNext w:val="0"/>
              <w:jc w:val="both"/>
            </w:pPr>
            <w:r w:rsidRPr="00BA2F37">
              <w:rPr>
                <w:bCs/>
                <w:color w:val="005CAF"/>
                <w:szCs w:val="18"/>
              </w:rPr>
              <w:t>Figure 6.1(</w:t>
            </w:r>
            <w:r>
              <w:rPr>
                <w:bCs/>
                <w:color w:val="005CAF"/>
                <w:szCs w:val="18"/>
              </w:rPr>
              <w:t>a</w:t>
            </w:r>
            <w:r w:rsidRPr="00BA2F37">
              <w:rPr>
                <w:bCs/>
                <w:color w:val="005CAF"/>
                <w:szCs w:val="18"/>
              </w:rPr>
              <w:t>): Impact of overall management capability (OMC) on two measures of firm productivity</w:t>
            </w:r>
            <w:r>
              <w:t xml:space="preserve"> </w:t>
            </w:r>
          </w:p>
          <w:p w14:paraId="6173DD9D" w14:textId="4451DA49" w:rsidR="00BA2F37" w:rsidRDefault="00BA2F37" w:rsidP="00F5017F">
            <w:pPr>
              <w:pStyle w:val="PlaceholderWide"/>
              <w:keepNext w:val="0"/>
              <w:jc w:val="both"/>
            </w:pPr>
            <w:r>
              <w:rPr>
                <w:noProof/>
                <w:lang w:eastAsia="en-AU"/>
              </w:rPr>
              <w:drawing>
                <wp:inline distT="0" distB="0" distL="0" distR="0" wp14:anchorId="13300281" wp14:editId="66EC8547">
                  <wp:extent cx="5391510" cy="2424022"/>
                  <wp:effectExtent l="0" t="0" r="0" b="14605"/>
                  <wp:docPr id="31" name="Chart 31" descr="Figures 6.1 (a) and (b) show that overall management practices scores (OMC, OMCv2) have the highest impact on two measures of firm productivity. " title="Figure 6.1(a): Impact of overall management capability (OMC) on two measures of firm productivity">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8C84282-7152-4B97-A86A-EDA4C7EFA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BA2F37" w14:paraId="0CE82583" w14:textId="77777777" w:rsidTr="00502720">
        <w:trPr>
          <w:cnfStyle w:val="000000100000" w:firstRow="0" w:lastRow="0" w:firstColumn="0" w:lastColumn="0" w:oddVBand="0" w:evenVBand="0" w:oddHBand="1" w:evenHBand="0" w:firstRowFirstColumn="0" w:firstRowLastColumn="0" w:lastRowFirstColumn="0" w:lastRowLastColumn="0"/>
        </w:trPr>
        <w:tc>
          <w:tcPr>
            <w:tcW w:w="9071" w:type="dxa"/>
            <w:shd w:val="clear" w:color="auto" w:fill="auto"/>
          </w:tcPr>
          <w:p w14:paraId="6FFA9CDA" w14:textId="77777777" w:rsidR="00BA2F37" w:rsidRPr="00BA2F37" w:rsidRDefault="00BA2F37" w:rsidP="00F5017F">
            <w:pPr>
              <w:pStyle w:val="PlaceholderWide"/>
              <w:keepNext w:val="0"/>
              <w:jc w:val="left"/>
              <w:rPr>
                <w:bCs/>
                <w:color w:val="005CAF"/>
                <w:szCs w:val="18"/>
              </w:rPr>
            </w:pPr>
            <w:r w:rsidRPr="00BA2F37">
              <w:rPr>
                <w:bCs/>
                <w:color w:val="005CAF"/>
                <w:szCs w:val="18"/>
              </w:rPr>
              <w:t>Figure 6.1(b): Impact of overall management capability v2 (OMCv2) on two measures of firm productivity</w:t>
            </w:r>
          </w:p>
          <w:p w14:paraId="7C603C6C" w14:textId="4D0FD6AC" w:rsidR="00BA2F37" w:rsidRPr="00BA2F37" w:rsidRDefault="00BB4F05" w:rsidP="00F5017F">
            <w:pPr>
              <w:pStyle w:val="PlaceholderWide"/>
              <w:keepNext w:val="0"/>
              <w:jc w:val="left"/>
              <w:rPr>
                <w:bCs/>
                <w:color w:val="005CAF"/>
                <w:szCs w:val="18"/>
              </w:rPr>
            </w:pPr>
            <w:r>
              <w:rPr>
                <w:noProof/>
                <w:lang w:eastAsia="en-AU"/>
              </w:rPr>
              <w:drawing>
                <wp:inline distT="0" distB="0" distL="0" distR="0" wp14:anchorId="73AB5C26" wp14:editId="597F2931">
                  <wp:extent cx="5392800" cy="2422800"/>
                  <wp:effectExtent l="0" t="0" r="0" b="15875"/>
                  <wp:docPr id="32" name="Chart 32" descr="Figures 6.1 (a) and (b) show that overall management practices scores (OMC, OMCv2) have the highest impact on two measures of firm productivity. " title="Figure 6.1(b): Impact of overall management capability v2 (OMCv2) on two measures of firm productivity">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7685211-DC70-4CD6-AD38-36D2C9CE45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B057F0F" w14:textId="414ADC84" w:rsidR="00BA2F37" w:rsidRPr="00BA2F37" w:rsidRDefault="00BA2F37" w:rsidP="00F5017F">
            <w:pPr>
              <w:pStyle w:val="PlaceholderWide"/>
              <w:keepNext w:val="0"/>
              <w:ind w:left="-1985"/>
              <w:rPr>
                <w:bCs/>
              </w:rPr>
            </w:pPr>
          </w:p>
        </w:tc>
      </w:tr>
      <w:tr w:rsidR="00BB4F05" w14:paraId="33D35399" w14:textId="77777777" w:rsidTr="00502720">
        <w:trPr>
          <w:cnfStyle w:val="000000010000" w:firstRow="0" w:lastRow="0" w:firstColumn="0" w:lastColumn="0" w:oddVBand="0" w:evenVBand="0" w:oddHBand="0" w:evenHBand="1" w:firstRowFirstColumn="0" w:firstRowLastColumn="0" w:lastRowFirstColumn="0" w:lastRowLastColumn="0"/>
        </w:trPr>
        <w:tc>
          <w:tcPr>
            <w:tcW w:w="9071" w:type="dxa"/>
            <w:shd w:val="clear" w:color="auto" w:fill="auto"/>
          </w:tcPr>
          <w:p w14:paraId="6E694064" w14:textId="25AC7595" w:rsidR="00BB4F05" w:rsidRDefault="00BB4F05" w:rsidP="00F5017F">
            <w:pPr>
              <w:pStyle w:val="PlaceholderWide"/>
              <w:keepNext w:val="0"/>
              <w:jc w:val="both"/>
              <w:rPr>
                <w:bCs/>
                <w:color w:val="005CAF"/>
                <w:szCs w:val="18"/>
              </w:rPr>
            </w:pPr>
            <w:r w:rsidRPr="00BB4F05">
              <w:rPr>
                <w:bCs/>
                <w:color w:val="005CAF"/>
                <w:szCs w:val="18"/>
              </w:rPr>
              <w:t>Figure 6.1(c): Impact of digital management capability (DMC) on two measures of firm productivity</w:t>
            </w:r>
          </w:p>
          <w:p w14:paraId="252D6E27" w14:textId="014E811C" w:rsidR="00BB4F05" w:rsidRPr="00BB4F05" w:rsidRDefault="00BB4F05" w:rsidP="00F5017F">
            <w:pPr>
              <w:pStyle w:val="PlaceholderWide"/>
              <w:keepNext w:val="0"/>
              <w:jc w:val="both"/>
              <w:rPr>
                <w:bCs/>
                <w:color w:val="005CAF"/>
                <w:szCs w:val="18"/>
              </w:rPr>
            </w:pPr>
            <w:r>
              <w:rPr>
                <w:noProof/>
                <w:lang w:eastAsia="en-AU"/>
              </w:rPr>
              <w:drawing>
                <wp:inline distT="0" distB="0" distL="0" distR="0" wp14:anchorId="3BBBD1EF" wp14:editId="32DCF3AC">
                  <wp:extent cx="5392800" cy="2422800"/>
                  <wp:effectExtent l="0" t="0" r="0" b="15875"/>
                  <wp:docPr id="35" name="Chart 35" descr="Figures 6.1 (C) shows that the strategic management (SMC) also has a considerable impact on two measures of firm productivity." title="Figure 6.1(c): Impact of digital management capability (DMC) on two measures of firm productivity">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AFA2CF4-1126-4F5E-BDFB-F26704AC2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6632019" w14:textId="77777777" w:rsidR="00BB4F05" w:rsidRPr="00BA2F37" w:rsidRDefault="00BB4F05" w:rsidP="00F5017F">
            <w:pPr>
              <w:pStyle w:val="PlaceholderWide"/>
              <w:keepNext w:val="0"/>
              <w:jc w:val="left"/>
              <w:rPr>
                <w:bCs/>
                <w:color w:val="005CAF"/>
                <w:szCs w:val="18"/>
              </w:rPr>
            </w:pPr>
          </w:p>
        </w:tc>
      </w:tr>
      <w:tr w:rsidR="00BB4F05" w14:paraId="73432278" w14:textId="77777777" w:rsidTr="00072C29">
        <w:trPr>
          <w:cnfStyle w:val="000000100000" w:firstRow="0" w:lastRow="0" w:firstColumn="0" w:lastColumn="0" w:oddVBand="0" w:evenVBand="0" w:oddHBand="1" w:evenHBand="0" w:firstRowFirstColumn="0" w:firstRowLastColumn="0" w:lastRowFirstColumn="0" w:lastRowLastColumn="0"/>
          <w:cantSplit/>
        </w:trPr>
        <w:tc>
          <w:tcPr>
            <w:tcW w:w="9071" w:type="dxa"/>
            <w:shd w:val="clear" w:color="auto" w:fill="auto"/>
          </w:tcPr>
          <w:p w14:paraId="69FC8D94" w14:textId="77777777" w:rsidR="00BB4F05" w:rsidRPr="00BB4F05" w:rsidRDefault="00BB4F05" w:rsidP="00F5017F">
            <w:pPr>
              <w:pStyle w:val="PlaceholderWide"/>
              <w:keepNext w:val="0"/>
              <w:jc w:val="both"/>
              <w:rPr>
                <w:bCs/>
                <w:color w:val="005CAF"/>
                <w:szCs w:val="18"/>
              </w:rPr>
            </w:pPr>
            <w:r w:rsidRPr="00BB4F05">
              <w:rPr>
                <w:bCs/>
                <w:color w:val="005CAF"/>
                <w:szCs w:val="18"/>
              </w:rPr>
              <w:lastRenderedPageBreak/>
              <w:t>Figure 6.1(d): Impact of environmental management capability (EMC) on two measures of firm productivity</w:t>
            </w:r>
          </w:p>
          <w:p w14:paraId="6B5D3EE7" w14:textId="4C0BBFE8" w:rsidR="00BB4F05" w:rsidRPr="00BB4F05" w:rsidRDefault="00BB4F05" w:rsidP="00F5017F">
            <w:pPr>
              <w:pStyle w:val="PlaceholderWide"/>
              <w:keepNext w:val="0"/>
              <w:jc w:val="both"/>
              <w:rPr>
                <w:bCs/>
                <w:color w:val="005CAF"/>
                <w:szCs w:val="18"/>
              </w:rPr>
            </w:pPr>
            <w:r>
              <w:rPr>
                <w:noProof/>
                <w:lang w:eastAsia="en-AU"/>
              </w:rPr>
              <w:drawing>
                <wp:inline distT="0" distB="0" distL="0" distR="0" wp14:anchorId="79CE12F3" wp14:editId="4C8A6863">
                  <wp:extent cx="5392800" cy="2422800"/>
                  <wp:effectExtent l="0" t="0" r="0" b="15875"/>
                  <wp:docPr id="36" name="Chart 36" descr="Figures 6.1 (d) to (e) show that the influence on firm productivity is minor for the more specific scores such as digital management capability (DMC), environmental management capability (EMC) and supplu chain management capability (SCMC)." title="Figure 6.1(d): Impact of environmental management capability (EMC) on two measures of firm productivity">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A56965DF-BE9F-4167-A382-922FA714F0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BB4F05" w14:paraId="63EA0E7C" w14:textId="77777777" w:rsidTr="00502720">
        <w:trPr>
          <w:cnfStyle w:val="000000010000" w:firstRow="0" w:lastRow="0" w:firstColumn="0" w:lastColumn="0" w:oddVBand="0" w:evenVBand="0" w:oddHBand="0" w:evenHBand="1" w:firstRowFirstColumn="0" w:firstRowLastColumn="0" w:lastRowFirstColumn="0" w:lastRowLastColumn="0"/>
        </w:trPr>
        <w:tc>
          <w:tcPr>
            <w:tcW w:w="9071" w:type="dxa"/>
            <w:shd w:val="clear" w:color="auto" w:fill="auto"/>
          </w:tcPr>
          <w:p w14:paraId="6AD9F31B" w14:textId="77777777" w:rsidR="00BB4F05" w:rsidRDefault="00BB4F05" w:rsidP="00F5017F">
            <w:pPr>
              <w:pStyle w:val="PlaceholderWide"/>
              <w:keepNext w:val="0"/>
              <w:jc w:val="left"/>
              <w:rPr>
                <w:bCs/>
                <w:color w:val="005CAF"/>
                <w:szCs w:val="18"/>
              </w:rPr>
            </w:pPr>
            <w:r>
              <w:rPr>
                <w:bCs/>
                <w:color w:val="005CAF"/>
                <w:szCs w:val="18"/>
              </w:rPr>
              <w:t>Figure 6.1</w:t>
            </w:r>
            <w:r w:rsidRPr="001A7392">
              <w:rPr>
                <w:bCs/>
                <w:color w:val="005CAF"/>
                <w:szCs w:val="18"/>
              </w:rPr>
              <w:t>(e): Impact of supply chain management capability (SCMC) on two measures of firm productivity</w:t>
            </w:r>
          </w:p>
          <w:p w14:paraId="3982A468" w14:textId="041D4787" w:rsidR="00BB4F05" w:rsidRPr="00BB4F05" w:rsidRDefault="00BB4F05" w:rsidP="00F5017F">
            <w:pPr>
              <w:pStyle w:val="PlaceholderWide"/>
              <w:keepNext w:val="0"/>
              <w:jc w:val="both"/>
              <w:rPr>
                <w:bCs/>
                <w:color w:val="005CAF"/>
                <w:szCs w:val="18"/>
              </w:rPr>
            </w:pPr>
            <w:r>
              <w:rPr>
                <w:noProof/>
                <w:lang w:eastAsia="en-AU"/>
              </w:rPr>
              <w:drawing>
                <wp:inline distT="0" distB="0" distL="0" distR="0" wp14:anchorId="724DC175" wp14:editId="6B8B5F47">
                  <wp:extent cx="5392800" cy="2422800"/>
                  <wp:effectExtent l="0" t="0" r="0" b="15875"/>
                  <wp:docPr id="38" name="Chart 38" descr="Figures 6.1 (d) to (e) show that the influence on firm productivity is minor for the more specific scores such as digital management capability (DMC), environmental management capability (EMC) and supplu chain management capability (SCMC)." title="Figure 6.1(e): Impact of supply chain management capability (SCMC) on two measures of firm productivity">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775BDCCF-B793-4F7F-8712-2AF662450A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BB4F05" w14:paraId="61267464" w14:textId="77777777" w:rsidTr="00502720">
        <w:trPr>
          <w:cnfStyle w:val="000000100000" w:firstRow="0" w:lastRow="0" w:firstColumn="0" w:lastColumn="0" w:oddVBand="0" w:evenVBand="0" w:oddHBand="1" w:evenHBand="0" w:firstRowFirstColumn="0" w:firstRowLastColumn="0" w:lastRowFirstColumn="0" w:lastRowLastColumn="0"/>
        </w:trPr>
        <w:tc>
          <w:tcPr>
            <w:tcW w:w="9071" w:type="dxa"/>
            <w:shd w:val="clear" w:color="auto" w:fill="auto"/>
          </w:tcPr>
          <w:p w14:paraId="74E17657" w14:textId="77777777" w:rsidR="00BB4F05" w:rsidRPr="00BB4F05" w:rsidRDefault="00BB4F05" w:rsidP="00F5017F">
            <w:pPr>
              <w:pStyle w:val="PlaceholderWide"/>
              <w:keepNext w:val="0"/>
              <w:jc w:val="both"/>
              <w:rPr>
                <w:bCs/>
                <w:color w:val="005CAF"/>
                <w:szCs w:val="18"/>
              </w:rPr>
            </w:pPr>
            <w:r w:rsidRPr="00BB4F05">
              <w:rPr>
                <w:bCs/>
                <w:color w:val="005CAF"/>
                <w:szCs w:val="18"/>
              </w:rPr>
              <w:t>Figure 6.1(f): Impact of strategic management capability (SMC) on two measures of firm productivity</w:t>
            </w:r>
          </w:p>
          <w:p w14:paraId="4CD9F8B1" w14:textId="598DB56A" w:rsidR="00BB4F05" w:rsidRDefault="00BB4F05" w:rsidP="00F5017F">
            <w:pPr>
              <w:pStyle w:val="PlaceholderWide"/>
              <w:keepNext w:val="0"/>
              <w:jc w:val="left"/>
              <w:rPr>
                <w:bCs/>
                <w:color w:val="005CAF"/>
                <w:szCs w:val="18"/>
              </w:rPr>
            </w:pPr>
            <w:r>
              <w:rPr>
                <w:noProof/>
                <w:lang w:eastAsia="en-AU"/>
              </w:rPr>
              <w:drawing>
                <wp:inline distT="0" distB="0" distL="0" distR="0" wp14:anchorId="2C7599E6" wp14:editId="57C615DE">
                  <wp:extent cx="5392800" cy="2422800"/>
                  <wp:effectExtent l="0" t="0" r="0" b="15875"/>
                  <wp:docPr id="39" name="Chart 39" descr="Figure 6.1 (f) shows the influence of strategic management capability on labour productivity." title="Figure 6.1(f): Impact of strategic management capability (SMC) on two measures of firm productivity">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F9BA83B-5B88-49AA-9348-39C16137DA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5116ED68" w14:textId="23586A27" w:rsidR="00BA2F37" w:rsidRPr="00C62F3A" w:rsidRDefault="00BA2F37" w:rsidP="00D050E2">
      <w:pPr>
        <w:pStyle w:val="NoteWide"/>
      </w:pPr>
      <w:r>
        <w:t xml:space="preserve">Notes: </w:t>
      </w:r>
      <w:r w:rsidR="00BB4F05" w:rsidRPr="00BB4F05">
        <w:t>Authors’ calculations. Estimated impact of 0.1 increase in score on labour productivity measures.</w:t>
      </w:r>
    </w:p>
    <w:p w14:paraId="779E8339" w14:textId="2919703B" w:rsidR="00BA2F37" w:rsidRDefault="00BA2F37" w:rsidP="00D050E2">
      <w:pPr>
        <w:pStyle w:val="SourceWide"/>
      </w:pPr>
      <w:r>
        <w:t xml:space="preserve">Source: </w:t>
      </w:r>
      <w:r w:rsidR="00BB4F05" w:rsidRPr="00BB4F05">
        <w:t>ABS (2018) Business Longitudinal Analysis Data Environment.</w:t>
      </w:r>
    </w:p>
    <w:p w14:paraId="7919C8FA" w14:textId="77777777" w:rsidR="00BA2F37" w:rsidRDefault="00BA2F37" w:rsidP="00BA2F37">
      <w:pPr>
        <w:spacing w:after="0"/>
        <w:ind w:left="0"/>
        <w:rPr>
          <w:rFonts w:eastAsia="Arial" w:cs="Arial"/>
        </w:rPr>
      </w:pPr>
    </w:p>
    <w:p w14:paraId="505373AE" w14:textId="265B1426" w:rsidR="001A7392" w:rsidRDefault="00461DD4" w:rsidP="00C26413">
      <w:pPr>
        <w:pStyle w:val="Heading2"/>
        <w:ind w:left="0" w:firstLine="0"/>
        <w:rPr>
          <w:lang w:val="en"/>
        </w:rPr>
      </w:pPr>
      <w:r>
        <w:rPr>
          <w:lang w:val="en"/>
        </w:rPr>
        <w:lastRenderedPageBreak/>
        <w:t>Supply chain management capability and export performance</w:t>
      </w:r>
    </w:p>
    <w:p w14:paraId="48FCD3ED" w14:textId="2C9F659E" w:rsidR="00461DD4" w:rsidRPr="00461DD4" w:rsidRDefault="00461DD4" w:rsidP="00461DD4">
      <w:pPr>
        <w:pStyle w:val="BodyText"/>
        <w:rPr>
          <w:lang w:val="en"/>
        </w:rPr>
      </w:pPr>
      <w:r>
        <w:t>Table 6.2 presents the association between SCMC score and export performance measures; export sales per employee and export sales to total sales. As explained in Section 3.4, the sample size for this analysis is reduced because of limited export data in BLADE. After controlling for</w:t>
      </w:r>
      <w:r>
        <w:rPr>
          <w:rFonts w:eastAsia="Arial" w:cs="Arial"/>
        </w:rPr>
        <w:t xml:space="preserve"> firm size, industry and age of the firm, t</w:t>
      </w:r>
      <w:r>
        <w:t>he results indicate a significant positive association between SCMC score and export sales per employee, and export sales/total sales. The models explain 29 and 10 per cent of the variation in export sales per employee and export sales/total sales, respectively.</w:t>
      </w:r>
    </w:p>
    <w:p w14:paraId="2BE5BD42" w14:textId="32F9BAF6" w:rsidR="00C51040" w:rsidRDefault="00C51040" w:rsidP="00630578">
      <w:pPr>
        <w:pStyle w:val="Caption"/>
      </w:pPr>
      <w:r w:rsidRPr="000618FB">
        <w:t xml:space="preserve">Table </w:t>
      </w:r>
      <w:r w:rsidR="00FC594E">
        <w:rPr>
          <w:noProof/>
        </w:rPr>
        <w:fldChar w:fldCharType="begin"/>
      </w:r>
      <w:r w:rsidR="00FC594E">
        <w:rPr>
          <w:noProof/>
        </w:rPr>
        <w:instrText xml:space="preserve"> STYLEREF 1 \s </w:instrText>
      </w:r>
      <w:r w:rsidR="00FC594E">
        <w:rPr>
          <w:noProof/>
        </w:rPr>
        <w:fldChar w:fldCharType="separate"/>
      </w:r>
      <w:r w:rsidR="00111F76">
        <w:rPr>
          <w:noProof/>
        </w:rPr>
        <w:t>6</w:t>
      </w:r>
      <w:r w:rsidR="00FC594E">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111F76">
        <w:rPr>
          <w:noProof/>
        </w:rPr>
        <w:t>2</w:t>
      </w:r>
      <w:r>
        <w:rPr>
          <w:noProof/>
        </w:rPr>
        <w:fldChar w:fldCharType="end"/>
      </w:r>
      <w:r w:rsidRPr="000618FB">
        <w:t xml:space="preserve">: </w:t>
      </w:r>
      <w:r w:rsidRPr="008C2AEF">
        <w:rPr>
          <w:noProof/>
        </w:rPr>
        <w:t xml:space="preserve">Association of SCMC score with </w:t>
      </w:r>
      <w:r>
        <w:rPr>
          <w:noProof/>
        </w:rPr>
        <w:t>e</w:t>
      </w:r>
      <w:r w:rsidRPr="008C2AEF">
        <w:rPr>
          <w:noProof/>
        </w:rPr>
        <w:t xml:space="preserve">xport per </w:t>
      </w:r>
      <w:r>
        <w:rPr>
          <w:noProof/>
        </w:rPr>
        <w:t>e</w:t>
      </w:r>
      <w:r w:rsidRPr="008C2AEF">
        <w:rPr>
          <w:noProof/>
        </w:rPr>
        <w:t xml:space="preserve">mployee and </w:t>
      </w:r>
      <w:r>
        <w:rPr>
          <w:noProof/>
        </w:rPr>
        <w:t>e</w:t>
      </w:r>
      <w:r w:rsidRPr="008C2AEF">
        <w:rPr>
          <w:noProof/>
        </w:rPr>
        <w:t xml:space="preserve">xport </w:t>
      </w:r>
      <w:r>
        <w:rPr>
          <w:noProof/>
        </w:rPr>
        <w:t>e</w:t>
      </w:r>
      <w:r w:rsidRPr="008C2AEF">
        <w:rPr>
          <w:noProof/>
        </w:rPr>
        <w:t xml:space="preserve">ales per </w:t>
      </w:r>
      <w:r>
        <w:rPr>
          <w:noProof/>
        </w:rPr>
        <w:t>t</w:t>
      </w:r>
      <w:r w:rsidRPr="008C2AEF">
        <w:rPr>
          <w:noProof/>
        </w:rPr>
        <w:t xml:space="preserve">otal </w:t>
      </w:r>
      <w:r>
        <w:rPr>
          <w:noProof/>
        </w:rPr>
        <w:t>s</w:t>
      </w:r>
      <w:r w:rsidRPr="008C2AEF">
        <w:rPr>
          <w:noProof/>
        </w:rPr>
        <w:t>ales</w:t>
      </w:r>
      <w:r>
        <w:rPr>
          <w:noProof/>
        </w:rPr>
        <w:t>, 2015–16</w:t>
      </w:r>
    </w:p>
    <w:tbl>
      <w:tblPr>
        <w:tblStyle w:val="OCETable"/>
        <w:tblW w:w="5000" w:type="pct"/>
        <w:tblLook w:val="04A0" w:firstRow="1" w:lastRow="0" w:firstColumn="1" w:lastColumn="0" w:noHBand="0" w:noVBand="1"/>
        <w:tblCaption w:val="Table 6. 2: Association of SCMC score with export per employee and export eales per total sales, 2015–16"/>
        <w:tblDescription w:val="Table 6.2 presents the association between Supply Chain Management Capability (SCMC) score and export performance measures; export sales per employee and export sales to total sales. After controlling for firm size, industry and age of the firm, the results indicate a significant positive association between SCMC score and export sales per employee, and export sales/total sales."/>
      </w:tblPr>
      <w:tblGrid>
        <w:gridCol w:w="1378"/>
        <w:gridCol w:w="1379"/>
        <w:gridCol w:w="1379"/>
        <w:gridCol w:w="1379"/>
        <w:gridCol w:w="1379"/>
      </w:tblGrid>
      <w:tr w:rsidR="00C51040" w14:paraId="6EB1B971" w14:textId="2EEB1825" w:rsidTr="00393EC5">
        <w:trPr>
          <w:cnfStyle w:val="100000000000" w:firstRow="1" w:lastRow="0" w:firstColumn="0" w:lastColumn="0" w:oddVBand="0" w:evenVBand="0" w:oddHBand="0" w:evenHBand="0" w:firstRowFirstColumn="0" w:firstRowLastColumn="0" w:lastRowFirstColumn="0" w:lastRowLastColumn="0"/>
          <w:tblHeader/>
        </w:trPr>
        <w:tc>
          <w:tcPr>
            <w:tcW w:w="999" w:type="pct"/>
          </w:tcPr>
          <w:p w14:paraId="279A4AA5" w14:textId="4E89975E" w:rsidR="00C51040" w:rsidRDefault="00C51040" w:rsidP="00C51040">
            <w:pPr>
              <w:pStyle w:val="Tableheadertext"/>
              <w:rPr>
                <w:lang w:eastAsia="en-AU"/>
              </w:rPr>
            </w:pPr>
            <w:r>
              <w:rPr>
                <w:lang w:eastAsia="en-AU"/>
              </w:rPr>
              <w:t>Management capability score</w:t>
            </w:r>
          </w:p>
        </w:tc>
        <w:tc>
          <w:tcPr>
            <w:tcW w:w="1000" w:type="pct"/>
          </w:tcPr>
          <w:p w14:paraId="652E6239" w14:textId="0F80DE8C" w:rsidR="00C51040" w:rsidRDefault="00C51040" w:rsidP="00C51040">
            <w:pPr>
              <w:pStyle w:val="Tableheadertext"/>
              <w:rPr>
                <w:lang w:eastAsia="en-AU"/>
              </w:rPr>
            </w:pPr>
            <w:r>
              <w:rPr>
                <w:lang w:eastAsia="en-AU"/>
              </w:rPr>
              <w:t>Number of observations</w:t>
            </w:r>
          </w:p>
        </w:tc>
        <w:tc>
          <w:tcPr>
            <w:tcW w:w="1000" w:type="pct"/>
          </w:tcPr>
          <w:p w14:paraId="3F7B0D15" w14:textId="695DABFB" w:rsidR="00C51040" w:rsidRDefault="00C51040" w:rsidP="00C51040">
            <w:pPr>
              <w:pStyle w:val="Tableheadertext"/>
              <w:rPr>
                <w:lang w:eastAsia="en-AU"/>
              </w:rPr>
            </w:pPr>
            <w:r>
              <w:rPr>
                <w:lang w:eastAsia="en-AU"/>
              </w:rPr>
              <w:t>Exports per employee</w:t>
            </w:r>
          </w:p>
        </w:tc>
        <w:tc>
          <w:tcPr>
            <w:tcW w:w="1000" w:type="pct"/>
          </w:tcPr>
          <w:p w14:paraId="534198A9" w14:textId="085E8EDF" w:rsidR="00C51040" w:rsidRDefault="00C51040" w:rsidP="00C51040">
            <w:pPr>
              <w:pStyle w:val="Tableheadertext"/>
              <w:rPr>
                <w:lang w:eastAsia="en-AU"/>
              </w:rPr>
            </w:pPr>
            <w:r>
              <w:rPr>
                <w:lang w:eastAsia="en-AU"/>
              </w:rPr>
              <w:t>Number of observations</w:t>
            </w:r>
          </w:p>
        </w:tc>
        <w:tc>
          <w:tcPr>
            <w:tcW w:w="1000" w:type="pct"/>
          </w:tcPr>
          <w:p w14:paraId="0C0A1617" w14:textId="1C0D5652" w:rsidR="00C51040" w:rsidRDefault="00C51040" w:rsidP="00C51040">
            <w:pPr>
              <w:pStyle w:val="Tableheadertext"/>
              <w:rPr>
                <w:lang w:eastAsia="en-AU"/>
              </w:rPr>
            </w:pPr>
            <w:r>
              <w:rPr>
                <w:lang w:eastAsia="en-AU"/>
              </w:rPr>
              <w:t>Export sales/ Total sales</w:t>
            </w:r>
          </w:p>
        </w:tc>
      </w:tr>
      <w:tr w:rsidR="00C51040" w14:paraId="50158A5B" w14:textId="79FE313D" w:rsidTr="007B3DA1">
        <w:trPr>
          <w:cnfStyle w:val="000000100000" w:firstRow="0" w:lastRow="0" w:firstColumn="0" w:lastColumn="0" w:oddVBand="0" w:evenVBand="0" w:oddHBand="1" w:evenHBand="0" w:firstRowFirstColumn="0" w:firstRowLastColumn="0" w:lastRowFirstColumn="0" w:lastRowLastColumn="0"/>
          <w:trHeight w:val="112"/>
        </w:trPr>
        <w:tc>
          <w:tcPr>
            <w:tcW w:w="999" w:type="pct"/>
          </w:tcPr>
          <w:p w14:paraId="33240396" w14:textId="1AFBD47C" w:rsidR="00C51040" w:rsidRPr="007B3DA1" w:rsidRDefault="005F0F9D" w:rsidP="007B3DA1">
            <w:pPr>
              <w:pStyle w:val="Tablebodytext"/>
            </w:pPr>
            <w:r w:rsidRPr="007B3DA1">
              <w:t>SCMC</w:t>
            </w:r>
          </w:p>
        </w:tc>
        <w:tc>
          <w:tcPr>
            <w:tcW w:w="1000" w:type="pct"/>
          </w:tcPr>
          <w:p w14:paraId="07AA5BC0" w14:textId="60A24B67" w:rsidR="00C51040" w:rsidRPr="007B3DA1" w:rsidRDefault="005F0F9D" w:rsidP="007B3DA1">
            <w:pPr>
              <w:pStyle w:val="Tablebodytext"/>
              <w:jc w:val="right"/>
            </w:pPr>
            <w:r w:rsidRPr="007B3DA1">
              <w:t>1685</w:t>
            </w:r>
          </w:p>
        </w:tc>
        <w:tc>
          <w:tcPr>
            <w:tcW w:w="1000" w:type="pct"/>
          </w:tcPr>
          <w:p w14:paraId="2D8E8874" w14:textId="4D339BBD" w:rsidR="00C51040" w:rsidRPr="007B3DA1" w:rsidRDefault="005F0F9D" w:rsidP="007B3DA1">
            <w:pPr>
              <w:pStyle w:val="Tablebodytext"/>
              <w:jc w:val="right"/>
            </w:pPr>
            <w:r w:rsidRPr="007B3DA1">
              <w:t>1.283***</w:t>
            </w:r>
          </w:p>
        </w:tc>
        <w:tc>
          <w:tcPr>
            <w:tcW w:w="1000" w:type="pct"/>
          </w:tcPr>
          <w:p w14:paraId="58574994" w14:textId="4FEA7C06" w:rsidR="00C51040" w:rsidRPr="007B3DA1" w:rsidRDefault="005F0F9D" w:rsidP="007B3DA1">
            <w:pPr>
              <w:pStyle w:val="Tablebodytext"/>
              <w:jc w:val="right"/>
            </w:pPr>
            <w:r w:rsidRPr="007B3DA1">
              <w:t>6698</w:t>
            </w:r>
          </w:p>
        </w:tc>
        <w:tc>
          <w:tcPr>
            <w:tcW w:w="1000" w:type="pct"/>
          </w:tcPr>
          <w:p w14:paraId="27B3FCE7" w14:textId="71A4CE44" w:rsidR="00C51040" w:rsidRPr="007B3DA1" w:rsidRDefault="005F0F9D" w:rsidP="007B3DA1">
            <w:pPr>
              <w:pStyle w:val="Tablebodytext"/>
              <w:jc w:val="right"/>
            </w:pPr>
            <w:r w:rsidRPr="007B3DA1">
              <w:t>0.050***</w:t>
            </w:r>
          </w:p>
        </w:tc>
      </w:tr>
    </w:tbl>
    <w:p w14:paraId="257243A6" w14:textId="036AE290" w:rsidR="00C51040" w:rsidRDefault="00C51040" w:rsidP="00676610">
      <w:pPr>
        <w:pStyle w:val="Note"/>
        <w:spacing w:line="240" w:lineRule="auto"/>
        <w:rPr>
          <w:lang w:eastAsia="en-AU"/>
        </w:rPr>
      </w:pPr>
      <w:r>
        <w:rPr>
          <w:lang w:eastAsia="en-AU"/>
        </w:rPr>
        <w:t xml:space="preserve">Notes: </w:t>
      </w:r>
      <w:r w:rsidR="005F0F9D" w:rsidRPr="00E93C76">
        <w:rPr>
          <w:rFonts w:eastAsia="Arial"/>
        </w:rPr>
        <w:t>*** Significant at 1</w:t>
      </w:r>
      <w:r w:rsidR="005F0F9D">
        <w:rPr>
          <w:rFonts w:eastAsia="Arial"/>
        </w:rPr>
        <w:t xml:space="preserve"> per cent </w:t>
      </w:r>
      <w:r w:rsidR="005F0F9D" w:rsidRPr="00E93C76">
        <w:rPr>
          <w:rFonts w:eastAsia="Arial"/>
        </w:rPr>
        <w:t>level</w:t>
      </w:r>
      <w:r w:rsidR="005F0F9D">
        <w:rPr>
          <w:rFonts w:eastAsia="Arial"/>
        </w:rPr>
        <w:t xml:space="preserve">, </w:t>
      </w:r>
      <w:r w:rsidR="005F0F9D" w:rsidRPr="00481E0B">
        <w:rPr>
          <w:rFonts w:eastAsia="Arial"/>
        </w:rPr>
        <w:t>Authors’ calculations</w:t>
      </w:r>
      <w:r w:rsidR="005F0F9D">
        <w:rPr>
          <w:rFonts w:eastAsia="Arial"/>
        </w:rPr>
        <w:t>.</w:t>
      </w:r>
    </w:p>
    <w:p w14:paraId="6024D071" w14:textId="3C4519F4" w:rsidR="00A36825" w:rsidRDefault="00C51040" w:rsidP="00676610">
      <w:pPr>
        <w:pStyle w:val="Source"/>
        <w:spacing w:line="240" w:lineRule="auto"/>
        <w:rPr>
          <w:rFonts w:eastAsia="Arial"/>
        </w:rPr>
      </w:pPr>
      <w:r>
        <w:rPr>
          <w:lang w:eastAsia="en-AU"/>
        </w:rPr>
        <w:t xml:space="preserve">Source: </w:t>
      </w:r>
      <w:r w:rsidR="005F0F9D" w:rsidRPr="00481E0B">
        <w:rPr>
          <w:rFonts w:eastAsia="Arial"/>
        </w:rPr>
        <w:t>ABS (2018) Business Longitudinal Analysis Data Environment</w:t>
      </w:r>
      <w:r w:rsidR="007A01CF">
        <w:rPr>
          <w:rFonts w:eastAsia="Arial"/>
        </w:rPr>
        <w:t xml:space="preserve"> (BLADE)</w:t>
      </w:r>
    </w:p>
    <w:p w14:paraId="59CC2D02" w14:textId="77777777" w:rsidR="005F0F9D" w:rsidRDefault="005F0F9D" w:rsidP="005F0F9D">
      <w:pPr>
        <w:pStyle w:val="BodyText"/>
        <w:rPr>
          <w:rFonts w:eastAsia="Arial" w:cs="Arial"/>
        </w:rPr>
      </w:pPr>
      <w:r>
        <w:rPr>
          <w:rFonts w:eastAsia="Arial" w:cs="Arial"/>
          <w:highlight w:val="white"/>
        </w:rPr>
        <w:t>Figure 6.2 shows the effect on export performance from a change of 0.1 in the SCMC score. An increase of 0.1 in the SCMC score increases exports per employee by 12.8 per cent and export sales/total sales less than 1 per cent. The impact on export productivity is much larger than export intensity.</w:t>
      </w:r>
    </w:p>
    <w:p w14:paraId="2306F8C5" w14:textId="35FF389E" w:rsidR="000113C1" w:rsidRDefault="000113C1" w:rsidP="00D050E2">
      <w:pPr>
        <w:pStyle w:val="CaptionWide"/>
      </w:pPr>
      <w:r>
        <w:t>Figure</w:t>
      </w:r>
      <w:r w:rsidRPr="000618FB">
        <w:t xml:space="preserve"> </w:t>
      </w:r>
      <w:r w:rsidR="00EC7B73">
        <w:rPr>
          <w:noProof/>
        </w:rPr>
        <w:fldChar w:fldCharType="begin"/>
      </w:r>
      <w:r w:rsidR="00EC7B73">
        <w:rPr>
          <w:noProof/>
        </w:rPr>
        <w:instrText xml:space="preserve"> STYLEREF 1 \s </w:instrText>
      </w:r>
      <w:r w:rsidR="00EC7B73">
        <w:rPr>
          <w:noProof/>
        </w:rPr>
        <w:fldChar w:fldCharType="separate"/>
      </w:r>
      <w:r w:rsidR="00111F76">
        <w:rPr>
          <w:noProof/>
        </w:rPr>
        <w:t>6</w:t>
      </w:r>
      <w:r w:rsidR="00EC7B73">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111F76">
        <w:rPr>
          <w:noProof/>
        </w:rPr>
        <w:t>2</w:t>
      </w:r>
      <w:r w:rsidRPr="000618FB">
        <w:fldChar w:fldCharType="end"/>
      </w:r>
      <w:r>
        <w:t xml:space="preserve">: </w:t>
      </w:r>
      <w:bookmarkStart w:id="1" w:name="FigureTitle"/>
      <w:r w:rsidRPr="000113C1">
        <w:t>Impact of supply chain management capability (SCMS) score on export productivity and export intensity, 2015–16</w:t>
      </w:r>
      <w:bookmarkEnd w:id="1"/>
    </w:p>
    <w:tbl>
      <w:tblPr>
        <w:tblStyle w:val="OCETable"/>
        <w:tblW w:w="6379" w:type="pct"/>
        <w:tblInd w:w="-1877" w:type="dxa"/>
        <w:tblLayout w:type="fixed"/>
        <w:tblLook w:val="04A0" w:firstRow="1" w:lastRow="0" w:firstColumn="1" w:lastColumn="0" w:noHBand="0" w:noVBand="1"/>
        <w:tblCaption w:val="This table contains Figure 6.2"/>
        <w:tblDescription w:val="Figure 6.2 shows the impact of supply chain management capability score on export productivity and export intensity in 2015–16."/>
      </w:tblPr>
      <w:tblGrid>
        <w:gridCol w:w="8795"/>
      </w:tblGrid>
      <w:tr w:rsidR="000113C1" w14:paraId="6EFDFB8A"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5D8268DE" w14:textId="0ADC710D" w:rsidR="000113C1" w:rsidRDefault="000113C1" w:rsidP="000113C1">
            <w:pPr>
              <w:pStyle w:val="PlaceholderWide"/>
              <w:jc w:val="both"/>
            </w:pPr>
            <w:r>
              <w:rPr>
                <w:noProof/>
                <w:lang w:eastAsia="en-AU"/>
              </w:rPr>
              <w:drawing>
                <wp:inline distT="0" distB="0" distL="0" distR="0" wp14:anchorId="0A168D99" wp14:editId="0A9B8E83">
                  <wp:extent cx="5392800" cy="2422800"/>
                  <wp:effectExtent l="0" t="0" r="0" b="15875"/>
                  <wp:docPr id="47" name="Chart 47" descr="Figure 6.2 shows the effect on export performance from a change of 0.1 in the supply chain management capability score (SCMC). An increase of 0.1 in the SCMC score increases exports per employee by 12.8 per cent and export sales/total sales less than 1 per cent." title="Figure 6.2: Impact of supply chain management capability (SCMS) score on export productivity and export intensity, 2015–1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CCFC019-5AE9-45FA-899A-F7B9E2B77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14:paraId="20A7D6BE" w14:textId="2AB0B131" w:rsidR="000113C1" w:rsidRPr="00C62F3A" w:rsidRDefault="000113C1" w:rsidP="00D050E2">
      <w:pPr>
        <w:pStyle w:val="NoteWide"/>
      </w:pPr>
      <w:r>
        <w:t>Notes: Authors’ calculations. Estimated i</w:t>
      </w:r>
      <w:r w:rsidRPr="003738F2">
        <w:t xml:space="preserve">mpact of 0.1 increase in </w:t>
      </w:r>
      <w:r>
        <w:t>score on export productivity and intensity</w:t>
      </w:r>
      <w:r w:rsidRPr="003738F2">
        <w:t xml:space="preserve"> measures</w:t>
      </w:r>
      <w:r>
        <w:t>.</w:t>
      </w:r>
    </w:p>
    <w:p w14:paraId="61E6095E" w14:textId="62149B8D" w:rsidR="000113C1" w:rsidRDefault="000113C1" w:rsidP="00D050E2">
      <w:pPr>
        <w:pStyle w:val="SourceWide"/>
      </w:pPr>
      <w:r>
        <w:t xml:space="preserve">Source: </w:t>
      </w:r>
      <w:r>
        <w:rPr>
          <w:rFonts w:eastAsia="Arial"/>
          <w:szCs w:val="16"/>
        </w:rPr>
        <w:t>ABS (2018) Business Longitudinal Analysis Data Environment.</w:t>
      </w:r>
    </w:p>
    <w:p w14:paraId="0F0825CB" w14:textId="77777777" w:rsidR="000113C1" w:rsidRDefault="000113C1" w:rsidP="005F0F9D">
      <w:pPr>
        <w:pStyle w:val="BodyText"/>
        <w:rPr>
          <w:rFonts w:eastAsia="Arial" w:cs="Arial"/>
        </w:rPr>
      </w:pPr>
    </w:p>
    <w:p w14:paraId="434F9F54" w14:textId="622FCDCB" w:rsidR="00630578" w:rsidRDefault="00630578" w:rsidP="00630578">
      <w:pPr>
        <w:pStyle w:val="Heading1"/>
        <w:rPr>
          <w:lang w:val="en"/>
        </w:rPr>
      </w:pPr>
      <w:r>
        <w:rPr>
          <w:lang w:val="en"/>
        </w:rPr>
        <w:lastRenderedPageBreak/>
        <w:t>Discussion</w:t>
      </w:r>
    </w:p>
    <w:p w14:paraId="2B2960DA" w14:textId="785327B5" w:rsidR="00630578" w:rsidRDefault="00AE2082" w:rsidP="00630578">
      <w:pPr>
        <w:pStyle w:val="BodyText"/>
        <w:rPr>
          <w:lang w:val="en"/>
        </w:rPr>
      </w:pPr>
      <w:r>
        <w:rPr>
          <w:lang w:val="en"/>
        </w:rPr>
        <w:t>In t</w:t>
      </w:r>
      <w:r w:rsidR="00630578">
        <w:rPr>
          <w:lang w:val="en"/>
        </w:rPr>
        <w:t xml:space="preserve">his paper </w:t>
      </w:r>
      <w:r>
        <w:rPr>
          <w:lang w:val="en"/>
        </w:rPr>
        <w:t xml:space="preserve">we </w:t>
      </w:r>
      <w:r w:rsidR="00630578">
        <w:rPr>
          <w:lang w:val="en"/>
        </w:rPr>
        <w:t>developed six different scores of management capability and undertook analysis to test the relevance of the scores for firm performance.  The results provide evidence for the importance of management capability for firm performance.</w:t>
      </w:r>
    </w:p>
    <w:p w14:paraId="6D754C4E" w14:textId="234FE1E0" w:rsidR="00630578" w:rsidRDefault="00630578" w:rsidP="00630578">
      <w:pPr>
        <w:pStyle w:val="BodyText"/>
        <w:rPr>
          <w:rStyle w:val="Hyperlink"/>
          <w:color w:val="373737"/>
        </w:rPr>
      </w:pPr>
      <w:r>
        <w:rPr>
          <w:rStyle w:val="Hyperlink"/>
          <w:color w:val="373737"/>
        </w:rPr>
        <w:t xml:space="preserve">Firm size is the most important factor affecting the six types of management capability scores. For example, overall management capability scores for firms with more than 100 employees are more than double that of micro firms </w:t>
      </w:r>
      <w:r w:rsidR="00D050E2">
        <w:rPr>
          <w:rStyle w:val="Hyperlink"/>
          <w:color w:val="373737"/>
        </w:rPr>
        <w:br/>
      </w:r>
      <w:r>
        <w:rPr>
          <w:rStyle w:val="Hyperlink"/>
          <w:color w:val="373737"/>
        </w:rPr>
        <w:t xml:space="preserve">(0-4 employees) and about four times higher for specific scores such as digital, environment and supply chain management scores. This reflects differences in availability of resources to develop management capabilities, particularly in more specific areas. </w:t>
      </w:r>
    </w:p>
    <w:p w14:paraId="5A8B0605" w14:textId="05520943" w:rsidR="00630578" w:rsidRDefault="00630578" w:rsidP="00630578">
      <w:pPr>
        <w:pStyle w:val="BodyText"/>
        <w:rPr>
          <w:rStyle w:val="Hyperlink"/>
          <w:color w:val="373737"/>
        </w:rPr>
      </w:pPr>
      <w:r>
        <w:rPr>
          <w:rStyle w:val="Hyperlink"/>
          <w:color w:val="373737"/>
        </w:rPr>
        <w:t>Industry differences in management capability scores are also considerable. The difference between the industry with the top overall management capability (OMC) score and the bottom</w:t>
      </w:r>
      <w:r w:rsidR="00AE2082">
        <w:rPr>
          <w:rStyle w:val="Hyperlink"/>
          <w:color w:val="373737"/>
        </w:rPr>
        <w:t xml:space="preserve"> industry</w:t>
      </w:r>
      <w:r>
        <w:rPr>
          <w:rStyle w:val="Hyperlink"/>
          <w:color w:val="373737"/>
        </w:rPr>
        <w:t xml:space="preserve">, </w:t>
      </w:r>
      <w:r w:rsidRPr="00676610">
        <w:rPr>
          <w:rStyle w:val="Hyperlink"/>
          <w:i/>
          <w:color w:val="373737"/>
        </w:rPr>
        <w:t>Health Care and Social Assistance, and Agriculture, Forestry and Fishing</w:t>
      </w:r>
      <w:r>
        <w:rPr>
          <w:rStyle w:val="Hyperlink"/>
          <w:color w:val="373737"/>
        </w:rPr>
        <w:t xml:space="preserve">, is </w:t>
      </w:r>
      <w:r w:rsidR="00E021D2">
        <w:rPr>
          <w:rStyle w:val="Hyperlink"/>
          <w:color w:val="373737"/>
        </w:rPr>
        <w:t xml:space="preserve">about </w:t>
      </w:r>
      <w:r>
        <w:rPr>
          <w:rStyle w:val="Hyperlink"/>
          <w:color w:val="373737"/>
        </w:rPr>
        <w:t xml:space="preserve">66 per cent. </w:t>
      </w:r>
      <w:r w:rsidR="00E021D2">
        <w:rPr>
          <w:rStyle w:val="Hyperlink"/>
          <w:color w:val="373737"/>
        </w:rPr>
        <w:t>The difference is even larger (</w:t>
      </w:r>
      <w:r>
        <w:rPr>
          <w:rStyle w:val="Hyperlink"/>
          <w:color w:val="373737"/>
        </w:rPr>
        <w:t>around 279 per cent</w:t>
      </w:r>
      <w:r w:rsidR="00E021D2">
        <w:rPr>
          <w:rStyle w:val="Hyperlink"/>
          <w:color w:val="373737"/>
        </w:rPr>
        <w:t>) between</w:t>
      </w:r>
      <w:r>
        <w:rPr>
          <w:rStyle w:val="Hyperlink"/>
          <w:color w:val="373737"/>
        </w:rPr>
        <w:t xml:space="preserve"> </w:t>
      </w:r>
      <w:r w:rsidRPr="00676610">
        <w:rPr>
          <w:rStyle w:val="Hyperlink"/>
          <w:i/>
          <w:color w:val="373737"/>
        </w:rPr>
        <w:t>Financial and Insurance Services, and Agriculture, Forestry and Fishing</w:t>
      </w:r>
      <w:r>
        <w:rPr>
          <w:rStyle w:val="Hyperlink"/>
          <w:color w:val="373737"/>
        </w:rPr>
        <w:t xml:space="preserve"> when we look at the digital management capability score. Although these marked differences can be partially attributed to differences in concentration</w:t>
      </w:r>
      <w:r w:rsidR="00E021D2">
        <w:rPr>
          <w:rStyle w:val="Hyperlink"/>
          <w:color w:val="373737"/>
        </w:rPr>
        <w:t>s</w:t>
      </w:r>
      <w:r>
        <w:rPr>
          <w:rStyle w:val="Hyperlink"/>
          <w:color w:val="373737"/>
        </w:rPr>
        <w:t xml:space="preserve"> of small firms</w:t>
      </w:r>
      <w:r w:rsidR="00E021D2">
        <w:rPr>
          <w:rStyle w:val="Hyperlink"/>
          <w:color w:val="373737"/>
        </w:rPr>
        <w:t xml:space="preserve"> between industry sectors, they</w:t>
      </w:r>
      <w:r>
        <w:rPr>
          <w:rStyle w:val="Hyperlink"/>
          <w:color w:val="373737"/>
        </w:rPr>
        <w:t xml:space="preserve"> </w:t>
      </w:r>
      <w:r w:rsidR="00B90627">
        <w:rPr>
          <w:rStyle w:val="Hyperlink"/>
          <w:color w:val="373737"/>
        </w:rPr>
        <w:t>can be affected</w:t>
      </w:r>
      <w:r>
        <w:rPr>
          <w:rStyle w:val="Hyperlink"/>
          <w:color w:val="373737"/>
        </w:rPr>
        <w:t xml:space="preserve"> </w:t>
      </w:r>
      <w:r w:rsidR="00E021D2">
        <w:rPr>
          <w:rStyle w:val="Hyperlink"/>
          <w:color w:val="373737"/>
        </w:rPr>
        <w:t xml:space="preserve">by other factors such </w:t>
      </w:r>
      <w:r w:rsidR="00B90627">
        <w:rPr>
          <w:rStyle w:val="Hyperlink"/>
          <w:color w:val="373737"/>
        </w:rPr>
        <w:t xml:space="preserve">as the </w:t>
      </w:r>
      <w:r w:rsidR="00E021D2">
        <w:rPr>
          <w:rStyle w:val="Hyperlink"/>
          <w:color w:val="373737"/>
        </w:rPr>
        <w:t xml:space="preserve">access to </w:t>
      </w:r>
      <w:r w:rsidR="00B90627">
        <w:rPr>
          <w:rStyle w:val="Hyperlink"/>
          <w:color w:val="373737"/>
        </w:rPr>
        <w:t xml:space="preserve">managerial </w:t>
      </w:r>
      <w:r w:rsidR="00E021D2">
        <w:rPr>
          <w:rStyle w:val="Hyperlink"/>
          <w:color w:val="373737"/>
        </w:rPr>
        <w:t xml:space="preserve">resources and </w:t>
      </w:r>
      <w:r w:rsidR="00B90627">
        <w:rPr>
          <w:rStyle w:val="Hyperlink"/>
          <w:color w:val="373737"/>
        </w:rPr>
        <w:t>infrastructure</w:t>
      </w:r>
      <w:r>
        <w:rPr>
          <w:rStyle w:val="Hyperlink"/>
          <w:color w:val="373737"/>
        </w:rPr>
        <w:t>. These results may</w:t>
      </w:r>
      <w:r w:rsidR="00E021D2">
        <w:rPr>
          <w:rStyle w:val="Hyperlink"/>
          <w:color w:val="373737"/>
        </w:rPr>
        <w:t xml:space="preserve"> be helpful</w:t>
      </w:r>
      <w:r>
        <w:rPr>
          <w:rStyle w:val="Hyperlink"/>
          <w:color w:val="373737"/>
        </w:rPr>
        <w:t xml:space="preserve"> inform</w:t>
      </w:r>
      <w:r w:rsidR="00E021D2">
        <w:rPr>
          <w:rStyle w:val="Hyperlink"/>
          <w:color w:val="373737"/>
        </w:rPr>
        <w:t>ing</w:t>
      </w:r>
      <w:r>
        <w:rPr>
          <w:rStyle w:val="Hyperlink"/>
          <w:color w:val="373737"/>
        </w:rPr>
        <w:t xml:space="preserve"> more targeted policies for the development of management and digital capabilities.</w:t>
      </w:r>
    </w:p>
    <w:p w14:paraId="2272D9DD" w14:textId="77777777" w:rsidR="00630578" w:rsidRDefault="00630578" w:rsidP="00630578">
      <w:pPr>
        <w:pStyle w:val="BodyText"/>
        <w:rPr>
          <w:rStyle w:val="Hyperlink"/>
          <w:color w:val="373737"/>
        </w:rPr>
      </w:pPr>
      <w:r>
        <w:rPr>
          <w:rStyle w:val="Hyperlink"/>
          <w:color w:val="373737"/>
        </w:rPr>
        <w:t>One of the most interesting results of this paper relates to the differences between US and Australian firms in their scores of structured management by the age of the firm. American firms show better scores than Australian firms, particularly for young firms. This may suggest that US start-ups ecosystems are more developed and that founders’ management capabilities are stronger in the US than in Australia. These results may help to explain Australia’s combination of good entrepreneurship conditions but difficulty in scaling up new ventures to larger size (Hendrickson et al 2015).</w:t>
      </w:r>
    </w:p>
    <w:p w14:paraId="7E2EBDAF" w14:textId="75F098FD" w:rsidR="00630578" w:rsidRDefault="00630578" w:rsidP="00630578">
      <w:pPr>
        <w:pStyle w:val="BodyText"/>
        <w:rPr>
          <w:rStyle w:val="Hyperlink"/>
          <w:color w:val="373737"/>
        </w:rPr>
      </w:pPr>
      <w:r>
        <w:rPr>
          <w:rStyle w:val="Hyperlink"/>
          <w:color w:val="373737"/>
        </w:rPr>
        <w:t xml:space="preserve">Finally, the results showing the association between management capability scores and firm performance </w:t>
      </w:r>
      <w:r w:rsidR="00E021D2">
        <w:rPr>
          <w:rStyle w:val="Hyperlink"/>
          <w:color w:val="373737"/>
        </w:rPr>
        <w:t>are consistent and indicate</w:t>
      </w:r>
      <w:r>
        <w:rPr>
          <w:rStyle w:val="Hyperlink"/>
          <w:color w:val="373737"/>
        </w:rPr>
        <w:t xml:space="preserve"> that increasing management capability even at a moderate level has direct benefits for productivity and exports intensity. These results, however, should be tested with more elaborate econometric models.</w:t>
      </w:r>
    </w:p>
    <w:p w14:paraId="4DC032A0" w14:textId="77777777" w:rsidR="00630578" w:rsidRDefault="00630578">
      <w:pPr>
        <w:spacing w:after="200" w:line="276" w:lineRule="auto"/>
        <w:ind w:left="0"/>
        <w:jc w:val="left"/>
        <w:rPr>
          <w:rFonts w:eastAsia="Times New Roman" w:cs="Times New Roman"/>
          <w:b/>
          <w:color w:val="005CAF"/>
          <w:kern w:val="32"/>
          <w:sz w:val="32"/>
          <w:szCs w:val="20"/>
          <w:lang w:val="en"/>
        </w:rPr>
      </w:pPr>
      <w:r>
        <w:rPr>
          <w:lang w:val="en"/>
        </w:rPr>
        <w:br w:type="page"/>
      </w:r>
    </w:p>
    <w:p w14:paraId="5924A6DD" w14:textId="47536BE0" w:rsidR="00630578" w:rsidRDefault="00630578" w:rsidP="00630578">
      <w:pPr>
        <w:pStyle w:val="UnnumberedHeading"/>
        <w:rPr>
          <w:lang w:val="en"/>
        </w:rPr>
      </w:pPr>
      <w:r>
        <w:rPr>
          <w:lang w:val="en"/>
        </w:rPr>
        <w:lastRenderedPageBreak/>
        <w:t>References</w:t>
      </w:r>
    </w:p>
    <w:p w14:paraId="25B167E4" w14:textId="77777777" w:rsidR="00630578" w:rsidRDefault="00630578" w:rsidP="00630578">
      <w:pPr>
        <w:spacing w:after="0" w:line="240" w:lineRule="auto"/>
        <w:ind w:left="0"/>
        <w:rPr>
          <w:rFonts w:eastAsia="Arial" w:cs="Arial"/>
        </w:rPr>
      </w:pPr>
      <w:r>
        <w:rPr>
          <w:rFonts w:eastAsia="Arial" w:cs="Arial"/>
        </w:rPr>
        <w:t xml:space="preserve">Accenture. 2018, </w:t>
      </w:r>
      <w:r w:rsidRPr="00781CDA">
        <w:rPr>
          <w:rFonts w:eastAsia="Arial" w:cs="Arial"/>
          <w:i/>
          <w:iCs/>
        </w:rPr>
        <w:t xml:space="preserve">Redefine your Company Based on the Company you Keep: Intelligent Enterprise Unleashed, </w:t>
      </w:r>
      <w:r>
        <w:rPr>
          <w:rFonts w:eastAsia="Arial" w:cs="Arial"/>
        </w:rPr>
        <w:t>Industry Report, Accenture, viewed 15 June 2018,&lt;https://www.accenture.com/t20180227T215953Z__w__/us-en/_acnmedia/Accenture/next-gen-7/tech-vision-2018/pdf/Accenture-TechVision-2018-Tech-Trends-Report.pdf#zoom=50&gt;</w:t>
      </w:r>
    </w:p>
    <w:p w14:paraId="21EB5CA3" w14:textId="77777777" w:rsidR="00630578" w:rsidRDefault="00630578" w:rsidP="00630578">
      <w:pPr>
        <w:spacing w:after="0" w:line="240" w:lineRule="auto"/>
        <w:rPr>
          <w:rFonts w:eastAsia="Arial" w:cs="Arial"/>
        </w:rPr>
      </w:pPr>
    </w:p>
    <w:p w14:paraId="5D4DA5A4" w14:textId="77777777" w:rsidR="00630578" w:rsidRDefault="00630578" w:rsidP="00630578">
      <w:pPr>
        <w:spacing w:after="0" w:line="240" w:lineRule="auto"/>
        <w:ind w:left="0"/>
        <w:rPr>
          <w:rFonts w:eastAsia="Arial" w:cs="Arial"/>
        </w:rPr>
      </w:pPr>
      <w:r>
        <w:rPr>
          <w:rFonts w:eastAsia="Arial" w:cs="Arial"/>
        </w:rPr>
        <w:t xml:space="preserve">Agarwal, R., Bajada, C., Brown, P. &amp; Green, R. 2015, ‘Global Comparison of Management Practises’, </w:t>
      </w:r>
      <w:r w:rsidRPr="00781CDA">
        <w:rPr>
          <w:rFonts w:eastAsia="Arial" w:cs="Arial"/>
          <w:i/>
          <w:iCs/>
        </w:rPr>
        <w:t>Handbook of Research and Managing Managers,</w:t>
      </w:r>
      <w:r>
        <w:rPr>
          <w:rFonts w:eastAsia="Arial" w:cs="Arial"/>
        </w:rPr>
        <w:t xml:space="preserve"> pp. 327-350.</w:t>
      </w:r>
    </w:p>
    <w:p w14:paraId="06D868E9" w14:textId="77777777" w:rsidR="00630578" w:rsidRDefault="00630578" w:rsidP="00630578">
      <w:pPr>
        <w:spacing w:after="0" w:line="240" w:lineRule="auto"/>
        <w:ind w:left="1440" w:hanging="720"/>
        <w:rPr>
          <w:rFonts w:eastAsia="Arial" w:cs="Arial"/>
        </w:rPr>
      </w:pPr>
    </w:p>
    <w:p w14:paraId="373D6E70" w14:textId="77777777" w:rsidR="00630578" w:rsidRDefault="00630578" w:rsidP="00630578">
      <w:pPr>
        <w:spacing w:after="0" w:line="240" w:lineRule="auto"/>
        <w:ind w:left="0"/>
        <w:rPr>
          <w:rFonts w:eastAsia="Arial" w:cs="Arial"/>
        </w:rPr>
      </w:pPr>
      <w:r>
        <w:rPr>
          <w:rFonts w:eastAsia="Arial" w:cs="Arial"/>
        </w:rPr>
        <w:t xml:space="preserve">Agarwal, R., Brown, P.J., Green, R., Randhawa, K. &amp; Tan, H. 2014, ‘Management Practices of Australian Manufacturing Firms: Why are Some Firms More Innovative?’, </w:t>
      </w:r>
      <w:r w:rsidRPr="00781CDA">
        <w:rPr>
          <w:rFonts w:eastAsia="Arial" w:cs="Arial"/>
          <w:i/>
          <w:iCs/>
        </w:rPr>
        <w:t>International Journal of Prod</w:t>
      </w:r>
      <w:r w:rsidRPr="00217715">
        <w:rPr>
          <w:rFonts w:eastAsia="Arial" w:cs="Arial"/>
          <w:i/>
          <w:iCs/>
        </w:rPr>
        <w:t>uction Research,</w:t>
      </w:r>
      <w:r>
        <w:rPr>
          <w:rFonts w:eastAsia="Arial" w:cs="Arial"/>
        </w:rPr>
        <w:t xml:space="preserve"> vol. 52, no. 21, pp. 6496-6517.</w:t>
      </w:r>
    </w:p>
    <w:p w14:paraId="4AC29694" w14:textId="77777777" w:rsidR="00630578" w:rsidRDefault="00630578" w:rsidP="00630578">
      <w:pPr>
        <w:spacing w:after="0" w:line="240" w:lineRule="auto"/>
        <w:ind w:left="1440" w:hanging="720"/>
        <w:rPr>
          <w:rFonts w:eastAsia="Arial" w:cs="Arial"/>
        </w:rPr>
      </w:pPr>
    </w:p>
    <w:p w14:paraId="26178814" w14:textId="77777777" w:rsidR="00630578" w:rsidRDefault="00630578" w:rsidP="00630578">
      <w:pPr>
        <w:spacing w:after="0" w:line="240" w:lineRule="auto"/>
        <w:ind w:left="0"/>
        <w:rPr>
          <w:rFonts w:eastAsia="Arial" w:cs="Arial"/>
        </w:rPr>
      </w:pPr>
      <w:r>
        <w:rPr>
          <w:rFonts w:eastAsia="Arial" w:cs="Arial"/>
        </w:rPr>
        <w:t xml:space="preserve">Agarwal, R., Bajada, C., Brown, P.J. &amp; Green, R. 2014, ‘Managerial Practices in a High Cost Manufacturing Environment: a Comparative Analysis of Australia and New Zealand’, </w:t>
      </w:r>
      <w:r w:rsidRPr="00781CDA">
        <w:rPr>
          <w:rFonts w:eastAsia="Arial" w:cs="Arial"/>
          <w:i/>
          <w:iCs/>
        </w:rPr>
        <w:t>Succeeding in a High Cost Operati</w:t>
      </w:r>
      <w:r w:rsidRPr="00217715">
        <w:rPr>
          <w:rFonts w:eastAsia="Arial" w:cs="Arial"/>
          <w:i/>
          <w:iCs/>
        </w:rPr>
        <w:t>ng Environment,</w:t>
      </w:r>
      <w:r>
        <w:rPr>
          <w:rFonts w:eastAsia="Arial" w:cs="Arial"/>
        </w:rPr>
        <w:t xml:space="preserve"> pp. 268-289.</w:t>
      </w:r>
    </w:p>
    <w:p w14:paraId="6FCC38B6" w14:textId="77777777" w:rsidR="00630578" w:rsidRDefault="00630578" w:rsidP="00630578">
      <w:pPr>
        <w:spacing w:after="0" w:line="240" w:lineRule="auto"/>
        <w:ind w:left="1440" w:hanging="720"/>
        <w:rPr>
          <w:rFonts w:eastAsia="Arial" w:cs="Arial"/>
          <w:sz w:val="24"/>
          <w:szCs w:val="24"/>
        </w:rPr>
      </w:pPr>
    </w:p>
    <w:p w14:paraId="08A888F8" w14:textId="77777777" w:rsidR="00630578" w:rsidRDefault="00630578" w:rsidP="00630578">
      <w:pPr>
        <w:spacing w:after="0" w:line="240" w:lineRule="auto"/>
        <w:ind w:left="0"/>
        <w:rPr>
          <w:rFonts w:eastAsia="Arial" w:cs="Arial"/>
        </w:rPr>
      </w:pPr>
      <w:r>
        <w:rPr>
          <w:rFonts w:eastAsia="Arial" w:cs="Arial"/>
        </w:rPr>
        <w:t xml:space="preserve">Agarwal, R., Green, R., Brown, P.J., Tan, H. &amp; Randhawa, K. 2013, ‘Determinants of Quality Management Practices: An Empirical Study of New Zealand Manufacturing Firms’, </w:t>
      </w:r>
      <w:r w:rsidRPr="00781CDA">
        <w:rPr>
          <w:rFonts w:eastAsia="Arial" w:cs="Arial"/>
          <w:i/>
          <w:iCs/>
        </w:rPr>
        <w:t>International Journal of Production Economics,</w:t>
      </w:r>
      <w:r>
        <w:rPr>
          <w:rFonts w:eastAsia="Arial" w:cs="Arial"/>
        </w:rPr>
        <w:t xml:space="preserve"> vol. 142, no. 1, pp. 130-145.</w:t>
      </w:r>
    </w:p>
    <w:p w14:paraId="449B4678" w14:textId="77777777" w:rsidR="00630578" w:rsidRDefault="00630578" w:rsidP="00630578">
      <w:pPr>
        <w:spacing w:after="0" w:line="240" w:lineRule="auto"/>
        <w:ind w:left="1440" w:hanging="720"/>
        <w:rPr>
          <w:rFonts w:eastAsia="Arial" w:cs="Arial"/>
          <w:sz w:val="24"/>
          <w:szCs w:val="24"/>
        </w:rPr>
      </w:pPr>
      <w:bookmarkStart w:id="2" w:name="_3cqmetx" w:colFirst="0" w:colLast="0"/>
      <w:bookmarkEnd w:id="2"/>
    </w:p>
    <w:p w14:paraId="13EB4229" w14:textId="77777777" w:rsidR="00630578" w:rsidRDefault="00630578" w:rsidP="00630578">
      <w:pPr>
        <w:spacing w:after="0" w:line="240" w:lineRule="auto"/>
        <w:ind w:left="0"/>
        <w:rPr>
          <w:rFonts w:eastAsia="Arial" w:cs="Arial"/>
          <w:sz w:val="24"/>
          <w:szCs w:val="24"/>
        </w:rPr>
      </w:pPr>
      <w:r>
        <w:rPr>
          <w:rFonts w:eastAsia="Arial" w:cs="Arial"/>
        </w:rPr>
        <w:t xml:space="preserve">Agarwal, R. &amp; Green, R. 2011, ‘The Role of Educations and Skills in Australian Management Practice and Productivity’, </w:t>
      </w:r>
      <w:r w:rsidRPr="00781CDA">
        <w:rPr>
          <w:rFonts w:eastAsia="Arial" w:cs="Arial"/>
          <w:i/>
          <w:iCs/>
        </w:rPr>
        <w:t>Fostering Enterprise: the Innovation and Skills Nexus,</w:t>
      </w:r>
      <w:r>
        <w:rPr>
          <w:rFonts w:eastAsia="Arial" w:cs="Arial"/>
        </w:rPr>
        <w:t xml:space="preserve"> vol. 978, pp. 79-102.</w:t>
      </w:r>
    </w:p>
    <w:p w14:paraId="4355ED32" w14:textId="77777777" w:rsidR="00630578" w:rsidRDefault="00630578" w:rsidP="00630578">
      <w:pPr>
        <w:spacing w:after="0" w:line="240" w:lineRule="auto"/>
        <w:ind w:left="1440" w:hanging="720"/>
        <w:rPr>
          <w:rFonts w:eastAsia="Arial" w:cs="Arial"/>
        </w:rPr>
      </w:pPr>
    </w:p>
    <w:p w14:paraId="527969E2" w14:textId="77777777" w:rsidR="00630578" w:rsidRDefault="00630578" w:rsidP="00630578">
      <w:pPr>
        <w:spacing w:after="0" w:line="240" w:lineRule="auto"/>
        <w:ind w:left="0"/>
        <w:rPr>
          <w:rFonts w:eastAsia="Arial" w:cs="Arial"/>
        </w:rPr>
      </w:pPr>
      <w:r>
        <w:rPr>
          <w:rFonts w:eastAsia="Arial" w:cs="Arial"/>
        </w:rPr>
        <w:t xml:space="preserve">Alfred, A.M. &amp; Adam, R.F. 2009, ‘Green Management Matters Regardless’, </w:t>
      </w:r>
      <w:r w:rsidRPr="00781CDA">
        <w:rPr>
          <w:rFonts w:eastAsia="Arial" w:cs="Arial"/>
          <w:i/>
          <w:iCs/>
        </w:rPr>
        <w:t>The Academy of Management Perspectives,</w:t>
      </w:r>
      <w:r>
        <w:rPr>
          <w:rFonts w:eastAsia="Arial" w:cs="Arial"/>
        </w:rPr>
        <w:t xml:space="preserve"> vol. 23, no. 3, pp. 17-26.</w:t>
      </w:r>
    </w:p>
    <w:p w14:paraId="16DFF153" w14:textId="77777777" w:rsidR="00630578" w:rsidRDefault="00630578" w:rsidP="00630578">
      <w:pPr>
        <w:spacing w:after="0" w:line="240" w:lineRule="auto"/>
        <w:ind w:left="1440" w:hanging="720"/>
        <w:rPr>
          <w:rFonts w:eastAsia="Arial" w:cs="Arial"/>
        </w:rPr>
      </w:pPr>
    </w:p>
    <w:p w14:paraId="2839B80C" w14:textId="77777777" w:rsidR="00630578" w:rsidRDefault="00630578" w:rsidP="00630578">
      <w:pPr>
        <w:spacing w:after="0" w:line="240" w:lineRule="auto"/>
        <w:ind w:left="0"/>
        <w:rPr>
          <w:rFonts w:eastAsia="Arial" w:cs="Arial"/>
        </w:rPr>
      </w:pPr>
      <w:r>
        <w:rPr>
          <w:rFonts w:eastAsia="Arial" w:cs="Arial"/>
        </w:rPr>
        <w:t xml:space="preserve">Ambrosini, V. &amp; Bowman, C. 2009, ‘What are Dynamic Capabilities and Are They a Useful Construct in Strategic Management?’, </w:t>
      </w:r>
      <w:r w:rsidRPr="00781CDA">
        <w:rPr>
          <w:rFonts w:eastAsia="Arial" w:cs="Arial"/>
          <w:i/>
          <w:iCs/>
        </w:rPr>
        <w:t>Internat</w:t>
      </w:r>
      <w:r w:rsidRPr="00217715">
        <w:rPr>
          <w:rFonts w:eastAsia="Arial" w:cs="Arial"/>
          <w:i/>
          <w:iCs/>
        </w:rPr>
        <w:t>ional Journal of Management Reviews,</w:t>
      </w:r>
      <w:r>
        <w:rPr>
          <w:rFonts w:eastAsia="Arial" w:cs="Arial"/>
        </w:rPr>
        <w:t xml:space="preserve"> vol. 11, no. 1, pp. 29-49.</w:t>
      </w:r>
    </w:p>
    <w:p w14:paraId="4956755B" w14:textId="77777777" w:rsidR="00630578" w:rsidRDefault="00630578" w:rsidP="00630578">
      <w:pPr>
        <w:spacing w:after="0" w:line="240" w:lineRule="auto"/>
        <w:ind w:left="1440" w:hanging="720"/>
        <w:rPr>
          <w:rFonts w:eastAsia="Arial" w:cs="Arial"/>
        </w:rPr>
      </w:pPr>
    </w:p>
    <w:p w14:paraId="14E10B76" w14:textId="77777777" w:rsidR="00630578" w:rsidRDefault="00630578" w:rsidP="00630578">
      <w:pPr>
        <w:spacing w:after="0" w:line="240" w:lineRule="auto"/>
        <w:ind w:left="0"/>
        <w:rPr>
          <w:rFonts w:eastAsia="Arial" w:cs="Arial"/>
        </w:rPr>
      </w:pPr>
      <w:r>
        <w:rPr>
          <w:rFonts w:eastAsia="Arial" w:cs="Arial"/>
        </w:rPr>
        <w:t xml:space="preserve">Bagchi, P.K., Chun Ha, B., Skjoett-Larsen, T. &amp; Boege Soerensen, L. 2005, ‘Supply Chain Integration: a European Survey’, </w:t>
      </w:r>
      <w:r w:rsidRPr="00781CDA">
        <w:rPr>
          <w:rFonts w:eastAsia="Arial" w:cs="Arial"/>
          <w:i/>
          <w:iCs/>
        </w:rPr>
        <w:t>The International Journal of Logistics Management,</w:t>
      </w:r>
      <w:r>
        <w:rPr>
          <w:rFonts w:eastAsia="Arial" w:cs="Arial"/>
        </w:rPr>
        <w:t xml:space="preserve"> vol. 16, no. 2, pp. 275-294.</w:t>
      </w:r>
    </w:p>
    <w:p w14:paraId="18817AD2" w14:textId="77777777" w:rsidR="00630578" w:rsidRDefault="00630578" w:rsidP="00630578">
      <w:pPr>
        <w:spacing w:after="0" w:line="240" w:lineRule="auto"/>
        <w:ind w:left="1440" w:hanging="720"/>
        <w:rPr>
          <w:rFonts w:eastAsia="Arial" w:cs="Arial"/>
        </w:rPr>
      </w:pPr>
    </w:p>
    <w:p w14:paraId="3A5192AC" w14:textId="77777777" w:rsidR="00630578" w:rsidRDefault="00630578" w:rsidP="00630578">
      <w:pPr>
        <w:spacing w:after="0" w:line="240" w:lineRule="auto"/>
        <w:ind w:left="0"/>
        <w:rPr>
          <w:rFonts w:eastAsia="Arial" w:cs="Arial"/>
        </w:rPr>
      </w:pPr>
      <w:r>
        <w:rPr>
          <w:rFonts w:eastAsia="Arial" w:cs="Arial"/>
        </w:rPr>
        <w:t xml:space="preserve">Bai, C. &amp; Sarkis, J. 2014, ‘Determining and Applying Sustainable Supplier Key Performance Indicators’, </w:t>
      </w:r>
      <w:r w:rsidRPr="00781CDA">
        <w:rPr>
          <w:rFonts w:eastAsia="Arial" w:cs="Arial"/>
          <w:i/>
          <w:iCs/>
        </w:rPr>
        <w:t>Supply Chain Management: An International Journal,</w:t>
      </w:r>
      <w:r>
        <w:rPr>
          <w:rFonts w:eastAsia="Arial" w:cs="Arial"/>
        </w:rPr>
        <w:t xml:space="preserve"> vol. 19, no. 3, pp. 275-291.</w:t>
      </w:r>
    </w:p>
    <w:p w14:paraId="667495CB" w14:textId="77777777" w:rsidR="00630578" w:rsidRDefault="00630578" w:rsidP="00630578">
      <w:pPr>
        <w:spacing w:after="0" w:line="240" w:lineRule="auto"/>
        <w:ind w:left="1440" w:hanging="720"/>
        <w:rPr>
          <w:rFonts w:eastAsia="Arial" w:cs="Arial"/>
        </w:rPr>
      </w:pPr>
    </w:p>
    <w:p w14:paraId="21A36743" w14:textId="77777777" w:rsidR="00630578" w:rsidRDefault="00630578" w:rsidP="00630578">
      <w:pPr>
        <w:spacing w:after="0" w:line="240" w:lineRule="auto"/>
        <w:ind w:left="0"/>
        <w:rPr>
          <w:rFonts w:eastAsia="Arial" w:cs="Arial"/>
        </w:rPr>
      </w:pPr>
      <w:r>
        <w:rPr>
          <w:rFonts w:eastAsia="Arial" w:cs="Arial"/>
        </w:rPr>
        <w:t>Bilgeri, D., Wortmann, F. &amp; Fleisch, E. 2017, ‘How Digital Transformation Affects Large Manufacturing Companies’ Organisation’.</w:t>
      </w:r>
    </w:p>
    <w:p w14:paraId="14BD3901" w14:textId="77777777" w:rsidR="00630578" w:rsidRDefault="00630578" w:rsidP="00630578">
      <w:pPr>
        <w:spacing w:after="0" w:line="240" w:lineRule="auto"/>
        <w:ind w:left="1440" w:hanging="720"/>
        <w:rPr>
          <w:rFonts w:eastAsia="Arial" w:cs="Arial"/>
        </w:rPr>
      </w:pPr>
    </w:p>
    <w:p w14:paraId="3A408FAA" w14:textId="77777777" w:rsidR="00630578" w:rsidRDefault="00630578" w:rsidP="00630578">
      <w:pPr>
        <w:spacing w:after="0" w:line="240" w:lineRule="auto"/>
        <w:ind w:left="0"/>
        <w:rPr>
          <w:rFonts w:eastAsia="Arial" w:cs="Arial"/>
        </w:rPr>
      </w:pPr>
      <w:r>
        <w:rPr>
          <w:rFonts w:eastAsia="Arial" w:cs="Arial"/>
        </w:rPr>
        <w:t xml:space="preserve">Bloom, N., Brynjolfsson, E., Foster, L., Jarmin, R.S., Patnaik, M., Saporta-Ersten, I. &amp; Van Reenen, J. 2018, ‘What Drives Differences in Management?’, </w:t>
      </w:r>
      <w:r w:rsidRPr="00781CDA">
        <w:rPr>
          <w:rFonts w:eastAsia="Arial" w:cs="Arial"/>
          <w:i/>
          <w:iCs/>
        </w:rPr>
        <w:t>National Bureau of Economic Research</w:t>
      </w:r>
      <w:r>
        <w:rPr>
          <w:rFonts w:eastAsia="Arial" w:cs="Arial"/>
        </w:rPr>
        <w:t>, 25</w:t>
      </w:r>
      <w:r>
        <w:rPr>
          <w:rFonts w:eastAsia="Arial" w:cs="Arial"/>
          <w:vertAlign w:val="superscript"/>
        </w:rPr>
        <w:t>th</w:t>
      </w:r>
      <w:r>
        <w:rPr>
          <w:rFonts w:eastAsia="Arial" w:cs="Arial"/>
        </w:rPr>
        <w:t xml:space="preserve"> April 2018 version.</w:t>
      </w:r>
    </w:p>
    <w:p w14:paraId="59D43E5A" w14:textId="77777777" w:rsidR="00630578" w:rsidRDefault="00630578" w:rsidP="00630578">
      <w:pPr>
        <w:spacing w:after="0" w:line="240" w:lineRule="auto"/>
        <w:ind w:left="1440" w:hanging="720"/>
        <w:rPr>
          <w:rFonts w:eastAsia="Arial" w:cs="Arial"/>
        </w:rPr>
      </w:pPr>
    </w:p>
    <w:p w14:paraId="3E68FB7B" w14:textId="77777777" w:rsidR="00630578" w:rsidRDefault="00630578" w:rsidP="00630578">
      <w:pPr>
        <w:spacing w:after="0" w:line="240" w:lineRule="auto"/>
        <w:ind w:left="1440" w:hanging="720"/>
        <w:rPr>
          <w:rFonts w:eastAsia="Arial" w:cs="Arial"/>
        </w:rPr>
      </w:pPr>
    </w:p>
    <w:p w14:paraId="5C847007" w14:textId="77777777" w:rsidR="00630578" w:rsidRDefault="00630578" w:rsidP="00630578">
      <w:pPr>
        <w:spacing w:after="0" w:line="240" w:lineRule="auto"/>
        <w:ind w:left="0"/>
        <w:rPr>
          <w:rFonts w:eastAsia="Arial" w:cs="Arial"/>
        </w:rPr>
      </w:pPr>
      <w:r>
        <w:rPr>
          <w:rFonts w:eastAsia="Arial" w:cs="Arial"/>
        </w:rPr>
        <w:t>Bloom, N., and J. Van Reenen. 2007, “Measuring and Explaining Management Practices across Firms and Countries.” Quarterly Journal of Economics 122: 1351–1408.</w:t>
      </w:r>
    </w:p>
    <w:p w14:paraId="5FCAAE48" w14:textId="77777777" w:rsidR="00630578" w:rsidRDefault="00630578" w:rsidP="00630578">
      <w:pPr>
        <w:spacing w:after="0" w:line="240" w:lineRule="auto"/>
        <w:ind w:left="1440" w:hanging="720"/>
        <w:rPr>
          <w:rFonts w:eastAsia="Arial" w:cs="Arial"/>
        </w:rPr>
      </w:pPr>
    </w:p>
    <w:p w14:paraId="7D8CF604" w14:textId="77777777" w:rsidR="00630578" w:rsidRDefault="00630578" w:rsidP="00630578">
      <w:pPr>
        <w:ind w:left="0"/>
        <w:rPr>
          <w:rFonts w:eastAsia="Arial" w:cs="Arial"/>
        </w:rPr>
      </w:pPr>
      <w:r>
        <w:rPr>
          <w:rFonts w:eastAsia="Arial" w:cs="Arial"/>
        </w:rPr>
        <w:lastRenderedPageBreak/>
        <w:t xml:space="preserve">Bloom, N &amp; Van Reenen, J 2010, ‘Why do management practices differ across firms and countries?’ </w:t>
      </w:r>
      <w:r w:rsidRPr="00781CDA">
        <w:rPr>
          <w:rFonts w:eastAsia="Arial" w:cs="Arial"/>
          <w:i/>
          <w:iCs/>
        </w:rPr>
        <w:t>Journal of Economic Perspectives</w:t>
      </w:r>
      <w:r>
        <w:rPr>
          <w:rFonts w:eastAsia="Arial" w:cs="Arial"/>
        </w:rPr>
        <w:t>, vol. 24, no. 1, pp. 203–224.</w:t>
      </w:r>
    </w:p>
    <w:p w14:paraId="23C6ECF1" w14:textId="77777777" w:rsidR="00630578" w:rsidRDefault="00630578" w:rsidP="00630578">
      <w:pPr>
        <w:spacing w:after="0" w:line="240" w:lineRule="auto"/>
        <w:ind w:left="0"/>
        <w:rPr>
          <w:rFonts w:eastAsia="Arial" w:cs="Arial"/>
        </w:rPr>
      </w:pPr>
      <w:r>
        <w:rPr>
          <w:rFonts w:eastAsia="Arial" w:cs="Arial"/>
        </w:rPr>
        <w:t xml:space="preserve">Derbyshire, J. 2014, ‘The Impact of Ambidexterity on Enterprise Performance: Evidence from 15 Countries and 14 Sectors’, </w:t>
      </w:r>
      <w:r w:rsidRPr="00781CDA">
        <w:rPr>
          <w:rFonts w:eastAsia="Arial" w:cs="Arial"/>
          <w:i/>
          <w:iCs/>
        </w:rPr>
        <w:t>Technovation,</w:t>
      </w:r>
      <w:r>
        <w:rPr>
          <w:rFonts w:eastAsia="Arial" w:cs="Arial"/>
        </w:rPr>
        <w:t xml:space="preserve"> vol.34, no. 10, pp. 574-581.</w:t>
      </w:r>
    </w:p>
    <w:p w14:paraId="217CAC33" w14:textId="77777777" w:rsidR="00630578" w:rsidRDefault="00630578" w:rsidP="00630578">
      <w:pPr>
        <w:spacing w:after="0" w:line="240" w:lineRule="auto"/>
        <w:ind w:left="1440" w:hanging="720"/>
        <w:rPr>
          <w:rFonts w:eastAsia="Arial" w:cs="Arial"/>
        </w:rPr>
      </w:pPr>
    </w:p>
    <w:p w14:paraId="46E6E16A" w14:textId="77777777" w:rsidR="00630578" w:rsidRDefault="00630578" w:rsidP="00630578">
      <w:pPr>
        <w:spacing w:after="0" w:line="240" w:lineRule="auto"/>
        <w:ind w:left="0"/>
        <w:rPr>
          <w:rFonts w:eastAsia="Arial" w:cs="Arial"/>
        </w:rPr>
      </w:pPr>
      <w:r>
        <w:rPr>
          <w:rFonts w:eastAsia="Arial" w:cs="Arial"/>
        </w:rPr>
        <w:t xml:space="preserve">Formentini, M. &amp; Taticchi, P. 2016, ‘Corporate Sustainability Approaches and Governance Mechanisms in Sustainable Supply Chain Management’, </w:t>
      </w:r>
      <w:r w:rsidRPr="00781CDA">
        <w:rPr>
          <w:rFonts w:eastAsia="Arial" w:cs="Arial"/>
          <w:i/>
          <w:iCs/>
        </w:rPr>
        <w:t>Journal of Cleaner Production,</w:t>
      </w:r>
      <w:r>
        <w:rPr>
          <w:rFonts w:eastAsia="Arial" w:cs="Arial"/>
        </w:rPr>
        <w:t xml:space="preserve"> vol. 112, pp. 1920-1933.</w:t>
      </w:r>
    </w:p>
    <w:p w14:paraId="226284E3" w14:textId="77777777" w:rsidR="00630578" w:rsidRDefault="00630578" w:rsidP="00630578">
      <w:pPr>
        <w:spacing w:after="0" w:line="240" w:lineRule="auto"/>
        <w:ind w:left="1440" w:hanging="720"/>
        <w:rPr>
          <w:rFonts w:eastAsia="Arial" w:cs="Arial"/>
        </w:rPr>
      </w:pPr>
    </w:p>
    <w:p w14:paraId="3890C917" w14:textId="77777777" w:rsidR="00630578" w:rsidRDefault="00630578" w:rsidP="00630578">
      <w:pPr>
        <w:spacing w:after="0" w:line="240" w:lineRule="auto"/>
        <w:ind w:left="0"/>
        <w:rPr>
          <w:rFonts w:eastAsia="Arial" w:cs="Arial"/>
        </w:rPr>
      </w:pPr>
      <w:r>
        <w:rPr>
          <w:rFonts w:eastAsia="Arial" w:cs="Arial"/>
        </w:rPr>
        <w:t xml:space="preserve">Gattorna, J. 2015, ‘Dynamic Supply Chains: How to Design, Build and Manage People-Centric Value Networks’, </w:t>
      </w:r>
      <w:r w:rsidRPr="00781CDA">
        <w:rPr>
          <w:rFonts w:eastAsia="Arial" w:cs="Arial"/>
          <w:i/>
          <w:iCs/>
        </w:rPr>
        <w:t>FT Press</w:t>
      </w:r>
      <w:r>
        <w:rPr>
          <w:rFonts w:eastAsia="Arial" w:cs="Arial"/>
        </w:rPr>
        <w:t>.</w:t>
      </w:r>
    </w:p>
    <w:p w14:paraId="257F3BEB" w14:textId="77777777" w:rsidR="00630578" w:rsidRPr="0086261E" w:rsidRDefault="00630578" w:rsidP="00630578">
      <w:pPr>
        <w:spacing w:after="0" w:line="240" w:lineRule="auto"/>
        <w:ind w:left="1440" w:hanging="720"/>
        <w:rPr>
          <w:rFonts w:eastAsia="Arial" w:cs="Arial"/>
        </w:rPr>
      </w:pPr>
    </w:p>
    <w:p w14:paraId="1D2A6191" w14:textId="77777777" w:rsidR="00630578" w:rsidRPr="0086261E" w:rsidRDefault="00630578" w:rsidP="00630578">
      <w:pPr>
        <w:spacing w:after="0" w:line="240" w:lineRule="auto"/>
        <w:ind w:left="0"/>
        <w:rPr>
          <w:rFonts w:eastAsia="Arial" w:cs="Arial"/>
        </w:rPr>
      </w:pPr>
      <w:r w:rsidRPr="0086261E">
        <w:rPr>
          <w:rFonts w:eastAsia="Arial" w:cs="Arial"/>
        </w:rPr>
        <w:t>Green, R., Agarwal, R., Bajada, C., Brown, P. (2014) “Management Practices in Medium-Sized Enterprises: Insights from Benchmarking Australian Manufacturing firms”, in the SEEANZ Research Book titled “Meeting the Globalisation Challenge: Smarter and innovative SMEs in a globally competitive environment” by Tilde Publications; Ed: Mazzarol, T., Clark,D., Foley, D. and McKeown,T.</w:t>
      </w:r>
    </w:p>
    <w:p w14:paraId="7DEDBE2E" w14:textId="77777777" w:rsidR="00630578" w:rsidRPr="0086261E" w:rsidRDefault="00630578" w:rsidP="00630578">
      <w:pPr>
        <w:spacing w:after="0" w:line="240" w:lineRule="auto"/>
        <w:ind w:left="0"/>
        <w:rPr>
          <w:rFonts w:eastAsia="Arial" w:cs="Arial"/>
        </w:rPr>
      </w:pPr>
    </w:p>
    <w:p w14:paraId="24A5E7FE" w14:textId="77777777" w:rsidR="00630578" w:rsidRDefault="00630578" w:rsidP="00630578">
      <w:pPr>
        <w:spacing w:after="0" w:line="240" w:lineRule="auto"/>
        <w:ind w:left="0"/>
        <w:rPr>
          <w:rFonts w:eastAsia="Arial" w:cs="Arial"/>
        </w:rPr>
      </w:pPr>
      <w:r w:rsidRPr="0086261E">
        <w:rPr>
          <w:rFonts w:eastAsia="Arial" w:cs="Arial"/>
        </w:rPr>
        <w:t>Green, R., Agarwal, R., Van Reenen, J., Bloom, N., Mathews, J., Boedker, C., Sampson, D., Gollan, P., Toner, P., Tan, H., Randhawa, K., Brown, P. J., 2009, Management Matters in Australia – Just how productive are we?, Report for the Department of Innovation, Industry, Science and Research (DIISR) on manufacturing firms, Australia.</w:t>
      </w:r>
    </w:p>
    <w:p w14:paraId="0BC1C9BA" w14:textId="77777777" w:rsidR="00630578" w:rsidRDefault="00630578" w:rsidP="00630578">
      <w:pPr>
        <w:spacing w:after="0" w:line="240" w:lineRule="auto"/>
        <w:ind w:left="0"/>
        <w:rPr>
          <w:rFonts w:eastAsia="Arial" w:cs="Arial"/>
        </w:rPr>
      </w:pPr>
    </w:p>
    <w:p w14:paraId="24649EDE" w14:textId="77777777" w:rsidR="00630578" w:rsidRPr="0086261E" w:rsidRDefault="00630578" w:rsidP="00630578">
      <w:pPr>
        <w:spacing w:after="0" w:line="240" w:lineRule="auto"/>
        <w:ind w:left="0"/>
        <w:rPr>
          <w:rFonts w:eastAsia="Arial" w:cs="Arial"/>
        </w:rPr>
      </w:pPr>
      <w:r w:rsidRPr="00445659">
        <w:rPr>
          <w:rFonts w:eastAsia="Arial" w:cs="Arial"/>
        </w:rPr>
        <w:t>Hendrickson L, Bucifal S, Balaguer A and Hansell D (2015) The employment dynamics of Australian entrepreneurship, Office of the Chief Economist Research Paper, Department of Industry and Science</w:t>
      </w:r>
      <w:r>
        <w:rPr>
          <w:rFonts w:eastAsia="Arial" w:cs="Arial"/>
        </w:rPr>
        <w:t>, Canberra.</w:t>
      </w:r>
    </w:p>
    <w:p w14:paraId="432F6A43" w14:textId="77777777" w:rsidR="00630578" w:rsidRDefault="00630578" w:rsidP="00630578">
      <w:pPr>
        <w:pBdr>
          <w:top w:val="nil"/>
          <w:left w:val="nil"/>
          <w:bottom w:val="nil"/>
          <w:right w:val="nil"/>
          <w:between w:val="nil"/>
        </w:pBdr>
        <w:spacing w:after="0" w:line="240" w:lineRule="auto"/>
        <w:rPr>
          <w:rFonts w:eastAsia="Arial" w:cs="Arial"/>
        </w:rPr>
      </w:pPr>
    </w:p>
    <w:p w14:paraId="0D0C6E59" w14:textId="77777777" w:rsidR="00630578" w:rsidRDefault="00630578" w:rsidP="00630578">
      <w:pPr>
        <w:spacing w:after="0" w:line="240" w:lineRule="auto"/>
        <w:ind w:left="0"/>
        <w:rPr>
          <w:rFonts w:eastAsia="Arial" w:cs="Arial"/>
        </w:rPr>
      </w:pPr>
      <w:r>
        <w:rPr>
          <w:rFonts w:eastAsia="Arial" w:cs="Arial"/>
        </w:rPr>
        <w:t xml:space="preserve">Junni, P., Sarala, R.M., Taras, V. &amp; Tarba, S.Y. 2013, ‘Organisational Ambidexterity and Performance: A Meta-Analysis’, </w:t>
      </w:r>
      <w:r w:rsidRPr="00781CDA">
        <w:rPr>
          <w:rFonts w:eastAsia="Arial" w:cs="Arial"/>
          <w:i/>
          <w:iCs/>
        </w:rPr>
        <w:t>The Academy of Management Perspectives,</w:t>
      </w:r>
      <w:r>
        <w:rPr>
          <w:rFonts w:eastAsia="Arial" w:cs="Arial"/>
        </w:rPr>
        <w:t xml:space="preserve"> vol. 27, no. 4, pp. 299-312.</w:t>
      </w:r>
    </w:p>
    <w:p w14:paraId="30F2164A" w14:textId="77777777" w:rsidR="00630578" w:rsidRDefault="00630578" w:rsidP="00630578">
      <w:pPr>
        <w:spacing w:after="0" w:line="240" w:lineRule="auto"/>
        <w:ind w:left="1440" w:hanging="720"/>
        <w:rPr>
          <w:rFonts w:eastAsia="Arial" w:cs="Arial"/>
        </w:rPr>
      </w:pPr>
    </w:p>
    <w:p w14:paraId="524DD313" w14:textId="77777777" w:rsidR="00630578" w:rsidRDefault="00630578" w:rsidP="00630578">
      <w:pPr>
        <w:spacing w:after="0" w:line="240" w:lineRule="auto"/>
        <w:ind w:left="0"/>
        <w:rPr>
          <w:rFonts w:eastAsia="Arial" w:cs="Arial"/>
        </w:rPr>
      </w:pPr>
      <w:r>
        <w:rPr>
          <w:rFonts w:eastAsia="Arial" w:cs="Arial"/>
        </w:rPr>
        <w:t>Juran, J.M. 1993, ‘Quality Planning and Analysis: From Product Development through Use’..</w:t>
      </w:r>
    </w:p>
    <w:p w14:paraId="0EA7509A" w14:textId="77777777" w:rsidR="00630578" w:rsidRDefault="00630578" w:rsidP="00630578">
      <w:pPr>
        <w:spacing w:after="0" w:line="240" w:lineRule="auto"/>
        <w:ind w:left="1440" w:hanging="720"/>
        <w:rPr>
          <w:rFonts w:eastAsia="Arial" w:cs="Arial"/>
        </w:rPr>
      </w:pPr>
    </w:p>
    <w:p w14:paraId="43CBEF79" w14:textId="77777777" w:rsidR="00630578" w:rsidRDefault="00630578" w:rsidP="00630578">
      <w:pPr>
        <w:spacing w:after="0" w:line="240" w:lineRule="auto"/>
        <w:ind w:left="0"/>
        <w:rPr>
          <w:rFonts w:eastAsia="Arial" w:cs="Arial"/>
        </w:rPr>
      </w:pPr>
      <w:r>
        <w:rPr>
          <w:rFonts w:eastAsia="Arial" w:cs="Arial"/>
        </w:rPr>
        <w:t xml:space="preserve">Kane, G.C., Palmer, D., Phillips, A.N. &amp; Kiron, D. 2015a, ‘Is your Business Ready for a Digital Future?’, </w:t>
      </w:r>
      <w:r w:rsidRPr="00781CDA">
        <w:rPr>
          <w:rFonts w:eastAsia="Arial" w:cs="Arial"/>
          <w:i/>
          <w:iCs/>
        </w:rPr>
        <w:t>MIT Sloan Management Review,</w:t>
      </w:r>
      <w:r>
        <w:rPr>
          <w:rFonts w:eastAsia="Arial" w:cs="Arial"/>
        </w:rPr>
        <w:t xml:space="preserve"> vol. 56, no. 4, pp. 37.</w:t>
      </w:r>
    </w:p>
    <w:p w14:paraId="01AED266" w14:textId="77777777" w:rsidR="00630578" w:rsidRDefault="00630578" w:rsidP="00630578">
      <w:pPr>
        <w:spacing w:after="0" w:line="240" w:lineRule="auto"/>
        <w:ind w:left="1440" w:hanging="720"/>
        <w:rPr>
          <w:rFonts w:eastAsia="Arial" w:cs="Arial"/>
        </w:rPr>
      </w:pPr>
    </w:p>
    <w:p w14:paraId="2ACA3393" w14:textId="77777777" w:rsidR="00630578" w:rsidRDefault="00630578" w:rsidP="00630578">
      <w:pPr>
        <w:spacing w:after="0" w:line="240" w:lineRule="auto"/>
        <w:ind w:left="0"/>
        <w:rPr>
          <w:rFonts w:eastAsia="Arial" w:cs="Arial"/>
        </w:rPr>
      </w:pPr>
      <w:r>
        <w:rPr>
          <w:rFonts w:eastAsia="Arial" w:cs="Arial"/>
        </w:rPr>
        <w:t xml:space="preserve">Kane, G.C., Palmer, D., Phillips, A.N., Kiron, D. &amp; Buckley, N. 2015b, ‘Strategy, Not Technology, Drives Digital Transformation’, </w:t>
      </w:r>
      <w:r w:rsidRPr="00781CDA">
        <w:rPr>
          <w:rFonts w:eastAsia="Arial" w:cs="Arial"/>
          <w:i/>
          <w:iCs/>
        </w:rPr>
        <w:t>MIT Sloan Management Review and Deloitte University Press,</w:t>
      </w:r>
      <w:r>
        <w:rPr>
          <w:rFonts w:eastAsia="Arial" w:cs="Arial"/>
        </w:rPr>
        <w:t xml:space="preserve"> vol. 14, pp. 1-25.</w:t>
      </w:r>
    </w:p>
    <w:p w14:paraId="2A2961CD" w14:textId="77777777" w:rsidR="00630578" w:rsidRDefault="00630578" w:rsidP="00630578">
      <w:pPr>
        <w:spacing w:after="0" w:line="240" w:lineRule="auto"/>
        <w:ind w:left="1440" w:hanging="720"/>
        <w:rPr>
          <w:rFonts w:eastAsia="Arial" w:cs="Arial"/>
        </w:rPr>
      </w:pPr>
    </w:p>
    <w:p w14:paraId="1099C653" w14:textId="77777777" w:rsidR="00630578" w:rsidRDefault="00630578" w:rsidP="00630578">
      <w:pPr>
        <w:spacing w:after="0" w:line="240" w:lineRule="auto"/>
        <w:ind w:left="0"/>
        <w:rPr>
          <w:rFonts w:eastAsia="Arial" w:cs="Arial"/>
        </w:rPr>
      </w:pPr>
      <w:r>
        <w:rPr>
          <w:rFonts w:eastAsia="Arial" w:cs="Arial"/>
        </w:rPr>
        <w:t xml:space="preserve">Mankins, M.C. &amp; Steele, R. 2006, ‘Stop Making Plans; Start Making Decisions’, </w:t>
      </w:r>
      <w:r w:rsidRPr="00781CDA">
        <w:rPr>
          <w:rFonts w:eastAsia="Arial" w:cs="Arial"/>
          <w:i/>
          <w:iCs/>
        </w:rPr>
        <w:t>Harvard Business Review,</w:t>
      </w:r>
      <w:r>
        <w:rPr>
          <w:rFonts w:eastAsia="Arial" w:cs="Arial"/>
        </w:rPr>
        <w:t xml:space="preserve"> vol. 84, no. 1, pp. 76.</w:t>
      </w:r>
    </w:p>
    <w:p w14:paraId="765A1140" w14:textId="77777777" w:rsidR="00630578" w:rsidRDefault="00630578" w:rsidP="00630578">
      <w:pPr>
        <w:spacing w:after="0" w:line="240" w:lineRule="auto"/>
        <w:ind w:left="1440" w:hanging="720"/>
        <w:rPr>
          <w:rFonts w:eastAsia="Arial" w:cs="Arial"/>
        </w:rPr>
      </w:pPr>
    </w:p>
    <w:p w14:paraId="7854BFCE" w14:textId="77777777" w:rsidR="00630578" w:rsidRDefault="00630578" w:rsidP="00630578">
      <w:pPr>
        <w:spacing w:after="0" w:line="240" w:lineRule="auto"/>
        <w:ind w:left="0"/>
        <w:rPr>
          <w:rFonts w:eastAsia="Arial" w:cs="Arial"/>
        </w:rPr>
      </w:pPr>
      <w:r>
        <w:rPr>
          <w:rFonts w:eastAsia="Arial" w:cs="Arial"/>
        </w:rPr>
        <w:t xml:space="preserve">Martin, A. 2005, ‘DigEuLit-a European Framework for Digital Literacy: A Progress Report’, </w:t>
      </w:r>
      <w:r w:rsidRPr="00781CDA">
        <w:rPr>
          <w:rFonts w:eastAsia="Arial" w:cs="Arial"/>
          <w:i/>
          <w:iCs/>
        </w:rPr>
        <w:t>Journal of eLiteracy,</w:t>
      </w:r>
      <w:r>
        <w:rPr>
          <w:rFonts w:eastAsia="Arial" w:cs="Arial"/>
        </w:rPr>
        <w:t xml:space="preserve"> vol. 2, no. 2, pp. 130-136.</w:t>
      </w:r>
    </w:p>
    <w:p w14:paraId="664F2FE7" w14:textId="77777777" w:rsidR="00630578" w:rsidRDefault="00630578" w:rsidP="00630578">
      <w:pPr>
        <w:spacing w:after="0" w:line="240" w:lineRule="auto"/>
        <w:ind w:left="1440" w:hanging="720"/>
        <w:rPr>
          <w:rFonts w:eastAsia="Arial" w:cs="Arial"/>
        </w:rPr>
      </w:pPr>
    </w:p>
    <w:p w14:paraId="06EDAAAE" w14:textId="77777777" w:rsidR="00630578" w:rsidRDefault="00630578" w:rsidP="00630578">
      <w:pPr>
        <w:spacing w:after="0" w:line="240" w:lineRule="auto"/>
        <w:ind w:left="0"/>
        <w:rPr>
          <w:rFonts w:eastAsia="Arial" w:cs="Arial"/>
        </w:rPr>
      </w:pPr>
      <w:r>
        <w:rPr>
          <w:rFonts w:eastAsia="Arial" w:cs="Arial"/>
        </w:rPr>
        <w:t xml:space="preserve">Mentzer, J.T., Derwitt, W., Keebler, J.S., Min, S., Nix, N.W., Smith, C.D. &amp; Zacharia, Z.G. 2001, ‘Defining Supply chain Management’, </w:t>
      </w:r>
      <w:r w:rsidRPr="00781CDA">
        <w:rPr>
          <w:rFonts w:eastAsia="Arial" w:cs="Arial"/>
          <w:i/>
          <w:iCs/>
        </w:rPr>
        <w:t>Journal of Business Logistics,</w:t>
      </w:r>
      <w:r>
        <w:rPr>
          <w:rFonts w:eastAsia="Arial" w:cs="Arial"/>
        </w:rPr>
        <w:t xml:space="preserve"> vol. 22, no 2, pp. 1-25.</w:t>
      </w:r>
    </w:p>
    <w:p w14:paraId="66B98F0E" w14:textId="77777777" w:rsidR="00630578" w:rsidRDefault="00630578" w:rsidP="00630578">
      <w:pPr>
        <w:spacing w:after="0" w:line="240" w:lineRule="auto"/>
        <w:ind w:left="1440" w:hanging="720"/>
        <w:rPr>
          <w:rFonts w:eastAsia="Arial" w:cs="Arial"/>
        </w:rPr>
      </w:pPr>
    </w:p>
    <w:p w14:paraId="77B1EE9D" w14:textId="77777777" w:rsidR="00630578" w:rsidRDefault="00630578" w:rsidP="00630578">
      <w:pPr>
        <w:spacing w:after="0" w:line="240" w:lineRule="auto"/>
        <w:ind w:left="0"/>
        <w:rPr>
          <w:rFonts w:eastAsia="Arial" w:cs="Arial"/>
        </w:rPr>
      </w:pPr>
      <w:r>
        <w:rPr>
          <w:rFonts w:eastAsia="Arial" w:cs="Arial"/>
        </w:rPr>
        <w:t xml:space="preserve">O’Hea, K. 2011, ‘Digital Capacity: How to Understand, Measure, Improve and Get Value From It’, </w:t>
      </w:r>
      <w:r w:rsidRPr="00781CDA">
        <w:rPr>
          <w:rFonts w:eastAsia="Arial" w:cs="Arial"/>
          <w:i/>
          <w:iCs/>
        </w:rPr>
        <w:t>IVI Executive Briefing Series</w:t>
      </w:r>
      <w:r>
        <w:rPr>
          <w:rFonts w:eastAsia="Arial" w:cs="Arial"/>
        </w:rPr>
        <w:t>.</w:t>
      </w:r>
    </w:p>
    <w:p w14:paraId="001BF7C6" w14:textId="77777777" w:rsidR="00630578" w:rsidRDefault="00630578" w:rsidP="00630578">
      <w:pPr>
        <w:spacing w:after="0" w:line="240" w:lineRule="auto"/>
        <w:ind w:left="1440" w:hanging="720"/>
        <w:rPr>
          <w:rFonts w:eastAsia="Arial" w:cs="Arial"/>
        </w:rPr>
      </w:pPr>
    </w:p>
    <w:p w14:paraId="4BFD086C" w14:textId="77777777" w:rsidR="00630578" w:rsidRDefault="00630578" w:rsidP="00630578">
      <w:pPr>
        <w:spacing w:after="0" w:line="240" w:lineRule="auto"/>
        <w:ind w:left="0"/>
        <w:rPr>
          <w:rFonts w:eastAsia="Arial" w:cs="Arial"/>
        </w:rPr>
      </w:pPr>
      <w:r>
        <w:rPr>
          <w:rFonts w:eastAsia="Arial" w:cs="Arial"/>
        </w:rPr>
        <w:lastRenderedPageBreak/>
        <w:t xml:space="preserve">O’Reilly III, C.A. &amp; Tushman, M.L. 201, ‘Lead and Disrupt: How to Solve the Innovator’s Dilemma’, </w:t>
      </w:r>
      <w:r w:rsidRPr="00781CDA">
        <w:rPr>
          <w:rFonts w:eastAsia="Arial" w:cs="Arial"/>
          <w:i/>
          <w:iCs/>
        </w:rPr>
        <w:t>Stanford University Press</w:t>
      </w:r>
      <w:r>
        <w:rPr>
          <w:rFonts w:eastAsia="Arial" w:cs="Arial"/>
        </w:rPr>
        <w:t>.</w:t>
      </w:r>
    </w:p>
    <w:p w14:paraId="4538F87E" w14:textId="77777777" w:rsidR="00630578" w:rsidRDefault="00630578" w:rsidP="00630578">
      <w:pPr>
        <w:spacing w:after="0" w:line="240" w:lineRule="auto"/>
        <w:ind w:left="1440" w:hanging="720"/>
        <w:rPr>
          <w:rFonts w:eastAsia="Arial" w:cs="Arial"/>
        </w:rPr>
      </w:pPr>
    </w:p>
    <w:p w14:paraId="35A1D928" w14:textId="77777777" w:rsidR="00630578" w:rsidRDefault="00630578" w:rsidP="00630578">
      <w:pPr>
        <w:spacing w:after="0" w:line="240" w:lineRule="auto"/>
        <w:ind w:left="0"/>
        <w:rPr>
          <w:rFonts w:eastAsia="Arial" w:cs="Arial"/>
        </w:rPr>
      </w:pPr>
      <w:r>
        <w:rPr>
          <w:rFonts w:eastAsia="Arial" w:cs="Arial"/>
        </w:rPr>
        <w:t xml:space="preserve">Rogers, A., OECD. 2000, ‘Literacy in the Information Age Final Report of the International Adult Literacy Survey: Final Report of the International Adult Literacy Survey’, </w:t>
      </w:r>
      <w:r w:rsidRPr="00781CDA">
        <w:rPr>
          <w:rFonts w:eastAsia="Arial" w:cs="Arial"/>
          <w:i/>
          <w:iCs/>
        </w:rPr>
        <w:t>OECD Publishing,</w:t>
      </w:r>
      <w:r>
        <w:rPr>
          <w:rFonts w:eastAsia="Arial" w:cs="Arial"/>
        </w:rPr>
        <w:t xml:space="preserve"> vol. 46, no. 5, pp. 467-473. </w:t>
      </w:r>
    </w:p>
    <w:p w14:paraId="1D14B624" w14:textId="77777777" w:rsidR="00630578" w:rsidRDefault="00630578" w:rsidP="00630578">
      <w:pPr>
        <w:spacing w:after="0" w:line="240" w:lineRule="auto"/>
        <w:rPr>
          <w:rFonts w:eastAsia="Arial" w:cs="Arial"/>
        </w:rPr>
      </w:pPr>
    </w:p>
    <w:p w14:paraId="3E9C380E" w14:textId="77777777" w:rsidR="00630578" w:rsidRDefault="00630578" w:rsidP="00630578">
      <w:pPr>
        <w:spacing w:after="0" w:line="240" w:lineRule="auto"/>
        <w:ind w:left="0"/>
        <w:rPr>
          <w:rFonts w:eastAsia="Arial" w:cs="Arial"/>
        </w:rPr>
      </w:pPr>
      <w:r>
        <w:rPr>
          <w:rFonts w:eastAsia="Arial" w:cs="Arial"/>
        </w:rPr>
        <w:t xml:space="preserve">OECD. 2011, </w:t>
      </w:r>
      <w:r w:rsidRPr="00781CDA">
        <w:rPr>
          <w:rFonts w:eastAsia="Arial" w:cs="Arial"/>
          <w:i/>
          <w:iCs/>
        </w:rPr>
        <w:t xml:space="preserve">Sustainable Manufacturing Toolkit, </w:t>
      </w:r>
      <w:r>
        <w:rPr>
          <w:rFonts w:eastAsia="Arial" w:cs="Arial"/>
        </w:rPr>
        <w:t>Industry Report, viewed 16 June 2018, &lt;</w:t>
      </w:r>
      <w:hyperlink r:id="rId38">
        <w:r>
          <w:rPr>
            <w:rFonts w:eastAsia="Arial" w:cs="Arial"/>
            <w:color w:val="1155CC"/>
            <w:u w:val="single"/>
          </w:rPr>
          <w:t>http://www.oecd.org/innovation/green/toolkit/48704993.pdf</w:t>
        </w:r>
      </w:hyperlink>
      <w:r>
        <w:rPr>
          <w:rFonts w:eastAsia="Arial" w:cs="Arial"/>
        </w:rPr>
        <w:t xml:space="preserve"> &gt;</w:t>
      </w:r>
    </w:p>
    <w:p w14:paraId="0A1F34AD" w14:textId="77777777" w:rsidR="00630578" w:rsidRDefault="00630578" w:rsidP="00630578">
      <w:pPr>
        <w:spacing w:after="0" w:line="240" w:lineRule="auto"/>
        <w:ind w:left="1440" w:hanging="720"/>
        <w:rPr>
          <w:rFonts w:eastAsia="Arial" w:cs="Arial"/>
        </w:rPr>
      </w:pPr>
    </w:p>
    <w:p w14:paraId="6A347E2D" w14:textId="77777777" w:rsidR="00630578" w:rsidRDefault="00630578" w:rsidP="00630578">
      <w:pPr>
        <w:spacing w:after="0" w:line="240" w:lineRule="auto"/>
        <w:ind w:left="0"/>
        <w:rPr>
          <w:rFonts w:eastAsia="Arial" w:cs="Arial"/>
        </w:rPr>
      </w:pPr>
      <w:r>
        <w:rPr>
          <w:rFonts w:eastAsia="Arial" w:cs="Arial"/>
        </w:rPr>
        <w:t xml:space="preserve">Orsato, R. 2009, ‘Sustainability Strategies: When Does it Pay to be Green?’, </w:t>
      </w:r>
      <w:r w:rsidRPr="00781CDA">
        <w:rPr>
          <w:rFonts w:eastAsia="Arial" w:cs="Arial"/>
          <w:i/>
          <w:iCs/>
        </w:rPr>
        <w:t>Palgrave Macmillan,</w:t>
      </w:r>
      <w:r>
        <w:rPr>
          <w:rFonts w:eastAsia="Arial" w:cs="Arial"/>
        </w:rPr>
        <w:t xml:space="preserve"> pp. 3-22.</w:t>
      </w:r>
    </w:p>
    <w:p w14:paraId="7AD9806D" w14:textId="77777777" w:rsidR="00630578" w:rsidRDefault="00630578" w:rsidP="00630578">
      <w:pPr>
        <w:spacing w:after="0" w:line="240" w:lineRule="auto"/>
        <w:ind w:left="1440" w:hanging="720"/>
        <w:rPr>
          <w:rFonts w:eastAsia="Arial" w:cs="Arial"/>
        </w:rPr>
      </w:pPr>
    </w:p>
    <w:p w14:paraId="0520CE03" w14:textId="77777777" w:rsidR="00630578" w:rsidRDefault="00630578" w:rsidP="00630578">
      <w:pPr>
        <w:spacing w:after="0" w:line="240" w:lineRule="auto"/>
        <w:ind w:left="0"/>
        <w:rPr>
          <w:rFonts w:eastAsia="Arial" w:cs="Arial"/>
        </w:rPr>
      </w:pPr>
      <w:r>
        <w:rPr>
          <w:rFonts w:eastAsia="Arial" w:cs="Arial"/>
        </w:rPr>
        <w:t xml:space="preserve">Orsato, R.J. 2006, ‘Competitive Environmental Strategies: When Does it Pay to be Green?’, </w:t>
      </w:r>
      <w:r w:rsidRPr="00781CDA">
        <w:rPr>
          <w:rFonts w:eastAsia="Arial" w:cs="Arial"/>
          <w:i/>
          <w:iCs/>
        </w:rPr>
        <w:t>California Management Review,</w:t>
      </w:r>
      <w:r>
        <w:rPr>
          <w:rFonts w:eastAsia="Arial" w:cs="Arial"/>
        </w:rPr>
        <w:t xml:space="preserve"> vol. 48, no. 2, pp. 127-143.</w:t>
      </w:r>
    </w:p>
    <w:p w14:paraId="568BF8AB" w14:textId="77777777" w:rsidR="00630578" w:rsidRDefault="00630578" w:rsidP="00630578">
      <w:pPr>
        <w:spacing w:after="0" w:line="240" w:lineRule="auto"/>
        <w:ind w:left="1440" w:hanging="720"/>
        <w:rPr>
          <w:rFonts w:eastAsia="Arial" w:cs="Arial"/>
        </w:rPr>
      </w:pPr>
    </w:p>
    <w:p w14:paraId="52CF9F12" w14:textId="77777777" w:rsidR="00630578" w:rsidRDefault="00630578" w:rsidP="00630578">
      <w:pPr>
        <w:spacing w:after="0" w:line="240" w:lineRule="auto"/>
        <w:ind w:left="0"/>
        <w:rPr>
          <w:rFonts w:eastAsia="Arial" w:cs="Arial"/>
        </w:rPr>
      </w:pPr>
      <w:r>
        <w:rPr>
          <w:rFonts w:eastAsia="Arial" w:cs="Arial"/>
        </w:rPr>
        <w:t xml:space="preserve">Stacey, R. &amp; Mowles, C. 2016, ‘Strategic Management and Organisational Dynamics: The Challenge of Complexity to Ways of Thinking About Organisations’, </w:t>
      </w:r>
      <w:r w:rsidRPr="00781CDA">
        <w:rPr>
          <w:rFonts w:eastAsia="Arial" w:cs="Arial"/>
          <w:i/>
          <w:iCs/>
        </w:rPr>
        <w:t>Personal Education.</w:t>
      </w:r>
      <w:r>
        <w:rPr>
          <w:rFonts w:eastAsia="Arial" w:cs="Arial"/>
        </w:rPr>
        <w:t>.</w:t>
      </w:r>
    </w:p>
    <w:p w14:paraId="02166569" w14:textId="77777777" w:rsidR="00630578" w:rsidRDefault="00630578" w:rsidP="00630578">
      <w:pPr>
        <w:spacing w:after="0" w:line="240" w:lineRule="auto"/>
        <w:ind w:left="1440" w:hanging="720"/>
        <w:rPr>
          <w:rFonts w:eastAsia="Arial" w:cs="Arial"/>
        </w:rPr>
      </w:pPr>
    </w:p>
    <w:p w14:paraId="303D27E4" w14:textId="77777777" w:rsidR="00630578" w:rsidRDefault="00630578" w:rsidP="00630578">
      <w:pPr>
        <w:spacing w:after="0" w:line="240" w:lineRule="auto"/>
        <w:ind w:left="0"/>
        <w:rPr>
          <w:rFonts w:eastAsia="Arial" w:cs="Arial"/>
        </w:rPr>
      </w:pPr>
      <w:r>
        <w:rPr>
          <w:rFonts w:eastAsia="Arial" w:cs="Arial"/>
        </w:rPr>
        <w:t xml:space="preserve">Wade, M. 2015, ‘Digital Business Transformation: A Conceptual Approach’, </w:t>
      </w:r>
      <w:r w:rsidRPr="00781CDA">
        <w:rPr>
          <w:rFonts w:eastAsia="Arial" w:cs="Arial"/>
          <w:i/>
          <w:iCs/>
        </w:rPr>
        <w:t>Transformation.</w:t>
      </w:r>
      <w:r>
        <w:rPr>
          <w:rFonts w:eastAsia="Arial" w:cs="Arial"/>
        </w:rPr>
        <w:t>.</w:t>
      </w:r>
    </w:p>
    <w:p w14:paraId="353018E4" w14:textId="77777777" w:rsidR="00630578" w:rsidRDefault="00630578" w:rsidP="00630578">
      <w:pPr>
        <w:spacing w:after="0" w:line="240" w:lineRule="auto"/>
        <w:ind w:left="0"/>
        <w:rPr>
          <w:rFonts w:eastAsia="Arial" w:cs="Arial"/>
        </w:rPr>
      </w:pPr>
    </w:p>
    <w:p w14:paraId="1137C31D" w14:textId="77777777" w:rsidR="00630578" w:rsidRDefault="00630578" w:rsidP="00630578">
      <w:pPr>
        <w:spacing w:after="0" w:line="240" w:lineRule="auto"/>
        <w:ind w:left="0"/>
        <w:rPr>
          <w:rFonts w:eastAsia="Arial" w:cs="Arial"/>
        </w:rPr>
      </w:pPr>
      <w:r>
        <w:rPr>
          <w:rFonts w:eastAsia="Arial" w:cs="Arial"/>
        </w:rPr>
        <w:t>Westerman, G., Calm</w:t>
      </w:r>
      <w:r>
        <w:rPr>
          <w:rFonts w:eastAsia="Arial" w:cs="Arial"/>
          <w:color w:val="222222"/>
          <w:highlight w:val="white"/>
        </w:rPr>
        <w:t>éjane C., Bonnet, D., Ferraris, P. &amp; McAfee, A. 2011</w:t>
      </w:r>
      <w:r>
        <w:rPr>
          <w:rFonts w:eastAsia="Arial" w:cs="Arial"/>
        </w:rPr>
        <w:t xml:space="preserve">, ‘Digital Transformation: A Roadmap for Billion-Dollar Organisations’, </w:t>
      </w:r>
      <w:r w:rsidRPr="00781CDA">
        <w:rPr>
          <w:rFonts w:eastAsia="Arial" w:cs="Arial"/>
          <w:i/>
          <w:iCs/>
        </w:rPr>
        <w:t>MIT Center for Digital Business and Capgemini Consulting</w:t>
      </w:r>
      <w:r>
        <w:rPr>
          <w:rFonts w:eastAsia="Arial" w:cs="Arial"/>
        </w:rPr>
        <w:t>, pp. 1-68.</w:t>
      </w:r>
    </w:p>
    <w:p w14:paraId="2344F2AC" w14:textId="77777777" w:rsidR="00630578" w:rsidRDefault="00630578" w:rsidP="00630578">
      <w:pPr>
        <w:widowControl w:val="0"/>
        <w:pBdr>
          <w:top w:val="nil"/>
          <w:left w:val="nil"/>
          <w:bottom w:val="nil"/>
          <w:right w:val="nil"/>
          <w:between w:val="nil"/>
        </w:pBdr>
        <w:spacing w:after="0" w:line="276" w:lineRule="auto"/>
        <w:rPr>
          <w:rFonts w:eastAsia="Arial" w:cs="Arial"/>
        </w:rPr>
      </w:pPr>
    </w:p>
    <w:p w14:paraId="716B9581" w14:textId="271E80BC" w:rsidR="00630578" w:rsidRPr="00630578" w:rsidRDefault="00630578" w:rsidP="00630578">
      <w:pPr>
        <w:pStyle w:val="BodyText"/>
        <w:rPr>
          <w:lang w:val="en"/>
        </w:rPr>
      </w:pPr>
      <w:r>
        <w:rPr>
          <w:rFonts w:eastAsia="Arial" w:cs="Arial"/>
        </w:rPr>
        <w:t xml:space="preserve">Wolf, C. &amp; Floyd, S.W. 2017, ‘Strategic Planning Research: Toward a Theory-Driven Agenda’, </w:t>
      </w:r>
      <w:r w:rsidRPr="00781CDA">
        <w:rPr>
          <w:rFonts w:eastAsia="Arial" w:cs="Arial"/>
          <w:i/>
          <w:iCs/>
        </w:rPr>
        <w:t>Journal of Management,</w:t>
      </w:r>
      <w:r>
        <w:rPr>
          <w:rFonts w:eastAsia="Arial" w:cs="Arial"/>
        </w:rPr>
        <w:t xml:space="preserve"> vol. 43, no. 6, pp. 1754-1788.</w:t>
      </w:r>
    </w:p>
    <w:p w14:paraId="77B112F6" w14:textId="537121BC" w:rsidR="005F0F9D" w:rsidRDefault="00630578" w:rsidP="00630578">
      <w:pPr>
        <w:pStyle w:val="Heading6"/>
        <w:rPr>
          <w:lang w:val="en"/>
        </w:rPr>
      </w:pPr>
      <w:r>
        <w:rPr>
          <w:lang w:val="en"/>
        </w:rPr>
        <w:lastRenderedPageBreak/>
        <w:t>Methodological steps in developing management capability scores</w:t>
      </w:r>
    </w:p>
    <w:p w14:paraId="552599A0" w14:textId="77777777" w:rsidR="00630578" w:rsidRDefault="00630578" w:rsidP="00630578">
      <w:pPr>
        <w:spacing w:line="276" w:lineRule="auto"/>
        <w:ind w:left="0"/>
        <w:rPr>
          <w:rFonts w:eastAsia="Arial" w:cs="Arial"/>
        </w:rPr>
      </w:pPr>
      <w:r>
        <w:rPr>
          <w:rFonts w:eastAsia="Arial" w:cs="Arial"/>
        </w:rPr>
        <w:t xml:space="preserve">To calculate a score for management capability, each identified question will have a weighting score for each of its respective response parts. The values for the scores for an individual response range from zero to one. The assigned weighting indicates the level of importance of that particular response relative to others within that same question, with importance being the indication of the extent and use of that particular practice in the organisation. The weightings for the responses within a particular question can be either incremental in scale (i.e. increasing level of importance) or equally weighted (i.e. responses have equal importance). </w:t>
      </w:r>
    </w:p>
    <w:p w14:paraId="42124F18" w14:textId="1545D742" w:rsidR="00630578" w:rsidRDefault="00630578" w:rsidP="00630578">
      <w:pPr>
        <w:pStyle w:val="BodyText"/>
        <w:rPr>
          <w:rFonts w:ascii="Arial" w:eastAsia="Arial" w:hAnsi="Arial" w:cs="Arial"/>
        </w:rPr>
      </w:pPr>
      <w:r>
        <w:rPr>
          <w:rFonts w:ascii="Arial" w:eastAsia="Arial" w:hAnsi="Arial" w:cs="Arial"/>
        </w:rPr>
        <w:t>The distribution of weights across the response parts within a question will be dependent on the particular structure of the question in the MCM. The questionnaire has three types of structural questions that have been identified as either a ‘Scaled’, ‘List’, or ‘List and Scaled’.</w:t>
      </w:r>
    </w:p>
    <w:p w14:paraId="651943AB" w14:textId="076EBD95" w:rsidR="00630578" w:rsidRDefault="00630578" w:rsidP="00630578">
      <w:pPr>
        <w:pStyle w:val="Heading7"/>
        <w:rPr>
          <w:lang w:val="en"/>
        </w:rPr>
      </w:pPr>
      <w:r>
        <w:rPr>
          <w:lang w:val="en"/>
        </w:rPr>
        <w:t>Scaled type</w:t>
      </w:r>
    </w:p>
    <w:p w14:paraId="15632281" w14:textId="3043593B" w:rsidR="00630578" w:rsidRDefault="00630578" w:rsidP="00630578">
      <w:pPr>
        <w:spacing w:line="276" w:lineRule="auto"/>
        <w:ind w:left="0"/>
        <w:rPr>
          <w:rFonts w:eastAsia="Arial" w:cs="Arial"/>
        </w:rPr>
      </w:pPr>
      <w:r>
        <w:rPr>
          <w:rFonts w:eastAsia="Arial" w:cs="Arial"/>
        </w:rPr>
        <w:t xml:space="preserve">A scaled question contains responses that have an incremental scale of importance. Each response component will have an increasing weighting score assigned to them depending on the number of responses for that specific question, with the least important assigned a zero and the most important assigned a value of one. An example of scaled type question in given in </w:t>
      </w:r>
      <w:r w:rsidR="00790B52">
        <w:rPr>
          <w:rFonts w:eastAsia="Arial" w:cs="Arial"/>
        </w:rPr>
        <w:t>Figure </w:t>
      </w:r>
      <w:r>
        <w:rPr>
          <w:rFonts w:eastAsia="Arial" w:cs="Arial"/>
        </w:rPr>
        <w:t>A.1.</w:t>
      </w:r>
    </w:p>
    <w:p w14:paraId="172F7573" w14:textId="77777777" w:rsidR="00630578" w:rsidRDefault="00630578" w:rsidP="00630578">
      <w:pPr>
        <w:pStyle w:val="BodyText"/>
        <w:rPr>
          <w:rFonts w:ascii="Arial" w:eastAsia="Arial" w:hAnsi="Arial" w:cs="Arial"/>
        </w:rPr>
      </w:pPr>
      <w:bookmarkStart w:id="3" w:name="_2xcytpi" w:colFirst="0" w:colLast="0"/>
      <w:bookmarkEnd w:id="3"/>
      <w:r>
        <w:rPr>
          <w:rFonts w:ascii="Arial" w:eastAsia="Arial" w:hAnsi="Arial" w:cs="Arial"/>
        </w:rPr>
        <w:t>Specifically, the questions that contain responses representing time periods have been grouped into similar time periods and have accordingly being assigned weightings by these groupings. For example, the time periods ‘Annually’ and ‘Biannually’ have been grouped together and have been assigned the same weighting score. For specific questions (for example, Q19 and Q20), all the time periods except for ‘Ad hoc’ have been grouped together, with ‘Ad hoc’ being weighted relatively lower.</w:t>
      </w:r>
      <w:r>
        <w:rPr>
          <w:rFonts w:ascii="Arial" w:eastAsia="Arial" w:hAnsi="Arial" w:cs="Arial"/>
          <w:vertAlign w:val="superscript"/>
        </w:rPr>
        <w:footnoteReference w:id="16"/>
      </w:r>
      <w:r>
        <w:rPr>
          <w:rFonts w:ascii="Arial" w:eastAsia="Arial" w:hAnsi="Arial" w:cs="Arial"/>
        </w:rPr>
        <w:t xml:space="preserve"> In some instances, a question contains the option ‘Other’ so that the respondent can specify in writing their own distinct response. An ‘Other’ response within a scaled question has been assigned a zero-weight score value for calculation purposes due to the low number of ‘Other’ responses and feasibility of interpreting each individual written response.</w:t>
      </w:r>
    </w:p>
    <w:p w14:paraId="210BDF45" w14:textId="52B71021" w:rsidR="00E84FBD" w:rsidRDefault="00E84FBD" w:rsidP="005A5340">
      <w:pPr>
        <w:pStyle w:val="Caption"/>
      </w:pPr>
      <w:r>
        <w:lastRenderedPageBreak/>
        <w:t>Figure</w:t>
      </w:r>
      <w:r w:rsidRPr="000618FB">
        <w:t xml:space="preserve"> </w:t>
      </w:r>
      <w:r w:rsidR="0069428D">
        <w:rPr>
          <w:noProof/>
        </w:rPr>
        <w:fldChar w:fldCharType="begin"/>
      </w:r>
      <w:r w:rsidR="0069428D">
        <w:rPr>
          <w:noProof/>
        </w:rPr>
        <w:instrText xml:space="preserve"> STYLEREF 6 \s </w:instrText>
      </w:r>
      <w:r w:rsidR="0069428D">
        <w:rPr>
          <w:noProof/>
        </w:rPr>
        <w:fldChar w:fldCharType="separate"/>
      </w:r>
      <w:r w:rsidR="00111F76">
        <w:rPr>
          <w:noProof/>
        </w:rPr>
        <w:t>A</w:t>
      </w:r>
      <w:r w:rsidR="0069428D">
        <w:rPr>
          <w:noProof/>
        </w:rPr>
        <w:fldChar w:fldCharType="end"/>
      </w:r>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sidR="00111F76">
        <w:rPr>
          <w:noProof/>
        </w:rPr>
        <w:t>1</w:t>
      </w:r>
      <w:r w:rsidRPr="000618FB">
        <w:fldChar w:fldCharType="end"/>
      </w:r>
      <w:r>
        <w:t>: Example of scaled question type, MCM questionnaire, question 10</w:t>
      </w:r>
    </w:p>
    <w:tbl>
      <w:tblPr>
        <w:tblStyle w:val="OCETable"/>
        <w:tblW w:w="5000" w:type="pct"/>
        <w:tblInd w:w="57" w:type="dxa"/>
        <w:tblLayout w:type="fixed"/>
        <w:tblLook w:val="04A0" w:firstRow="1" w:lastRow="0" w:firstColumn="1" w:lastColumn="0" w:noHBand="0" w:noVBand="1"/>
        <w:tblCaption w:val="Figure A1: Example of scaled question type, MCM questionnaire, question 10"/>
        <w:tblDescription w:val="Figure A.1 shows an example of scaled question in the management capability questionnaire. It shows Question 10, which asks: how many key performance indicators were monitored in a specific firm over a reference period (2015-16), with several options provided to be ticked for as many answers. A scaled question contains responses that have an incremental scale of importance."/>
      </w:tblPr>
      <w:tblGrid>
        <w:gridCol w:w="6894"/>
      </w:tblGrid>
      <w:tr w:rsidR="00E84FBD" w14:paraId="76A64B82"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7020" w:type="dxa"/>
            <w:shd w:val="clear" w:color="auto" w:fill="auto"/>
          </w:tcPr>
          <w:p w14:paraId="5F8118EE" w14:textId="63D33412" w:rsidR="00E84FBD" w:rsidRPr="009860D4" w:rsidRDefault="00851E23" w:rsidP="005A5340">
            <w:pPr>
              <w:pStyle w:val="Placeholder"/>
            </w:pPr>
            <w:r>
              <w:rPr>
                <w:noProof/>
                <w:lang w:eastAsia="en-AU"/>
              </w:rPr>
              <w:drawing>
                <wp:inline distT="0" distB="0" distL="0" distR="0" wp14:anchorId="0576F382" wp14:editId="39F19562">
                  <wp:extent cx="4149738" cy="1719072"/>
                  <wp:effectExtent l="0" t="0" r="3175" b="0"/>
                  <wp:docPr id="43" name="Picture 43" descr="Figure A.1 shows an example of scaled question in the management capability questionnaire. It shows Question 10, which asks: how many key performance indicators were monitored in a specific firm over a reference period (2015-16), with several options provided to be ticked for as many answers. A scaled question contains responses that have an incremental scale of importance." title="Figure A1: Example of scaled question type, MCM questionnaire, ques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__=45BB0EC2DFB3A8918f9e8a93df938@abs.gov.au"/>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169075" cy="1727083"/>
                          </a:xfrm>
                          <a:prstGeom prst="rect">
                            <a:avLst/>
                          </a:prstGeom>
                          <a:noFill/>
                          <a:ln>
                            <a:noFill/>
                          </a:ln>
                        </pic:spPr>
                      </pic:pic>
                    </a:graphicData>
                  </a:graphic>
                </wp:inline>
              </w:drawing>
            </w:r>
          </w:p>
        </w:tc>
      </w:tr>
    </w:tbl>
    <w:p w14:paraId="4577AB40" w14:textId="7725D9F6" w:rsidR="00630578" w:rsidRPr="00851E23" w:rsidRDefault="00E84FBD" w:rsidP="00851E23">
      <w:pPr>
        <w:pStyle w:val="Source"/>
        <w:rPr>
          <w:rStyle w:val="Hyperlink"/>
        </w:rPr>
      </w:pPr>
      <w:r>
        <w:t xml:space="preserve">Source: ABS (2017) Management and Organisational Capabilities of Australian Business 2015-16, Cat. No 8172.0, </w:t>
      </w:r>
      <w:hyperlink r:id="rId41" w:history="1">
        <w:r w:rsidRPr="00C81403">
          <w:rPr>
            <w:rStyle w:val="Hyperlink"/>
          </w:rPr>
          <w:t>Questionnaire sample</w:t>
        </w:r>
      </w:hyperlink>
    </w:p>
    <w:p w14:paraId="0D0BA871" w14:textId="5D4EC93F" w:rsidR="00C81403" w:rsidRDefault="00C81403" w:rsidP="00C81403">
      <w:pPr>
        <w:pStyle w:val="BodyText"/>
        <w:rPr>
          <w:rFonts w:ascii="Arial" w:eastAsia="Arial" w:hAnsi="Arial" w:cs="Arial"/>
        </w:rPr>
      </w:pPr>
      <w:r>
        <w:rPr>
          <w:rFonts w:ascii="Arial" w:eastAsia="Arial" w:hAnsi="Arial" w:cs="Arial"/>
        </w:rPr>
        <w:t>With some exceptions, scaled question types in the MCM require the respondent to select a single response. This single response will be the score for that respective question. In the instances where there is more than one response, the score given will equal the highest value response selected by the respondent. A summary of question types and assigned weightings for each management capabilities score can be found in Appendix C.</w:t>
      </w:r>
    </w:p>
    <w:p w14:paraId="1CB16A7C" w14:textId="171CC84A" w:rsidR="00C81403" w:rsidRDefault="00C81403" w:rsidP="00C81403">
      <w:pPr>
        <w:pStyle w:val="Heading7"/>
        <w:rPr>
          <w:lang w:val="en"/>
        </w:rPr>
      </w:pPr>
      <w:r>
        <w:rPr>
          <w:lang w:val="en"/>
        </w:rPr>
        <w:t>List type</w:t>
      </w:r>
    </w:p>
    <w:p w14:paraId="7CBA24C6" w14:textId="500114E6" w:rsidR="00C81403" w:rsidRDefault="00C81403" w:rsidP="00C81403">
      <w:pPr>
        <w:pStyle w:val="BodyText"/>
        <w:rPr>
          <w:rFonts w:ascii="Arial" w:eastAsia="Arial" w:hAnsi="Arial" w:cs="Arial"/>
        </w:rPr>
      </w:pPr>
      <w:r>
        <w:rPr>
          <w:rFonts w:ascii="Arial" w:eastAsia="Arial" w:hAnsi="Arial" w:cs="Arial"/>
        </w:rPr>
        <w:t>A list type question contains responses that do not have an incremental scale of importance, but rather comprises a list of responses in which the respondent is able to select as many of the choices that apply (see Figure A.2). The weighting scores are equally distributed across the responses and are assigned a weight depending on the number of valid responses for that particular question. In some instances, a question may contain an ‘Other’ response. This response is considered valid for list type questions and is included for calculation purposes. The specific response ‘None of the above’ is assigned a weighting score of zero. The sum of the assigned weighting scores for a list type question will equal to one, and the more responses a respondent selects, the higher the score they receive.</w:t>
      </w:r>
    </w:p>
    <w:p w14:paraId="5F0513D2" w14:textId="3E900DC5" w:rsidR="00851E23" w:rsidRDefault="00851E23" w:rsidP="005A5340">
      <w:pPr>
        <w:pStyle w:val="Caption"/>
      </w:pPr>
      <w:r>
        <w:lastRenderedPageBreak/>
        <w:t>Figure</w:t>
      </w:r>
      <w:r w:rsidRPr="000618FB">
        <w:t xml:space="preserve"> </w:t>
      </w:r>
      <w:r w:rsidR="0069428D">
        <w:rPr>
          <w:noProof/>
        </w:rPr>
        <w:fldChar w:fldCharType="begin"/>
      </w:r>
      <w:r w:rsidR="0069428D">
        <w:rPr>
          <w:noProof/>
        </w:rPr>
        <w:instrText xml:space="preserve"> STYLEREF 6 \s </w:instrText>
      </w:r>
      <w:r w:rsidR="0069428D">
        <w:rPr>
          <w:noProof/>
        </w:rPr>
        <w:fldChar w:fldCharType="separate"/>
      </w:r>
      <w:r w:rsidR="00111F76">
        <w:rPr>
          <w:noProof/>
        </w:rPr>
        <w:t>A</w:t>
      </w:r>
      <w:r w:rsidR="0069428D">
        <w:rPr>
          <w:noProof/>
        </w:rPr>
        <w:fldChar w:fldCharType="end"/>
      </w:r>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sidR="00111F76">
        <w:rPr>
          <w:noProof/>
        </w:rPr>
        <w:t>2</w:t>
      </w:r>
      <w:r w:rsidRPr="000618FB">
        <w:fldChar w:fldCharType="end"/>
      </w:r>
      <w:r>
        <w:t>: Example of list question type, MCM questionnaire, question 11</w:t>
      </w:r>
    </w:p>
    <w:tbl>
      <w:tblPr>
        <w:tblStyle w:val="OCETable"/>
        <w:tblW w:w="5000" w:type="pct"/>
        <w:tblInd w:w="57" w:type="dxa"/>
        <w:tblLayout w:type="fixed"/>
        <w:tblLook w:val="04A0" w:firstRow="1" w:lastRow="0" w:firstColumn="1" w:lastColumn="0" w:noHBand="0" w:noVBand="1"/>
        <w:tblCaption w:val="Figure A2: Example of list question type, MCM questionnaire, question 11d question contains responses that have an incremental scale of importance."/>
        <w:tblDescription w:val="Figure A2 shows an example of list question type in the management capability questionnaire. It shows Question 11, which asks: what were the topics of focus for the key performance indicators monitored in a specific firm over a reference period (2015-16), with several options provided to be ticked for as many answers. A list type question contains responses that do not have an incremental scale of importance"/>
      </w:tblPr>
      <w:tblGrid>
        <w:gridCol w:w="6894"/>
      </w:tblGrid>
      <w:tr w:rsidR="00851E23" w14:paraId="17C75CBA"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7020" w:type="dxa"/>
            <w:shd w:val="clear" w:color="auto" w:fill="auto"/>
          </w:tcPr>
          <w:p w14:paraId="60D64950" w14:textId="231233D0" w:rsidR="00851E23" w:rsidRPr="009860D4" w:rsidRDefault="00851E23" w:rsidP="005A5340">
            <w:pPr>
              <w:pStyle w:val="Placeholder"/>
            </w:pPr>
            <w:r w:rsidRPr="00851E23">
              <w:rPr>
                <w:rFonts w:eastAsia="Calibri" w:cs="Times New Roman"/>
                <w:noProof/>
                <w:sz w:val="20"/>
                <w:lang w:eastAsia="en-AU"/>
              </w:rPr>
              <w:drawing>
                <wp:inline distT="0" distB="0" distL="0" distR="0" wp14:anchorId="0C5A64B1" wp14:editId="385EE6A7">
                  <wp:extent cx="4142984" cy="2523744"/>
                  <wp:effectExtent l="0" t="0" r="0" b="0"/>
                  <wp:docPr id="44" name="Picture 44" descr="Figure A2 shows an example of list question type in the management capability questionnaire. It shows Question 11, which asks: what were the topics of focus for the key performance indicators monitored in a specific firm over a reference period (2015-16), with several options provided to be ticked for as many answers. A list type question contains responses that do not have an incremental scale of importance" title="Figure A2: Example of list question type, MCM questionnaire, ques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__=45BB0EC2DFB794B08f9e8a93df938@abs.gov.au"/>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4186261" cy="2550107"/>
                          </a:xfrm>
                          <a:prstGeom prst="rect">
                            <a:avLst/>
                          </a:prstGeom>
                          <a:noFill/>
                          <a:ln>
                            <a:noFill/>
                          </a:ln>
                        </pic:spPr>
                      </pic:pic>
                    </a:graphicData>
                  </a:graphic>
                </wp:inline>
              </w:drawing>
            </w:r>
          </w:p>
        </w:tc>
      </w:tr>
    </w:tbl>
    <w:p w14:paraId="0194CD0C" w14:textId="383DF8C0" w:rsidR="00851E23" w:rsidRDefault="00851E23" w:rsidP="005A5340">
      <w:pPr>
        <w:pStyle w:val="Source"/>
      </w:pPr>
      <w:r>
        <w:t xml:space="preserve">Source: ABS (2017) Management and Organisational Capabilities of Australian Business </w:t>
      </w:r>
      <w:r w:rsidR="00D050E2">
        <w:br/>
      </w:r>
      <w:r>
        <w:t xml:space="preserve">2015–16, Cat. No 8172.0, </w:t>
      </w:r>
      <w:hyperlink r:id="rId44" w:history="1">
        <w:r w:rsidRPr="00C81403">
          <w:rPr>
            <w:rStyle w:val="Hyperlink"/>
          </w:rPr>
          <w:t>Questionnaire sample</w:t>
        </w:r>
      </w:hyperlink>
      <w:r w:rsidRPr="00C81403">
        <w:rPr>
          <w:rStyle w:val="Hyperlink"/>
        </w:rPr>
        <w:t>.</w:t>
      </w:r>
    </w:p>
    <w:p w14:paraId="1E96B7FB" w14:textId="22980E48" w:rsidR="00C81403" w:rsidRDefault="00C81403" w:rsidP="00C81403">
      <w:pPr>
        <w:pStyle w:val="BodyText"/>
        <w:rPr>
          <w:rFonts w:eastAsia="Arial" w:cs="Arial"/>
        </w:rPr>
      </w:pPr>
      <w:r>
        <w:rPr>
          <w:rFonts w:eastAsia="Arial" w:cs="Arial"/>
        </w:rPr>
        <w:t>Questions 43, 46 and 49 in the MCM provide a list of responses that represent a number of different management practices (see Appendix C). As mentioned above, these particular questions will be split by their respective response options and each will be treated as an individual question for the purposes of score construction. Each of these individual questions representing an individual practice will have a score of 1 if the response is selected and 0 otherwise. For these specific questions, the response ‘None of the above’ is excluded from calculations.</w:t>
      </w:r>
    </w:p>
    <w:p w14:paraId="076FE10C" w14:textId="7DAEBA52" w:rsidR="00C81403" w:rsidRDefault="00C81403" w:rsidP="00C81403">
      <w:pPr>
        <w:pStyle w:val="Heading7"/>
        <w:rPr>
          <w:lang w:val="en"/>
        </w:rPr>
      </w:pPr>
      <w:r>
        <w:rPr>
          <w:lang w:val="en"/>
        </w:rPr>
        <w:t>List and scaled type</w:t>
      </w:r>
    </w:p>
    <w:p w14:paraId="53A542F6" w14:textId="77777777" w:rsidR="00352424" w:rsidRDefault="00352424" w:rsidP="00352424">
      <w:pPr>
        <w:ind w:left="0"/>
        <w:rPr>
          <w:rFonts w:eastAsia="Arial" w:cs="Arial"/>
        </w:rPr>
      </w:pPr>
      <w:r>
        <w:rPr>
          <w:rFonts w:eastAsia="Arial" w:cs="Arial"/>
        </w:rPr>
        <w:t xml:space="preserve">These questions comprise of a list of response parts, with each part having its own individual incremental scale. For example, question 20 from the MCM as shown in Figure A.3, contains four response parts, each having an incremental scale of time periods. List and scaled structure types treat each individual response as an individual question and will follow the assigning of weights and calculations as per scaled types. </w:t>
      </w:r>
    </w:p>
    <w:p w14:paraId="15274C52" w14:textId="798C48FF" w:rsidR="00851E23" w:rsidRDefault="00851E23" w:rsidP="005A5340">
      <w:pPr>
        <w:pStyle w:val="Caption"/>
      </w:pPr>
      <w:r>
        <w:lastRenderedPageBreak/>
        <w:t>Figure</w:t>
      </w:r>
      <w:r w:rsidRPr="000618FB">
        <w:t xml:space="preserve"> </w:t>
      </w:r>
      <w:r w:rsidR="0069428D">
        <w:rPr>
          <w:noProof/>
        </w:rPr>
        <w:fldChar w:fldCharType="begin"/>
      </w:r>
      <w:r w:rsidR="0069428D">
        <w:rPr>
          <w:noProof/>
        </w:rPr>
        <w:instrText xml:space="preserve"> STYLEREF 6 \s </w:instrText>
      </w:r>
      <w:r w:rsidR="0069428D">
        <w:rPr>
          <w:noProof/>
        </w:rPr>
        <w:fldChar w:fldCharType="separate"/>
      </w:r>
      <w:r w:rsidR="00111F76">
        <w:rPr>
          <w:noProof/>
        </w:rPr>
        <w:t>A</w:t>
      </w:r>
      <w:r w:rsidR="0069428D">
        <w:rPr>
          <w:noProof/>
        </w:rPr>
        <w:fldChar w:fldCharType="end"/>
      </w:r>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sidR="00111F76">
        <w:rPr>
          <w:noProof/>
        </w:rPr>
        <w:t>3</w:t>
      </w:r>
      <w:r w:rsidRPr="000618FB">
        <w:fldChar w:fldCharType="end"/>
      </w:r>
      <w:r>
        <w:t>: Example of listed and scaled question type, MCM questionnaire, question</w:t>
      </w:r>
      <w:r w:rsidR="00DA43C4">
        <w:t> </w:t>
      </w:r>
      <w:r>
        <w:t>20</w:t>
      </w:r>
    </w:p>
    <w:tbl>
      <w:tblPr>
        <w:tblStyle w:val="OCETable"/>
        <w:tblW w:w="5000" w:type="pct"/>
        <w:tblInd w:w="57" w:type="dxa"/>
        <w:tblLayout w:type="fixed"/>
        <w:tblLook w:val="04A0" w:firstRow="1" w:lastRow="0" w:firstColumn="1" w:lastColumn="0" w:noHBand="0" w:noVBand="1"/>
        <w:tblCaption w:val="Figure A3: Example of listed and scaled question type, MCM questionnaire, question 20"/>
        <w:tblDescription w:val="igure A3 shows an example of listed and scaled question type in the management capability questionnaire. It shows question 20, which contains four response parts, each having an incremental scale of time periods. List and scaled structure types treat each individual response as an individual question and will follow the assigning of weights and calculations as per scaled types."/>
      </w:tblPr>
      <w:tblGrid>
        <w:gridCol w:w="6894"/>
      </w:tblGrid>
      <w:tr w:rsidR="00851E23" w14:paraId="7CBAEB58"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7020" w:type="dxa"/>
            <w:shd w:val="clear" w:color="auto" w:fill="auto"/>
          </w:tcPr>
          <w:p w14:paraId="1FA7A03C" w14:textId="71FC8619" w:rsidR="00851E23" w:rsidRPr="009860D4" w:rsidRDefault="00851E23" w:rsidP="005A5340">
            <w:pPr>
              <w:pStyle w:val="Placeholder"/>
            </w:pPr>
            <w:r w:rsidRPr="00851E23">
              <w:rPr>
                <w:rFonts w:eastAsia="Calibri" w:cs="Times New Roman"/>
                <w:noProof/>
                <w:sz w:val="20"/>
                <w:lang w:eastAsia="en-AU"/>
              </w:rPr>
              <w:drawing>
                <wp:inline distT="0" distB="0" distL="0" distR="0" wp14:anchorId="7FB15574" wp14:editId="09CE12FB">
                  <wp:extent cx="4125468" cy="1940860"/>
                  <wp:effectExtent l="0" t="0" r="8890" b="2540"/>
                  <wp:docPr id="45" name="Picture 45" descr="Figure A3 shows an example of listed and scaled question type in the management capability questionnaire. It shows question 20, which contains four response parts, each having an incremental scale of time periods. List and scaled structure types treat each individual response as an individual question and will follow the assigning of weights and calculations as per scaled types." title="Figure A3: Example of listed and scaled question type, MCM questionnaire, questio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4__=45BB0EC2DFB794B08f9e8a93df938@abs.gov.au"/>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125468" cy="1940860"/>
                          </a:xfrm>
                          <a:prstGeom prst="rect">
                            <a:avLst/>
                          </a:prstGeom>
                          <a:noFill/>
                          <a:ln>
                            <a:noFill/>
                          </a:ln>
                        </pic:spPr>
                      </pic:pic>
                    </a:graphicData>
                  </a:graphic>
                </wp:inline>
              </w:drawing>
            </w:r>
          </w:p>
        </w:tc>
      </w:tr>
    </w:tbl>
    <w:p w14:paraId="07810998" w14:textId="2C74B6F9" w:rsidR="00851E23" w:rsidRPr="00851E23" w:rsidRDefault="00851E23" w:rsidP="00851E23">
      <w:pPr>
        <w:pStyle w:val="Source"/>
      </w:pPr>
      <w:r>
        <w:t xml:space="preserve">Source: ABS (2017) Management and Organisational Capabilities of Australian Business 2015–16, Cat. No 8172.0, </w:t>
      </w:r>
      <w:hyperlink r:id="rId47" w:history="1">
        <w:r w:rsidRPr="00352424">
          <w:rPr>
            <w:rStyle w:val="Hyperlink"/>
          </w:rPr>
          <w:t>Questionnaire sample</w:t>
        </w:r>
      </w:hyperlink>
      <w:r w:rsidRPr="00352424">
        <w:t>.</w:t>
      </w:r>
    </w:p>
    <w:p w14:paraId="2D03966E" w14:textId="48943A56" w:rsidR="00C81403" w:rsidRDefault="004D03E4" w:rsidP="004D03E4">
      <w:pPr>
        <w:pStyle w:val="Heading7"/>
        <w:rPr>
          <w:lang w:val="en"/>
        </w:rPr>
      </w:pPr>
      <w:r>
        <w:rPr>
          <w:lang w:val="en"/>
        </w:rPr>
        <w:t>Calculating individual management capability question scores</w:t>
      </w:r>
    </w:p>
    <w:p w14:paraId="1E5D4A13" w14:textId="77777777" w:rsidR="004D03E4" w:rsidRDefault="004D03E4" w:rsidP="004D03E4">
      <w:pPr>
        <w:spacing w:line="276" w:lineRule="auto"/>
        <w:ind w:left="0"/>
        <w:rPr>
          <w:rFonts w:eastAsia="Arial" w:cs="Arial"/>
        </w:rPr>
      </w:pPr>
      <w:r>
        <w:rPr>
          <w:rFonts w:eastAsia="Arial" w:cs="Arial"/>
        </w:rPr>
        <w:t xml:space="preserve">For each individual MC question, a question score from 0 to 1 will be calculated at the unit record level. The MC question score is calculated using the assigned weighting scores for that specific question. </w:t>
      </w:r>
    </w:p>
    <w:p w14:paraId="4077A225" w14:textId="4D42B068" w:rsidR="004D03E4" w:rsidRDefault="004D03E4" w:rsidP="004D03E4">
      <w:pPr>
        <w:pStyle w:val="BodyText"/>
        <w:rPr>
          <w:rFonts w:eastAsia="Arial" w:cs="Arial"/>
        </w:rPr>
      </w:pPr>
      <w:r>
        <w:rPr>
          <w:rFonts w:eastAsia="Arial" w:cs="Arial"/>
        </w:rPr>
        <w:t>For scaled type MC questions, the question score will equal the assigned weight for the single response indicated by the respondent. In the instances that allow multiple response parts to be selected for a scaled question, the MC question score will equal the highest weighting value response selected. For list type questions, the MC question score is calculated by taking the total sum of the weighted score values for each selected response part.</w:t>
      </w:r>
    </w:p>
    <w:p w14:paraId="67CA0C31" w14:textId="276C1C4F" w:rsidR="004D03E4" w:rsidRDefault="004D03E4" w:rsidP="004D03E4">
      <w:pPr>
        <w:pStyle w:val="Heading7"/>
        <w:rPr>
          <w:lang w:val="en"/>
        </w:rPr>
      </w:pPr>
      <w:r>
        <w:rPr>
          <w:lang w:val="en"/>
        </w:rPr>
        <w:t>Treatment and invalid responses</w:t>
      </w:r>
    </w:p>
    <w:p w14:paraId="42D0F439" w14:textId="77777777" w:rsidR="004D03E4" w:rsidRDefault="004D03E4" w:rsidP="004D03E4">
      <w:pPr>
        <w:spacing w:line="276" w:lineRule="auto"/>
        <w:ind w:left="0"/>
        <w:rPr>
          <w:rFonts w:eastAsia="Arial" w:cs="Arial"/>
        </w:rPr>
      </w:pPr>
      <w:r>
        <w:rPr>
          <w:rFonts w:eastAsia="Arial" w:cs="Arial"/>
        </w:rPr>
        <w:t xml:space="preserve">Invalid responses for calculation purposes have been identified to be those responses that are either missing, missing due to survey sequencing or those responses that have incorrectly ticked more than one box. </w:t>
      </w:r>
    </w:p>
    <w:p w14:paraId="653610DC" w14:textId="77777777" w:rsidR="004D03E4" w:rsidRDefault="004D03E4" w:rsidP="004D03E4">
      <w:pPr>
        <w:spacing w:line="276" w:lineRule="auto"/>
        <w:ind w:left="0"/>
        <w:rPr>
          <w:rFonts w:eastAsia="Arial" w:cs="Arial"/>
        </w:rPr>
      </w:pPr>
      <w:r>
        <w:rPr>
          <w:rFonts w:eastAsia="Arial" w:cs="Arial"/>
        </w:rPr>
        <w:t xml:space="preserve">Respondents that have an identified missing or missing due to sequencing response are assigned a score of 0 for that question. The only exception here is in the calculation of the Supply Chain Management Capability (SCMC) score. In this case, if the respondent has a missing response due to sequencing, (specifically for question 43), that individual unit record will be excluded from the calculation of a SCMC score.  </w:t>
      </w:r>
    </w:p>
    <w:p w14:paraId="6631C62D" w14:textId="77777777" w:rsidR="004D03E4" w:rsidRDefault="004D03E4" w:rsidP="004D03E4">
      <w:pPr>
        <w:spacing w:line="276" w:lineRule="auto"/>
        <w:ind w:left="0"/>
        <w:rPr>
          <w:rFonts w:eastAsia="Arial" w:cs="Arial"/>
        </w:rPr>
      </w:pPr>
      <w:r>
        <w:rPr>
          <w:rFonts w:eastAsia="Arial" w:cs="Arial"/>
        </w:rPr>
        <w:t xml:space="preserve">Respondents that have incorrectly ticked more than one box is deemed an invalid response and will be excluded from the calculation of the specific MC score. </w:t>
      </w:r>
    </w:p>
    <w:p w14:paraId="346B369D" w14:textId="6FDF6405" w:rsidR="00657561" w:rsidRDefault="00657561" w:rsidP="00657561">
      <w:pPr>
        <w:pStyle w:val="BodyText"/>
        <w:rPr>
          <w:rFonts w:asciiTheme="majorHAnsi" w:eastAsiaTheme="majorEastAsia" w:hAnsiTheme="majorHAnsi" w:cstheme="majorBidi"/>
          <w:b/>
          <w:iCs/>
          <w:color w:val="005CAF"/>
          <w:sz w:val="32"/>
          <w:lang w:val="en"/>
        </w:rPr>
      </w:pPr>
    </w:p>
    <w:p w14:paraId="0AFAC967" w14:textId="77777777" w:rsidR="00657561" w:rsidRDefault="00657561" w:rsidP="00657561">
      <w:pPr>
        <w:pStyle w:val="BodyText"/>
        <w:rPr>
          <w:lang w:val="en"/>
        </w:rPr>
        <w:sectPr w:rsidR="00657561" w:rsidSect="0063036B">
          <w:footerReference w:type="default" r:id="rId48"/>
          <w:footerReference w:type="first" r:id="rId49"/>
          <w:pgSz w:w="11906" w:h="16838" w:code="9"/>
          <w:pgMar w:top="1440" w:right="1440" w:bottom="1440" w:left="3572" w:header="709" w:footer="709" w:gutter="0"/>
          <w:pgNumType w:start="1"/>
          <w:cols w:space="708"/>
          <w:docGrid w:linePitch="360"/>
        </w:sectPr>
      </w:pPr>
    </w:p>
    <w:p w14:paraId="779368D0" w14:textId="43A6FB32" w:rsidR="00657561" w:rsidRDefault="00657561" w:rsidP="00657561">
      <w:pPr>
        <w:pStyle w:val="Heading6"/>
      </w:pPr>
      <w:r>
        <w:lastRenderedPageBreak/>
        <w:t>Management capability scores, detailed information</w:t>
      </w:r>
    </w:p>
    <w:p w14:paraId="0C1EE2D9" w14:textId="6B210DF5" w:rsidR="00657561" w:rsidRPr="000618FB" w:rsidRDefault="00657561" w:rsidP="00F92995">
      <w:pPr>
        <w:pStyle w:val="Caption"/>
        <w:ind w:right="687"/>
      </w:pPr>
      <w:r w:rsidRPr="000618FB">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B</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1</w:t>
      </w:r>
      <w:r>
        <w:rPr>
          <w:noProof/>
        </w:rPr>
        <w:fldChar w:fldCharType="end"/>
      </w:r>
      <w:r>
        <w:t>: Average management capability scores by employment size among Australian firms, 2015–16</w:t>
      </w:r>
    </w:p>
    <w:tbl>
      <w:tblPr>
        <w:tblStyle w:val="OCETable"/>
        <w:tblW w:w="4711" w:type="pct"/>
        <w:tblInd w:w="57" w:type="dxa"/>
        <w:tblLayout w:type="fixed"/>
        <w:tblLook w:val="04A0" w:firstRow="1" w:lastRow="0" w:firstColumn="1" w:lastColumn="0" w:noHBand="0" w:noVBand="1"/>
        <w:tblCaption w:val="Table B1: Average management capability scores by employment size among Australian firms, 2015–16"/>
        <w:tblDescription w:val="Table B1 shows average management capability values for the six scores OMC, OMCV2, DCM, EMC, SCMC and SMC by the size of the firm based on the number of employees. Four categories of employment size are presented: 0-4 employees, 5-19 employees, 20-99 employees and 100 and more employees. For all six scores, the value of the scores increases with the firm size or number of employees."/>
      </w:tblPr>
      <w:tblGrid>
        <w:gridCol w:w="3223"/>
        <w:gridCol w:w="765"/>
        <w:gridCol w:w="764"/>
        <w:gridCol w:w="764"/>
        <w:gridCol w:w="764"/>
        <w:gridCol w:w="765"/>
        <w:gridCol w:w="765"/>
        <w:gridCol w:w="765"/>
        <w:gridCol w:w="765"/>
        <w:gridCol w:w="765"/>
        <w:gridCol w:w="765"/>
        <w:gridCol w:w="765"/>
        <w:gridCol w:w="765"/>
      </w:tblGrid>
      <w:tr w:rsidR="004461C5" w14:paraId="2260290A"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3462" w:type="dxa"/>
          </w:tcPr>
          <w:p w14:paraId="4EE25472" w14:textId="77777777" w:rsidR="004461C5" w:rsidRDefault="004461C5" w:rsidP="004461C5">
            <w:pPr>
              <w:pStyle w:val="Tableheadertext"/>
            </w:pPr>
          </w:p>
        </w:tc>
        <w:tc>
          <w:tcPr>
            <w:tcW w:w="1612" w:type="dxa"/>
            <w:gridSpan w:val="2"/>
          </w:tcPr>
          <w:p w14:paraId="5BCE8A54" w14:textId="77777777" w:rsidR="004461C5" w:rsidRDefault="004461C5" w:rsidP="004461C5">
            <w:pPr>
              <w:pStyle w:val="Tableheadertext"/>
              <w:jc w:val="center"/>
            </w:pPr>
            <w:r>
              <w:t>OMC</w:t>
            </w:r>
          </w:p>
        </w:tc>
        <w:tc>
          <w:tcPr>
            <w:tcW w:w="1613" w:type="dxa"/>
            <w:gridSpan w:val="2"/>
          </w:tcPr>
          <w:p w14:paraId="1D9DAE75"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OMCv2</w:t>
            </w:r>
          </w:p>
        </w:tc>
        <w:tc>
          <w:tcPr>
            <w:tcW w:w="1616" w:type="dxa"/>
            <w:gridSpan w:val="2"/>
          </w:tcPr>
          <w:p w14:paraId="453A6E3C"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DMC</w:t>
            </w:r>
          </w:p>
        </w:tc>
        <w:tc>
          <w:tcPr>
            <w:tcW w:w="1616" w:type="dxa"/>
            <w:gridSpan w:val="2"/>
          </w:tcPr>
          <w:p w14:paraId="6DA3C252"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EMC</w:t>
            </w:r>
          </w:p>
        </w:tc>
        <w:tc>
          <w:tcPr>
            <w:tcW w:w="1616" w:type="dxa"/>
            <w:gridSpan w:val="2"/>
          </w:tcPr>
          <w:p w14:paraId="3E62AB6A"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SCMC</w:t>
            </w:r>
          </w:p>
        </w:tc>
        <w:tc>
          <w:tcPr>
            <w:tcW w:w="1616" w:type="dxa"/>
            <w:gridSpan w:val="2"/>
          </w:tcPr>
          <w:p w14:paraId="6A56E370"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SMC</w:t>
            </w:r>
          </w:p>
        </w:tc>
      </w:tr>
      <w:tr w:rsidR="004461C5" w14:paraId="53364DD1" w14:textId="77777777" w:rsidTr="00393EC5">
        <w:trPr>
          <w:cnfStyle w:val="100000000000" w:firstRow="1" w:lastRow="0" w:firstColumn="0" w:lastColumn="0" w:oddVBand="0" w:evenVBand="0" w:oddHBand="0" w:evenHBand="0" w:firstRowFirstColumn="0" w:firstRowLastColumn="0" w:lastRowFirstColumn="0" w:lastRowLastColumn="0"/>
          <w:trHeight w:val="414"/>
          <w:tblHeader/>
        </w:trPr>
        <w:tc>
          <w:tcPr>
            <w:tcW w:w="3462" w:type="dxa"/>
          </w:tcPr>
          <w:p w14:paraId="5E1326F1" w14:textId="77777777" w:rsidR="004461C5" w:rsidRDefault="004461C5" w:rsidP="004461C5">
            <w:pPr>
              <w:pStyle w:val="Tableheadertext"/>
            </w:pPr>
            <w:r>
              <w:t>Number of employees</w:t>
            </w:r>
          </w:p>
        </w:tc>
        <w:tc>
          <w:tcPr>
            <w:tcW w:w="806" w:type="dxa"/>
          </w:tcPr>
          <w:p w14:paraId="1FC9E23D" w14:textId="77777777" w:rsidR="004461C5" w:rsidRDefault="004461C5" w:rsidP="004461C5">
            <w:pPr>
              <w:pStyle w:val="Tableheadertext"/>
              <w:jc w:val="right"/>
            </w:pPr>
            <w:r w:rsidRPr="00C63676">
              <w:rPr>
                <w:color w:val="FFFFFF" w:themeColor="background1"/>
              </w:rPr>
              <w:t>N</w:t>
            </w:r>
          </w:p>
        </w:tc>
        <w:tc>
          <w:tcPr>
            <w:tcW w:w="806" w:type="dxa"/>
          </w:tcPr>
          <w:p w14:paraId="1EF90D36" w14:textId="77777777" w:rsidR="004461C5" w:rsidRDefault="004461C5" w:rsidP="004461C5">
            <w:pPr>
              <w:pStyle w:val="Tableheadertext"/>
            </w:pPr>
            <w:r w:rsidRPr="00C63676">
              <w:rPr>
                <w:color w:val="FFFFFF" w:themeColor="background1"/>
              </w:rPr>
              <w:t>mean</w:t>
            </w:r>
          </w:p>
        </w:tc>
        <w:tc>
          <w:tcPr>
            <w:tcW w:w="806" w:type="dxa"/>
          </w:tcPr>
          <w:p w14:paraId="537C9C4B" w14:textId="77777777" w:rsidR="004461C5" w:rsidRDefault="004461C5" w:rsidP="004461C5">
            <w:pPr>
              <w:pStyle w:val="Tableheadertext"/>
              <w:jc w:val="right"/>
            </w:pPr>
            <w:r w:rsidRPr="00C63676">
              <w:rPr>
                <w:color w:val="FFFFFF" w:themeColor="background1"/>
              </w:rPr>
              <w:t>N</w:t>
            </w:r>
          </w:p>
        </w:tc>
        <w:tc>
          <w:tcPr>
            <w:tcW w:w="807" w:type="dxa"/>
          </w:tcPr>
          <w:p w14:paraId="6E84D49E" w14:textId="77777777" w:rsidR="004461C5" w:rsidRDefault="004461C5" w:rsidP="004461C5">
            <w:pPr>
              <w:pStyle w:val="Tableheadertext"/>
              <w:jc w:val="center"/>
            </w:pPr>
            <w:r w:rsidRPr="00C63676">
              <w:rPr>
                <w:color w:val="FFFFFF" w:themeColor="background1"/>
              </w:rPr>
              <w:t>mean</w:t>
            </w:r>
          </w:p>
        </w:tc>
        <w:tc>
          <w:tcPr>
            <w:tcW w:w="808" w:type="dxa"/>
          </w:tcPr>
          <w:p w14:paraId="78DD9666" w14:textId="77777777" w:rsidR="004461C5" w:rsidRDefault="004461C5" w:rsidP="004461C5">
            <w:pPr>
              <w:pStyle w:val="Tableheadertext"/>
              <w:jc w:val="right"/>
            </w:pPr>
            <w:r w:rsidRPr="00C63676">
              <w:rPr>
                <w:color w:val="FFFFFF" w:themeColor="background1"/>
              </w:rPr>
              <w:t>N</w:t>
            </w:r>
          </w:p>
        </w:tc>
        <w:tc>
          <w:tcPr>
            <w:tcW w:w="808" w:type="dxa"/>
          </w:tcPr>
          <w:p w14:paraId="67DFC18F" w14:textId="77777777" w:rsidR="004461C5" w:rsidRDefault="004461C5" w:rsidP="004461C5">
            <w:pPr>
              <w:pStyle w:val="Tableheadertext"/>
              <w:jc w:val="right"/>
            </w:pPr>
            <w:r w:rsidRPr="00C63676">
              <w:rPr>
                <w:color w:val="FFFFFF" w:themeColor="background1"/>
              </w:rPr>
              <w:t>mean</w:t>
            </w:r>
          </w:p>
        </w:tc>
        <w:tc>
          <w:tcPr>
            <w:tcW w:w="808" w:type="dxa"/>
          </w:tcPr>
          <w:p w14:paraId="0E118A8E" w14:textId="77777777" w:rsidR="004461C5" w:rsidRDefault="004461C5" w:rsidP="004461C5">
            <w:pPr>
              <w:pStyle w:val="Tableheadertext"/>
              <w:jc w:val="right"/>
            </w:pPr>
            <w:r w:rsidRPr="00C63676">
              <w:rPr>
                <w:color w:val="FFFFFF" w:themeColor="background1"/>
              </w:rPr>
              <w:t>N</w:t>
            </w:r>
          </w:p>
        </w:tc>
        <w:tc>
          <w:tcPr>
            <w:tcW w:w="808" w:type="dxa"/>
          </w:tcPr>
          <w:p w14:paraId="51FD29E0" w14:textId="77777777" w:rsidR="004461C5" w:rsidRDefault="004461C5" w:rsidP="004461C5">
            <w:pPr>
              <w:pStyle w:val="Tableheadertext"/>
              <w:jc w:val="right"/>
            </w:pPr>
            <w:r w:rsidRPr="00C63676">
              <w:rPr>
                <w:color w:val="FFFFFF" w:themeColor="background1"/>
              </w:rPr>
              <w:t>mean</w:t>
            </w:r>
          </w:p>
        </w:tc>
        <w:tc>
          <w:tcPr>
            <w:tcW w:w="808" w:type="dxa"/>
          </w:tcPr>
          <w:p w14:paraId="783C4A5E" w14:textId="77777777" w:rsidR="004461C5" w:rsidRDefault="004461C5" w:rsidP="004461C5">
            <w:pPr>
              <w:pStyle w:val="Tableheadertext"/>
              <w:jc w:val="right"/>
            </w:pPr>
            <w:r w:rsidRPr="00C63676">
              <w:rPr>
                <w:color w:val="FFFFFF" w:themeColor="background1"/>
              </w:rPr>
              <w:t>N</w:t>
            </w:r>
          </w:p>
        </w:tc>
        <w:tc>
          <w:tcPr>
            <w:tcW w:w="808" w:type="dxa"/>
          </w:tcPr>
          <w:p w14:paraId="3BFDE9BE" w14:textId="77777777" w:rsidR="004461C5" w:rsidRDefault="004461C5" w:rsidP="004461C5">
            <w:pPr>
              <w:pStyle w:val="Tableheadertext"/>
              <w:jc w:val="center"/>
            </w:pPr>
            <w:r w:rsidRPr="00C63676">
              <w:rPr>
                <w:color w:val="FFFFFF" w:themeColor="background1"/>
              </w:rPr>
              <w:t>mean</w:t>
            </w:r>
          </w:p>
        </w:tc>
        <w:tc>
          <w:tcPr>
            <w:tcW w:w="808" w:type="dxa"/>
          </w:tcPr>
          <w:p w14:paraId="16FCDF97" w14:textId="77777777" w:rsidR="004461C5" w:rsidRDefault="004461C5" w:rsidP="004461C5">
            <w:pPr>
              <w:pStyle w:val="Tableheadertext"/>
              <w:jc w:val="right"/>
            </w:pPr>
            <w:r w:rsidRPr="00C63676">
              <w:rPr>
                <w:color w:val="FFFFFF" w:themeColor="background1"/>
              </w:rPr>
              <w:t>N</w:t>
            </w:r>
          </w:p>
        </w:tc>
        <w:tc>
          <w:tcPr>
            <w:tcW w:w="808" w:type="dxa"/>
          </w:tcPr>
          <w:p w14:paraId="7E1A54DB" w14:textId="77777777" w:rsidR="004461C5" w:rsidRDefault="004461C5" w:rsidP="004461C5">
            <w:pPr>
              <w:pStyle w:val="Tableheadertext"/>
              <w:jc w:val="center"/>
            </w:pPr>
            <w:r w:rsidRPr="00C63676">
              <w:rPr>
                <w:color w:val="FFFFFF" w:themeColor="background1"/>
              </w:rPr>
              <w:t>mean</w:t>
            </w:r>
          </w:p>
        </w:tc>
      </w:tr>
      <w:tr w:rsidR="004461C5" w14:paraId="4D7B08E1"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tcPr>
          <w:p w14:paraId="6554394B" w14:textId="77777777" w:rsidR="004461C5" w:rsidRDefault="004461C5" w:rsidP="004461C5">
            <w:pPr>
              <w:pStyle w:val="Tablebodytext"/>
              <w:jc w:val="both"/>
            </w:pPr>
            <w:r w:rsidRPr="009E5889">
              <w:t>All</w:t>
            </w:r>
          </w:p>
        </w:tc>
        <w:tc>
          <w:tcPr>
            <w:tcW w:w="806" w:type="dxa"/>
            <w:vAlign w:val="center"/>
          </w:tcPr>
          <w:p w14:paraId="6B26E170" w14:textId="77777777" w:rsidR="004461C5" w:rsidRDefault="004461C5" w:rsidP="004461C5">
            <w:pPr>
              <w:pStyle w:val="Tablebodytext"/>
              <w:jc w:val="right"/>
            </w:pPr>
            <w:r w:rsidRPr="009E5889">
              <w:t>7537</w:t>
            </w:r>
          </w:p>
        </w:tc>
        <w:tc>
          <w:tcPr>
            <w:tcW w:w="806" w:type="dxa"/>
            <w:vAlign w:val="center"/>
          </w:tcPr>
          <w:p w14:paraId="4DA374CE" w14:textId="77777777" w:rsidR="004461C5" w:rsidRDefault="004461C5" w:rsidP="004461C5">
            <w:pPr>
              <w:pStyle w:val="Tablebodytext"/>
            </w:pPr>
            <w:r w:rsidRPr="009E5889">
              <w:t>0.28</w:t>
            </w:r>
          </w:p>
        </w:tc>
        <w:tc>
          <w:tcPr>
            <w:tcW w:w="806" w:type="dxa"/>
            <w:vAlign w:val="center"/>
          </w:tcPr>
          <w:p w14:paraId="12C4EB10" w14:textId="77777777" w:rsidR="004461C5" w:rsidRDefault="004461C5" w:rsidP="004461C5">
            <w:pPr>
              <w:pStyle w:val="Tablebodytext"/>
              <w:jc w:val="right"/>
            </w:pPr>
            <w:r w:rsidRPr="009E5889">
              <w:t>12536</w:t>
            </w:r>
          </w:p>
        </w:tc>
        <w:tc>
          <w:tcPr>
            <w:tcW w:w="807" w:type="dxa"/>
            <w:vAlign w:val="center"/>
          </w:tcPr>
          <w:p w14:paraId="277A91B1" w14:textId="77777777" w:rsidR="004461C5" w:rsidRDefault="004461C5" w:rsidP="004461C5">
            <w:pPr>
              <w:pStyle w:val="Tablebodytext"/>
              <w:jc w:val="center"/>
            </w:pPr>
            <w:r w:rsidRPr="009E5889">
              <w:t>0.26</w:t>
            </w:r>
          </w:p>
        </w:tc>
        <w:tc>
          <w:tcPr>
            <w:tcW w:w="808" w:type="dxa"/>
            <w:vAlign w:val="center"/>
          </w:tcPr>
          <w:p w14:paraId="2433F4B7" w14:textId="77777777" w:rsidR="004461C5" w:rsidRDefault="004461C5" w:rsidP="004461C5">
            <w:pPr>
              <w:pStyle w:val="Tablebodytext"/>
              <w:jc w:val="right"/>
            </w:pPr>
            <w:r w:rsidRPr="009E5889">
              <w:t>12536</w:t>
            </w:r>
          </w:p>
        </w:tc>
        <w:tc>
          <w:tcPr>
            <w:tcW w:w="808" w:type="dxa"/>
            <w:vAlign w:val="center"/>
          </w:tcPr>
          <w:p w14:paraId="783FD9E8" w14:textId="77777777" w:rsidR="004461C5" w:rsidRDefault="004461C5" w:rsidP="004461C5">
            <w:pPr>
              <w:pStyle w:val="Tablebodytext"/>
              <w:jc w:val="right"/>
            </w:pPr>
            <w:r w:rsidRPr="009E5889">
              <w:t>0.11</w:t>
            </w:r>
          </w:p>
        </w:tc>
        <w:tc>
          <w:tcPr>
            <w:tcW w:w="808" w:type="dxa"/>
            <w:vAlign w:val="center"/>
          </w:tcPr>
          <w:p w14:paraId="449799C9" w14:textId="77777777" w:rsidR="004461C5" w:rsidRDefault="004461C5" w:rsidP="004461C5">
            <w:pPr>
              <w:pStyle w:val="Tablebodytext"/>
              <w:jc w:val="right"/>
            </w:pPr>
            <w:r w:rsidRPr="009E5889">
              <w:t>12536</w:t>
            </w:r>
          </w:p>
        </w:tc>
        <w:tc>
          <w:tcPr>
            <w:tcW w:w="808" w:type="dxa"/>
            <w:vAlign w:val="center"/>
          </w:tcPr>
          <w:p w14:paraId="06F37B48" w14:textId="77777777" w:rsidR="004461C5" w:rsidRDefault="004461C5" w:rsidP="004461C5">
            <w:pPr>
              <w:pStyle w:val="Tablebodytext"/>
              <w:jc w:val="right"/>
            </w:pPr>
            <w:r w:rsidRPr="009E5889">
              <w:t>0.13</w:t>
            </w:r>
          </w:p>
        </w:tc>
        <w:tc>
          <w:tcPr>
            <w:tcW w:w="808" w:type="dxa"/>
            <w:vAlign w:val="center"/>
          </w:tcPr>
          <w:p w14:paraId="45CD22AB" w14:textId="77777777" w:rsidR="004461C5" w:rsidRDefault="004461C5" w:rsidP="004461C5">
            <w:pPr>
              <w:pStyle w:val="Tablebodytext"/>
              <w:jc w:val="right"/>
            </w:pPr>
            <w:r w:rsidRPr="009E5889">
              <w:t>7537</w:t>
            </w:r>
          </w:p>
        </w:tc>
        <w:tc>
          <w:tcPr>
            <w:tcW w:w="808" w:type="dxa"/>
            <w:vAlign w:val="center"/>
          </w:tcPr>
          <w:p w14:paraId="69B7C5B9" w14:textId="77777777" w:rsidR="004461C5" w:rsidRDefault="004461C5" w:rsidP="004461C5">
            <w:pPr>
              <w:pStyle w:val="Tablebodytext"/>
              <w:jc w:val="center"/>
            </w:pPr>
            <w:r w:rsidRPr="009E5889">
              <w:t>0.17</w:t>
            </w:r>
          </w:p>
        </w:tc>
        <w:tc>
          <w:tcPr>
            <w:tcW w:w="808" w:type="dxa"/>
            <w:vAlign w:val="center"/>
          </w:tcPr>
          <w:p w14:paraId="4A292E9C" w14:textId="77777777" w:rsidR="004461C5" w:rsidRDefault="004461C5" w:rsidP="004461C5">
            <w:pPr>
              <w:pStyle w:val="Tablebodytext"/>
              <w:jc w:val="right"/>
            </w:pPr>
            <w:r w:rsidRPr="009E5889">
              <w:t>12536</w:t>
            </w:r>
          </w:p>
        </w:tc>
        <w:tc>
          <w:tcPr>
            <w:tcW w:w="808" w:type="dxa"/>
            <w:vAlign w:val="center"/>
          </w:tcPr>
          <w:p w14:paraId="28EDFFCC" w14:textId="77777777" w:rsidR="004461C5" w:rsidRDefault="004461C5" w:rsidP="004461C5">
            <w:pPr>
              <w:pStyle w:val="Tablebodytext"/>
              <w:jc w:val="center"/>
            </w:pPr>
            <w:r w:rsidRPr="009E5889">
              <w:t>0.39</w:t>
            </w:r>
          </w:p>
        </w:tc>
      </w:tr>
      <w:tr w:rsidR="004461C5" w14:paraId="0E98EE12" w14:textId="77777777" w:rsidTr="004461C5">
        <w:trPr>
          <w:cnfStyle w:val="000000010000" w:firstRow="0" w:lastRow="0" w:firstColumn="0" w:lastColumn="0" w:oddVBand="0" w:evenVBand="0" w:oddHBand="0" w:evenHBand="1" w:firstRowFirstColumn="0" w:firstRowLastColumn="0" w:lastRowFirstColumn="0" w:lastRowLastColumn="0"/>
        </w:trPr>
        <w:tc>
          <w:tcPr>
            <w:tcW w:w="3462" w:type="dxa"/>
          </w:tcPr>
          <w:p w14:paraId="04107C6E" w14:textId="4F78628E" w:rsidR="004461C5" w:rsidRDefault="004461C5" w:rsidP="004461C5">
            <w:pPr>
              <w:pStyle w:val="Tablebodytext"/>
              <w:jc w:val="both"/>
            </w:pPr>
            <w:r w:rsidRPr="009E5889">
              <w:t>0</w:t>
            </w:r>
            <w:r>
              <w:t>–</w:t>
            </w:r>
            <w:r w:rsidRPr="009E5889">
              <w:t>4</w:t>
            </w:r>
          </w:p>
        </w:tc>
        <w:tc>
          <w:tcPr>
            <w:tcW w:w="806" w:type="dxa"/>
            <w:vAlign w:val="center"/>
          </w:tcPr>
          <w:p w14:paraId="07822F87" w14:textId="77777777" w:rsidR="004461C5" w:rsidRDefault="004461C5" w:rsidP="004461C5">
            <w:pPr>
              <w:pStyle w:val="Tablebodytext"/>
              <w:jc w:val="right"/>
            </w:pPr>
            <w:r w:rsidRPr="009E5889">
              <w:t>2727</w:t>
            </w:r>
          </w:p>
        </w:tc>
        <w:tc>
          <w:tcPr>
            <w:tcW w:w="806" w:type="dxa"/>
            <w:vAlign w:val="center"/>
          </w:tcPr>
          <w:p w14:paraId="2865FDED" w14:textId="77777777" w:rsidR="004461C5" w:rsidRDefault="004461C5" w:rsidP="004461C5">
            <w:pPr>
              <w:pStyle w:val="Tablebodytext"/>
            </w:pPr>
            <w:r w:rsidRPr="009E5889">
              <w:t>0.18</w:t>
            </w:r>
          </w:p>
        </w:tc>
        <w:tc>
          <w:tcPr>
            <w:tcW w:w="806" w:type="dxa"/>
            <w:vAlign w:val="center"/>
          </w:tcPr>
          <w:p w14:paraId="6BCB2332" w14:textId="77777777" w:rsidR="004461C5" w:rsidRDefault="004461C5" w:rsidP="004461C5">
            <w:pPr>
              <w:pStyle w:val="Tablebodytext"/>
              <w:jc w:val="right"/>
            </w:pPr>
            <w:r w:rsidRPr="009E5889">
              <w:t>5393</w:t>
            </w:r>
          </w:p>
        </w:tc>
        <w:tc>
          <w:tcPr>
            <w:tcW w:w="807" w:type="dxa"/>
            <w:vAlign w:val="center"/>
          </w:tcPr>
          <w:p w14:paraId="6B12148C" w14:textId="77777777" w:rsidR="004461C5" w:rsidRDefault="004461C5" w:rsidP="004461C5">
            <w:pPr>
              <w:pStyle w:val="Tablebodytext"/>
              <w:jc w:val="center"/>
            </w:pPr>
            <w:r w:rsidRPr="009E5889">
              <w:t>0.17</w:t>
            </w:r>
          </w:p>
        </w:tc>
        <w:tc>
          <w:tcPr>
            <w:tcW w:w="808" w:type="dxa"/>
            <w:vAlign w:val="center"/>
          </w:tcPr>
          <w:p w14:paraId="2FAB218B" w14:textId="77777777" w:rsidR="004461C5" w:rsidRDefault="004461C5" w:rsidP="004461C5">
            <w:pPr>
              <w:pStyle w:val="Tablebodytext"/>
              <w:jc w:val="right"/>
            </w:pPr>
            <w:r w:rsidRPr="009E5889">
              <w:t>5393</w:t>
            </w:r>
          </w:p>
        </w:tc>
        <w:tc>
          <w:tcPr>
            <w:tcW w:w="808" w:type="dxa"/>
            <w:vAlign w:val="center"/>
          </w:tcPr>
          <w:p w14:paraId="53328D83" w14:textId="77777777" w:rsidR="004461C5" w:rsidRDefault="004461C5" w:rsidP="004461C5">
            <w:pPr>
              <w:pStyle w:val="Tablebodytext"/>
              <w:jc w:val="right"/>
            </w:pPr>
            <w:r w:rsidRPr="009E5889">
              <w:t>0.05</w:t>
            </w:r>
          </w:p>
        </w:tc>
        <w:tc>
          <w:tcPr>
            <w:tcW w:w="808" w:type="dxa"/>
            <w:vAlign w:val="center"/>
          </w:tcPr>
          <w:p w14:paraId="556BC762" w14:textId="77777777" w:rsidR="004461C5" w:rsidRDefault="004461C5" w:rsidP="004461C5">
            <w:pPr>
              <w:pStyle w:val="Tablebodytext"/>
              <w:jc w:val="right"/>
            </w:pPr>
            <w:r w:rsidRPr="009E5889">
              <w:t>5393</w:t>
            </w:r>
          </w:p>
        </w:tc>
        <w:tc>
          <w:tcPr>
            <w:tcW w:w="808" w:type="dxa"/>
            <w:vAlign w:val="center"/>
          </w:tcPr>
          <w:p w14:paraId="22CCF0EA" w14:textId="77777777" w:rsidR="004461C5" w:rsidRDefault="004461C5" w:rsidP="004461C5">
            <w:pPr>
              <w:pStyle w:val="Tablebodytext"/>
              <w:jc w:val="right"/>
            </w:pPr>
            <w:r w:rsidRPr="009E5889">
              <w:t>0.06</w:t>
            </w:r>
          </w:p>
        </w:tc>
        <w:tc>
          <w:tcPr>
            <w:tcW w:w="808" w:type="dxa"/>
            <w:vAlign w:val="center"/>
          </w:tcPr>
          <w:p w14:paraId="2B431395" w14:textId="77777777" w:rsidR="004461C5" w:rsidRDefault="004461C5" w:rsidP="004461C5">
            <w:pPr>
              <w:pStyle w:val="Tablebodytext"/>
              <w:jc w:val="right"/>
            </w:pPr>
            <w:r w:rsidRPr="009E5889">
              <w:t>2727</w:t>
            </w:r>
          </w:p>
        </w:tc>
        <w:tc>
          <w:tcPr>
            <w:tcW w:w="808" w:type="dxa"/>
            <w:vAlign w:val="center"/>
          </w:tcPr>
          <w:p w14:paraId="4752F50C" w14:textId="77777777" w:rsidR="004461C5" w:rsidRDefault="004461C5" w:rsidP="004461C5">
            <w:pPr>
              <w:pStyle w:val="Tablebodytext"/>
              <w:jc w:val="center"/>
            </w:pPr>
            <w:r w:rsidRPr="009E5889">
              <w:t>0.09</w:t>
            </w:r>
          </w:p>
        </w:tc>
        <w:tc>
          <w:tcPr>
            <w:tcW w:w="808" w:type="dxa"/>
            <w:vAlign w:val="center"/>
          </w:tcPr>
          <w:p w14:paraId="548FB6DC" w14:textId="77777777" w:rsidR="004461C5" w:rsidRDefault="004461C5" w:rsidP="004461C5">
            <w:pPr>
              <w:pStyle w:val="Tablebodytext"/>
              <w:jc w:val="right"/>
            </w:pPr>
            <w:r w:rsidRPr="009E5889">
              <w:t>5393</w:t>
            </w:r>
          </w:p>
        </w:tc>
        <w:tc>
          <w:tcPr>
            <w:tcW w:w="808" w:type="dxa"/>
            <w:vAlign w:val="center"/>
          </w:tcPr>
          <w:p w14:paraId="2866E62C" w14:textId="77777777" w:rsidR="004461C5" w:rsidRDefault="004461C5" w:rsidP="004461C5">
            <w:pPr>
              <w:pStyle w:val="Tablebodytext"/>
              <w:jc w:val="center"/>
            </w:pPr>
            <w:r w:rsidRPr="009E5889">
              <w:t>0.26</w:t>
            </w:r>
          </w:p>
        </w:tc>
      </w:tr>
      <w:tr w:rsidR="004461C5" w14:paraId="1AA1D900"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tcPr>
          <w:p w14:paraId="1BF1D1FA" w14:textId="5869B894" w:rsidR="004461C5" w:rsidRDefault="004461C5" w:rsidP="004461C5">
            <w:pPr>
              <w:pStyle w:val="Tablebodytext"/>
              <w:jc w:val="both"/>
            </w:pPr>
            <w:r w:rsidRPr="009E5889">
              <w:t>5</w:t>
            </w:r>
            <w:r>
              <w:t>–</w:t>
            </w:r>
            <w:r w:rsidRPr="009E5889">
              <w:t>19</w:t>
            </w:r>
          </w:p>
        </w:tc>
        <w:tc>
          <w:tcPr>
            <w:tcW w:w="806" w:type="dxa"/>
            <w:vAlign w:val="center"/>
          </w:tcPr>
          <w:p w14:paraId="27112875" w14:textId="77777777" w:rsidR="004461C5" w:rsidRDefault="004461C5" w:rsidP="004461C5">
            <w:pPr>
              <w:pStyle w:val="Tablebodytext"/>
              <w:jc w:val="right"/>
            </w:pPr>
            <w:r w:rsidRPr="009E5889">
              <w:t>1977</w:t>
            </w:r>
          </w:p>
        </w:tc>
        <w:tc>
          <w:tcPr>
            <w:tcW w:w="806" w:type="dxa"/>
            <w:vAlign w:val="center"/>
          </w:tcPr>
          <w:p w14:paraId="5849D2AA" w14:textId="77777777" w:rsidR="004461C5" w:rsidRDefault="004461C5" w:rsidP="004461C5">
            <w:pPr>
              <w:pStyle w:val="Tablebodytext"/>
            </w:pPr>
            <w:r w:rsidRPr="009E5889">
              <w:t>0.25</w:t>
            </w:r>
          </w:p>
        </w:tc>
        <w:tc>
          <w:tcPr>
            <w:tcW w:w="806" w:type="dxa"/>
            <w:vAlign w:val="center"/>
          </w:tcPr>
          <w:p w14:paraId="2323AC82" w14:textId="77777777" w:rsidR="004461C5" w:rsidRDefault="004461C5" w:rsidP="004461C5">
            <w:pPr>
              <w:pStyle w:val="Tablebodytext"/>
              <w:jc w:val="right"/>
            </w:pPr>
            <w:r w:rsidRPr="009E5889">
              <w:t>3204</w:t>
            </w:r>
          </w:p>
        </w:tc>
        <w:tc>
          <w:tcPr>
            <w:tcW w:w="807" w:type="dxa"/>
            <w:vAlign w:val="center"/>
          </w:tcPr>
          <w:p w14:paraId="2A9DCE85" w14:textId="77777777" w:rsidR="004461C5" w:rsidRDefault="004461C5" w:rsidP="004461C5">
            <w:pPr>
              <w:pStyle w:val="Tablebodytext"/>
              <w:jc w:val="center"/>
            </w:pPr>
            <w:r w:rsidRPr="009E5889">
              <w:t>0.25</w:t>
            </w:r>
          </w:p>
        </w:tc>
        <w:tc>
          <w:tcPr>
            <w:tcW w:w="808" w:type="dxa"/>
            <w:vAlign w:val="center"/>
          </w:tcPr>
          <w:p w14:paraId="03088F40" w14:textId="77777777" w:rsidR="004461C5" w:rsidRDefault="004461C5" w:rsidP="004461C5">
            <w:pPr>
              <w:pStyle w:val="Tablebodytext"/>
              <w:jc w:val="right"/>
            </w:pPr>
            <w:r w:rsidRPr="009E5889">
              <w:t>3204</w:t>
            </w:r>
          </w:p>
        </w:tc>
        <w:tc>
          <w:tcPr>
            <w:tcW w:w="808" w:type="dxa"/>
            <w:vAlign w:val="center"/>
          </w:tcPr>
          <w:p w14:paraId="7A6C2FF0" w14:textId="77777777" w:rsidR="004461C5" w:rsidRDefault="004461C5" w:rsidP="004461C5">
            <w:pPr>
              <w:pStyle w:val="Tablebodytext"/>
              <w:jc w:val="right"/>
            </w:pPr>
            <w:r w:rsidRPr="009E5889">
              <w:t>0.09</w:t>
            </w:r>
          </w:p>
        </w:tc>
        <w:tc>
          <w:tcPr>
            <w:tcW w:w="808" w:type="dxa"/>
            <w:vAlign w:val="center"/>
          </w:tcPr>
          <w:p w14:paraId="2377F20B" w14:textId="77777777" w:rsidR="004461C5" w:rsidRDefault="004461C5" w:rsidP="004461C5">
            <w:pPr>
              <w:pStyle w:val="Tablebodytext"/>
              <w:jc w:val="right"/>
            </w:pPr>
            <w:r w:rsidRPr="009E5889">
              <w:t>3204</w:t>
            </w:r>
          </w:p>
        </w:tc>
        <w:tc>
          <w:tcPr>
            <w:tcW w:w="808" w:type="dxa"/>
            <w:vAlign w:val="center"/>
          </w:tcPr>
          <w:p w14:paraId="4B8D511C" w14:textId="77777777" w:rsidR="004461C5" w:rsidRDefault="004461C5" w:rsidP="004461C5">
            <w:pPr>
              <w:pStyle w:val="Tablebodytext"/>
              <w:jc w:val="right"/>
            </w:pPr>
            <w:r w:rsidRPr="009E5889">
              <w:t>0.10</w:t>
            </w:r>
          </w:p>
        </w:tc>
        <w:tc>
          <w:tcPr>
            <w:tcW w:w="808" w:type="dxa"/>
            <w:vAlign w:val="center"/>
          </w:tcPr>
          <w:p w14:paraId="076D7318" w14:textId="77777777" w:rsidR="004461C5" w:rsidRDefault="004461C5" w:rsidP="004461C5">
            <w:pPr>
              <w:pStyle w:val="Tablebodytext"/>
              <w:jc w:val="right"/>
            </w:pPr>
            <w:r w:rsidRPr="009E5889">
              <w:t>1977</w:t>
            </w:r>
          </w:p>
        </w:tc>
        <w:tc>
          <w:tcPr>
            <w:tcW w:w="808" w:type="dxa"/>
            <w:vAlign w:val="center"/>
          </w:tcPr>
          <w:p w14:paraId="0CE523FB" w14:textId="77777777" w:rsidR="004461C5" w:rsidRDefault="004461C5" w:rsidP="004461C5">
            <w:pPr>
              <w:pStyle w:val="Tablebodytext"/>
              <w:jc w:val="center"/>
            </w:pPr>
            <w:r w:rsidRPr="009E5889">
              <w:t>0.14</w:t>
            </w:r>
          </w:p>
        </w:tc>
        <w:tc>
          <w:tcPr>
            <w:tcW w:w="808" w:type="dxa"/>
            <w:vAlign w:val="center"/>
          </w:tcPr>
          <w:p w14:paraId="4DA219DE" w14:textId="77777777" w:rsidR="004461C5" w:rsidRDefault="004461C5" w:rsidP="004461C5">
            <w:pPr>
              <w:pStyle w:val="Tablebodytext"/>
              <w:jc w:val="right"/>
            </w:pPr>
            <w:r w:rsidRPr="009E5889">
              <w:t>3204</w:t>
            </w:r>
          </w:p>
        </w:tc>
        <w:tc>
          <w:tcPr>
            <w:tcW w:w="808" w:type="dxa"/>
            <w:vAlign w:val="center"/>
          </w:tcPr>
          <w:p w14:paraId="5EC730A3" w14:textId="77777777" w:rsidR="004461C5" w:rsidRDefault="004461C5" w:rsidP="004461C5">
            <w:pPr>
              <w:pStyle w:val="Tablebodytext"/>
              <w:jc w:val="center"/>
            </w:pPr>
            <w:r w:rsidRPr="009E5889">
              <w:t>0.38</w:t>
            </w:r>
          </w:p>
        </w:tc>
      </w:tr>
      <w:tr w:rsidR="004461C5" w14:paraId="1482A535" w14:textId="77777777" w:rsidTr="004461C5">
        <w:trPr>
          <w:cnfStyle w:val="000000010000" w:firstRow="0" w:lastRow="0" w:firstColumn="0" w:lastColumn="0" w:oddVBand="0" w:evenVBand="0" w:oddHBand="0" w:evenHBand="1" w:firstRowFirstColumn="0" w:firstRowLastColumn="0" w:lastRowFirstColumn="0" w:lastRowLastColumn="0"/>
        </w:trPr>
        <w:tc>
          <w:tcPr>
            <w:tcW w:w="3462" w:type="dxa"/>
          </w:tcPr>
          <w:p w14:paraId="4E0E8B2C" w14:textId="77777777" w:rsidR="004461C5" w:rsidRDefault="004461C5" w:rsidP="004461C5">
            <w:pPr>
              <w:pStyle w:val="Tablebodytext"/>
              <w:jc w:val="both"/>
            </w:pPr>
            <w:r w:rsidRPr="009E5889">
              <w:t>20-99</w:t>
            </w:r>
          </w:p>
        </w:tc>
        <w:tc>
          <w:tcPr>
            <w:tcW w:w="806" w:type="dxa"/>
            <w:vAlign w:val="center"/>
          </w:tcPr>
          <w:p w14:paraId="1EFDFD57" w14:textId="77777777" w:rsidR="004461C5" w:rsidRDefault="004461C5" w:rsidP="004461C5">
            <w:pPr>
              <w:pStyle w:val="Tablebodytext"/>
              <w:jc w:val="right"/>
            </w:pPr>
            <w:r w:rsidRPr="009E5889">
              <w:t>851</w:t>
            </w:r>
          </w:p>
        </w:tc>
        <w:tc>
          <w:tcPr>
            <w:tcW w:w="806" w:type="dxa"/>
            <w:vAlign w:val="center"/>
          </w:tcPr>
          <w:p w14:paraId="10ECAABB" w14:textId="77777777" w:rsidR="004461C5" w:rsidRDefault="004461C5" w:rsidP="004461C5">
            <w:pPr>
              <w:pStyle w:val="Tablebodytext"/>
            </w:pPr>
            <w:r w:rsidRPr="009E5889">
              <w:t>0.32</w:t>
            </w:r>
          </w:p>
        </w:tc>
        <w:tc>
          <w:tcPr>
            <w:tcW w:w="806" w:type="dxa"/>
            <w:vAlign w:val="center"/>
          </w:tcPr>
          <w:p w14:paraId="625E7D48" w14:textId="77777777" w:rsidR="004461C5" w:rsidRDefault="004461C5" w:rsidP="004461C5">
            <w:pPr>
              <w:pStyle w:val="Tablebodytext"/>
              <w:jc w:val="right"/>
            </w:pPr>
            <w:r w:rsidRPr="009E5889">
              <w:t>1244</w:t>
            </w:r>
          </w:p>
        </w:tc>
        <w:tc>
          <w:tcPr>
            <w:tcW w:w="807" w:type="dxa"/>
            <w:vAlign w:val="center"/>
          </w:tcPr>
          <w:p w14:paraId="5DF91995" w14:textId="77777777" w:rsidR="004461C5" w:rsidRDefault="004461C5" w:rsidP="004461C5">
            <w:pPr>
              <w:pStyle w:val="Tablebodytext"/>
              <w:jc w:val="center"/>
            </w:pPr>
            <w:r w:rsidRPr="009E5889">
              <w:t>0.33</w:t>
            </w:r>
          </w:p>
        </w:tc>
        <w:tc>
          <w:tcPr>
            <w:tcW w:w="808" w:type="dxa"/>
            <w:vAlign w:val="center"/>
          </w:tcPr>
          <w:p w14:paraId="38574E95" w14:textId="77777777" w:rsidR="004461C5" w:rsidRDefault="004461C5" w:rsidP="004461C5">
            <w:pPr>
              <w:pStyle w:val="Tablebodytext"/>
              <w:jc w:val="right"/>
            </w:pPr>
            <w:r w:rsidRPr="009E5889">
              <w:t>1244</w:t>
            </w:r>
          </w:p>
        </w:tc>
        <w:tc>
          <w:tcPr>
            <w:tcW w:w="808" w:type="dxa"/>
            <w:vAlign w:val="center"/>
          </w:tcPr>
          <w:p w14:paraId="086E81B9" w14:textId="77777777" w:rsidR="004461C5" w:rsidRDefault="004461C5" w:rsidP="004461C5">
            <w:pPr>
              <w:pStyle w:val="Tablebodytext"/>
              <w:jc w:val="right"/>
            </w:pPr>
            <w:r w:rsidRPr="009E5889">
              <w:t>0.15</w:t>
            </w:r>
          </w:p>
        </w:tc>
        <w:tc>
          <w:tcPr>
            <w:tcW w:w="808" w:type="dxa"/>
            <w:vAlign w:val="center"/>
          </w:tcPr>
          <w:p w14:paraId="127356A6" w14:textId="77777777" w:rsidR="004461C5" w:rsidRDefault="004461C5" w:rsidP="004461C5">
            <w:pPr>
              <w:pStyle w:val="Tablebodytext"/>
              <w:jc w:val="right"/>
            </w:pPr>
            <w:r w:rsidRPr="009E5889">
              <w:t>1244</w:t>
            </w:r>
          </w:p>
        </w:tc>
        <w:tc>
          <w:tcPr>
            <w:tcW w:w="808" w:type="dxa"/>
            <w:vAlign w:val="center"/>
          </w:tcPr>
          <w:p w14:paraId="6DCFD9DF" w14:textId="77777777" w:rsidR="004461C5" w:rsidRDefault="004461C5" w:rsidP="004461C5">
            <w:pPr>
              <w:pStyle w:val="Tablebodytext"/>
              <w:jc w:val="right"/>
            </w:pPr>
            <w:r w:rsidRPr="009E5889">
              <w:t>0.15</w:t>
            </w:r>
          </w:p>
        </w:tc>
        <w:tc>
          <w:tcPr>
            <w:tcW w:w="808" w:type="dxa"/>
            <w:vAlign w:val="center"/>
          </w:tcPr>
          <w:p w14:paraId="59E6295C" w14:textId="77777777" w:rsidR="004461C5" w:rsidRDefault="004461C5" w:rsidP="004461C5">
            <w:pPr>
              <w:pStyle w:val="Tablebodytext"/>
              <w:jc w:val="right"/>
            </w:pPr>
            <w:r w:rsidRPr="009E5889">
              <w:t>851</w:t>
            </w:r>
          </w:p>
        </w:tc>
        <w:tc>
          <w:tcPr>
            <w:tcW w:w="808" w:type="dxa"/>
            <w:vAlign w:val="center"/>
          </w:tcPr>
          <w:p w14:paraId="6DCD973E" w14:textId="77777777" w:rsidR="004461C5" w:rsidRDefault="004461C5" w:rsidP="004461C5">
            <w:pPr>
              <w:pStyle w:val="Tablebodytext"/>
              <w:jc w:val="center"/>
            </w:pPr>
            <w:r w:rsidRPr="009E5889">
              <w:t>0.20</w:t>
            </w:r>
          </w:p>
        </w:tc>
        <w:tc>
          <w:tcPr>
            <w:tcW w:w="808" w:type="dxa"/>
            <w:vAlign w:val="center"/>
          </w:tcPr>
          <w:p w14:paraId="03302A27" w14:textId="77777777" w:rsidR="004461C5" w:rsidRDefault="004461C5" w:rsidP="004461C5">
            <w:pPr>
              <w:pStyle w:val="Tablebodytext"/>
              <w:jc w:val="right"/>
            </w:pPr>
            <w:r w:rsidRPr="009E5889">
              <w:t>1244</w:t>
            </w:r>
          </w:p>
        </w:tc>
        <w:tc>
          <w:tcPr>
            <w:tcW w:w="808" w:type="dxa"/>
            <w:vAlign w:val="center"/>
          </w:tcPr>
          <w:p w14:paraId="69CDBAC2" w14:textId="77777777" w:rsidR="004461C5" w:rsidRDefault="004461C5" w:rsidP="004461C5">
            <w:pPr>
              <w:pStyle w:val="Tablebodytext"/>
              <w:jc w:val="center"/>
            </w:pPr>
            <w:r w:rsidRPr="009E5889">
              <w:t>0.48</w:t>
            </w:r>
          </w:p>
        </w:tc>
      </w:tr>
      <w:tr w:rsidR="004461C5" w14:paraId="1A61718D"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tcPr>
          <w:p w14:paraId="7308AEFA" w14:textId="77777777" w:rsidR="004461C5" w:rsidRDefault="004461C5" w:rsidP="004461C5">
            <w:pPr>
              <w:pStyle w:val="Tablebodytext"/>
              <w:jc w:val="both"/>
            </w:pPr>
            <w:r w:rsidRPr="009E5889">
              <w:t>100+</w:t>
            </w:r>
          </w:p>
        </w:tc>
        <w:tc>
          <w:tcPr>
            <w:tcW w:w="806" w:type="dxa"/>
            <w:vAlign w:val="center"/>
          </w:tcPr>
          <w:p w14:paraId="2F2DAD06" w14:textId="77777777" w:rsidR="004461C5" w:rsidRDefault="004461C5" w:rsidP="004461C5">
            <w:pPr>
              <w:pStyle w:val="Tablebodytext"/>
              <w:jc w:val="right"/>
            </w:pPr>
            <w:r w:rsidRPr="009E5889">
              <w:t>1982</w:t>
            </w:r>
          </w:p>
        </w:tc>
        <w:tc>
          <w:tcPr>
            <w:tcW w:w="806" w:type="dxa"/>
            <w:vAlign w:val="center"/>
          </w:tcPr>
          <w:p w14:paraId="065390EE" w14:textId="77777777" w:rsidR="004461C5" w:rsidRDefault="004461C5" w:rsidP="004461C5">
            <w:pPr>
              <w:pStyle w:val="Tablebodytext"/>
            </w:pPr>
            <w:r w:rsidRPr="009E5889">
              <w:t>0.41</w:t>
            </w:r>
          </w:p>
        </w:tc>
        <w:tc>
          <w:tcPr>
            <w:tcW w:w="806" w:type="dxa"/>
            <w:vAlign w:val="center"/>
          </w:tcPr>
          <w:p w14:paraId="4EEBB474" w14:textId="77777777" w:rsidR="004461C5" w:rsidRDefault="004461C5" w:rsidP="004461C5">
            <w:pPr>
              <w:pStyle w:val="Tablebodytext"/>
              <w:jc w:val="right"/>
            </w:pPr>
            <w:r w:rsidRPr="009E5889">
              <w:t>2695</w:t>
            </w:r>
          </w:p>
        </w:tc>
        <w:tc>
          <w:tcPr>
            <w:tcW w:w="807" w:type="dxa"/>
            <w:vAlign w:val="center"/>
          </w:tcPr>
          <w:p w14:paraId="4376B69C" w14:textId="77777777" w:rsidR="004461C5" w:rsidRDefault="004461C5" w:rsidP="004461C5">
            <w:pPr>
              <w:pStyle w:val="Tablebodytext"/>
              <w:jc w:val="center"/>
            </w:pPr>
            <w:r w:rsidRPr="009E5889">
              <w:t>0.44</w:t>
            </w:r>
          </w:p>
        </w:tc>
        <w:tc>
          <w:tcPr>
            <w:tcW w:w="808" w:type="dxa"/>
            <w:vAlign w:val="center"/>
          </w:tcPr>
          <w:p w14:paraId="3C484ACD" w14:textId="77777777" w:rsidR="004461C5" w:rsidRDefault="004461C5" w:rsidP="004461C5">
            <w:pPr>
              <w:pStyle w:val="Tablebodytext"/>
              <w:jc w:val="right"/>
            </w:pPr>
            <w:r w:rsidRPr="009E5889">
              <w:t>2695</w:t>
            </w:r>
          </w:p>
        </w:tc>
        <w:tc>
          <w:tcPr>
            <w:tcW w:w="808" w:type="dxa"/>
            <w:vAlign w:val="center"/>
          </w:tcPr>
          <w:p w14:paraId="3C6A62EE" w14:textId="77777777" w:rsidR="004461C5" w:rsidRDefault="004461C5" w:rsidP="004461C5">
            <w:pPr>
              <w:pStyle w:val="Tablebodytext"/>
              <w:jc w:val="right"/>
            </w:pPr>
            <w:r w:rsidRPr="009E5889">
              <w:t>0.22</w:t>
            </w:r>
          </w:p>
        </w:tc>
        <w:tc>
          <w:tcPr>
            <w:tcW w:w="808" w:type="dxa"/>
            <w:vAlign w:val="center"/>
          </w:tcPr>
          <w:p w14:paraId="586210BD" w14:textId="77777777" w:rsidR="004461C5" w:rsidRDefault="004461C5" w:rsidP="004461C5">
            <w:pPr>
              <w:pStyle w:val="Tablebodytext"/>
              <w:jc w:val="right"/>
            </w:pPr>
            <w:r w:rsidRPr="009E5889">
              <w:t>2695</w:t>
            </w:r>
          </w:p>
        </w:tc>
        <w:tc>
          <w:tcPr>
            <w:tcW w:w="808" w:type="dxa"/>
            <w:vAlign w:val="center"/>
          </w:tcPr>
          <w:p w14:paraId="4528F90D" w14:textId="77777777" w:rsidR="004461C5" w:rsidRDefault="004461C5" w:rsidP="004461C5">
            <w:pPr>
              <w:pStyle w:val="Tablebodytext"/>
              <w:jc w:val="right"/>
            </w:pPr>
            <w:r w:rsidRPr="009E5889">
              <w:t>0.27</w:t>
            </w:r>
          </w:p>
        </w:tc>
        <w:tc>
          <w:tcPr>
            <w:tcW w:w="808" w:type="dxa"/>
            <w:vAlign w:val="center"/>
          </w:tcPr>
          <w:p w14:paraId="4FE7521F" w14:textId="77777777" w:rsidR="004461C5" w:rsidRDefault="004461C5" w:rsidP="004461C5">
            <w:pPr>
              <w:pStyle w:val="Tablebodytext"/>
              <w:jc w:val="right"/>
            </w:pPr>
            <w:r w:rsidRPr="009E5889">
              <w:t>1982</w:t>
            </w:r>
          </w:p>
        </w:tc>
        <w:tc>
          <w:tcPr>
            <w:tcW w:w="808" w:type="dxa"/>
            <w:vAlign w:val="center"/>
          </w:tcPr>
          <w:p w14:paraId="78464666" w14:textId="77777777" w:rsidR="004461C5" w:rsidRDefault="004461C5" w:rsidP="004461C5">
            <w:pPr>
              <w:pStyle w:val="Tablebodytext"/>
              <w:jc w:val="center"/>
            </w:pPr>
            <w:r w:rsidRPr="009E5889">
              <w:t>0.29</w:t>
            </w:r>
          </w:p>
        </w:tc>
        <w:tc>
          <w:tcPr>
            <w:tcW w:w="808" w:type="dxa"/>
            <w:vAlign w:val="center"/>
          </w:tcPr>
          <w:p w14:paraId="3B07C0C6" w14:textId="77777777" w:rsidR="004461C5" w:rsidRDefault="004461C5" w:rsidP="004461C5">
            <w:pPr>
              <w:pStyle w:val="Tablebodytext"/>
              <w:jc w:val="right"/>
            </w:pPr>
            <w:r w:rsidRPr="009E5889">
              <w:t>2695</w:t>
            </w:r>
          </w:p>
        </w:tc>
        <w:tc>
          <w:tcPr>
            <w:tcW w:w="808" w:type="dxa"/>
            <w:vAlign w:val="center"/>
          </w:tcPr>
          <w:p w14:paraId="337B4060" w14:textId="77777777" w:rsidR="004461C5" w:rsidRDefault="004461C5" w:rsidP="004461C5">
            <w:pPr>
              <w:pStyle w:val="Tablebodytext"/>
              <w:jc w:val="center"/>
            </w:pPr>
            <w:r w:rsidRPr="009E5889">
              <w:t>0.61</w:t>
            </w:r>
          </w:p>
        </w:tc>
      </w:tr>
    </w:tbl>
    <w:p w14:paraId="4C81E927" w14:textId="328B1DE0" w:rsidR="00657561" w:rsidRPr="00C62F3A" w:rsidRDefault="00657561" w:rsidP="00F92995">
      <w:pPr>
        <w:pStyle w:val="Note"/>
        <w:ind w:right="775"/>
      </w:pPr>
      <w:r w:rsidRPr="00C62F3A">
        <w:t>Note</w:t>
      </w:r>
      <w:r>
        <w:t xml:space="preserve">s: </w:t>
      </w:r>
      <w:r w:rsidR="004461C5">
        <w:t>N denotes number of observations</w:t>
      </w:r>
    </w:p>
    <w:p w14:paraId="2EDA6638" w14:textId="6ADADB2E" w:rsidR="00657561" w:rsidRDefault="00657561" w:rsidP="00F92995">
      <w:pPr>
        <w:pStyle w:val="Source"/>
        <w:ind w:right="687"/>
      </w:pPr>
      <w:r>
        <w:t>Source:</w:t>
      </w:r>
      <w:r w:rsidR="004461C5">
        <w:t xml:space="preserve"> </w:t>
      </w:r>
      <w:r w:rsidR="004461C5">
        <w:rPr>
          <w:rFonts w:eastAsia="Arial"/>
          <w:szCs w:val="16"/>
        </w:rPr>
        <w:t>Australian Bureau of Statistics 2016, Management and Organisational Capabilities of Australian Business, 2015–16. Expanded Confidentialised Unit Record File (CURF), ABS DataLab. Results based on use of ABS Microdata. ABS (2018) Business Longitudinal Analysis Data Environment</w:t>
      </w:r>
    </w:p>
    <w:p w14:paraId="4EC343B4" w14:textId="0FF9CCFB" w:rsidR="004461C5" w:rsidRPr="000618FB" w:rsidRDefault="004461C5" w:rsidP="00F92995">
      <w:pPr>
        <w:pStyle w:val="Caption"/>
        <w:ind w:right="775"/>
      </w:pPr>
      <w:r w:rsidRPr="000618FB">
        <w:lastRenderedPageBreak/>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B</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2</w:t>
      </w:r>
      <w:r>
        <w:rPr>
          <w:noProof/>
        </w:rPr>
        <w:fldChar w:fldCharType="end"/>
      </w:r>
      <w:r>
        <w:t>: Average management capability scores by industry division in Australia, 2015–16</w:t>
      </w:r>
    </w:p>
    <w:tbl>
      <w:tblPr>
        <w:tblStyle w:val="OCETable"/>
        <w:tblW w:w="4711" w:type="pct"/>
        <w:tblInd w:w="57" w:type="dxa"/>
        <w:tblLayout w:type="fixed"/>
        <w:tblLook w:val="04A0" w:firstRow="1" w:lastRow="0" w:firstColumn="1" w:lastColumn="0" w:noHBand="0" w:noVBand="1"/>
        <w:tblCaption w:val="Table B2: Average management capability scores by industry division in Australia, 2015–16"/>
        <w:tblDescription w:val="Table B2 shows average management capability values for the six scores OMC, OMCV2, DCM, EMC, SCMC and SMC by 19 ANZSIC industry divisions. The Table shows that Health Care and Social Assistance show the higher average values for OMC, OMCV2 and SCM, while Agriculture, Forestry and Fishing show the lowest values in these scores."/>
      </w:tblPr>
      <w:tblGrid>
        <w:gridCol w:w="3223"/>
        <w:gridCol w:w="764"/>
        <w:gridCol w:w="764"/>
        <w:gridCol w:w="764"/>
        <w:gridCol w:w="765"/>
        <w:gridCol w:w="765"/>
        <w:gridCol w:w="765"/>
        <w:gridCol w:w="765"/>
        <w:gridCol w:w="765"/>
        <w:gridCol w:w="765"/>
        <w:gridCol w:w="765"/>
        <w:gridCol w:w="765"/>
        <w:gridCol w:w="765"/>
      </w:tblGrid>
      <w:tr w:rsidR="004461C5" w14:paraId="4CBF0FF4" w14:textId="77777777" w:rsidTr="00C52CE4">
        <w:trPr>
          <w:cnfStyle w:val="100000000000" w:firstRow="1" w:lastRow="0" w:firstColumn="0" w:lastColumn="0" w:oddVBand="0" w:evenVBand="0" w:oddHBand="0" w:evenHBand="0" w:firstRowFirstColumn="0" w:firstRowLastColumn="0" w:lastRowFirstColumn="0" w:lastRowLastColumn="0"/>
          <w:tblHeader/>
        </w:trPr>
        <w:tc>
          <w:tcPr>
            <w:tcW w:w="3461" w:type="dxa"/>
          </w:tcPr>
          <w:p w14:paraId="0DF4A0FC" w14:textId="77777777" w:rsidR="004461C5" w:rsidRDefault="004461C5" w:rsidP="004461C5">
            <w:pPr>
              <w:pStyle w:val="Tableheadertext"/>
            </w:pPr>
          </w:p>
        </w:tc>
        <w:tc>
          <w:tcPr>
            <w:tcW w:w="1612" w:type="dxa"/>
            <w:gridSpan w:val="2"/>
          </w:tcPr>
          <w:p w14:paraId="7CD0AD59" w14:textId="77777777" w:rsidR="004461C5" w:rsidRDefault="004461C5" w:rsidP="004461C5">
            <w:pPr>
              <w:pStyle w:val="Tableheadertext"/>
              <w:jc w:val="center"/>
            </w:pPr>
            <w:r>
              <w:t>OMC</w:t>
            </w:r>
          </w:p>
        </w:tc>
        <w:tc>
          <w:tcPr>
            <w:tcW w:w="1613" w:type="dxa"/>
            <w:gridSpan w:val="2"/>
          </w:tcPr>
          <w:p w14:paraId="6C972C4F"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OMCv2</w:t>
            </w:r>
          </w:p>
        </w:tc>
        <w:tc>
          <w:tcPr>
            <w:tcW w:w="1614" w:type="dxa"/>
            <w:gridSpan w:val="2"/>
          </w:tcPr>
          <w:p w14:paraId="7E8BD200"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DMC</w:t>
            </w:r>
          </w:p>
        </w:tc>
        <w:tc>
          <w:tcPr>
            <w:tcW w:w="1614" w:type="dxa"/>
            <w:gridSpan w:val="2"/>
          </w:tcPr>
          <w:p w14:paraId="55043B37"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EMC</w:t>
            </w:r>
          </w:p>
        </w:tc>
        <w:tc>
          <w:tcPr>
            <w:tcW w:w="1614" w:type="dxa"/>
            <w:gridSpan w:val="2"/>
          </w:tcPr>
          <w:p w14:paraId="1E609881"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SCMC</w:t>
            </w:r>
          </w:p>
        </w:tc>
        <w:tc>
          <w:tcPr>
            <w:tcW w:w="1614" w:type="dxa"/>
            <w:gridSpan w:val="2"/>
          </w:tcPr>
          <w:p w14:paraId="7AC75970"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SMC</w:t>
            </w:r>
          </w:p>
        </w:tc>
      </w:tr>
      <w:tr w:rsidR="004461C5" w14:paraId="303C1431" w14:textId="77777777" w:rsidTr="00C52CE4">
        <w:trPr>
          <w:cnfStyle w:val="100000000000" w:firstRow="1" w:lastRow="0" w:firstColumn="0" w:lastColumn="0" w:oddVBand="0" w:evenVBand="0" w:oddHBand="0" w:evenHBand="0" w:firstRowFirstColumn="0" w:firstRowLastColumn="0" w:lastRowFirstColumn="0" w:lastRowLastColumn="0"/>
          <w:trHeight w:val="414"/>
          <w:tblHeader/>
        </w:trPr>
        <w:tc>
          <w:tcPr>
            <w:tcW w:w="3461" w:type="dxa"/>
          </w:tcPr>
          <w:p w14:paraId="58D3DDA1" w14:textId="77777777" w:rsidR="004461C5" w:rsidRDefault="004461C5" w:rsidP="004461C5">
            <w:pPr>
              <w:pStyle w:val="Tableheadertext"/>
            </w:pPr>
            <w:r>
              <w:t>ANZSIC  CODE</w:t>
            </w:r>
          </w:p>
        </w:tc>
        <w:tc>
          <w:tcPr>
            <w:tcW w:w="806" w:type="dxa"/>
          </w:tcPr>
          <w:p w14:paraId="52EA4919" w14:textId="77777777" w:rsidR="004461C5" w:rsidRDefault="004461C5" w:rsidP="00D050E2">
            <w:pPr>
              <w:pStyle w:val="Tableheadertext"/>
              <w:jc w:val="right"/>
            </w:pPr>
            <w:r w:rsidRPr="00C63676">
              <w:rPr>
                <w:color w:val="FFFFFF" w:themeColor="background1"/>
              </w:rPr>
              <w:t>N</w:t>
            </w:r>
          </w:p>
        </w:tc>
        <w:tc>
          <w:tcPr>
            <w:tcW w:w="806" w:type="dxa"/>
          </w:tcPr>
          <w:p w14:paraId="0103153C" w14:textId="77777777" w:rsidR="004461C5" w:rsidRDefault="004461C5" w:rsidP="004461C5">
            <w:pPr>
              <w:pStyle w:val="Tableheadertext"/>
            </w:pPr>
            <w:r w:rsidRPr="00C63676">
              <w:rPr>
                <w:color w:val="FFFFFF" w:themeColor="background1"/>
              </w:rPr>
              <w:t>mean</w:t>
            </w:r>
          </w:p>
        </w:tc>
        <w:tc>
          <w:tcPr>
            <w:tcW w:w="806" w:type="dxa"/>
          </w:tcPr>
          <w:p w14:paraId="6E524768" w14:textId="77777777" w:rsidR="004461C5" w:rsidRDefault="004461C5" w:rsidP="00D050E2">
            <w:pPr>
              <w:pStyle w:val="Tableheadertext"/>
              <w:jc w:val="right"/>
            </w:pPr>
            <w:r w:rsidRPr="00C63676">
              <w:rPr>
                <w:color w:val="FFFFFF" w:themeColor="background1"/>
              </w:rPr>
              <w:t>N</w:t>
            </w:r>
          </w:p>
        </w:tc>
        <w:tc>
          <w:tcPr>
            <w:tcW w:w="807" w:type="dxa"/>
          </w:tcPr>
          <w:p w14:paraId="658A4BDA" w14:textId="77777777" w:rsidR="004461C5" w:rsidRDefault="004461C5" w:rsidP="00D050E2">
            <w:pPr>
              <w:pStyle w:val="Tableheadertext"/>
              <w:jc w:val="right"/>
            </w:pPr>
            <w:r w:rsidRPr="00C63676">
              <w:rPr>
                <w:color w:val="FFFFFF" w:themeColor="background1"/>
              </w:rPr>
              <w:t>mean</w:t>
            </w:r>
          </w:p>
        </w:tc>
        <w:tc>
          <w:tcPr>
            <w:tcW w:w="807" w:type="dxa"/>
          </w:tcPr>
          <w:p w14:paraId="058CE54E" w14:textId="77777777" w:rsidR="004461C5" w:rsidRDefault="004461C5" w:rsidP="00D050E2">
            <w:pPr>
              <w:pStyle w:val="Tableheadertext"/>
              <w:jc w:val="right"/>
            </w:pPr>
            <w:r w:rsidRPr="00C63676">
              <w:rPr>
                <w:color w:val="FFFFFF" w:themeColor="background1"/>
              </w:rPr>
              <w:t>N</w:t>
            </w:r>
          </w:p>
        </w:tc>
        <w:tc>
          <w:tcPr>
            <w:tcW w:w="807" w:type="dxa"/>
          </w:tcPr>
          <w:p w14:paraId="0945A586" w14:textId="77777777" w:rsidR="004461C5" w:rsidRDefault="004461C5" w:rsidP="00D050E2">
            <w:pPr>
              <w:pStyle w:val="Tableheadertext"/>
              <w:jc w:val="right"/>
            </w:pPr>
            <w:r w:rsidRPr="00C63676">
              <w:rPr>
                <w:color w:val="FFFFFF" w:themeColor="background1"/>
              </w:rPr>
              <w:t>mean</w:t>
            </w:r>
          </w:p>
        </w:tc>
        <w:tc>
          <w:tcPr>
            <w:tcW w:w="807" w:type="dxa"/>
          </w:tcPr>
          <w:p w14:paraId="4FEBC465" w14:textId="77777777" w:rsidR="004461C5" w:rsidRDefault="004461C5" w:rsidP="00D050E2">
            <w:pPr>
              <w:pStyle w:val="Tableheadertext"/>
              <w:jc w:val="right"/>
            </w:pPr>
            <w:r w:rsidRPr="00C63676">
              <w:rPr>
                <w:color w:val="FFFFFF" w:themeColor="background1"/>
              </w:rPr>
              <w:t>N</w:t>
            </w:r>
          </w:p>
        </w:tc>
        <w:tc>
          <w:tcPr>
            <w:tcW w:w="807" w:type="dxa"/>
          </w:tcPr>
          <w:p w14:paraId="22DA31CE" w14:textId="77777777" w:rsidR="004461C5" w:rsidRDefault="004461C5" w:rsidP="00D050E2">
            <w:pPr>
              <w:pStyle w:val="Tableheadertext"/>
              <w:jc w:val="right"/>
            </w:pPr>
            <w:r w:rsidRPr="00C63676">
              <w:rPr>
                <w:color w:val="FFFFFF" w:themeColor="background1"/>
              </w:rPr>
              <w:t>mean</w:t>
            </w:r>
          </w:p>
        </w:tc>
        <w:tc>
          <w:tcPr>
            <w:tcW w:w="807" w:type="dxa"/>
          </w:tcPr>
          <w:p w14:paraId="27B580E2" w14:textId="77777777" w:rsidR="004461C5" w:rsidRDefault="004461C5" w:rsidP="00D050E2">
            <w:pPr>
              <w:pStyle w:val="Tableheadertext"/>
              <w:jc w:val="right"/>
            </w:pPr>
            <w:r w:rsidRPr="00C63676">
              <w:rPr>
                <w:color w:val="FFFFFF" w:themeColor="background1"/>
              </w:rPr>
              <w:t>N</w:t>
            </w:r>
          </w:p>
        </w:tc>
        <w:tc>
          <w:tcPr>
            <w:tcW w:w="807" w:type="dxa"/>
          </w:tcPr>
          <w:p w14:paraId="791E17CB" w14:textId="77777777" w:rsidR="004461C5" w:rsidRDefault="004461C5" w:rsidP="00D050E2">
            <w:pPr>
              <w:pStyle w:val="Tableheadertext"/>
              <w:jc w:val="right"/>
            </w:pPr>
            <w:r w:rsidRPr="00C63676">
              <w:rPr>
                <w:color w:val="FFFFFF" w:themeColor="background1"/>
              </w:rPr>
              <w:t>mean</w:t>
            </w:r>
          </w:p>
        </w:tc>
        <w:tc>
          <w:tcPr>
            <w:tcW w:w="807" w:type="dxa"/>
          </w:tcPr>
          <w:p w14:paraId="1283C1B5" w14:textId="77777777" w:rsidR="004461C5" w:rsidRDefault="004461C5" w:rsidP="00D050E2">
            <w:pPr>
              <w:pStyle w:val="Tableheadertext"/>
              <w:jc w:val="right"/>
            </w:pPr>
            <w:r w:rsidRPr="00C63676">
              <w:rPr>
                <w:color w:val="FFFFFF" w:themeColor="background1"/>
              </w:rPr>
              <w:t>N</w:t>
            </w:r>
          </w:p>
        </w:tc>
        <w:tc>
          <w:tcPr>
            <w:tcW w:w="807" w:type="dxa"/>
          </w:tcPr>
          <w:p w14:paraId="63AAF313" w14:textId="77777777" w:rsidR="004461C5" w:rsidRDefault="004461C5" w:rsidP="00D050E2">
            <w:pPr>
              <w:pStyle w:val="Tableheadertext"/>
              <w:jc w:val="right"/>
            </w:pPr>
            <w:r w:rsidRPr="00C63676">
              <w:rPr>
                <w:color w:val="FFFFFF" w:themeColor="background1"/>
              </w:rPr>
              <w:t>mean</w:t>
            </w:r>
          </w:p>
        </w:tc>
      </w:tr>
      <w:tr w:rsidR="004461C5" w14:paraId="4ADCFFB4"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0BDF720C" w14:textId="77777777" w:rsidR="004461C5" w:rsidRDefault="004461C5" w:rsidP="004461C5">
            <w:pPr>
              <w:pStyle w:val="Tablebodytext"/>
            </w:pPr>
            <w:r>
              <w:t>All</w:t>
            </w:r>
          </w:p>
        </w:tc>
        <w:tc>
          <w:tcPr>
            <w:tcW w:w="806" w:type="dxa"/>
            <w:vAlign w:val="center"/>
          </w:tcPr>
          <w:p w14:paraId="1626EC76" w14:textId="77777777" w:rsidR="004461C5" w:rsidRDefault="004461C5" w:rsidP="004461C5">
            <w:pPr>
              <w:pStyle w:val="Tablebodytext"/>
              <w:jc w:val="right"/>
            </w:pPr>
            <w:r w:rsidRPr="00EE4F48">
              <w:t>7537</w:t>
            </w:r>
          </w:p>
        </w:tc>
        <w:tc>
          <w:tcPr>
            <w:tcW w:w="806" w:type="dxa"/>
            <w:vAlign w:val="center"/>
          </w:tcPr>
          <w:p w14:paraId="6E4A23E3" w14:textId="77777777" w:rsidR="004461C5" w:rsidRDefault="004461C5" w:rsidP="004461C5">
            <w:pPr>
              <w:pStyle w:val="Tablebodytext"/>
              <w:jc w:val="center"/>
            </w:pPr>
            <w:r w:rsidRPr="00EE4F48">
              <w:t>0.28</w:t>
            </w:r>
          </w:p>
        </w:tc>
        <w:tc>
          <w:tcPr>
            <w:tcW w:w="806" w:type="dxa"/>
            <w:vAlign w:val="center"/>
          </w:tcPr>
          <w:p w14:paraId="2D4F9E12" w14:textId="77777777" w:rsidR="004461C5" w:rsidRDefault="004461C5" w:rsidP="004461C5">
            <w:pPr>
              <w:pStyle w:val="Tablebodytext"/>
              <w:jc w:val="right"/>
            </w:pPr>
            <w:r w:rsidRPr="00EE4F48">
              <w:t>12536</w:t>
            </w:r>
          </w:p>
        </w:tc>
        <w:tc>
          <w:tcPr>
            <w:tcW w:w="807" w:type="dxa"/>
            <w:vAlign w:val="center"/>
          </w:tcPr>
          <w:p w14:paraId="626FF3E0" w14:textId="77777777" w:rsidR="004461C5" w:rsidRDefault="004461C5" w:rsidP="004461C5">
            <w:pPr>
              <w:pStyle w:val="Tablebodytext"/>
              <w:jc w:val="center"/>
            </w:pPr>
            <w:r w:rsidRPr="00EE4F48">
              <w:t>0.26</w:t>
            </w:r>
          </w:p>
        </w:tc>
        <w:tc>
          <w:tcPr>
            <w:tcW w:w="807" w:type="dxa"/>
            <w:vAlign w:val="center"/>
          </w:tcPr>
          <w:p w14:paraId="7BEBC252" w14:textId="77777777" w:rsidR="004461C5" w:rsidRDefault="004461C5" w:rsidP="004461C5">
            <w:pPr>
              <w:pStyle w:val="Tablebodytext"/>
              <w:jc w:val="right"/>
            </w:pPr>
            <w:r w:rsidRPr="00EE4F48">
              <w:t>12536</w:t>
            </w:r>
          </w:p>
        </w:tc>
        <w:tc>
          <w:tcPr>
            <w:tcW w:w="807" w:type="dxa"/>
            <w:vAlign w:val="center"/>
          </w:tcPr>
          <w:p w14:paraId="1E8ABDDA" w14:textId="77777777" w:rsidR="004461C5" w:rsidRDefault="004461C5" w:rsidP="004461C5">
            <w:pPr>
              <w:pStyle w:val="Tablebodytext"/>
              <w:jc w:val="center"/>
            </w:pPr>
            <w:r w:rsidRPr="00EE4F48">
              <w:t>0.11</w:t>
            </w:r>
          </w:p>
        </w:tc>
        <w:tc>
          <w:tcPr>
            <w:tcW w:w="807" w:type="dxa"/>
            <w:vAlign w:val="center"/>
          </w:tcPr>
          <w:p w14:paraId="4BA203A0" w14:textId="77777777" w:rsidR="004461C5" w:rsidRDefault="004461C5" w:rsidP="004461C5">
            <w:pPr>
              <w:pStyle w:val="Tablebodytext"/>
              <w:jc w:val="right"/>
            </w:pPr>
            <w:r w:rsidRPr="00EE4F48">
              <w:t>12536</w:t>
            </w:r>
          </w:p>
        </w:tc>
        <w:tc>
          <w:tcPr>
            <w:tcW w:w="807" w:type="dxa"/>
            <w:vAlign w:val="center"/>
          </w:tcPr>
          <w:p w14:paraId="2171EA24" w14:textId="77777777" w:rsidR="004461C5" w:rsidRDefault="004461C5" w:rsidP="004461C5">
            <w:pPr>
              <w:pStyle w:val="Tablebodytext"/>
              <w:jc w:val="center"/>
            </w:pPr>
            <w:r w:rsidRPr="00EE4F48">
              <w:t>0.13</w:t>
            </w:r>
          </w:p>
        </w:tc>
        <w:tc>
          <w:tcPr>
            <w:tcW w:w="807" w:type="dxa"/>
            <w:vAlign w:val="center"/>
          </w:tcPr>
          <w:p w14:paraId="2A3038D4" w14:textId="77777777" w:rsidR="004461C5" w:rsidRDefault="004461C5" w:rsidP="004461C5">
            <w:pPr>
              <w:pStyle w:val="Tablebodytext"/>
              <w:jc w:val="right"/>
            </w:pPr>
            <w:r w:rsidRPr="00EE4F48">
              <w:t>7537</w:t>
            </w:r>
          </w:p>
        </w:tc>
        <w:tc>
          <w:tcPr>
            <w:tcW w:w="807" w:type="dxa"/>
            <w:vAlign w:val="center"/>
          </w:tcPr>
          <w:p w14:paraId="1700D703" w14:textId="77777777" w:rsidR="004461C5" w:rsidRDefault="004461C5" w:rsidP="004461C5">
            <w:pPr>
              <w:pStyle w:val="Tablebodytext"/>
              <w:jc w:val="center"/>
            </w:pPr>
            <w:r w:rsidRPr="00EE4F48">
              <w:t>0.17</w:t>
            </w:r>
          </w:p>
        </w:tc>
        <w:tc>
          <w:tcPr>
            <w:tcW w:w="807" w:type="dxa"/>
            <w:vAlign w:val="center"/>
          </w:tcPr>
          <w:p w14:paraId="16455832" w14:textId="77777777" w:rsidR="004461C5" w:rsidRDefault="004461C5" w:rsidP="004461C5">
            <w:pPr>
              <w:pStyle w:val="Tablebodytext"/>
              <w:jc w:val="right"/>
            </w:pPr>
            <w:r w:rsidRPr="00EE4F48">
              <w:t>12536</w:t>
            </w:r>
          </w:p>
        </w:tc>
        <w:tc>
          <w:tcPr>
            <w:tcW w:w="807" w:type="dxa"/>
            <w:vAlign w:val="center"/>
          </w:tcPr>
          <w:p w14:paraId="7D55424A" w14:textId="77777777" w:rsidR="004461C5" w:rsidRDefault="004461C5" w:rsidP="004461C5">
            <w:pPr>
              <w:pStyle w:val="Tablebodytext"/>
              <w:jc w:val="center"/>
            </w:pPr>
            <w:r w:rsidRPr="00EE4F48">
              <w:t>0.39</w:t>
            </w:r>
          </w:p>
        </w:tc>
      </w:tr>
      <w:tr w:rsidR="004461C5" w14:paraId="485435EE"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1B4A68BF" w14:textId="77777777" w:rsidR="004461C5" w:rsidRDefault="004461C5" w:rsidP="004461C5">
            <w:pPr>
              <w:pStyle w:val="Tablebodytext"/>
            </w:pPr>
            <w:r>
              <w:t>Agriculture, Forestry and Fishing</w:t>
            </w:r>
          </w:p>
        </w:tc>
        <w:tc>
          <w:tcPr>
            <w:tcW w:w="806" w:type="dxa"/>
            <w:vAlign w:val="center"/>
          </w:tcPr>
          <w:p w14:paraId="10A11E63" w14:textId="77777777" w:rsidR="004461C5" w:rsidRDefault="004461C5" w:rsidP="004461C5">
            <w:pPr>
              <w:pStyle w:val="Tablebodytext"/>
              <w:jc w:val="right"/>
            </w:pPr>
            <w:r w:rsidRPr="00EE4F48">
              <w:t>346</w:t>
            </w:r>
          </w:p>
        </w:tc>
        <w:tc>
          <w:tcPr>
            <w:tcW w:w="806" w:type="dxa"/>
            <w:vAlign w:val="center"/>
          </w:tcPr>
          <w:p w14:paraId="10177BE2" w14:textId="77777777" w:rsidR="004461C5" w:rsidRDefault="004461C5" w:rsidP="004461C5">
            <w:pPr>
              <w:pStyle w:val="Tablebodytext"/>
              <w:jc w:val="center"/>
            </w:pPr>
            <w:r w:rsidRPr="00EE4F48">
              <w:t>0.22</w:t>
            </w:r>
          </w:p>
        </w:tc>
        <w:tc>
          <w:tcPr>
            <w:tcW w:w="806" w:type="dxa"/>
            <w:vAlign w:val="center"/>
          </w:tcPr>
          <w:p w14:paraId="6FF83E40" w14:textId="77777777" w:rsidR="004461C5" w:rsidRDefault="004461C5" w:rsidP="004461C5">
            <w:pPr>
              <w:pStyle w:val="Tablebodytext"/>
              <w:jc w:val="right"/>
            </w:pPr>
            <w:r w:rsidRPr="00EE4F48">
              <w:t>567</w:t>
            </w:r>
          </w:p>
        </w:tc>
        <w:tc>
          <w:tcPr>
            <w:tcW w:w="807" w:type="dxa"/>
            <w:vAlign w:val="center"/>
          </w:tcPr>
          <w:p w14:paraId="21792373" w14:textId="77777777" w:rsidR="004461C5" w:rsidRDefault="004461C5" w:rsidP="004461C5">
            <w:pPr>
              <w:pStyle w:val="Tablebodytext"/>
              <w:jc w:val="center"/>
            </w:pPr>
            <w:r w:rsidRPr="00EE4F48">
              <w:t>0.20</w:t>
            </w:r>
          </w:p>
        </w:tc>
        <w:tc>
          <w:tcPr>
            <w:tcW w:w="807" w:type="dxa"/>
            <w:vAlign w:val="center"/>
          </w:tcPr>
          <w:p w14:paraId="3F51B28B" w14:textId="77777777" w:rsidR="004461C5" w:rsidRDefault="004461C5" w:rsidP="004461C5">
            <w:pPr>
              <w:pStyle w:val="Tablebodytext"/>
              <w:jc w:val="right"/>
            </w:pPr>
            <w:r w:rsidRPr="00EE4F48">
              <w:t>567</w:t>
            </w:r>
          </w:p>
        </w:tc>
        <w:tc>
          <w:tcPr>
            <w:tcW w:w="807" w:type="dxa"/>
            <w:vAlign w:val="center"/>
          </w:tcPr>
          <w:p w14:paraId="3C3B4814" w14:textId="77777777" w:rsidR="004461C5" w:rsidRDefault="004461C5" w:rsidP="004461C5">
            <w:pPr>
              <w:pStyle w:val="Tablebodytext"/>
              <w:jc w:val="center"/>
            </w:pPr>
            <w:r w:rsidRPr="00EE4F48">
              <w:t>0.05</w:t>
            </w:r>
          </w:p>
        </w:tc>
        <w:tc>
          <w:tcPr>
            <w:tcW w:w="807" w:type="dxa"/>
            <w:vAlign w:val="center"/>
          </w:tcPr>
          <w:p w14:paraId="4948E8FA" w14:textId="77777777" w:rsidR="004461C5" w:rsidRDefault="004461C5" w:rsidP="004461C5">
            <w:pPr>
              <w:pStyle w:val="Tablebodytext"/>
              <w:jc w:val="right"/>
            </w:pPr>
            <w:r w:rsidRPr="00EE4F48">
              <w:t>567</w:t>
            </w:r>
          </w:p>
        </w:tc>
        <w:tc>
          <w:tcPr>
            <w:tcW w:w="807" w:type="dxa"/>
            <w:vAlign w:val="center"/>
          </w:tcPr>
          <w:p w14:paraId="0D1EA420" w14:textId="77777777" w:rsidR="004461C5" w:rsidRDefault="004461C5" w:rsidP="004461C5">
            <w:pPr>
              <w:pStyle w:val="Tablebodytext"/>
              <w:jc w:val="center"/>
            </w:pPr>
            <w:r w:rsidRPr="00EE4F48">
              <w:t>0.12</w:t>
            </w:r>
          </w:p>
        </w:tc>
        <w:tc>
          <w:tcPr>
            <w:tcW w:w="807" w:type="dxa"/>
            <w:vAlign w:val="center"/>
          </w:tcPr>
          <w:p w14:paraId="6B8B2947" w14:textId="77777777" w:rsidR="004461C5" w:rsidRDefault="004461C5" w:rsidP="004461C5">
            <w:pPr>
              <w:pStyle w:val="Tablebodytext"/>
              <w:jc w:val="right"/>
            </w:pPr>
            <w:r w:rsidRPr="00EE4F48">
              <w:t>346</w:t>
            </w:r>
          </w:p>
        </w:tc>
        <w:tc>
          <w:tcPr>
            <w:tcW w:w="807" w:type="dxa"/>
            <w:vAlign w:val="center"/>
          </w:tcPr>
          <w:p w14:paraId="54BB77D6" w14:textId="77777777" w:rsidR="004461C5" w:rsidRDefault="004461C5" w:rsidP="004461C5">
            <w:pPr>
              <w:pStyle w:val="Tablebodytext"/>
              <w:jc w:val="center"/>
            </w:pPr>
            <w:r w:rsidRPr="00EE4F48">
              <w:t>0.12</w:t>
            </w:r>
          </w:p>
        </w:tc>
        <w:tc>
          <w:tcPr>
            <w:tcW w:w="807" w:type="dxa"/>
            <w:vAlign w:val="center"/>
          </w:tcPr>
          <w:p w14:paraId="36F12E13" w14:textId="77777777" w:rsidR="004461C5" w:rsidRDefault="004461C5" w:rsidP="004461C5">
            <w:pPr>
              <w:pStyle w:val="Tablebodytext"/>
              <w:jc w:val="right"/>
            </w:pPr>
            <w:r w:rsidRPr="00EE4F48">
              <w:t>567</w:t>
            </w:r>
          </w:p>
        </w:tc>
        <w:tc>
          <w:tcPr>
            <w:tcW w:w="807" w:type="dxa"/>
            <w:vAlign w:val="center"/>
          </w:tcPr>
          <w:p w14:paraId="5D8166DE" w14:textId="77777777" w:rsidR="004461C5" w:rsidRDefault="004461C5" w:rsidP="004461C5">
            <w:pPr>
              <w:pStyle w:val="Tablebodytext"/>
              <w:jc w:val="center"/>
            </w:pPr>
            <w:r w:rsidRPr="00EE4F48">
              <w:t>0.29</w:t>
            </w:r>
          </w:p>
        </w:tc>
      </w:tr>
      <w:tr w:rsidR="004461C5" w14:paraId="2E84B045"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61A5B8C9" w14:textId="77777777" w:rsidR="004461C5" w:rsidRDefault="004461C5" w:rsidP="004461C5">
            <w:pPr>
              <w:pStyle w:val="Tablebodytext"/>
            </w:pPr>
            <w:r w:rsidRPr="00EE4F48">
              <w:t>Mining</w:t>
            </w:r>
          </w:p>
        </w:tc>
        <w:tc>
          <w:tcPr>
            <w:tcW w:w="806" w:type="dxa"/>
            <w:vAlign w:val="center"/>
          </w:tcPr>
          <w:p w14:paraId="2DAEE23E" w14:textId="77777777" w:rsidR="004461C5" w:rsidRDefault="004461C5" w:rsidP="004461C5">
            <w:pPr>
              <w:pStyle w:val="Tablebodytext"/>
              <w:jc w:val="right"/>
            </w:pPr>
            <w:r w:rsidRPr="00EE4F48">
              <w:t>298</w:t>
            </w:r>
          </w:p>
        </w:tc>
        <w:tc>
          <w:tcPr>
            <w:tcW w:w="806" w:type="dxa"/>
            <w:vAlign w:val="center"/>
          </w:tcPr>
          <w:p w14:paraId="292A3B98" w14:textId="77777777" w:rsidR="004461C5" w:rsidRDefault="004461C5" w:rsidP="004461C5">
            <w:pPr>
              <w:pStyle w:val="Tablebodytext"/>
              <w:jc w:val="center"/>
            </w:pPr>
            <w:r w:rsidRPr="00EE4F48">
              <w:t>0.31</w:t>
            </w:r>
          </w:p>
        </w:tc>
        <w:tc>
          <w:tcPr>
            <w:tcW w:w="806" w:type="dxa"/>
            <w:vAlign w:val="center"/>
          </w:tcPr>
          <w:p w14:paraId="543CEC3E" w14:textId="77777777" w:rsidR="004461C5" w:rsidRDefault="004461C5" w:rsidP="004461C5">
            <w:pPr>
              <w:pStyle w:val="Tablebodytext"/>
              <w:jc w:val="right"/>
            </w:pPr>
            <w:r w:rsidRPr="00EE4F48">
              <w:t>467</w:t>
            </w:r>
          </w:p>
        </w:tc>
        <w:tc>
          <w:tcPr>
            <w:tcW w:w="807" w:type="dxa"/>
            <w:vAlign w:val="center"/>
          </w:tcPr>
          <w:p w14:paraId="403FDEF0" w14:textId="77777777" w:rsidR="004461C5" w:rsidRDefault="004461C5" w:rsidP="004461C5">
            <w:pPr>
              <w:pStyle w:val="Tablebodytext"/>
              <w:jc w:val="center"/>
            </w:pPr>
            <w:r w:rsidRPr="00EE4F48">
              <w:t>0.30</w:t>
            </w:r>
          </w:p>
        </w:tc>
        <w:tc>
          <w:tcPr>
            <w:tcW w:w="807" w:type="dxa"/>
            <w:vAlign w:val="center"/>
          </w:tcPr>
          <w:p w14:paraId="6D5883E9" w14:textId="77777777" w:rsidR="004461C5" w:rsidRDefault="004461C5" w:rsidP="004461C5">
            <w:pPr>
              <w:pStyle w:val="Tablebodytext"/>
              <w:jc w:val="right"/>
            </w:pPr>
            <w:r w:rsidRPr="00EE4F48">
              <w:t>467</w:t>
            </w:r>
          </w:p>
        </w:tc>
        <w:tc>
          <w:tcPr>
            <w:tcW w:w="807" w:type="dxa"/>
            <w:vAlign w:val="center"/>
          </w:tcPr>
          <w:p w14:paraId="77C982F8" w14:textId="77777777" w:rsidR="004461C5" w:rsidRDefault="004461C5" w:rsidP="004461C5">
            <w:pPr>
              <w:pStyle w:val="Tablebodytext"/>
              <w:jc w:val="center"/>
            </w:pPr>
            <w:r w:rsidRPr="00EE4F48">
              <w:t>0.09</w:t>
            </w:r>
          </w:p>
        </w:tc>
        <w:tc>
          <w:tcPr>
            <w:tcW w:w="807" w:type="dxa"/>
            <w:vAlign w:val="center"/>
          </w:tcPr>
          <w:p w14:paraId="08B251B8" w14:textId="77777777" w:rsidR="004461C5" w:rsidRDefault="004461C5" w:rsidP="004461C5">
            <w:pPr>
              <w:pStyle w:val="Tablebodytext"/>
              <w:jc w:val="right"/>
            </w:pPr>
            <w:r w:rsidRPr="00EE4F48">
              <w:t>467</w:t>
            </w:r>
          </w:p>
        </w:tc>
        <w:tc>
          <w:tcPr>
            <w:tcW w:w="807" w:type="dxa"/>
            <w:vAlign w:val="center"/>
          </w:tcPr>
          <w:p w14:paraId="3BF5A96E" w14:textId="77777777" w:rsidR="004461C5" w:rsidRDefault="004461C5" w:rsidP="004461C5">
            <w:pPr>
              <w:pStyle w:val="Tablebodytext"/>
              <w:jc w:val="center"/>
            </w:pPr>
            <w:r w:rsidRPr="00EE4F48">
              <w:t>0.23</w:t>
            </w:r>
          </w:p>
        </w:tc>
        <w:tc>
          <w:tcPr>
            <w:tcW w:w="807" w:type="dxa"/>
            <w:vAlign w:val="center"/>
          </w:tcPr>
          <w:p w14:paraId="5A71B388" w14:textId="77777777" w:rsidR="004461C5" w:rsidRDefault="004461C5" w:rsidP="004461C5">
            <w:pPr>
              <w:pStyle w:val="Tablebodytext"/>
              <w:jc w:val="right"/>
            </w:pPr>
            <w:r w:rsidRPr="00EE4F48">
              <w:t>298</w:t>
            </w:r>
          </w:p>
        </w:tc>
        <w:tc>
          <w:tcPr>
            <w:tcW w:w="807" w:type="dxa"/>
            <w:vAlign w:val="center"/>
          </w:tcPr>
          <w:p w14:paraId="570148B0" w14:textId="77777777" w:rsidR="004461C5" w:rsidRDefault="004461C5" w:rsidP="004461C5">
            <w:pPr>
              <w:pStyle w:val="Tablebodytext"/>
              <w:jc w:val="center"/>
            </w:pPr>
            <w:r w:rsidRPr="00EE4F48">
              <w:t>0.18</w:t>
            </w:r>
          </w:p>
        </w:tc>
        <w:tc>
          <w:tcPr>
            <w:tcW w:w="807" w:type="dxa"/>
            <w:vAlign w:val="center"/>
          </w:tcPr>
          <w:p w14:paraId="674E716F" w14:textId="77777777" w:rsidR="004461C5" w:rsidRDefault="004461C5" w:rsidP="004461C5">
            <w:pPr>
              <w:pStyle w:val="Tablebodytext"/>
              <w:jc w:val="right"/>
            </w:pPr>
            <w:r w:rsidRPr="00EE4F48">
              <w:t>467</w:t>
            </w:r>
          </w:p>
        </w:tc>
        <w:tc>
          <w:tcPr>
            <w:tcW w:w="807" w:type="dxa"/>
            <w:vAlign w:val="center"/>
          </w:tcPr>
          <w:p w14:paraId="4762A5F0" w14:textId="77777777" w:rsidR="004461C5" w:rsidRDefault="004461C5" w:rsidP="004461C5">
            <w:pPr>
              <w:pStyle w:val="Tablebodytext"/>
              <w:jc w:val="center"/>
            </w:pPr>
            <w:r w:rsidRPr="00EE4F48">
              <w:t>0.41</w:t>
            </w:r>
          </w:p>
        </w:tc>
      </w:tr>
      <w:tr w:rsidR="004461C5" w14:paraId="2F6A106E"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336B16DE" w14:textId="77777777" w:rsidR="004461C5" w:rsidRDefault="004461C5" w:rsidP="004461C5">
            <w:pPr>
              <w:pStyle w:val="Tablebodytext"/>
            </w:pPr>
            <w:r w:rsidRPr="00EE4F48">
              <w:t>Manufacturing</w:t>
            </w:r>
          </w:p>
        </w:tc>
        <w:tc>
          <w:tcPr>
            <w:tcW w:w="806" w:type="dxa"/>
            <w:vAlign w:val="center"/>
          </w:tcPr>
          <w:p w14:paraId="2E590749" w14:textId="77777777" w:rsidR="004461C5" w:rsidRDefault="004461C5" w:rsidP="004461C5">
            <w:pPr>
              <w:pStyle w:val="Tablebodytext"/>
              <w:jc w:val="right"/>
            </w:pPr>
            <w:r w:rsidRPr="00EE4F48">
              <w:t>2059</w:t>
            </w:r>
          </w:p>
        </w:tc>
        <w:tc>
          <w:tcPr>
            <w:tcW w:w="806" w:type="dxa"/>
            <w:vAlign w:val="center"/>
          </w:tcPr>
          <w:p w14:paraId="28793DAF" w14:textId="77777777" w:rsidR="004461C5" w:rsidRDefault="004461C5" w:rsidP="004461C5">
            <w:pPr>
              <w:pStyle w:val="Tablebodytext"/>
              <w:jc w:val="center"/>
            </w:pPr>
            <w:r w:rsidRPr="00EE4F48">
              <w:t>0.27</w:t>
            </w:r>
          </w:p>
        </w:tc>
        <w:tc>
          <w:tcPr>
            <w:tcW w:w="806" w:type="dxa"/>
            <w:vAlign w:val="center"/>
          </w:tcPr>
          <w:p w14:paraId="4E4024F6" w14:textId="77777777" w:rsidR="004461C5" w:rsidRDefault="004461C5" w:rsidP="004461C5">
            <w:pPr>
              <w:pStyle w:val="Tablebodytext"/>
              <w:jc w:val="right"/>
            </w:pPr>
            <w:r w:rsidRPr="00EE4F48">
              <w:t>3099</w:t>
            </w:r>
          </w:p>
        </w:tc>
        <w:tc>
          <w:tcPr>
            <w:tcW w:w="807" w:type="dxa"/>
            <w:vAlign w:val="center"/>
          </w:tcPr>
          <w:p w14:paraId="0DD6C8A9" w14:textId="77777777" w:rsidR="004461C5" w:rsidRDefault="004461C5" w:rsidP="004461C5">
            <w:pPr>
              <w:pStyle w:val="Tablebodytext"/>
              <w:jc w:val="center"/>
            </w:pPr>
            <w:r w:rsidRPr="00EE4F48">
              <w:t>0.26</w:t>
            </w:r>
          </w:p>
        </w:tc>
        <w:tc>
          <w:tcPr>
            <w:tcW w:w="807" w:type="dxa"/>
            <w:vAlign w:val="center"/>
          </w:tcPr>
          <w:p w14:paraId="03DCC654" w14:textId="77777777" w:rsidR="004461C5" w:rsidRDefault="004461C5" w:rsidP="004461C5">
            <w:pPr>
              <w:pStyle w:val="Tablebodytext"/>
              <w:jc w:val="right"/>
            </w:pPr>
            <w:r w:rsidRPr="00EE4F48">
              <w:t>3099</w:t>
            </w:r>
          </w:p>
        </w:tc>
        <w:tc>
          <w:tcPr>
            <w:tcW w:w="807" w:type="dxa"/>
            <w:vAlign w:val="center"/>
          </w:tcPr>
          <w:p w14:paraId="47B12A34" w14:textId="77777777" w:rsidR="004461C5" w:rsidRDefault="004461C5" w:rsidP="004461C5">
            <w:pPr>
              <w:pStyle w:val="Tablebodytext"/>
              <w:jc w:val="center"/>
            </w:pPr>
            <w:r w:rsidRPr="00EE4F48">
              <w:t>0.09</w:t>
            </w:r>
          </w:p>
        </w:tc>
        <w:tc>
          <w:tcPr>
            <w:tcW w:w="807" w:type="dxa"/>
            <w:vAlign w:val="center"/>
          </w:tcPr>
          <w:p w14:paraId="72ACF4BD" w14:textId="77777777" w:rsidR="004461C5" w:rsidRDefault="004461C5" w:rsidP="004461C5">
            <w:pPr>
              <w:pStyle w:val="Tablebodytext"/>
              <w:jc w:val="right"/>
            </w:pPr>
            <w:r w:rsidRPr="00EE4F48">
              <w:t>3099</w:t>
            </w:r>
          </w:p>
        </w:tc>
        <w:tc>
          <w:tcPr>
            <w:tcW w:w="807" w:type="dxa"/>
            <w:vAlign w:val="center"/>
          </w:tcPr>
          <w:p w14:paraId="7035ED6B" w14:textId="77777777" w:rsidR="004461C5" w:rsidRDefault="004461C5" w:rsidP="004461C5">
            <w:pPr>
              <w:pStyle w:val="Tablebodytext"/>
              <w:jc w:val="center"/>
            </w:pPr>
            <w:r w:rsidRPr="00EE4F48">
              <w:t>0.14</w:t>
            </w:r>
          </w:p>
        </w:tc>
        <w:tc>
          <w:tcPr>
            <w:tcW w:w="807" w:type="dxa"/>
            <w:vAlign w:val="center"/>
          </w:tcPr>
          <w:p w14:paraId="5FE21E53" w14:textId="77777777" w:rsidR="004461C5" w:rsidRDefault="004461C5" w:rsidP="004461C5">
            <w:pPr>
              <w:pStyle w:val="Tablebodytext"/>
              <w:jc w:val="right"/>
            </w:pPr>
            <w:r w:rsidRPr="00EE4F48">
              <w:t>2059</w:t>
            </w:r>
          </w:p>
        </w:tc>
        <w:tc>
          <w:tcPr>
            <w:tcW w:w="807" w:type="dxa"/>
            <w:vAlign w:val="center"/>
          </w:tcPr>
          <w:p w14:paraId="00B24B1F" w14:textId="77777777" w:rsidR="004461C5" w:rsidRDefault="004461C5" w:rsidP="004461C5">
            <w:pPr>
              <w:pStyle w:val="Tablebodytext"/>
              <w:jc w:val="center"/>
            </w:pPr>
            <w:r w:rsidRPr="00EE4F48">
              <w:t>0.19</w:t>
            </w:r>
          </w:p>
        </w:tc>
        <w:tc>
          <w:tcPr>
            <w:tcW w:w="807" w:type="dxa"/>
            <w:vAlign w:val="center"/>
          </w:tcPr>
          <w:p w14:paraId="52F88621" w14:textId="77777777" w:rsidR="004461C5" w:rsidRDefault="004461C5" w:rsidP="004461C5">
            <w:pPr>
              <w:pStyle w:val="Tablebodytext"/>
              <w:jc w:val="right"/>
            </w:pPr>
            <w:r w:rsidRPr="00EE4F48">
              <w:t>3099</w:t>
            </w:r>
          </w:p>
        </w:tc>
        <w:tc>
          <w:tcPr>
            <w:tcW w:w="807" w:type="dxa"/>
            <w:vAlign w:val="center"/>
          </w:tcPr>
          <w:p w14:paraId="233E7DBA" w14:textId="77777777" w:rsidR="004461C5" w:rsidRDefault="004461C5" w:rsidP="004461C5">
            <w:pPr>
              <w:pStyle w:val="Tablebodytext"/>
              <w:jc w:val="center"/>
            </w:pPr>
            <w:r w:rsidRPr="00EE4F48">
              <w:t>0.37</w:t>
            </w:r>
          </w:p>
        </w:tc>
      </w:tr>
      <w:tr w:rsidR="004461C5" w14:paraId="18DF7DAF"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130506DC" w14:textId="77777777" w:rsidR="004461C5" w:rsidRDefault="004461C5" w:rsidP="004461C5">
            <w:pPr>
              <w:pStyle w:val="Tablebodytext"/>
            </w:pPr>
            <w:r w:rsidRPr="00EE4F48">
              <w:t>Electricity, Gas, Water and Waste Services</w:t>
            </w:r>
          </w:p>
        </w:tc>
        <w:tc>
          <w:tcPr>
            <w:tcW w:w="806" w:type="dxa"/>
            <w:vAlign w:val="center"/>
          </w:tcPr>
          <w:p w14:paraId="42E4D08E" w14:textId="77777777" w:rsidR="004461C5" w:rsidRDefault="004461C5" w:rsidP="004461C5">
            <w:pPr>
              <w:pStyle w:val="Tablebodytext"/>
              <w:jc w:val="right"/>
            </w:pPr>
            <w:r w:rsidRPr="00EE4F48">
              <w:t>198</w:t>
            </w:r>
          </w:p>
        </w:tc>
        <w:tc>
          <w:tcPr>
            <w:tcW w:w="806" w:type="dxa"/>
            <w:vAlign w:val="center"/>
          </w:tcPr>
          <w:p w14:paraId="5F21BEFC" w14:textId="77777777" w:rsidR="004461C5" w:rsidRDefault="004461C5" w:rsidP="004461C5">
            <w:pPr>
              <w:pStyle w:val="Tablebodytext"/>
              <w:jc w:val="center"/>
            </w:pPr>
            <w:r w:rsidRPr="00EE4F48">
              <w:t>0.31</w:t>
            </w:r>
          </w:p>
        </w:tc>
        <w:tc>
          <w:tcPr>
            <w:tcW w:w="806" w:type="dxa"/>
            <w:vAlign w:val="center"/>
          </w:tcPr>
          <w:p w14:paraId="2CA8BCDD" w14:textId="77777777" w:rsidR="004461C5" w:rsidRDefault="004461C5" w:rsidP="004461C5">
            <w:pPr>
              <w:pStyle w:val="Tablebodytext"/>
              <w:jc w:val="right"/>
            </w:pPr>
            <w:r w:rsidRPr="00EE4F48">
              <w:t>347</w:t>
            </w:r>
          </w:p>
        </w:tc>
        <w:tc>
          <w:tcPr>
            <w:tcW w:w="807" w:type="dxa"/>
            <w:vAlign w:val="center"/>
          </w:tcPr>
          <w:p w14:paraId="606232AA" w14:textId="77777777" w:rsidR="004461C5" w:rsidRDefault="004461C5" w:rsidP="004461C5">
            <w:pPr>
              <w:pStyle w:val="Tablebodytext"/>
              <w:jc w:val="center"/>
            </w:pPr>
            <w:r w:rsidRPr="00EE4F48">
              <w:t>0.30</w:t>
            </w:r>
          </w:p>
        </w:tc>
        <w:tc>
          <w:tcPr>
            <w:tcW w:w="807" w:type="dxa"/>
            <w:vAlign w:val="center"/>
          </w:tcPr>
          <w:p w14:paraId="323E8F6E" w14:textId="77777777" w:rsidR="004461C5" w:rsidRDefault="004461C5" w:rsidP="004461C5">
            <w:pPr>
              <w:pStyle w:val="Tablebodytext"/>
              <w:jc w:val="right"/>
            </w:pPr>
            <w:r w:rsidRPr="00EE4F48">
              <w:t>347</w:t>
            </w:r>
          </w:p>
        </w:tc>
        <w:tc>
          <w:tcPr>
            <w:tcW w:w="807" w:type="dxa"/>
            <w:vAlign w:val="center"/>
          </w:tcPr>
          <w:p w14:paraId="2511497A" w14:textId="77777777" w:rsidR="004461C5" w:rsidRDefault="004461C5" w:rsidP="004461C5">
            <w:pPr>
              <w:pStyle w:val="Tablebodytext"/>
              <w:jc w:val="center"/>
            </w:pPr>
            <w:r w:rsidRPr="00EE4F48">
              <w:t>0.13</w:t>
            </w:r>
          </w:p>
        </w:tc>
        <w:tc>
          <w:tcPr>
            <w:tcW w:w="807" w:type="dxa"/>
            <w:vAlign w:val="center"/>
          </w:tcPr>
          <w:p w14:paraId="233C90FC" w14:textId="77777777" w:rsidR="004461C5" w:rsidRDefault="004461C5" w:rsidP="004461C5">
            <w:pPr>
              <w:pStyle w:val="Tablebodytext"/>
              <w:jc w:val="right"/>
            </w:pPr>
            <w:r w:rsidRPr="00EE4F48">
              <w:t>347</w:t>
            </w:r>
          </w:p>
        </w:tc>
        <w:tc>
          <w:tcPr>
            <w:tcW w:w="807" w:type="dxa"/>
            <w:vAlign w:val="center"/>
          </w:tcPr>
          <w:p w14:paraId="6592C7D8" w14:textId="77777777" w:rsidR="004461C5" w:rsidRDefault="004461C5" w:rsidP="004461C5">
            <w:pPr>
              <w:pStyle w:val="Tablebodytext"/>
              <w:jc w:val="center"/>
            </w:pPr>
            <w:r w:rsidRPr="00EE4F48">
              <w:t>0.22</w:t>
            </w:r>
          </w:p>
        </w:tc>
        <w:tc>
          <w:tcPr>
            <w:tcW w:w="807" w:type="dxa"/>
            <w:vAlign w:val="center"/>
          </w:tcPr>
          <w:p w14:paraId="4B09A16E" w14:textId="77777777" w:rsidR="004461C5" w:rsidRDefault="004461C5" w:rsidP="004461C5">
            <w:pPr>
              <w:pStyle w:val="Tablebodytext"/>
              <w:jc w:val="right"/>
            </w:pPr>
            <w:r w:rsidRPr="00EE4F48">
              <w:t>198</w:t>
            </w:r>
          </w:p>
        </w:tc>
        <w:tc>
          <w:tcPr>
            <w:tcW w:w="807" w:type="dxa"/>
            <w:vAlign w:val="center"/>
          </w:tcPr>
          <w:p w14:paraId="4B82CB62" w14:textId="77777777" w:rsidR="004461C5" w:rsidRDefault="004461C5" w:rsidP="004461C5">
            <w:pPr>
              <w:pStyle w:val="Tablebodytext"/>
              <w:jc w:val="center"/>
            </w:pPr>
            <w:r w:rsidRPr="00EE4F48">
              <w:t>0.17</w:t>
            </w:r>
          </w:p>
        </w:tc>
        <w:tc>
          <w:tcPr>
            <w:tcW w:w="807" w:type="dxa"/>
            <w:vAlign w:val="center"/>
          </w:tcPr>
          <w:p w14:paraId="73C140F2" w14:textId="77777777" w:rsidR="004461C5" w:rsidRDefault="004461C5" w:rsidP="004461C5">
            <w:pPr>
              <w:pStyle w:val="Tablebodytext"/>
              <w:jc w:val="right"/>
            </w:pPr>
            <w:r w:rsidRPr="00EE4F48">
              <w:t>347</w:t>
            </w:r>
          </w:p>
        </w:tc>
        <w:tc>
          <w:tcPr>
            <w:tcW w:w="807" w:type="dxa"/>
            <w:vAlign w:val="center"/>
          </w:tcPr>
          <w:p w14:paraId="57E575A7" w14:textId="77777777" w:rsidR="004461C5" w:rsidRDefault="004461C5" w:rsidP="004461C5">
            <w:pPr>
              <w:pStyle w:val="Tablebodytext"/>
              <w:jc w:val="center"/>
            </w:pPr>
            <w:r w:rsidRPr="00EE4F48">
              <w:t>0.41</w:t>
            </w:r>
          </w:p>
        </w:tc>
      </w:tr>
      <w:tr w:rsidR="004461C5" w14:paraId="587D0C42"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50E55945" w14:textId="77777777" w:rsidR="004461C5" w:rsidRDefault="004461C5" w:rsidP="004461C5">
            <w:pPr>
              <w:pStyle w:val="Tablebodytext"/>
            </w:pPr>
            <w:r w:rsidRPr="00EE4F48">
              <w:t>Construction</w:t>
            </w:r>
          </w:p>
        </w:tc>
        <w:tc>
          <w:tcPr>
            <w:tcW w:w="806" w:type="dxa"/>
            <w:vAlign w:val="center"/>
          </w:tcPr>
          <w:p w14:paraId="099E9CD6" w14:textId="77777777" w:rsidR="004461C5" w:rsidRDefault="004461C5" w:rsidP="004461C5">
            <w:pPr>
              <w:pStyle w:val="Tablebodytext"/>
              <w:jc w:val="right"/>
            </w:pPr>
            <w:r w:rsidRPr="00EE4F48">
              <w:t>264</w:t>
            </w:r>
          </w:p>
        </w:tc>
        <w:tc>
          <w:tcPr>
            <w:tcW w:w="806" w:type="dxa"/>
            <w:vAlign w:val="center"/>
          </w:tcPr>
          <w:p w14:paraId="24F37F62" w14:textId="77777777" w:rsidR="004461C5" w:rsidRDefault="004461C5" w:rsidP="004461C5">
            <w:pPr>
              <w:pStyle w:val="Tablebodytext"/>
              <w:jc w:val="center"/>
            </w:pPr>
            <w:r w:rsidRPr="00EE4F48">
              <w:t>0.27</w:t>
            </w:r>
          </w:p>
        </w:tc>
        <w:tc>
          <w:tcPr>
            <w:tcW w:w="806" w:type="dxa"/>
            <w:vAlign w:val="center"/>
          </w:tcPr>
          <w:p w14:paraId="2C6A8A93" w14:textId="77777777" w:rsidR="004461C5" w:rsidRDefault="004461C5" w:rsidP="004461C5">
            <w:pPr>
              <w:pStyle w:val="Tablebodytext"/>
              <w:jc w:val="right"/>
            </w:pPr>
            <w:r w:rsidRPr="00EE4F48">
              <w:t>541</w:t>
            </w:r>
          </w:p>
        </w:tc>
        <w:tc>
          <w:tcPr>
            <w:tcW w:w="807" w:type="dxa"/>
            <w:vAlign w:val="center"/>
          </w:tcPr>
          <w:p w14:paraId="0E52F72E" w14:textId="77777777" w:rsidR="004461C5" w:rsidRDefault="004461C5" w:rsidP="004461C5">
            <w:pPr>
              <w:pStyle w:val="Tablebodytext"/>
              <w:jc w:val="center"/>
            </w:pPr>
            <w:r w:rsidRPr="00EE4F48">
              <w:t>0.24</w:t>
            </w:r>
          </w:p>
        </w:tc>
        <w:tc>
          <w:tcPr>
            <w:tcW w:w="807" w:type="dxa"/>
            <w:vAlign w:val="center"/>
          </w:tcPr>
          <w:p w14:paraId="1FE16805" w14:textId="77777777" w:rsidR="004461C5" w:rsidRDefault="004461C5" w:rsidP="004461C5">
            <w:pPr>
              <w:pStyle w:val="Tablebodytext"/>
              <w:jc w:val="right"/>
            </w:pPr>
            <w:r w:rsidRPr="00EE4F48">
              <w:t>541</w:t>
            </w:r>
          </w:p>
        </w:tc>
        <w:tc>
          <w:tcPr>
            <w:tcW w:w="807" w:type="dxa"/>
            <w:vAlign w:val="center"/>
          </w:tcPr>
          <w:p w14:paraId="25604629" w14:textId="77777777" w:rsidR="004461C5" w:rsidRDefault="004461C5" w:rsidP="004461C5">
            <w:pPr>
              <w:pStyle w:val="Tablebodytext"/>
              <w:jc w:val="center"/>
            </w:pPr>
            <w:r w:rsidRPr="00EE4F48">
              <w:t>0.07</w:t>
            </w:r>
          </w:p>
        </w:tc>
        <w:tc>
          <w:tcPr>
            <w:tcW w:w="807" w:type="dxa"/>
            <w:vAlign w:val="center"/>
          </w:tcPr>
          <w:p w14:paraId="79704B2A" w14:textId="77777777" w:rsidR="004461C5" w:rsidRDefault="004461C5" w:rsidP="004461C5">
            <w:pPr>
              <w:pStyle w:val="Tablebodytext"/>
              <w:jc w:val="right"/>
            </w:pPr>
            <w:r w:rsidRPr="00EE4F48">
              <w:t>541</w:t>
            </w:r>
          </w:p>
        </w:tc>
        <w:tc>
          <w:tcPr>
            <w:tcW w:w="807" w:type="dxa"/>
            <w:vAlign w:val="center"/>
          </w:tcPr>
          <w:p w14:paraId="640073E8" w14:textId="77777777" w:rsidR="004461C5" w:rsidRDefault="004461C5" w:rsidP="004461C5">
            <w:pPr>
              <w:pStyle w:val="Tablebodytext"/>
              <w:jc w:val="center"/>
            </w:pPr>
            <w:r w:rsidRPr="00EE4F48">
              <w:t>0.13</w:t>
            </w:r>
          </w:p>
        </w:tc>
        <w:tc>
          <w:tcPr>
            <w:tcW w:w="807" w:type="dxa"/>
            <w:vAlign w:val="center"/>
          </w:tcPr>
          <w:p w14:paraId="006B699F" w14:textId="77777777" w:rsidR="004461C5" w:rsidRDefault="004461C5" w:rsidP="004461C5">
            <w:pPr>
              <w:pStyle w:val="Tablebodytext"/>
              <w:jc w:val="right"/>
            </w:pPr>
            <w:r w:rsidRPr="00EE4F48">
              <w:t>264</w:t>
            </w:r>
          </w:p>
        </w:tc>
        <w:tc>
          <w:tcPr>
            <w:tcW w:w="807" w:type="dxa"/>
            <w:vAlign w:val="center"/>
          </w:tcPr>
          <w:p w14:paraId="33BFA02D" w14:textId="77777777" w:rsidR="004461C5" w:rsidRDefault="004461C5" w:rsidP="004461C5">
            <w:pPr>
              <w:pStyle w:val="Tablebodytext"/>
              <w:jc w:val="center"/>
            </w:pPr>
            <w:r w:rsidRPr="00EE4F48">
              <w:t>0.15</w:t>
            </w:r>
          </w:p>
        </w:tc>
        <w:tc>
          <w:tcPr>
            <w:tcW w:w="807" w:type="dxa"/>
            <w:vAlign w:val="center"/>
          </w:tcPr>
          <w:p w14:paraId="5970A6A7" w14:textId="77777777" w:rsidR="004461C5" w:rsidRDefault="004461C5" w:rsidP="004461C5">
            <w:pPr>
              <w:pStyle w:val="Tablebodytext"/>
              <w:jc w:val="right"/>
            </w:pPr>
            <w:r w:rsidRPr="00EE4F48">
              <w:t>541</w:t>
            </w:r>
          </w:p>
        </w:tc>
        <w:tc>
          <w:tcPr>
            <w:tcW w:w="807" w:type="dxa"/>
            <w:vAlign w:val="center"/>
          </w:tcPr>
          <w:p w14:paraId="51B644DF" w14:textId="77777777" w:rsidR="004461C5" w:rsidRDefault="004461C5" w:rsidP="004461C5">
            <w:pPr>
              <w:pStyle w:val="Tablebodytext"/>
              <w:jc w:val="center"/>
            </w:pPr>
            <w:r w:rsidRPr="00EE4F48">
              <w:t>0.35</w:t>
            </w:r>
          </w:p>
        </w:tc>
      </w:tr>
      <w:tr w:rsidR="004461C5" w14:paraId="1EF04743"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504C135F" w14:textId="77777777" w:rsidR="004461C5" w:rsidRDefault="004461C5" w:rsidP="004461C5">
            <w:pPr>
              <w:pStyle w:val="Tablebodytext"/>
            </w:pPr>
            <w:r w:rsidRPr="00EE4F48">
              <w:t>Wholesale Trade</w:t>
            </w:r>
          </w:p>
        </w:tc>
        <w:tc>
          <w:tcPr>
            <w:tcW w:w="806" w:type="dxa"/>
            <w:vAlign w:val="center"/>
          </w:tcPr>
          <w:p w14:paraId="119003B9" w14:textId="77777777" w:rsidR="004461C5" w:rsidRDefault="004461C5" w:rsidP="004461C5">
            <w:pPr>
              <w:pStyle w:val="Tablebodytext"/>
              <w:jc w:val="right"/>
            </w:pPr>
            <w:r w:rsidRPr="00EE4F48">
              <w:t>584</w:t>
            </w:r>
          </w:p>
        </w:tc>
        <w:tc>
          <w:tcPr>
            <w:tcW w:w="806" w:type="dxa"/>
            <w:vAlign w:val="center"/>
          </w:tcPr>
          <w:p w14:paraId="5CEB8C5F" w14:textId="77777777" w:rsidR="004461C5" w:rsidRDefault="004461C5" w:rsidP="004461C5">
            <w:pPr>
              <w:pStyle w:val="Tablebodytext"/>
              <w:jc w:val="center"/>
            </w:pPr>
            <w:r w:rsidRPr="00EE4F48">
              <w:t>0.28</w:t>
            </w:r>
          </w:p>
        </w:tc>
        <w:tc>
          <w:tcPr>
            <w:tcW w:w="806" w:type="dxa"/>
            <w:vAlign w:val="center"/>
          </w:tcPr>
          <w:p w14:paraId="5375133E" w14:textId="77777777" w:rsidR="004461C5" w:rsidRDefault="004461C5" w:rsidP="004461C5">
            <w:pPr>
              <w:pStyle w:val="Tablebodytext"/>
              <w:jc w:val="right"/>
            </w:pPr>
            <w:r w:rsidRPr="00EE4F48">
              <w:t>772</w:t>
            </w:r>
          </w:p>
        </w:tc>
        <w:tc>
          <w:tcPr>
            <w:tcW w:w="807" w:type="dxa"/>
            <w:vAlign w:val="center"/>
          </w:tcPr>
          <w:p w14:paraId="4D701F98" w14:textId="77777777" w:rsidR="004461C5" w:rsidRDefault="004461C5" w:rsidP="004461C5">
            <w:pPr>
              <w:pStyle w:val="Tablebodytext"/>
              <w:jc w:val="center"/>
            </w:pPr>
            <w:r w:rsidRPr="00EE4F48">
              <w:t>0.28</w:t>
            </w:r>
          </w:p>
        </w:tc>
        <w:tc>
          <w:tcPr>
            <w:tcW w:w="807" w:type="dxa"/>
            <w:vAlign w:val="center"/>
          </w:tcPr>
          <w:p w14:paraId="6178DD8A" w14:textId="77777777" w:rsidR="004461C5" w:rsidRDefault="004461C5" w:rsidP="004461C5">
            <w:pPr>
              <w:pStyle w:val="Tablebodytext"/>
              <w:jc w:val="right"/>
            </w:pPr>
            <w:r w:rsidRPr="00EE4F48">
              <w:t>772</w:t>
            </w:r>
          </w:p>
        </w:tc>
        <w:tc>
          <w:tcPr>
            <w:tcW w:w="807" w:type="dxa"/>
            <w:vAlign w:val="center"/>
          </w:tcPr>
          <w:p w14:paraId="74D7D05F" w14:textId="77777777" w:rsidR="004461C5" w:rsidRDefault="004461C5" w:rsidP="004461C5">
            <w:pPr>
              <w:pStyle w:val="Tablebodytext"/>
              <w:jc w:val="center"/>
            </w:pPr>
            <w:r w:rsidRPr="00EE4F48">
              <w:t>0.11</w:t>
            </w:r>
          </w:p>
        </w:tc>
        <w:tc>
          <w:tcPr>
            <w:tcW w:w="807" w:type="dxa"/>
            <w:vAlign w:val="center"/>
          </w:tcPr>
          <w:p w14:paraId="1661B32B" w14:textId="77777777" w:rsidR="004461C5" w:rsidRDefault="004461C5" w:rsidP="004461C5">
            <w:pPr>
              <w:pStyle w:val="Tablebodytext"/>
              <w:jc w:val="right"/>
            </w:pPr>
            <w:r w:rsidRPr="00EE4F48">
              <w:t>772</w:t>
            </w:r>
          </w:p>
        </w:tc>
        <w:tc>
          <w:tcPr>
            <w:tcW w:w="807" w:type="dxa"/>
            <w:vAlign w:val="center"/>
          </w:tcPr>
          <w:p w14:paraId="3D232667" w14:textId="77777777" w:rsidR="004461C5" w:rsidRDefault="004461C5" w:rsidP="004461C5">
            <w:pPr>
              <w:pStyle w:val="Tablebodytext"/>
              <w:jc w:val="center"/>
            </w:pPr>
            <w:r w:rsidRPr="00EE4F48">
              <w:t>0.12</w:t>
            </w:r>
          </w:p>
        </w:tc>
        <w:tc>
          <w:tcPr>
            <w:tcW w:w="807" w:type="dxa"/>
            <w:vAlign w:val="center"/>
          </w:tcPr>
          <w:p w14:paraId="08851696" w14:textId="77777777" w:rsidR="004461C5" w:rsidRDefault="004461C5" w:rsidP="004461C5">
            <w:pPr>
              <w:pStyle w:val="Tablebodytext"/>
              <w:jc w:val="right"/>
            </w:pPr>
            <w:r w:rsidRPr="00EE4F48">
              <w:t>584</w:t>
            </w:r>
          </w:p>
        </w:tc>
        <w:tc>
          <w:tcPr>
            <w:tcW w:w="807" w:type="dxa"/>
            <w:vAlign w:val="center"/>
          </w:tcPr>
          <w:p w14:paraId="74C031CF" w14:textId="77777777" w:rsidR="004461C5" w:rsidRDefault="004461C5" w:rsidP="004461C5">
            <w:pPr>
              <w:pStyle w:val="Tablebodytext"/>
              <w:jc w:val="center"/>
            </w:pPr>
            <w:r w:rsidRPr="00EE4F48">
              <w:t>0.21</w:t>
            </w:r>
          </w:p>
        </w:tc>
        <w:tc>
          <w:tcPr>
            <w:tcW w:w="807" w:type="dxa"/>
            <w:vAlign w:val="center"/>
          </w:tcPr>
          <w:p w14:paraId="0C43D0AF" w14:textId="77777777" w:rsidR="004461C5" w:rsidRDefault="004461C5" w:rsidP="004461C5">
            <w:pPr>
              <w:pStyle w:val="Tablebodytext"/>
              <w:jc w:val="right"/>
            </w:pPr>
            <w:r w:rsidRPr="00EE4F48">
              <w:t>772</w:t>
            </w:r>
          </w:p>
        </w:tc>
        <w:tc>
          <w:tcPr>
            <w:tcW w:w="807" w:type="dxa"/>
            <w:vAlign w:val="center"/>
          </w:tcPr>
          <w:p w14:paraId="20A96E11" w14:textId="77777777" w:rsidR="004461C5" w:rsidRDefault="004461C5" w:rsidP="004461C5">
            <w:pPr>
              <w:pStyle w:val="Tablebodytext"/>
              <w:jc w:val="center"/>
            </w:pPr>
            <w:r w:rsidRPr="00EE4F48">
              <w:t>0.42</w:t>
            </w:r>
          </w:p>
        </w:tc>
      </w:tr>
      <w:tr w:rsidR="004461C5" w14:paraId="7F92D6EF"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02EA9AF4" w14:textId="77777777" w:rsidR="004461C5" w:rsidRDefault="004461C5" w:rsidP="004461C5">
            <w:pPr>
              <w:pStyle w:val="Tablebodytext"/>
            </w:pPr>
            <w:r w:rsidRPr="00EE4F48">
              <w:t>Retail Trade</w:t>
            </w:r>
          </w:p>
        </w:tc>
        <w:tc>
          <w:tcPr>
            <w:tcW w:w="806" w:type="dxa"/>
            <w:vAlign w:val="center"/>
          </w:tcPr>
          <w:p w14:paraId="7D472C4C" w14:textId="77777777" w:rsidR="004461C5" w:rsidRDefault="004461C5" w:rsidP="004461C5">
            <w:pPr>
              <w:pStyle w:val="Tablebodytext"/>
              <w:jc w:val="right"/>
            </w:pPr>
            <w:r w:rsidRPr="00EE4F48">
              <w:t>462</w:t>
            </w:r>
          </w:p>
        </w:tc>
        <w:tc>
          <w:tcPr>
            <w:tcW w:w="806" w:type="dxa"/>
            <w:vAlign w:val="center"/>
          </w:tcPr>
          <w:p w14:paraId="2E7B5F84" w14:textId="77777777" w:rsidR="004461C5" w:rsidRDefault="004461C5" w:rsidP="004461C5">
            <w:pPr>
              <w:pStyle w:val="Tablebodytext"/>
              <w:jc w:val="center"/>
            </w:pPr>
            <w:r w:rsidRPr="00EE4F48">
              <w:t>0.29</w:t>
            </w:r>
          </w:p>
        </w:tc>
        <w:tc>
          <w:tcPr>
            <w:tcW w:w="806" w:type="dxa"/>
            <w:vAlign w:val="center"/>
          </w:tcPr>
          <w:p w14:paraId="4E0C17C1" w14:textId="77777777" w:rsidR="004461C5" w:rsidRDefault="004461C5" w:rsidP="004461C5">
            <w:pPr>
              <w:pStyle w:val="Tablebodytext"/>
              <w:jc w:val="right"/>
            </w:pPr>
            <w:r w:rsidRPr="00EE4F48">
              <w:t>685</w:t>
            </w:r>
          </w:p>
        </w:tc>
        <w:tc>
          <w:tcPr>
            <w:tcW w:w="807" w:type="dxa"/>
            <w:vAlign w:val="center"/>
          </w:tcPr>
          <w:p w14:paraId="40F827EC" w14:textId="77777777" w:rsidR="004461C5" w:rsidRDefault="004461C5" w:rsidP="004461C5">
            <w:pPr>
              <w:pStyle w:val="Tablebodytext"/>
              <w:jc w:val="center"/>
            </w:pPr>
            <w:r w:rsidRPr="00EE4F48">
              <w:t>0.28</w:t>
            </w:r>
          </w:p>
        </w:tc>
        <w:tc>
          <w:tcPr>
            <w:tcW w:w="807" w:type="dxa"/>
            <w:vAlign w:val="center"/>
          </w:tcPr>
          <w:p w14:paraId="0B20564A" w14:textId="77777777" w:rsidR="004461C5" w:rsidRDefault="004461C5" w:rsidP="004461C5">
            <w:pPr>
              <w:pStyle w:val="Tablebodytext"/>
              <w:jc w:val="right"/>
            </w:pPr>
            <w:r w:rsidRPr="00EE4F48">
              <w:t>685</w:t>
            </w:r>
          </w:p>
        </w:tc>
        <w:tc>
          <w:tcPr>
            <w:tcW w:w="807" w:type="dxa"/>
            <w:vAlign w:val="center"/>
          </w:tcPr>
          <w:p w14:paraId="729B0848" w14:textId="77777777" w:rsidR="004461C5" w:rsidRDefault="004461C5" w:rsidP="004461C5">
            <w:pPr>
              <w:pStyle w:val="Tablebodytext"/>
              <w:jc w:val="center"/>
            </w:pPr>
            <w:r w:rsidRPr="00EE4F48">
              <w:t>0.11</w:t>
            </w:r>
          </w:p>
        </w:tc>
        <w:tc>
          <w:tcPr>
            <w:tcW w:w="807" w:type="dxa"/>
            <w:vAlign w:val="center"/>
          </w:tcPr>
          <w:p w14:paraId="4099A339" w14:textId="77777777" w:rsidR="004461C5" w:rsidRDefault="004461C5" w:rsidP="004461C5">
            <w:pPr>
              <w:pStyle w:val="Tablebodytext"/>
              <w:jc w:val="right"/>
            </w:pPr>
            <w:r w:rsidRPr="00EE4F48">
              <w:t>685</w:t>
            </w:r>
          </w:p>
        </w:tc>
        <w:tc>
          <w:tcPr>
            <w:tcW w:w="807" w:type="dxa"/>
            <w:vAlign w:val="center"/>
          </w:tcPr>
          <w:p w14:paraId="61179F4A" w14:textId="77777777" w:rsidR="004461C5" w:rsidRDefault="004461C5" w:rsidP="004461C5">
            <w:pPr>
              <w:pStyle w:val="Tablebodytext"/>
              <w:jc w:val="center"/>
            </w:pPr>
            <w:r w:rsidRPr="00EE4F48">
              <w:t>0.11</w:t>
            </w:r>
          </w:p>
        </w:tc>
        <w:tc>
          <w:tcPr>
            <w:tcW w:w="807" w:type="dxa"/>
            <w:vAlign w:val="center"/>
          </w:tcPr>
          <w:p w14:paraId="6246D510" w14:textId="77777777" w:rsidR="004461C5" w:rsidRDefault="004461C5" w:rsidP="004461C5">
            <w:pPr>
              <w:pStyle w:val="Tablebodytext"/>
              <w:jc w:val="right"/>
            </w:pPr>
            <w:r w:rsidRPr="00EE4F48">
              <w:t>462</w:t>
            </w:r>
          </w:p>
        </w:tc>
        <w:tc>
          <w:tcPr>
            <w:tcW w:w="807" w:type="dxa"/>
            <w:vAlign w:val="center"/>
          </w:tcPr>
          <w:p w14:paraId="5268B854" w14:textId="77777777" w:rsidR="004461C5" w:rsidRDefault="004461C5" w:rsidP="004461C5">
            <w:pPr>
              <w:pStyle w:val="Tablebodytext"/>
              <w:jc w:val="center"/>
            </w:pPr>
            <w:r w:rsidRPr="00EE4F48">
              <w:t>0.21</w:t>
            </w:r>
          </w:p>
        </w:tc>
        <w:tc>
          <w:tcPr>
            <w:tcW w:w="807" w:type="dxa"/>
            <w:vAlign w:val="center"/>
          </w:tcPr>
          <w:p w14:paraId="16744F7A" w14:textId="77777777" w:rsidR="004461C5" w:rsidRDefault="004461C5" w:rsidP="004461C5">
            <w:pPr>
              <w:pStyle w:val="Tablebodytext"/>
              <w:jc w:val="right"/>
            </w:pPr>
            <w:r w:rsidRPr="00EE4F48">
              <w:t>685</w:t>
            </w:r>
          </w:p>
        </w:tc>
        <w:tc>
          <w:tcPr>
            <w:tcW w:w="807" w:type="dxa"/>
            <w:vAlign w:val="center"/>
          </w:tcPr>
          <w:p w14:paraId="0719B073" w14:textId="77777777" w:rsidR="004461C5" w:rsidRDefault="004461C5" w:rsidP="004461C5">
            <w:pPr>
              <w:pStyle w:val="Tablebodytext"/>
              <w:jc w:val="center"/>
            </w:pPr>
            <w:r w:rsidRPr="00EE4F48">
              <w:t>0.42</w:t>
            </w:r>
          </w:p>
        </w:tc>
      </w:tr>
      <w:tr w:rsidR="004461C5" w14:paraId="6412C531"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3F4C80A4" w14:textId="77777777" w:rsidR="004461C5" w:rsidRDefault="004461C5" w:rsidP="004461C5">
            <w:pPr>
              <w:pStyle w:val="Tablebodytext"/>
            </w:pPr>
            <w:r w:rsidRPr="00EE4F48">
              <w:t>Accommodation and Food Services</w:t>
            </w:r>
          </w:p>
        </w:tc>
        <w:tc>
          <w:tcPr>
            <w:tcW w:w="806" w:type="dxa"/>
            <w:vAlign w:val="center"/>
          </w:tcPr>
          <w:p w14:paraId="74EFEA1E" w14:textId="77777777" w:rsidR="004461C5" w:rsidRDefault="004461C5" w:rsidP="004461C5">
            <w:pPr>
              <w:pStyle w:val="Tablebodytext"/>
              <w:jc w:val="right"/>
            </w:pPr>
            <w:r w:rsidRPr="00EE4F48">
              <w:t>232</w:t>
            </w:r>
          </w:p>
        </w:tc>
        <w:tc>
          <w:tcPr>
            <w:tcW w:w="806" w:type="dxa"/>
            <w:vAlign w:val="center"/>
          </w:tcPr>
          <w:p w14:paraId="32F5793C" w14:textId="77777777" w:rsidR="004461C5" w:rsidRDefault="004461C5" w:rsidP="004461C5">
            <w:pPr>
              <w:pStyle w:val="Tablebodytext"/>
              <w:jc w:val="center"/>
            </w:pPr>
            <w:r w:rsidRPr="00EE4F48">
              <w:t>0.32</w:t>
            </w:r>
          </w:p>
        </w:tc>
        <w:tc>
          <w:tcPr>
            <w:tcW w:w="806" w:type="dxa"/>
            <w:vAlign w:val="center"/>
          </w:tcPr>
          <w:p w14:paraId="0E38C1D9" w14:textId="77777777" w:rsidR="004461C5" w:rsidRDefault="004461C5" w:rsidP="004461C5">
            <w:pPr>
              <w:pStyle w:val="Tablebodytext"/>
              <w:jc w:val="right"/>
            </w:pPr>
            <w:r w:rsidRPr="00EE4F48">
              <w:t>430</w:t>
            </w:r>
          </w:p>
        </w:tc>
        <w:tc>
          <w:tcPr>
            <w:tcW w:w="807" w:type="dxa"/>
            <w:vAlign w:val="center"/>
          </w:tcPr>
          <w:p w14:paraId="32716D83" w14:textId="77777777" w:rsidR="004461C5" w:rsidRDefault="004461C5" w:rsidP="004461C5">
            <w:pPr>
              <w:pStyle w:val="Tablebodytext"/>
              <w:jc w:val="center"/>
            </w:pPr>
            <w:r w:rsidRPr="00EE4F48">
              <w:t>0.32</w:t>
            </w:r>
          </w:p>
        </w:tc>
        <w:tc>
          <w:tcPr>
            <w:tcW w:w="807" w:type="dxa"/>
            <w:vAlign w:val="center"/>
          </w:tcPr>
          <w:p w14:paraId="4482FF99" w14:textId="77777777" w:rsidR="004461C5" w:rsidRDefault="004461C5" w:rsidP="004461C5">
            <w:pPr>
              <w:pStyle w:val="Tablebodytext"/>
              <w:jc w:val="right"/>
            </w:pPr>
            <w:r w:rsidRPr="00EE4F48">
              <w:t>430</w:t>
            </w:r>
          </w:p>
        </w:tc>
        <w:tc>
          <w:tcPr>
            <w:tcW w:w="807" w:type="dxa"/>
            <w:vAlign w:val="center"/>
          </w:tcPr>
          <w:p w14:paraId="70947595" w14:textId="77777777" w:rsidR="004461C5" w:rsidRDefault="004461C5" w:rsidP="004461C5">
            <w:pPr>
              <w:pStyle w:val="Tablebodytext"/>
              <w:jc w:val="center"/>
            </w:pPr>
            <w:r w:rsidRPr="00EE4F48">
              <w:t>0.12</w:t>
            </w:r>
          </w:p>
        </w:tc>
        <w:tc>
          <w:tcPr>
            <w:tcW w:w="807" w:type="dxa"/>
            <w:vAlign w:val="center"/>
          </w:tcPr>
          <w:p w14:paraId="0A6FCFA4" w14:textId="77777777" w:rsidR="004461C5" w:rsidRDefault="004461C5" w:rsidP="004461C5">
            <w:pPr>
              <w:pStyle w:val="Tablebodytext"/>
              <w:jc w:val="right"/>
            </w:pPr>
            <w:r w:rsidRPr="00EE4F48">
              <w:t>430</w:t>
            </w:r>
          </w:p>
        </w:tc>
        <w:tc>
          <w:tcPr>
            <w:tcW w:w="807" w:type="dxa"/>
            <w:vAlign w:val="center"/>
          </w:tcPr>
          <w:p w14:paraId="7E7D7973" w14:textId="77777777" w:rsidR="004461C5" w:rsidRDefault="004461C5" w:rsidP="004461C5">
            <w:pPr>
              <w:pStyle w:val="Tablebodytext"/>
              <w:jc w:val="center"/>
            </w:pPr>
            <w:r w:rsidRPr="00EE4F48">
              <w:t>0.16</w:t>
            </w:r>
          </w:p>
        </w:tc>
        <w:tc>
          <w:tcPr>
            <w:tcW w:w="807" w:type="dxa"/>
            <w:vAlign w:val="center"/>
          </w:tcPr>
          <w:p w14:paraId="2EA93DCB" w14:textId="77777777" w:rsidR="004461C5" w:rsidRDefault="004461C5" w:rsidP="004461C5">
            <w:pPr>
              <w:pStyle w:val="Tablebodytext"/>
              <w:jc w:val="right"/>
            </w:pPr>
            <w:r w:rsidRPr="00EE4F48">
              <w:t>232</w:t>
            </w:r>
          </w:p>
        </w:tc>
        <w:tc>
          <w:tcPr>
            <w:tcW w:w="807" w:type="dxa"/>
            <w:vAlign w:val="center"/>
          </w:tcPr>
          <w:p w14:paraId="2DB468E4" w14:textId="77777777" w:rsidR="004461C5" w:rsidRDefault="004461C5" w:rsidP="004461C5">
            <w:pPr>
              <w:pStyle w:val="Tablebodytext"/>
              <w:jc w:val="center"/>
            </w:pPr>
            <w:r w:rsidRPr="00EE4F48">
              <w:t>0.19</w:t>
            </w:r>
          </w:p>
        </w:tc>
        <w:tc>
          <w:tcPr>
            <w:tcW w:w="807" w:type="dxa"/>
            <w:vAlign w:val="center"/>
          </w:tcPr>
          <w:p w14:paraId="7D28CBFD" w14:textId="77777777" w:rsidR="004461C5" w:rsidRDefault="004461C5" w:rsidP="004461C5">
            <w:pPr>
              <w:pStyle w:val="Tablebodytext"/>
              <w:jc w:val="right"/>
            </w:pPr>
            <w:r w:rsidRPr="00EE4F48">
              <w:t>430</w:t>
            </w:r>
          </w:p>
        </w:tc>
        <w:tc>
          <w:tcPr>
            <w:tcW w:w="807" w:type="dxa"/>
            <w:vAlign w:val="center"/>
          </w:tcPr>
          <w:p w14:paraId="2126AEF6" w14:textId="77777777" w:rsidR="004461C5" w:rsidRDefault="004461C5" w:rsidP="004461C5">
            <w:pPr>
              <w:pStyle w:val="Tablebodytext"/>
              <w:jc w:val="center"/>
            </w:pPr>
            <w:r w:rsidRPr="00EE4F48">
              <w:t>0.47</w:t>
            </w:r>
          </w:p>
        </w:tc>
      </w:tr>
      <w:tr w:rsidR="004461C5" w14:paraId="7A63F6DE"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3F23E0FC" w14:textId="77777777" w:rsidR="004461C5" w:rsidRDefault="004461C5" w:rsidP="004461C5">
            <w:pPr>
              <w:pStyle w:val="Tablebodytext"/>
            </w:pPr>
            <w:r w:rsidRPr="00EE4F48">
              <w:t>Transport, Postal and Warehousing</w:t>
            </w:r>
          </w:p>
        </w:tc>
        <w:tc>
          <w:tcPr>
            <w:tcW w:w="806" w:type="dxa"/>
            <w:vAlign w:val="center"/>
          </w:tcPr>
          <w:p w14:paraId="5E7B0ADF" w14:textId="77777777" w:rsidR="004461C5" w:rsidRDefault="004461C5" w:rsidP="004461C5">
            <w:pPr>
              <w:pStyle w:val="Tablebodytext"/>
              <w:jc w:val="right"/>
            </w:pPr>
            <w:r w:rsidRPr="00EE4F48">
              <w:t>503</w:t>
            </w:r>
          </w:p>
        </w:tc>
        <w:tc>
          <w:tcPr>
            <w:tcW w:w="806" w:type="dxa"/>
            <w:vAlign w:val="center"/>
          </w:tcPr>
          <w:p w14:paraId="315CF95C" w14:textId="77777777" w:rsidR="004461C5" w:rsidRDefault="004461C5" w:rsidP="004461C5">
            <w:pPr>
              <w:pStyle w:val="Tablebodytext"/>
              <w:jc w:val="center"/>
            </w:pPr>
            <w:r w:rsidRPr="00EE4F48">
              <w:t>0.27</w:t>
            </w:r>
          </w:p>
        </w:tc>
        <w:tc>
          <w:tcPr>
            <w:tcW w:w="806" w:type="dxa"/>
            <w:vAlign w:val="center"/>
          </w:tcPr>
          <w:p w14:paraId="56D70AEC" w14:textId="77777777" w:rsidR="004461C5" w:rsidRDefault="004461C5" w:rsidP="004461C5">
            <w:pPr>
              <w:pStyle w:val="Tablebodytext"/>
              <w:jc w:val="right"/>
            </w:pPr>
            <w:r w:rsidRPr="00EE4F48">
              <w:t>818</w:t>
            </w:r>
          </w:p>
        </w:tc>
        <w:tc>
          <w:tcPr>
            <w:tcW w:w="807" w:type="dxa"/>
            <w:vAlign w:val="center"/>
          </w:tcPr>
          <w:p w14:paraId="12CAEB09" w14:textId="77777777" w:rsidR="004461C5" w:rsidRDefault="004461C5" w:rsidP="004461C5">
            <w:pPr>
              <w:pStyle w:val="Tablebodytext"/>
              <w:jc w:val="center"/>
            </w:pPr>
            <w:r w:rsidRPr="00EE4F48">
              <w:t>0.26</w:t>
            </w:r>
          </w:p>
        </w:tc>
        <w:tc>
          <w:tcPr>
            <w:tcW w:w="807" w:type="dxa"/>
            <w:vAlign w:val="center"/>
          </w:tcPr>
          <w:p w14:paraId="0DA76FF2" w14:textId="77777777" w:rsidR="004461C5" w:rsidRDefault="004461C5" w:rsidP="004461C5">
            <w:pPr>
              <w:pStyle w:val="Tablebodytext"/>
              <w:jc w:val="right"/>
            </w:pPr>
            <w:r w:rsidRPr="00EE4F48">
              <w:t>818</w:t>
            </w:r>
          </w:p>
        </w:tc>
        <w:tc>
          <w:tcPr>
            <w:tcW w:w="807" w:type="dxa"/>
            <w:vAlign w:val="center"/>
          </w:tcPr>
          <w:p w14:paraId="6B7E48D0" w14:textId="77777777" w:rsidR="004461C5" w:rsidRDefault="004461C5" w:rsidP="004461C5">
            <w:pPr>
              <w:pStyle w:val="Tablebodytext"/>
              <w:jc w:val="center"/>
            </w:pPr>
            <w:r w:rsidRPr="00EE4F48">
              <w:t>0.10</w:t>
            </w:r>
          </w:p>
        </w:tc>
        <w:tc>
          <w:tcPr>
            <w:tcW w:w="807" w:type="dxa"/>
            <w:vAlign w:val="center"/>
          </w:tcPr>
          <w:p w14:paraId="66BC52B7" w14:textId="77777777" w:rsidR="004461C5" w:rsidRDefault="004461C5" w:rsidP="004461C5">
            <w:pPr>
              <w:pStyle w:val="Tablebodytext"/>
              <w:jc w:val="right"/>
            </w:pPr>
            <w:r w:rsidRPr="00EE4F48">
              <w:t>818</w:t>
            </w:r>
          </w:p>
        </w:tc>
        <w:tc>
          <w:tcPr>
            <w:tcW w:w="807" w:type="dxa"/>
            <w:vAlign w:val="center"/>
          </w:tcPr>
          <w:p w14:paraId="61BE19C2" w14:textId="77777777" w:rsidR="004461C5" w:rsidRDefault="004461C5" w:rsidP="004461C5">
            <w:pPr>
              <w:pStyle w:val="Tablebodytext"/>
              <w:jc w:val="center"/>
            </w:pPr>
            <w:r w:rsidRPr="00EE4F48">
              <w:t>0.13</w:t>
            </w:r>
          </w:p>
        </w:tc>
        <w:tc>
          <w:tcPr>
            <w:tcW w:w="807" w:type="dxa"/>
            <w:vAlign w:val="center"/>
          </w:tcPr>
          <w:p w14:paraId="54EF1B2A" w14:textId="77777777" w:rsidR="004461C5" w:rsidRDefault="004461C5" w:rsidP="004461C5">
            <w:pPr>
              <w:pStyle w:val="Tablebodytext"/>
              <w:jc w:val="right"/>
            </w:pPr>
            <w:r w:rsidRPr="00EE4F48">
              <w:t>503</w:t>
            </w:r>
          </w:p>
        </w:tc>
        <w:tc>
          <w:tcPr>
            <w:tcW w:w="807" w:type="dxa"/>
            <w:vAlign w:val="center"/>
          </w:tcPr>
          <w:p w14:paraId="73F2057A" w14:textId="77777777" w:rsidR="004461C5" w:rsidRDefault="004461C5" w:rsidP="004461C5">
            <w:pPr>
              <w:pStyle w:val="Tablebodytext"/>
              <w:jc w:val="center"/>
            </w:pPr>
            <w:r w:rsidRPr="00EE4F48">
              <w:t>0.16</w:t>
            </w:r>
          </w:p>
        </w:tc>
        <w:tc>
          <w:tcPr>
            <w:tcW w:w="807" w:type="dxa"/>
            <w:vAlign w:val="center"/>
          </w:tcPr>
          <w:p w14:paraId="26C916C1" w14:textId="77777777" w:rsidR="004461C5" w:rsidRDefault="004461C5" w:rsidP="004461C5">
            <w:pPr>
              <w:pStyle w:val="Tablebodytext"/>
              <w:jc w:val="right"/>
            </w:pPr>
            <w:r w:rsidRPr="00EE4F48">
              <w:t>818</w:t>
            </w:r>
          </w:p>
        </w:tc>
        <w:tc>
          <w:tcPr>
            <w:tcW w:w="807" w:type="dxa"/>
            <w:vAlign w:val="center"/>
          </w:tcPr>
          <w:p w14:paraId="0B7AA04A" w14:textId="77777777" w:rsidR="004461C5" w:rsidRDefault="004461C5" w:rsidP="004461C5">
            <w:pPr>
              <w:pStyle w:val="Tablebodytext"/>
              <w:jc w:val="center"/>
            </w:pPr>
            <w:r w:rsidRPr="00EE4F48">
              <w:t>0.38</w:t>
            </w:r>
          </w:p>
        </w:tc>
      </w:tr>
      <w:tr w:rsidR="004461C5" w14:paraId="3C858138"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6802A77F" w14:textId="77777777" w:rsidR="004461C5" w:rsidRDefault="004461C5" w:rsidP="004461C5">
            <w:pPr>
              <w:pStyle w:val="Tablebodytext"/>
            </w:pPr>
            <w:r w:rsidRPr="00EE4F48">
              <w:t>Information Media and Telecommunications</w:t>
            </w:r>
          </w:p>
        </w:tc>
        <w:tc>
          <w:tcPr>
            <w:tcW w:w="806" w:type="dxa"/>
            <w:vAlign w:val="center"/>
          </w:tcPr>
          <w:p w14:paraId="48E08EEC" w14:textId="77777777" w:rsidR="004461C5" w:rsidRDefault="004461C5" w:rsidP="004461C5">
            <w:pPr>
              <w:pStyle w:val="Tablebodytext"/>
              <w:jc w:val="right"/>
            </w:pPr>
            <w:r w:rsidRPr="00EE4F48">
              <w:t>351</w:t>
            </w:r>
          </w:p>
        </w:tc>
        <w:tc>
          <w:tcPr>
            <w:tcW w:w="806" w:type="dxa"/>
            <w:vAlign w:val="center"/>
          </w:tcPr>
          <w:p w14:paraId="69D7E121" w14:textId="77777777" w:rsidR="004461C5" w:rsidRDefault="004461C5" w:rsidP="004461C5">
            <w:pPr>
              <w:pStyle w:val="Tablebodytext"/>
              <w:jc w:val="center"/>
            </w:pPr>
            <w:r w:rsidRPr="00EE4F48">
              <w:t>0.25</w:t>
            </w:r>
          </w:p>
        </w:tc>
        <w:tc>
          <w:tcPr>
            <w:tcW w:w="806" w:type="dxa"/>
            <w:vAlign w:val="center"/>
          </w:tcPr>
          <w:p w14:paraId="19E49053" w14:textId="77777777" w:rsidR="004461C5" w:rsidRDefault="004461C5" w:rsidP="004461C5">
            <w:pPr>
              <w:pStyle w:val="Tablebodytext"/>
              <w:jc w:val="right"/>
            </w:pPr>
            <w:r w:rsidRPr="00EE4F48">
              <w:t>626</w:t>
            </w:r>
          </w:p>
        </w:tc>
        <w:tc>
          <w:tcPr>
            <w:tcW w:w="807" w:type="dxa"/>
            <w:vAlign w:val="center"/>
          </w:tcPr>
          <w:p w14:paraId="708171C1" w14:textId="77777777" w:rsidR="004461C5" w:rsidRDefault="004461C5" w:rsidP="004461C5">
            <w:pPr>
              <w:pStyle w:val="Tablebodytext"/>
              <w:jc w:val="center"/>
            </w:pPr>
            <w:r w:rsidRPr="00EE4F48">
              <w:t>0.24</w:t>
            </w:r>
          </w:p>
        </w:tc>
        <w:tc>
          <w:tcPr>
            <w:tcW w:w="807" w:type="dxa"/>
            <w:vAlign w:val="center"/>
          </w:tcPr>
          <w:p w14:paraId="30F5DC65" w14:textId="77777777" w:rsidR="004461C5" w:rsidRDefault="004461C5" w:rsidP="004461C5">
            <w:pPr>
              <w:pStyle w:val="Tablebodytext"/>
              <w:jc w:val="right"/>
            </w:pPr>
            <w:r w:rsidRPr="00EE4F48">
              <w:t>626</w:t>
            </w:r>
          </w:p>
        </w:tc>
        <w:tc>
          <w:tcPr>
            <w:tcW w:w="807" w:type="dxa"/>
            <w:vAlign w:val="center"/>
          </w:tcPr>
          <w:p w14:paraId="6314DC17" w14:textId="77777777" w:rsidR="004461C5" w:rsidRDefault="004461C5" w:rsidP="004461C5">
            <w:pPr>
              <w:pStyle w:val="Tablebodytext"/>
              <w:jc w:val="center"/>
            </w:pPr>
            <w:r w:rsidRPr="00EE4F48">
              <w:t>0.14</w:t>
            </w:r>
          </w:p>
        </w:tc>
        <w:tc>
          <w:tcPr>
            <w:tcW w:w="807" w:type="dxa"/>
            <w:vAlign w:val="center"/>
          </w:tcPr>
          <w:p w14:paraId="324C508C" w14:textId="77777777" w:rsidR="004461C5" w:rsidRDefault="004461C5" w:rsidP="004461C5">
            <w:pPr>
              <w:pStyle w:val="Tablebodytext"/>
              <w:jc w:val="right"/>
            </w:pPr>
            <w:r w:rsidRPr="00EE4F48">
              <w:t>626</w:t>
            </w:r>
          </w:p>
        </w:tc>
        <w:tc>
          <w:tcPr>
            <w:tcW w:w="807" w:type="dxa"/>
            <w:vAlign w:val="center"/>
          </w:tcPr>
          <w:p w14:paraId="34BADDCE" w14:textId="77777777" w:rsidR="004461C5" w:rsidRDefault="004461C5" w:rsidP="004461C5">
            <w:pPr>
              <w:pStyle w:val="Tablebodytext"/>
              <w:jc w:val="center"/>
            </w:pPr>
            <w:r w:rsidRPr="00EE4F48">
              <w:t>0.07</w:t>
            </w:r>
          </w:p>
        </w:tc>
        <w:tc>
          <w:tcPr>
            <w:tcW w:w="807" w:type="dxa"/>
            <w:vAlign w:val="center"/>
          </w:tcPr>
          <w:p w14:paraId="7FDC0498" w14:textId="77777777" w:rsidR="004461C5" w:rsidRDefault="004461C5" w:rsidP="004461C5">
            <w:pPr>
              <w:pStyle w:val="Tablebodytext"/>
              <w:jc w:val="right"/>
            </w:pPr>
            <w:r w:rsidRPr="00EE4F48">
              <w:t>351</w:t>
            </w:r>
          </w:p>
        </w:tc>
        <w:tc>
          <w:tcPr>
            <w:tcW w:w="807" w:type="dxa"/>
            <w:vAlign w:val="center"/>
          </w:tcPr>
          <w:p w14:paraId="36A9367A" w14:textId="77777777" w:rsidR="004461C5" w:rsidRDefault="004461C5" w:rsidP="004461C5">
            <w:pPr>
              <w:pStyle w:val="Tablebodytext"/>
              <w:jc w:val="center"/>
            </w:pPr>
            <w:r w:rsidRPr="00EE4F48">
              <w:t>0.13</w:t>
            </w:r>
          </w:p>
        </w:tc>
        <w:tc>
          <w:tcPr>
            <w:tcW w:w="807" w:type="dxa"/>
            <w:vAlign w:val="center"/>
          </w:tcPr>
          <w:p w14:paraId="149BB885" w14:textId="77777777" w:rsidR="004461C5" w:rsidRDefault="004461C5" w:rsidP="004461C5">
            <w:pPr>
              <w:pStyle w:val="Tablebodytext"/>
              <w:jc w:val="right"/>
            </w:pPr>
            <w:r w:rsidRPr="00EE4F48">
              <w:t>626</w:t>
            </w:r>
          </w:p>
        </w:tc>
        <w:tc>
          <w:tcPr>
            <w:tcW w:w="807" w:type="dxa"/>
            <w:vAlign w:val="center"/>
          </w:tcPr>
          <w:p w14:paraId="350283C2" w14:textId="77777777" w:rsidR="004461C5" w:rsidRDefault="004461C5" w:rsidP="004461C5">
            <w:pPr>
              <w:pStyle w:val="Tablebodytext"/>
              <w:jc w:val="center"/>
            </w:pPr>
            <w:r w:rsidRPr="00EE4F48">
              <w:t>0.37</w:t>
            </w:r>
          </w:p>
        </w:tc>
      </w:tr>
      <w:tr w:rsidR="004461C5" w14:paraId="758B6125"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68BB0FB7" w14:textId="77777777" w:rsidR="004461C5" w:rsidRDefault="004461C5" w:rsidP="004461C5">
            <w:pPr>
              <w:pStyle w:val="Tablebodytext"/>
            </w:pPr>
            <w:r w:rsidRPr="00EE4F48">
              <w:t>Financial and Insurance Services</w:t>
            </w:r>
          </w:p>
        </w:tc>
        <w:tc>
          <w:tcPr>
            <w:tcW w:w="806" w:type="dxa"/>
            <w:vAlign w:val="center"/>
          </w:tcPr>
          <w:p w14:paraId="6B56DF88" w14:textId="77777777" w:rsidR="004461C5" w:rsidRDefault="004461C5" w:rsidP="004461C5">
            <w:pPr>
              <w:pStyle w:val="Tablebodytext"/>
              <w:jc w:val="right"/>
            </w:pPr>
            <w:r w:rsidRPr="00EE4F48">
              <w:t>313</w:t>
            </w:r>
          </w:p>
        </w:tc>
        <w:tc>
          <w:tcPr>
            <w:tcW w:w="806" w:type="dxa"/>
            <w:vAlign w:val="center"/>
          </w:tcPr>
          <w:p w14:paraId="7ECA4E80" w14:textId="77777777" w:rsidR="004461C5" w:rsidRDefault="004461C5" w:rsidP="004461C5">
            <w:pPr>
              <w:pStyle w:val="Tablebodytext"/>
              <w:jc w:val="center"/>
            </w:pPr>
            <w:r w:rsidRPr="00EE4F48">
              <w:t>0.30</w:t>
            </w:r>
          </w:p>
        </w:tc>
        <w:tc>
          <w:tcPr>
            <w:tcW w:w="806" w:type="dxa"/>
            <w:vAlign w:val="center"/>
          </w:tcPr>
          <w:p w14:paraId="32328C7F" w14:textId="77777777" w:rsidR="004461C5" w:rsidRDefault="004461C5" w:rsidP="004461C5">
            <w:pPr>
              <w:pStyle w:val="Tablebodytext"/>
              <w:jc w:val="right"/>
            </w:pPr>
            <w:r w:rsidRPr="00EE4F48">
              <w:t>483</w:t>
            </w:r>
          </w:p>
        </w:tc>
        <w:tc>
          <w:tcPr>
            <w:tcW w:w="807" w:type="dxa"/>
            <w:vAlign w:val="center"/>
          </w:tcPr>
          <w:p w14:paraId="5844B1B0" w14:textId="77777777" w:rsidR="004461C5" w:rsidRDefault="004461C5" w:rsidP="004461C5">
            <w:pPr>
              <w:pStyle w:val="Tablebodytext"/>
              <w:jc w:val="center"/>
            </w:pPr>
            <w:r w:rsidRPr="00EE4F48">
              <w:t>0.29</w:t>
            </w:r>
          </w:p>
        </w:tc>
        <w:tc>
          <w:tcPr>
            <w:tcW w:w="807" w:type="dxa"/>
            <w:vAlign w:val="center"/>
          </w:tcPr>
          <w:p w14:paraId="5E6186B3" w14:textId="77777777" w:rsidR="004461C5" w:rsidRDefault="004461C5" w:rsidP="004461C5">
            <w:pPr>
              <w:pStyle w:val="Tablebodytext"/>
              <w:jc w:val="right"/>
            </w:pPr>
            <w:r w:rsidRPr="00EE4F48">
              <w:t>483</w:t>
            </w:r>
          </w:p>
        </w:tc>
        <w:tc>
          <w:tcPr>
            <w:tcW w:w="807" w:type="dxa"/>
            <w:vAlign w:val="center"/>
          </w:tcPr>
          <w:p w14:paraId="5E797218" w14:textId="77777777" w:rsidR="004461C5" w:rsidRDefault="004461C5" w:rsidP="004461C5">
            <w:pPr>
              <w:pStyle w:val="Tablebodytext"/>
              <w:jc w:val="center"/>
            </w:pPr>
            <w:r w:rsidRPr="00EE4F48">
              <w:t>0.19</w:t>
            </w:r>
          </w:p>
        </w:tc>
        <w:tc>
          <w:tcPr>
            <w:tcW w:w="807" w:type="dxa"/>
            <w:vAlign w:val="center"/>
          </w:tcPr>
          <w:p w14:paraId="741AE03A" w14:textId="77777777" w:rsidR="004461C5" w:rsidRDefault="004461C5" w:rsidP="004461C5">
            <w:pPr>
              <w:pStyle w:val="Tablebodytext"/>
              <w:jc w:val="right"/>
            </w:pPr>
            <w:r w:rsidRPr="00EE4F48">
              <w:t>483</w:t>
            </w:r>
          </w:p>
        </w:tc>
        <w:tc>
          <w:tcPr>
            <w:tcW w:w="807" w:type="dxa"/>
            <w:vAlign w:val="center"/>
          </w:tcPr>
          <w:p w14:paraId="46190549" w14:textId="77777777" w:rsidR="004461C5" w:rsidRDefault="004461C5" w:rsidP="004461C5">
            <w:pPr>
              <w:pStyle w:val="Tablebodytext"/>
              <w:jc w:val="center"/>
            </w:pPr>
            <w:r w:rsidRPr="00EE4F48">
              <w:t>0.09</w:t>
            </w:r>
          </w:p>
        </w:tc>
        <w:tc>
          <w:tcPr>
            <w:tcW w:w="807" w:type="dxa"/>
            <w:vAlign w:val="center"/>
          </w:tcPr>
          <w:p w14:paraId="48EC90DE" w14:textId="77777777" w:rsidR="004461C5" w:rsidRDefault="004461C5" w:rsidP="004461C5">
            <w:pPr>
              <w:pStyle w:val="Tablebodytext"/>
              <w:jc w:val="right"/>
            </w:pPr>
            <w:r w:rsidRPr="00EE4F48">
              <w:t>313</w:t>
            </w:r>
          </w:p>
        </w:tc>
        <w:tc>
          <w:tcPr>
            <w:tcW w:w="807" w:type="dxa"/>
            <w:vAlign w:val="center"/>
          </w:tcPr>
          <w:p w14:paraId="367E7C33" w14:textId="77777777" w:rsidR="004461C5" w:rsidRDefault="004461C5" w:rsidP="004461C5">
            <w:pPr>
              <w:pStyle w:val="Tablebodytext"/>
              <w:jc w:val="center"/>
            </w:pPr>
            <w:r w:rsidRPr="00EE4F48">
              <w:t>0.16</w:t>
            </w:r>
          </w:p>
        </w:tc>
        <w:tc>
          <w:tcPr>
            <w:tcW w:w="807" w:type="dxa"/>
            <w:vAlign w:val="center"/>
          </w:tcPr>
          <w:p w14:paraId="2D6F8B6B" w14:textId="77777777" w:rsidR="004461C5" w:rsidRDefault="004461C5" w:rsidP="004461C5">
            <w:pPr>
              <w:pStyle w:val="Tablebodytext"/>
              <w:jc w:val="right"/>
            </w:pPr>
            <w:r w:rsidRPr="00EE4F48">
              <w:t>483</w:t>
            </w:r>
          </w:p>
        </w:tc>
        <w:tc>
          <w:tcPr>
            <w:tcW w:w="807" w:type="dxa"/>
            <w:vAlign w:val="center"/>
          </w:tcPr>
          <w:p w14:paraId="2B444803" w14:textId="77777777" w:rsidR="004461C5" w:rsidRDefault="004461C5" w:rsidP="004461C5">
            <w:pPr>
              <w:pStyle w:val="Tablebodytext"/>
              <w:jc w:val="center"/>
            </w:pPr>
            <w:r w:rsidRPr="00EE4F48">
              <w:t>0.43</w:t>
            </w:r>
          </w:p>
        </w:tc>
      </w:tr>
      <w:tr w:rsidR="004461C5" w14:paraId="2C1E3E56"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7F1AC245" w14:textId="77777777" w:rsidR="004461C5" w:rsidRDefault="004461C5" w:rsidP="004461C5">
            <w:pPr>
              <w:pStyle w:val="Tablebodytext"/>
            </w:pPr>
            <w:r w:rsidRPr="00EE4F48">
              <w:t>Rental, Hiring and Real Estate Services</w:t>
            </w:r>
          </w:p>
        </w:tc>
        <w:tc>
          <w:tcPr>
            <w:tcW w:w="806" w:type="dxa"/>
            <w:vAlign w:val="center"/>
          </w:tcPr>
          <w:p w14:paraId="409BDEC2" w14:textId="77777777" w:rsidR="004461C5" w:rsidRDefault="004461C5" w:rsidP="004461C5">
            <w:pPr>
              <w:pStyle w:val="Tablebodytext"/>
              <w:jc w:val="right"/>
            </w:pPr>
            <w:r w:rsidRPr="00EE4F48">
              <w:t>89</w:t>
            </w:r>
          </w:p>
        </w:tc>
        <w:tc>
          <w:tcPr>
            <w:tcW w:w="806" w:type="dxa"/>
            <w:vAlign w:val="center"/>
          </w:tcPr>
          <w:p w14:paraId="36BD7E89" w14:textId="77777777" w:rsidR="004461C5" w:rsidRDefault="004461C5" w:rsidP="004461C5">
            <w:pPr>
              <w:pStyle w:val="Tablebodytext"/>
              <w:jc w:val="center"/>
            </w:pPr>
            <w:r w:rsidRPr="00EE4F48">
              <w:t>0.29</w:t>
            </w:r>
          </w:p>
        </w:tc>
        <w:tc>
          <w:tcPr>
            <w:tcW w:w="806" w:type="dxa"/>
            <w:vAlign w:val="center"/>
          </w:tcPr>
          <w:p w14:paraId="1EAC213E" w14:textId="77777777" w:rsidR="004461C5" w:rsidRDefault="004461C5" w:rsidP="004461C5">
            <w:pPr>
              <w:pStyle w:val="Tablebodytext"/>
              <w:jc w:val="right"/>
            </w:pPr>
            <w:r w:rsidRPr="00EE4F48">
              <w:t>190</w:t>
            </w:r>
          </w:p>
        </w:tc>
        <w:tc>
          <w:tcPr>
            <w:tcW w:w="807" w:type="dxa"/>
            <w:vAlign w:val="center"/>
          </w:tcPr>
          <w:p w14:paraId="4C840856" w14:textId="77777777" w:rsidR="004461C5" w:rsidRDefault="004461C5" w:rsidP="004461C5">
            <w:pPr>
              <w:pStyle w:val="Tablebodytext"/>
              <w:jc w:val="center"/>
            </w:pPr>
            <w:r w:rsidRPr="00EE4F48">
              <w:t>0.26</w:t>
            </w:r>
          </w:p>
        </w:tc>
        <w:tc>
          <w:tcPr>
            <w:tcW w:w="807" w:type="dxa"/>
            <w:vAlign w:val="center"/>
          </w:tcPr>
          <w:p w14:paraId="0040A9A8" w14:textId="77777777" w:rsidR="004461C5" w:rsidRDefault="004461C5" w:rsidP="004461C5">
            <w:pPr>
              <w:pStyle w:val="Tablebodytext"/>
              <w:jc w:val="right"/>
            </w:pPr>
            <w:r w:rsidRPr="00EE4F48">
              <w:t>190</w:t>
            </w:r>
          </w:p>
        </w:tc>
        <w:tc>
          <w:tcPr>
            <w:tcW w:w="807" w:type="dxa"/>
            <w:vAlign w:val="center"/>
          </w:tcPr>
          <w:p w14:paraId="4BB94069" w14:textId="77777777" w:rsidR="004461C5" w:rsidRDefault="004461C5" w:rsidP="004461C5">
            <w:pPr>
              <w:pStyle w:val="Tablebodytext"/>
              <w:jc w:val="center"/>
            </w:pPr>
            <w:r w:rsidRPr="00EE4F48">
              <w:t>0.13</w:t>
            </w:r>
          </w:p>
        </w:tc>
        <w:tc>
          <w:tcPr>
            <w:tcW w:w="807" w:type="dxa"/>
            <w:vAlign w:val="center"/>
          </w:tcPr>
          <w:p w14:paraId="1CE8E6B2" w14:textId="77777777" w:rsidR="004461C5" w:rsidRDefault="004461C5" w:rsidP="004461C5">
            <w:pPr>
              <w:pStyle w:val="Tablebodytext"/>
              <w:jc w:val="right"/>
            </w:pPr>
            <w:r w:rsidRPr="00EE4F48">
              <w:t>190</w:t>
            </w:r>
          </w:p>
        </w:tc>
        <w:tc>
          <w:tcPr>
            <w:tcW w:w="807" w:type="dxa"/>
            <w:vAlign w:val="center"/>
          </w:tcPr>
          <w:p w14:paraId="2DE707C4" w14:textId="77777777" w:rsidR="004461C5" w:rsidRDefault="004461C5" w:rsidP="004461C5">
            <w:pPr>
              <w:pStyle w:val="Tablebodytext"/>
              <w:jc w:val="center"/>
            </w:pPr>
            <w:r w:rsidRPr="00EE4F48">
              <w:t>0.10</w:t>
            </w:r>
          </w:p>
        </w:tc>
        <w:tc>
          <w:tcPr>
            <w:tcW w:w="807" w:type="dxa"/>
            <w:vAlign w:val="center"/>
          </w:tcPr>
          <w:p w14:paraId="1321C086" w14:textId="77777777" w:rsidR="004461C5" w:rsidRDefault="004461C5" w:rsidP="004461C5">
            <w:pPr>
              <w:pStyle w:val="Tablebodytext"/>
              <w:jc w:val="right"/>
            </w:pPr>
            <w:r w:rsidRPr="00EE4F48">
              <w:t>89</w:t>
            </w:r>
          </w:p>
        </w:tc>
        <w:tc>
          <w:tcPr>
            <w:tcW w:w="807" w:type="dxa"/>
            <w:vAlign w:val="center"/>
          </w:tcPr>
          <w:p w14:paraId="10E391C0" w14:textId="77777777" w:rsidR="004461C5" w:rsidRDefault="004461C5" w:rsidP="004461C5">
            <w:pPr>
              <w:pStyle w:val="Tablebodytext"/>
              <w:jc w:val="center"/>
            </w:pPr>
            <w:r w:rsidRPr="00EE4F48">
              <w:t>0.17</w:t>
            </w:r>
          </w:p>
        </w:tc>
        <w:tc>
          <w:tcPr>
            <w:tcW w:w="807" w:type="dxa"/>
            <w:vAlign w:val="center"/>
          </w:tcPr>
          <w:p w14:paraId="055B27A7" w14:textId="77777777" w:rsidR="004461C5" w:rsidRDefault="004461C5" w:rsidP="004461C5">
            <w:pPr>
              <w:pStyle w:val="Tablebodytext"/>
              <w:jc w:val="right"/>
            </w:pPr>
            <w:r w:rsidRPr="00EE4F48">
              <w:t>190</w:t>
            </w:r>
          </w:p>
        </w:tc>
        <w:tc>
          <w:tcPr>
            <w:tcW w:w="807" w:type="dxa"/>
            <w:vAlign w:val="center"/>
          </w:tcPr>
          <w:p w14:paraId="150CEE4A" w14:textId="77777777" w:rsidR="004461C5" w:rsidRDefault="004461C5" w:rsidP="004461C5">
            <w:pPr>
              <w:pStyle w:val="Tablebodytext"/>
              <w:jc w:val="center"/>
            </w:pPr>
            <w:r w:rsidRPr="00EE4F48">
              <w:t>0.38</w:t>
            </w:r>
          </w:p>
        </w:tc>
      </w:tr>
      <w:tr w:rsidR="004461C5" w14:paraId="65F70044"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1F4A3E96" w14:textId="77777777" w:rsidR="004461C5" w:rsidRDefault="004461C5" w:rsidP="004461C5">
            <w:pPr>
              <w:pStyle w:val="Tablebodytext"/>
            </w:pPr>
            <w:r w:rsidRPr="00EE4F48">
              <w:t>Professional, Scientific and Technical Services</w:t>
            </w:r>
          </w:p>
        </w:tc>
        <w:tc>
          <w:tcPr>
            <w:tcW w:w="806" w:type="dxa"/>
            <w:vAlign w:val="center"/>
          </w:tcPr>
          <w:p w14:paraId="7E4FD60F" w14:textId="77777777" w:rsidR="004461C5" w:rsidRDefault="004461C5" w:rsidP="004461C5">
            <w:pPr>
              <w:pStyle w:val="Tablebodytext"/>
              <w:jc w:val="right"/>
            </w:pPr>
            <w:r w:rsidRPr="00EE4F48">
              <w:t>855</w:t>
            </w:r>
          </w:p>
        </w:tc>
        <w:tc>
          <w:tcPr>
            <w:tcW w:w="806" w:type="dxa"/>
            <w:vAlign w:val="center"/>
          </w:tcPr>
          <w:p w14:paraId="57D3E7EC" w14:textId="77777777" w:rsidR="004461C5" w:rsidRDefault="004461C5" w:rsidP="004461C5">
            <w:pPr>
              <w:pStyle w:val="Tablebodytext"/>
              <w:jc w:val="center"/>
            </w:pPr>
            <w:r w:rsidRPr="00EE4F48">
              <w:t>0.24</w:t>
            </w:r>
          </w:p>
        </w:tc>
        <w:tc>
          <w:tcPr>
            <w:tcW w:w="806" w:type="dxa"/>
            <w:vAlign w:val="center"/>
          </w:tcPr>
          <w:p w14:paraId="777526EB" w14:textId="77777777" w:rsidR="004461C5" w:rsidRDefault="004461C5" w:rsidP="004461C5">
            <w:pPr>
              <w:pStyle w:val="Tablebodytext"/>
              <w:jc w:val="right"/>
            </w:pPr>
            <w:r w:rsidRPr="00EE4F48">
              <w:t>1654</w:t>
            </w:r>
          </w:p>
        </w:tc>
        <w:tc>
          <w:tcPr>
            <w:tcW w:w="807" w:type="dxa"/>
            <w:vAlign w:val="center"/>
          </w:tcPr>
          <w:p w14:paraId="6462EB92" w14:textId="77777777" w:rsidR="004461C5" w:rsidRDefault="004461C5" w:rsidP="004461C5">
            <w:pPr>
              <w:pStyle w:val="Tablebodytext"/>
              <w:jc w:val="center"/>
            </w:pPr>
            <w:r w:rsidRPr="00EE4F48">
              <w:t>0.23</w:t>
            </w:r>
          </w:p>
        </w:tc>
        <w:tc>
          <w:tcPr>
            <w:tcW w:w="807" w:type="dxa"/>
            <w:vAlign w:val="center"/>
          </w:tcPr>
          <w:p w14:paraId="41F436F3" w14:textId="77777777" w:rsidR="004461C5" w:rsidRDefault="004461C5" w:rsidP="004461C5">
            <w:pPr>
              <w:pStyle w:val="Tablebodytext"/>
              <w:jc w:val="right"/>
            </w:pPr>
            <w:r w:rsidRPr="00EE4F48">
              <w:t>1654</w:t>
            </w:r>
          </w:p>
        </w:tc>
        <w:tc>
          <w:tcPr>
            <w:tcW w:w="807" w:type="dxa"/>
            <w:vAlign w:val="center"/>
          </w:tcPr>
          <w:p w14:paraId="50ECEC3B" w14:textId="77777777" w:rsidR="004461C5" w:rsidRDefault="004461C5" w:rsidP="004461C5">
            <w:pPr>
              <w:pStyle w:val="Tablebodytext"/>
              <w:jc w:val="center"/>
            </w:pPr>
            <w:r w:rsidRPr="00EE4F48">
              <w:t>0.12</w:t>
            </w:r>
          </w:p>
        </w:tc>
        <w:tc>
          <w:tcPr>
            <w:tcW w:w="807" w:type="dxa"/>
            <w:vAlign w:val="center"/>
          </w:tcPr>
          <w:p w14:paraId="2C2F791D" w14:textId="77777777" w:rsidR="004461C5" w:rsidRDefault="004461C5" w:rsidP="004461C5">
            <w:pPr>
              <w:pStyle w:val="Tablebodytext"/>
              <w:jc w:val="right"/>
            </w:pPr>
            <w:r w:rsidRPr="00EE4F48">
              <w:t>1654</w:t>
            </w:r>
          </w:p>
        </w:tc>
        <w:tc>
          <w:tcPr>
            <w:tcW w:w="807" w:type="dxa"/>
            <w:vAlign w:val="center"/>
          </w:tcPr>
          <w:p w14:paraId="344613AB" w14:textId="77777777" w:rsidR="004461C5" w:rsidRDefault="004461C5" w:rsidP="004461C5">
            <w:pPr>
              <w:pStyle w:val="Tablebodytext"/>
              <w:jc w:val="center"/>
            </w:pPr>
            <w:r w:rsidRPr="00EE4F48">
              <w:t>0.08</w:t>
            </w:r>
          </w:p>
        </w:tc>
        <w:tc>
          <w:tcPr>
            <w:tcW w:w="807" w:type="dxa"/>
            <w:vAlign w:val="center"/>
          </w:tcPr>
          <w:p w14:paraId="7F6D618E" w14:textId="77777777" w:rsidR="004461C5" w:rsidRDefault="004461C5" w:rsidP="004461C5">
            <w:pPr>
              <w:pStyle w:val="Tablebodytext"/>
              <w:jc w:val="right"/>
            </w:pPr>
            <w:r w:rsidRPr="00EE4F48">
              <w:t>855</w:t>
            </w:r>
          </w:p>
        </w:tc>
        <w:tc>
          <w:tcPr>
            <w:tcW w:w="807" w:type="dxa"/>
            <w:vAlign w:val="center"/>
          </w:tcPr>
          <w:p w14:paraId="22448E02" w14:textId="77777777" w:rsidR="004461C5" w:rsidRDefault="004461C5" w:rsidP="004461C5">
            <w:pPr>
              <w:pStyle w:val="Tablebodytext"/>
              <w:jc w:val="center"/>
            </w:pPr>
            <w:r w:rsidRPr="00EE4F48">
              <w:t>0.12</w:t>
            </w:r>
          </w:p>
        </w:tc>
        <w:tc>
          <w:tcPr>
            <w:tcW w:w="807" w:type="dxa"/>
            <w:vAlign w:val="center"/>
          </w:tcPr>
          <w:p w14:paraId="3B089B4C" w14:textId="77777777" w:rsidR="004461C5" w:rsidRDefault="004461C5" w:rsidP="004461C5">
            <w:pPr>
              <w:pStyle w:val="Tablebodytext"/>
              <w:jc w:val="right"/>
            </w:pPr>
            <w:r w:rsidRPr="00EE4F48">
              <w:t>1654</w:t>
            </w:r>
          </w:p>
        </w:tc>
        <w:tc>
          <w:tcPr>
            <w:tcW w:w="807" w:type="dxa"/>
            <w:vAlign w:val="center"/>
          </w:tcPr>
          <w:p w14:paraId="543A91C4" w14:textId="77777777" w:rsidR="004461C5" w:rsidRDefault="004461C5" w:rsidP="004461C5">
            <w:pPr>
              <w:pStyle w:val="Tablebodytext"/>
              <w:jc w:val="center"/>
            </w:pPr>
            <w:r w:rsidRPr="00EE4F48">
              <w:t>0.35</w:t>
            </w:r>
          </w:p>
        </w:tc>
      </w:tr>
      <w:tr w:rsidR="004461C5" w14:paraId="1EDDC975"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4FD21867" w14:textId="77777777" w:rsidR="004461C5" w:rsidRDefault="004461C5" w:rsidP="004461C5">
            <w:pPr>
              <w:pStyle w:val="Tablebodytext"/>
            </w:pPr>
            <w:r w:rsidRPr="00EE4F48">
              <w:t>Administrative and Support Services</w:t>
            </w:r>
          </w:p>
        </w:tc>
        <w:tc>
          <w:tcPr>
            <w:tcW w:w="806" w:type="dxa"/>
            <w:vAlign w:val="center"/>
          </w:tcPr>
          <w:p w14:paraId="49FF103E" w14:textId="77777777" w:rsidR="004461C5" w:rsidRDefault="004461C5" w:rsidP="004461C5">
            <w:pPr>
              <w:pStyle w:val="Tablebodytext"/>
              <w:jc w:val="right"/>
            </w:pPr>
            <w:r w:rsidRPr="00EE4F48">
              <w:t>232</w:t>
            </w:r>
          </w:p>
        </w:tc>
        <w:tc>
          <w:tcPr>
            <w:tcW w:w="806" w:type="dxa"/>
            <w:vAlign w:val="center"/>
          </w:tcPr>
          <w:p w14:paraId="591EF8C8" w14:textId="77777777" w:rsidR="004461C5" w:rsidRDefault="004461C5" w:rsidP="004461C5">
            <w:pPr>
              <w:pStyle w:val="Tablebodytext"/>
              <w:jc w:val="center"/>
            </w:pPr>
            <w:r w:rsidRPr="00EE4F48">
              <w:t>0.31</w:t>
            </w:r>
          </w:p>
        </w:tc>
        <w:tc>
          <w:tcPr>
            <w:tcW w:w="806" w:type="dxa"/>
            <w:vAlign w:val="center"/>
          </w:tcPr>
          <w:p w14:paraId="143AFDD4" w14:textId="77777777" w:rsidR="004461C5" w:rsidRDefault="004461C5" w:rsidP="004461C5">
            <w:pPr>
              <w:pStyle w:val="Tablebodytext"/>
              <w:jc w:val="right"/>
            </w:pPr>
            <w:r w:rsidRPr="00EE4F48">
              <w:t>433</w:t>
            </w:r>
          </w:p>
        </w:tc>
        <w:tc>
          <w:tcPr>
            <w:tcW w:w="807" w:type="dxa"/>
            <w:vAlign w:val="center"/>
          </w:tcPr>
          <w:p w14:paraId="36287A72" w14:textId="77777777" w:rsidR="004461C5" w:rsidRDefault="004461C5" w:rsidP="004461C5">
            <w:pPr>
              <w:pStyle w:val="Tablebodytext"/>
              <w:jc w:val="center"/>
            </w:pPr>
            <w:r w:rsidRPr="00EE4F48">
              <w:t>0.30</w:t>
            </w:r>
          </w:p>
        </w:tc>
        <w:tc>
          <w:tcPr>
            <w:tcW w:w="807" w:type="dxa"/>
            <w:vAlign w:val="center"/>
          </w:tcPr>
          <w:p w14:paraId="49EE2561" w14:textId="77777777" w:rsidR="004461C5" w:rsidRDefault="004461C5" w:rsidP="004461C5">
            <w:pPr>
              <w:pStyle w:val="Tablebodytext"/>
              <w:jc w:val="right"/>
            </w:pPr>
            <w:r w:rsidRPr="00EE4F48">
              <w:t>433</w:t>
            </w:r>
          </w:p>
        </w:tc>
        <w:tc>
          <w:tcPr>
            <w:tcW w:w="807" w:type="dxa"/>
            <w:vAlign w:val="center"/>
          </w:tcPr>
          <w:p w14:paraId="501CDC65" w14:textId="77777777" w:rsidR="004461C5" w:rsidRDefault="004461C5" w:rsidP="004461C5">
            <w:pPr>
              <w:pStyle w:val="Tablebodytext"/>
              <w:jc w:val="center"/>
            </w:pPr>
            <w:r w:rsidRPr="00EE4F48">
              <w:t>0.13</w:t>
            </w:r>
          </w:p>
        </w:tc>
        <w:tc>
          <w:tcPr>
            <w:tcW w:w="807" w:type="dxa"/>
            <w:vAlign w:val="center"/>
          </w:tcPr>
          <w:p w14:paraId="7E3FE694" w14:textId="77777777" w:rsidR="004461C5" w:rsidRDefault="004461C5" w:rsidP="004461C5">
            <w:pPr>
              <w:pStyle w:val="Tablebodytext"/>
              <w:jc w:val="right"/>
            </w:pPr>
            <w:r w:rsidRPr="00EE4F48">
              <w:t>433</w:t>
            </w:r>
          </w:p>
        </w:tc>
        <w:tc>
          <w:tcPr>
            <w:tcW w:w="807" w:type="dxa"/>
            <w:vAlign w:val="center"/>
          </w:tcPr>
          <w:p w14:paraId="747DBE70" w14:textId="77777777" w:rsidR="004461C5" w:rsidRDefault="004461C5" w:rsidP="004461C5">
            <w:pPr>
              <w:pStyle w:val="Tablebodytext"/>
              <w:jc w:val="center"/>
            </w:pPr>
            <w:r w:rsidRPr="00EE4F48">
              <w:t>0.11</w:t>
            </w:r>
          </w:p>
        </w:tc>
        <w:tc>
          <w:tcPr>
            <w:tcW w:w="807" w:type="dxa"/>
            <w:vAlign w:val="center"/>
          </w:tcPr>
          <w:p w14:paraId="16FFC680" w14:textId="77777777" w:rsidR="004461C5" w:rsidRDefault="004461C5" w:rsidP="004461C5">
            <w:pPr>
              <w:pStyle w:val="Tablebodytext"/>
              <w:jc w:val="right"/>
            </w:pPr>
            <w:r w:rsidRPr="00EE4F48">
              <w:t>232</w:t>
            </w:r>
          </w:p>
        </w:tc>
        <w:tc>
          <w:tcPr>
            <w:tcW w:w="807" w:type="dxa"/>
            <w:vAlign w:val="center"/>
          </w:tcPr>
          <w:p w14:paraId="6D6EE10F" w14:textId="77777777" w:rsidR="004461C5" w:rsidRDefault="004461C5" w:rsidP="004461C5">
            <w:pPr>
              <w:pStyle w:val="Tablebodytext"/>
              <w:jc w:val="center"/>
            </w:pPr>
            <w:r w:rsidRPr="00EE4F48">
              <w:t>0.15</w:t>
            </w:r>
          </w:p>
        </w:tc>
        <w:tc>
          <w:tcPr>
            <w:tcW w:w="807" w:type="dxa"/>
            <w:vAlign w:val="center"/>
          </w:tcPr>
          <w:p w14:paraId="51BCDE01" w14:textId="77777777" w:rsidR="004461C5" w:rsidRDefault="004461C5" w:rsidP="004461C5">
            <w:pPr>
              <w:pStyle w:val="Tablebodytext"/>
              <w:jc w:val="right"/>
            </w:pPr>
            <w:r w:rsidRPr="00EE4F48">
              <w:t>433</w:t>
            </w:r>
          </w:p>
        </w:tc>
        <w:tc>
          <w:tcPr>
            <w:tcW w:w="807" w:type="dxa"/>
            <w:vAlign w:val="center"/>
          </w:tcPr>
          <w:p w14:paraId="559DB962" w14:textId="77777777" w:rsidR="004461C5" w:rsidRDefault="004461C5" w:rsidP="004461C5">
            <w:pPr>
              <w:pStyle w:val="Tablebodytext"/>
              <w:jc w:val="center"/>
            </w:pPr>
            <w:r w:rsidRPr="00EE4F48">
              <w:t>0.45</w:t>
            </w:r>
          </w:p>
        </w:tc>
      </w:tr>
      <w:tr w:rsidR="004461C5" w14:paraId="402E75DE"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3D8653B6" w14:textId="77777777" w:rsidR="004461C5" w:rsidRDefault="004461C5" w:rsidP="004461C5">
            <w:pPr>
              <w:pStyle w:val="Tablebodytext"/>
            </w:pPr>
            <w:r w:rsidRPr="00EE4F48">
              <w:t>Health Care and Social Assistance</w:t>
            </w:r>
          </w:p>
        </w:tc>
        <w:tc>
          <w:tcPr>
            <w:tcW w:w="806" w:type="dxa"/>
            <w:vAlign w:val="center"/>
          </w:tcPr>
          <w:p w14:paraId="65464E86" w14:textId="77777777" w:rsidR="004461C5" w:rsidRDefault="004461C5" w:rsidP="004461C5">
            <w:pPr>
              <w:pStyle w:val="Tablebodytext"/>
              <w:jc w:val="right"/>
            </w:pPr>
            <w:r w:rsidRPr="00EE4F48">
              <w:t>403</w:t>
            </w:r>
          </w:p>
        </w:tc>
        <w:tc>
          <w:tcPr>
            <w:tcW w:w="806" w:type="dxa"/>
            <w:vAlign w:val="center"/>
          </w:tcPr>
          <w:p w14:paraId="553F499D" w14:textId="77777777" w:rsidR="004461C5" w:rsidRDefault="004461C5" w:rsidP="004461C5">
            <w:pPr>
              <w:pStyle w:val="Tablebodytext"/>
              <w:jc w:val="center"/>
            </w:pPr>
            <w:r w:rsidRPr="00EE4F48">
              <w:t>0.35</w:t>
            </w:r>
          </w:p>
        </w:tc>
        <w:tc>
          <w:tcPr>
            <w:tcW w:w="806" w:type="dxa"/>
            <w:vAlign w:val="center"/>
          </w:tcPr>
          <w:p w14:paraId="77F7EB31" w14:textId="77777777" w:rsidR="004461C5" w:rsidRDefault="004461C5" w:rsidP="004461C5">
            <w:pPr>
              <w:pStyle w:val="Tablebodytext"/>
              <w:jc w:val="right"/>
            </w:pPr>
            <w:r w:rsidRPr="00EE4F48">
              <w:t>724</w:t>
            </w:r>
          </w:p>
        </w:tc>
        <w:tc>
          <w:tcPr>
            <w:tcW w:w="807" w:type="dxa"/>
            <w:vAlign w:val="center"/>
          </w:tcPr>
          <w:p w14:paraId="7D06AADC" w14:textId="77777777" w:rsidR="004461C5" w:rsidRDefault="004461C5" w:rsidP="004461C5">
            <w:pPr>
              <w:pStyle w:val="Tablebodytext"/>
              <w:jc w:val="center"/>
            </w:pPr>
            <w:r w:rsidRPr="00EE4F48">
              <w:t>0.33</w:t>
            </w:r>
          </w:p>
        </w:tc>
        <w:tc>
          <w:tcPr>
            <w:tcW w:w="807" w:type="dxa"/>
            <w:vAlign w:val="center"/>
          </w:tcPr>
          <w:p w14:paraId="03D5C811" w14:textId="77777777" w:rsidR="004461C5" w:rsidRDefault="004461C5" w:rsidP="004461C5">
            <w:pPr>
              <w:pStyle w:val="Tablebodytext"/>
              <w:jc w:val="right"/>
            </w:pPr>
            <w:r w:rsidRPr="00EE4F48">
              <w:t>724</w:t>
            </w:r>
          </w:p>
        </w:tc>
        <w:tc>
          <w:tcPr>
            <w:tcW w:w="807" w:type="dxa"/>
            <w:vAlign w:val="center"/>
          </w:tcPr>
          <w:p w14:paraId="3B68D751" w14:textId="77777777" w:rsidR="004461C5" w:rsidRDefault="004461C5" w:rsidP="004461C5">
            <w:pPr>
              <w:pStyle w:val="Tablebodytext"/>
              <w:jc w:val="center"/>
            </w:pPr>
            <w:r w:rsidRPr="00EE4F48">
              <w:t>0.18</w:t>
            </w:r>
          </w:p>
        </w:tc>
        <w:tc>
          <w:tcPr>
            <w:tcW w:w="807" w:type="dxa"/>
            <w:vAlign w:val="center"/>
          </w:tcPr>
          <w:p w14:paraId="40191F88" w14:textId="77777777" w:rsidR="004461C5" w:rsidRDefault="004461C5" w:rsidP="004461C5">
            <w:pPr>
              <w:pStyle w:val="Tablebodytext"/>
              <w:jc w:val="right"/>
            </w:pPr>
            <w:r w:rsidRPr="00EE4F48">
              <w:t>724</w:t>
            </w:r>
          </w:p>
        </w:tc>
        <w:tc>
          <w:tcPr>
            <w:tcW w:w="807" w:type="dxa"/>
            <w:vAlign w:val="center"/>
          </w:tcPr>
          <w:p w14:paraId="1EDB8DD5" w14:textId="77777777" w:rsidR="004461C5" w:rsidRDefault="004461C5" w:rsidP="004461C5">
            <w:pPr>
              <w:pStyle w:val="Tablebodytext"/>
              <w:jc w:val="center"/>
            </w:pPr>
            <w:r w:rsidRPr="00EE4F48">
              <w:t>0.15</w:t>
            </w:r>
          </w:p>
        </w:tc>
        <w:tc>
          <w:tcPr>
            <w:tcW w:w="807" w:type="dxa"/>
            <w:vAlign w:val="center"/>
          </w:tcPr>
          <w:p w14:paraId="67DCEDA8" w14:textId="77777777" w:rsidR="004461C5" w:rsidRDefault="004461C5" w:rsidP="004461C5">
            <w:pPr>
              <w:pStyle w:val="Tablebodytext"/>
              <w:jc w:val="right"/>
            </w:pPr>
            <w:r w:rsidRPr="00EE4F48">
              <w:t>403</w:t>
            </w:r>
          </w:p>
        </w:tc>
        <w:tc>
          <w:tcPr>
            <w:tcW w:w="807" w:type="dxa"/>
            <w:vAlign w:val="center"/>
          </w:tcPr>
          <w:p w14:paraId="21963899" w14:textId="77777777" w:rsidR="004461C5" w:rsidRDefault="004461C5" w:rsidP="004461C5">
            <w:pPr>
              <w:pStyle w:val="Tablebodytext"/>
              <w:jc w:val="center"/>
            </w:pPr>
            <w:r w:rsidRPr="00EE4F48">
              <w:t>0.19</w:t>
            </w:r>
          </w:p>
        </w:tc>
        <w:tc>
          <w:tcPr>
            <w:tcW w:w="807" w:type="dxa"/>
            <w:vAlign w:val="center"/>
          </w:tcPr>
          <w:p w14:paraId="1B061502" w14:textId="77777777" w:rsidR="004461C5" w:rsidRDefault="004461C5" w:rsidP="004461C5">
            <w:pPr>
              <w:pStyle w:val="Tablebodytext"/>
              <w:jc w:val="right"/>
            </w:pPr>
            <w:r w:rsidRPr="00EE4F48">
              <w:t>724</w:t>
            </w:r>
          </w:p>
        </w:tc>
        <w:tc>
          <w:tcPr>
            <w:tcW w:w="807" w:type="dxa"/>
            <w:vAlign w:val="center"/>
          </w:tcPr>
          <w:p w14:paraId="5360B5E2" w14:textId="77777777" w:rsidR="004461C5" w:rsidRDefault="004461C5" w:rsidP="004461C5">
            <w:pPr>
              <w:pStyle w:val="Tablebodytext"/>
              <w:jc w:val="center"/>
            </w:pPr>
            <w:r w:rsidRPr="00EE4F48">
              <w:t>0.49</w:t>
            </w:r>
          </w:p>
        </w:tc>
      </w:tr>
      <w:tr w:rsidR="004461C5" w14:paraId="529D76A3" w14:textId="77777777" w:rsidTr="004461C5">
        <w:trPr>
          <w:cnfStyle w:val="000000100000" w:firstRow="0" w:lastRow="0" w:firstColumn="0" w:lastColumn="0" w:oddVBand="0" w:evenVBand="0" w:oddHBand="1" w:evenHBand="0" w:firstRowFirstColumn="0" w:firstRowLastColumn="0" w:lastRowFirstColumn="0" w:lastRowLastColumn="0"/>
        </w:trPr>
        <w:tc>
          <w:tcPr>
            <w:tcW w:w="3461" w:type="dxa"/>
          </w:tcPr>
          <w:p w14:paraId="516CAC86" w14:textId="77777777" w:rsidR="004461C5" w:rsidRDefault="004461C5" w:rsidP="004461C5">
            <w:pPr>
              <w:pStyle w:val="Tablebodytext"/>
            </w:pPr>
            <w:r w:rsidRPr="00EE4F48">
              <w:t>Arts and Recreation Services</w:t>
            </w:r>
          </w:p>
        </w:tc>
        <w:tc>
          <w:tcPr>
            <w:tcW w:w="806" w:type="dxa"/>
            <w:vAlign w:val="center"/>
          </w:tcPr>
          <w:p w14:paraId="51237994" w14:textId="77777777" w:rsidR="004461C5" w:rsidRDefault="004461C5" w:rsidP="004461C5">
            <w:pPr>
              <w:pStyle w:val="Tablebodytext"/>
              <w:jc w:val="right"/>
            </w:pPr>
            <w:r w:rsidRPr="00EE4F48">
              <w:t>7537</w:t>
            </w:r>
          </w:p>
        </w:tc>
        <w:tc>
          <w:tcPr>
            <w:tcW w:w="806" w:type="dxa"/>
            <w:vAlign w:val="center"/>
          </w:tcPr>
          <w:p w14:paraId="58FC07FE" w14:textId="77777777" w:rsidR="004461C5" w:rsidRDefault="004461C5" w:rsidP="004461C5">
            <w:pPr>
              <w:pStyle w:val="Tablebodytext"/>
              <w:jc w:val="center"/>
            </w:pPr>
            <w:r w:rsidRPr="00EE4F48">
              <w:t>0.28</w:t>
            </w:r>
          </w:p>
        </w:tc>
        <w:tc>
          <w:tcPr>
            <w:tcW w:w="806" w:type="dxa"/>
            <w:vAlign w:val="center"/>
          </w:tcPr>
          <w:p w14:paraId="57CB8452" w14:textId="77777777" w:rsidR="004461C5" w:rsidRDefault="004461C5" w:rsidP="004461C5">
            <w:pPr>
              <w:pStyle w:val="Tablebodytext"/>
              <w:jc w:val="right"/>
            </w:pPr>
            <w:r w:rsidRPr="00EE4F48">
              <w:t>12536</w:t>
            </w:r>
          </w:p>
        </w:tc>
        <w:tc>
          <w:tcPr>
            <w:tcW w:w="807" w:type="dxa"/>
            <w:vAlign w:val="center"/>
          </w:tcPr>
          <w:p w14:paraId="35A030F4" w14:textId="77777777" w:rsidR="004461C5" w:rsidRDefault="004461C5" w:rsidP="004461C5">
            <w:pPr>
              <w:pStyle w:val="Tablebodytext"/>
              <w:jc w:val="center"/>
            </w:pPr>
            <w:r w:rsidRPr="00EE4F48">
              <w:t>0.26</w:t>
            </w:r>
          </w:p>
        </w:tc>
        <w:tc>
          <w:tcPr>
            <w:tcW w:w="807" w:type="dxa"/>
            <w:vAlign w:val="center"/>
          </w:tcPr>
          <w:p w14:paraId="5D82E172" w14:textId="77777777" w:rsidR="004461C5" w:rsidRDefault="004461C5" w:rsidP="004461C5">
            <w:pPr>
              <w:pStyle w:val="Tablebodytext"/>
              <w:jc w:val="right"/>
            </w:pPr>
            <w:r w:rsidRPr="00EE4F48">
              <w:t>12536</w:t>
            </w:r>
          </w:p>
        </w:tc>
        <w:tc>
          <w:tcPr>
            <w:tcW w:w="807" w:type="dxa"/>
            <w:vAlign w:val="center"/>
          </w:tcPr>
          <w:p w14:paraId="010FC655" w14:textId="77777777" w:rsidR="004461C5" w:rsidRDefault="004461C5" w:rsidP="004461C5">
            <w:pPr>
              <w:pStyle w:val="Tablebodytext"/>
              <w:jc w:val="center"/>
            </w:pPr>
            <w:r w:rsidRPr="00EE4F48">
              <w:t>0.11</w:t>
            </w:r>
          </w:p>
        </w:tc>
        <w:tc>
          <w:tcPr>
            <w:tcW w:w="807" w:type="dxa"/>
            <w:vAlign w:val="center"/>
          </w:tcPr>
          <w:p w14:paraId="55385E47" w14:textId="77777777" w:rsidR="004461C5" w:rsidRDefault="004461C5" w:rsidP="004461C5">
            <w:pPr>
              <w:pStyle w:val="Tablebodytext"/>
              <w:jc w:val="right"/>
            </w:pPr>
            <w:r w:rsidRPr="00EE4F48">
              <w:t>12536</w:t>
            </w:r>
          </w:p>
        </w:tc>
        <w:tc>
          <w:tcPr>
            <w:tcW w:w="807" w:type="dxa"/>
            <w:vAlign w:val="center"/>
          </w:tcPr>
          <w:p w14:paraId="6E85BADC" w14:textId="77777777" w:rsidR="004461C5" w:rsidRDefault="004461C5" w:rsidP="004461C5">
            <w:pPr>
              <w:pStyle w:val="Tablebodytext"/>
              <w:jc w:val="center"/>
            </w:pPr>
            <w:r w:rsidRPr="00EE4F48">
              <w:t>0.13</w:t>
            </w:r>
          </w:p>
        </w:tc>
        <w:tc>
          <w:tcPr>
            <w:tcW w:w="807" w:type="dxa"/>
            <w:vAlign w:val="center"/>
          </w:tcPr>
          <w:p w14:paraId="1B5E72E6" w14:textId="77777777" w:rsidR="004461C5" w:rsidRDefault="004461C5" w:rsidP="004461C5">
            <w:pPr>
              <w:pStyle w:val="Tablebodytext"/>
              <w:jc w:val="right"/>
            </w:pPr>
            <w:r w:rsidRPr="00EE4F48">
              <w:t>7537</w:t>
            </w:r>
          </w:p>
        </w:tc>
        <w:tc>
          <w:tcPr>
            <w:tcW w:w="807" w:type="dxa"/>
            <w:vAlign w:val="center"/>
          </w:tcPr>
          <w:p w14:paraId="116AA777" w14:textId="77777777" w:rsidR="004461C5" w:rsidRDefault="004461C5" w:rsidP="004461C5">
            <w:pPr>
              <w:pStyle w:val="Tablebodytext"/>
              <w:jc w:val="center"/>
            </w:pPr>
            <w:r w:rsidRPr="00EE4F48">
              <w:t>0.17</w:t>
            </w:r>
          </w:p>
        </w:tc>
        <w:tc>
          <w:tcPr>
            <w:tcW w:w="807" w:type="dxa"/>
            <w:vAlign w:val="center"/>
          </w:tcPr>
          <w:p w14:paraId="43A745C4" w14:textId="77777777" w:rsidR="004461C5" w:rsidRDefault="004461C5" w:rsidP="004461C5">
            <w:pPr>
              <w:pStyle w:val="Tablebodytext"/>
              <w:jc w:val="right"/>
            </w:pPr>
            <w:r w:rsidRPr="00EE4F48">
              <w:t>12536</w:t>
            </w:r>
          </w:p>
        </w:tc>
        <w:tc>
          <w:tcPr>
            <w:tcW w:w="807" w:type="dxa"/>
            <w:vAlign w:val="center"/>
          </w:tcPr>
          <w:p w14:paraId="032C3943" w14:textId="77777777" w:rsidR="004461C5" w:rsidRDefault="004461C5" w:rsidP="004461C5">
            <w:pPr>
              <w:pStyle w:val="Tablebodytext"/>
              <w:jc w:val="center"/>
            </w:pPr>
            <w:r w:rsidRPr="00EE4F48">
              <w:t>0.39</w:t>
            </w:r>
          </w:p>
        </w:tc>
      </w:tr>
      <w:tr w:rsidR="004461C5" w14:paraId="3305B1D8" w14:textId="77777777" w:rsidTr="004461C5">
        <w:trPr>
          <w:cnfStyle w:val="000000010000" w:firstRow="0" w:lastRow="0" w:firstColumn="0" w:lastColumn="0" w:oddVBand="0" w:evenVBand="0" w:oddHBand="0" w:evenHBand="1" w:firstRowFirstColumn="0" w:firstRowLastColumn="0" w:lastRowFirstColumn="0" w:lastRowLastColumn="0"/>
        </w:trPr>
        <w:tc>
          <w:tcPr>
            <w:tcW w:w="3461" w:type="dxa"/>
          </w:tcPr>
          <w:p w14:paraId="7DDD2700" w14:textId="77777777" w:rsidR="004461C5" w:rsidRDefault="004461C5" w:rsidP="004461C5">
            <w:pPr>
              <w:pStyle w:val="Tablebodytext"/>
            </w:pPr>
            <w:r w:rsidRPr="00EE4F48">
              <w:t>Other Services</w:t>
            </w:r>
          </w:p>
        </w:tc>
        <w:tc>
          <w:tcPr>
            <w:tcW w:w="806" w:type="dxa"/>
            <w:vAlign w:val="center"/>
          </w:tcPr>
          <w:p w14:paraId="282E2F66" w14:textId="77777777" w:rsidR="004461C5" w:rsidRDefault="004461C5" w:rsidP="004461C5">
            <w:pPr>
              <w:pStyle w:val="Tablebodytext"/>
              <w:jc w:val="right"/>
            </w:pPr>
            <w:r w:rsidRPr="00EE4F48">
              <w:t>346</w:t>
            </w:r>
          </w:p>
        </w:tc>
        <w:tc>
          <w:tcPr>
            <w:tcW w:w="806" w:type="dxa"/>
            <w:vAlign w:val="center"/>
          </w:tcPr>
          <w:p w14:paraId="0EDD3466" w14:textId="77777777" w:rsidR="004461C5" w:rsidRDefault="004461C5" w:rsidP="004461C5">
            <w:pPr>
              <w:pStyle w:val="Tablebodytext"/>
              <w:jc w:val="center"/>
            </w:pPr>
            <w:r w:rsidRPr="00EE4F48">
              <w:t>0.22</w:t>
            </w:r>
          </w:p>
        </w:tc>
        <w:tc>
          <w:tcPr>
            <w:tcW w:w="806" w:type="dxa"/>
            <w:vAlign w:val="center"/>
          </w:tcPr>
          <w:p w14:paraId="572FE673" w14:textId="77777777" w:rsidR="004461C5" w:rsidRDefault="004461C5" w:rsidP="004461C5">
            <w:pPr>
              <w:pStyle w:val="Tablebodytext"/>
              <w:jc w:val="right"/>
            </w:pPr>
            <w:r w:rsidRPr="00EE4F48">
              <w:t>567</w:t>
            </w:r>
          </w:p>
        </w:tc>
        <w:tc>
          <w:tcPr>
            <w:tcW w:w="807" w:type="dxa"/>
            <w:vAlign w:val="center"/>
          </w:tcPr>
          <w:p w14:paraId="63A8A8DC" w14:textId="77777777" w:rsidR="004461C5" w:rsidRDefault="004461C5" w:rsidP="004461C5">
            <w:pPr>
              <w:pStyle w:val="Tablebodytext"/>
              <w:jc w:val="center"/>
            </w:pPr>
            <w:r w:rsidRPr="00EE4F48">
              <w:t>0.20</w:t>
            </w:r>
          </w:p>
        </w:tc>
        <w:tc>
          <w:tcPr>
            <w:tcW w:w="807" w:type="dxa"/>
            <w:vAlign w:val="center"/>
          </w:tcPr>
          <w:p w14:paraId="5862ED04" w14:textId="77777777" w:rsidR="004461C5" w:rsidRDefault="004461C5" w:rsidP="004461C5">
            <w:pPr>
              <w:pStyle w:val="Tablebodytext"/>
              <w:jc w:val="right"/>
            </w:pPr>
            <w:r w:rsidRPr="00EE4F48">
              <w:t>567</w:t>
            </w:r>
          </w:p>
        </w:tc>
        <w:tc>
          <w:tcPr>
            <w:tcW w:w="807" w:type="dxa"/>
            <w:vAlign w:val="center"/>
          </w:tcPr>
          <w:p w14:paraId="662B9E46" w14:textId="77777777" w:rsidR="004461C5" w:rsidRDefault="004461C5" w:rsidP="004461C5">
            <w:pPr>
              <w:pStyle w:val="Tablebodytext"/>
              <w:jc w:val="center"/>
            </w:pPr>
            <w:r w:rsidRPr="00EE4F48">
              <w:t>0.05</w:t>
            </w:r>
          </w:p>
        </w:tc>
        <w:tc>
          <w:tcPr>
            <w:tcW w:w="807" w:type="dxa"/>
            <w:vAlign w:val="center"/>
          </w:tcPr>
          <w:p w14:paraId="3263CBE2" w14:textId="77777777" w:rsidR="004461C5" w:rsidRDefault="004461C5" w:rsidP="004461C5">
            <w:pPr>
              <w:pStyle w:val="Tablebodytext"/>
              <w:jc w:val="right"/>
            </w:pPr>
            <w:r w:rsidRPr="00EE4F48">
              <w:t>567</w:t>
            </w:r>
          </w:p>
        </w:tc>
        <w:tc>
          <w:tcPr>
            <w:tcW w:w="807" w:type="dxa"/>
            <w:vAlign w:val="center"/>
          </w:tcPr>
          <w:p w14:paraId="39915885" w14:textId="77777777" w:rsidR="004461C5" w:rsidRDefault="004461C5" w:rsidP="004461C5">
            <w:pPr>
              <w:pStyle w:val="Tablebodytext"/>
              <w:jc w:val="center"/>
            </w:pPr>
            <w:r w:rsidRPr="00EE4F48">
              <w:t>0.12</w:t>
            </w:r>
          </w:p>
        </w:tc>
        <w:tc>
          <w:tcPr>
            <w:tcW w:w="807" w:type="dxa"/>
            <w:vAlign w:val="center"/>
          </w:tcPr>
          <w:p w14:paraId="17FDC1BB" w14:textId="77777777" w:rsidR="004461C5" w:rsidRDefault="004461C5" w:rsidP="004461C5">
            <w:pPr>
              <w:pStyle w:val="Tablebodytext"/>
              <w:jc w:val="right"/>
            </w:pPr>
            <w:r w:rsidRPr="00EE4F48">
              <w:t>346</w:t>
            </w:r>
          </w:p>
        </w:tc>
        <w:tc>
          <w:tcPr>
            <w:tcW w:w="807" w:type="dxa"/>
            <w:vAlign w:val="center"/>
          </w:tcPr>
          <w:p w14:paraId="7CFDED7C" w14:textId="77777777" w:rsidR="004461C5" w:rsidRDefault="004461C5" w:rsidP="004461C5">
            <w:pPr>
              <w:pStyle w:val="Tablebodytext"/>
              <w:jc w:val="center"/>
            </w:pPr>
            <w:r w:rsidRPr="00EE4F48">
              <w:t>0.12</w:t>
            </w:r>
          </w:p>
        </w:tc>
        <w:tc>
          <w:tcPr>
            <w:tcW w:w="807" w:type="dxa"/>
            <w:vAlign w:val="center"/>
          </w:tcPr>
          <w:p w14:paraId="348CA3FC" w14:textId="77777777" w:rsidR="004461C5" w:rsidRDefault="004461C5" w:rsidP="004461C5">
            <w:pPr>
              <w:pStyle w:val="Tablebodytext"/>
              <w:jc w:val="right"/>
            </w:pPr>
            <w:r w:rsidRPr="00EE4F48">
              <w:t>567</w:t>
            </w:r>
          </w:p>
        </w:tc>
        <w:tc>
          <w:tcPr>
            <w:tcW w:w="807" w:type="dxa"/>
            <w:vAlign w:val="center"/>
          </w:tcPr>
          <w:p w14:paraId="127BD0CB" w14:textId="77777777" w:rsidR="004461C5" w:rsidRDefault="004461C5" w:rsidP="004461C5">
            <w:pPr>
              <w:pStyle w:val="Tablebodytext"/>
              <w:jc w:val="center"/>
            </w:pPr>
            <w:r w:rsidRPr="00EE4F48">
              <w:t>0.29</w:t>
            </w:r>
          </w:p>
        </w:tc>
      </w:tr>
    </w:tbl>
    <w:p w14:paraId="4106E10C" w14:textId="54ED5BE1" w:rsidR="004461C5" w:rsidRPr="00C62F3A" w:rsidRDefault="004461C5" w:rsidP="004461C5">
      <w:pPr>
        <w:pStyle w:val="Note"/>
      </w:pPr>
      <w:r w:rsidRPr="00C62F3A">
        <w:t>Note</w:t>
      </w:r>
      <w:r>
        <w:t>s: N denotes number of observations</w:t>
      </w:r>
    </w:p>
    <w:p w14:paraId="3FF466B8" w14:textId="6917769C" w:rsidR="004461C5" w:rsidRDefault="004461C5" w:rsidP="00F92995">
      <w:pPr>
        <w:pStyle w:val="Source"/>
        <w:ind w:right="775"/>
        <w:rPr>
          <w:rFonts w:eastAsia="Arial"/>
          <w:szCs w:val="16"/>
        </w:rPr>
      </w:pPr>
      <w:r>
        <w:t xml:space="preserve">Source: </w:t>
      </w:r>
      <w:r>
        <w:rPr>
          <w:rFonts w:eastAsia="Arial"/>
          <w:szCs w:val="16"/>
        </w:rPr>
        <w:t>Australian Bureau of Statistics 2016, Management and Organisational Capabilities of Australian Business, 2015–16. Expanded Confidentialised Unit Record File (CURF), ABS DataLab. Findings based on use of ABS Microdata. ABS (2018) Business Longitudinal Analysis Data Environment</w:t>
      </w:r>
    </w:p>
    <w:p w14:paraId="0AFBE7B1" w14:textId="08FE9752" w:rsidR="004461C5" w:rsidRPr="000618FB" w:rsidRDefault="004461C5" w:rsidP="00F92995">
      <w:pPr>
        <w:pStyle w:val="Caption"/>
        <w:ind w:right="775"/>
      </w:pPr>
      <w:r w:rsidRPr="000618FB">
        <w:lastRenderedPageBreak/>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B</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3</w:t>
      </w:r>
      <w:r>
        <w:rPr>
          <w:noProof/>
        </w:rPr>
        <w:fldChar w:fldCharType="end"/>
      </w:r>
      <w:r>
        <w:t>: Average management capability scores by firm age among Australian firms, 2015–16</w:t>
      </w:r>
    </w:p>
    <w:tbl>
      <w:tblPr>
        <w:tblStyle w:val="OCETable"/>
        <w:tblW w:w="4711" w:type="pct"/>
        <w:tblInd w:w="57" w:type="dxa"/>
        <w:tblLayout w:type="fixed"/>
        <w:tblLook w:val="04A0" w:firstRow="1" w:lastRow="0" w:firstColumn="1" w:lastColumn="0" w:noHBand="0" w:noVBand="1"/>
        <w:tblCaption w:val="Table B3: Average management capability scores by firm age among Australian firms, 2015–16"/>
        <w:tblDescription w:val="Table B3 shows average management capability values for the six scores OMC, OMCV2, DCM, EMC, SCMC and SMC by three categories of firm age: 0–4 years, 4–9 years and more than 9 years. The Table show that the mean values of all six scores of management capability increase with firm age."/>
      </w:tblPr>
      <w:tblGrid>
        <w:gridCol w:w="3223"/>
        <w:gridCol w:w="765"/>
        <w:gridCol w:w="764"/>
        <w:gridCol w:w="764"/>
        <w:gridCol w:w="764"/>
        <w:gridCol w:w="765"/>
        <w:gridCol w:w="765"/>
        <w:gridCol w:w="765"/>
        <w:gridCol w:w="765"/>
        <w:gridCol w:w="765"/>
        <w:gridCol w:w="765"/>
        <w:gridCol w:w="765"/>
        <w:gridCol w:w="765"/>
      </w:tblGrid>
      <w:tr w:rsidR="004461C5" w14:paraId="1798AEBD"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3462" w:type="dxa"/>
          </w:tcPr>
          <w:p w14:paraId="71B284A5" w14:textId="77777777" w:rsidR="004461C5" w:rsidRDefault="004461C5" w:rsidP="004461C5">
            <w:pPr>
              <w:pStyle w:val="Tableheadertext"/>
            </w:pPr>
          </w:p>
        </w:tc>
        <w:tc>
          <w:tcPr>
            <w:tcW w:w="1612" w:type="dxa"/>
            <w:gridSpan w:val="2"/>
          </w:tcPr>
          <w:p w14:paraId="689797D0" w14:textId="77777777" w:rsidR="004461C5" w:rsidRDefault="004461C5" w:rsidP="004461C5">
            <w:pPr>
              <w:pStyle w:val="Tableheadertext"/>
              <w:jc w:val="center"/>
            </w:pPr>
            <w:r>
              <w:t>OMC</w:t>
            </w:r>
          </w:p>
        </w:tc>
        <w:tc>
          <w:tcPr>
            <w:tcW w:w="1613" w:type="dxa"/>
            <w:gridSpan w:val="2"/>
          </w:tcPr>
          <w:p w14:paraId="1AA7F9BB"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OMCv2</w:t>
            </w:r>
          </w:p>
        </w:tc>
        <w:tc>
          <w:tcPr>
            <w:tcW w:w="1616" w:type="dxa"/>
            <w:gridSpan w:val="2"/>
          </w:tcPr>
          <w:p w14:paraId="39243561"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DMC</w:t>
            </w:r>
          </w:p>
        </w:tc>
        <w:tc>
          <w:tcPr>
            <w:tcW w:w="1616" w:type="dxa"/>
            <w:gridSpan w:val="2"/>
          </w:tcPr>
          <w:p w14:paraId="3D2097CA"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EMC</w:t>
            </w:r>
          </w:p>
        </w:tc>
        <w:tc>
          <w:tcPr>
            <w:tcW w:w="1616" w:type="dxa"/>
            <w:gridSpan w:val="2"/>
          </w:tcPr>
          <w:p w14:paraId="266BFA26"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SCMC</w:t>
            </w:r>
          </w:p>
        </w:tc>
        <w:tc>
          <w:tcPr>
            <w:tcW w:w="1616" w:type="dxa"/>
            <w:gridSpan w:val="2"/>
          </w:tcPr>
          <w:p w14:paraId="17684E83"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SMC</w:t>
            </w:r>
          </w:p>
        </w:tc>
      </w:tr>
      <w:tr w:rsidR="004461C5" w14:paraId="7CE1B4AE" w14:textId="77777777" w:rsidTr="00393EC5">
        <w:trPr>
          <w:cnfStyle w:val="100000000000" w:firstRow="1" w:lastRow="0" w:firstColumn="0" w:lastColumn="0" w:oddVBand="0" w:evenVBand="0" w:oddHBand="0" w:evenHBand="0" w:firstRowFirstColumn="0" w:firstRowLastColumn="0" w:lastRowFirstColumn="0" w:lastRowLastColumn="0"/>
          <w:trHeight w:val="414"/>
          <w:tblHeader/>
        </w:trPr>
        <w:tc>
          <w:tcPr>
            <w:tcW w:w="3462" w:type="dxa"/>
          </w:tcPr>
          <w:p w14:paraId="57745682" w14:textId="77777777" w:rsidR="004461C5" w:rsidRDefault="004461C5" w:rsidP="004461C5">
            <w:pPr>
              <w:pStyle w:val="Tableheadertext"/>
            </w:pPr>
            <w:r>
              <w:t>Age of the firm</w:t>
            </w:r>
          </w:p>
        </w:tc>
        <w:tc>
          <w:tcPr>
            <w:tcW w:w="806" w:type="dxa"/>
          </w:tcPr>
          <w:p w14:paraId="2527AEDE" w14:textId="77777777" w:rsidR="004461C5" w:rsidRDefault="004461C5" w:rsidP="004461C5">
            <w:pPr>
              <w:pStyle w:val="Tableheadertext"/>
              <w:jc w:val="right"/>
            </w:pPr>
            <w:r w:rsidRPr="00C63676">
              <w:rPr>
                <w:color w:val="FFFFFF" w:themeColor="background1"/>
              </w:rPr>
              <w:t>N</w:t>
            </w:r>
          </w:p>
        </w:tc>
        <w:tc>
          <w:tcPr>
            <w:tcW w:w="806" w:type="dxa"/>
          </w:tcPr>
          <w:p w14:paraId="7E6C34DD" w14:textId="77777777" w:rsidR="004461C5" w:rsidRDefault="004461C5" w:rsidP="004461C5">
            <w:pPr>
              <w:pStyle w:val="Tableheadertext"/>
            </w:pPr>
            <w:r w:rsidRPr="00C63676">
              <w:rPr>
                <w:color w:val="FFFFFF" w:themeColor="background1"/>
              </w:rPr>
              <w:t>mean</w:t>
            </w:r>
          </w:p>
        </w:tc>
        <w:tc>
          <w:tcPr>
            <w:tcW w:w="806" w:type="dxa"/>
          </w:tcPr>
          <w:p w14:paraId="183507A9" w14:textId="77777777" w:rsidR="004461C5" w:rsidRDefault="004461C5" w:rsidP="004461C5">
            <w:pPr>
              <w:pStyle w:val="Tableheadertext"/>
              <w:jc w:val="center"/>
            </w:pPr>
            <w:r w:rsidRPr="00C63676">
              <w:rPr>
                <w:color w:val="FFFFFF" w:themeColor="background1"/>
              </w:rPr>
              <w:t>N</w:t>
            </w:r>
          </w:p>
        </w:tc>
        <w:tc>
          <w:tcPr>
            <w:tcW w:w="807" w:type="dxa"/>
          </w:tcPr>
          <w:p w14:paraId="45739E29" w14:textId="77777777" w:rsidR="004461C5" w:rsidRDefault="004461C5" w:rsidP="004461C5">
            <w:pPr>
              <w:pStyle w:val="Tableheadertext"/>
              <w:jc w:val="center"/>
            </w:pPr>
            <w:r w:rsidRPr="00C63676">
              <w:rPr>
                <w:color w:val="FFFFFF" w:themeColor="background1"/>
              </w:rPr>
              <w:t>mean</w:t>
            </w:r>
          </w:p>
        </w:tc>
        <w:tc>
          <w:tcPr>
            <w:tcW w:w="808" w:type="dxa"/>
          </w:tcPr>
          <w:p w14:paraId="7F875478" w14:textId="77777777" w:rsidR="004461C5" w:rsidRDefault="004461C5" w:rsidP="004461C5">
            <w:pPr>
              <w:pStyle w:val="Tableheadertext"/>
              <w:jc w:val="center"/>
            </w:pPr>
            <w:r w:rsidRPr="00C63676">
              <w:rPr>
                <w:color w:val="FFFFFF" w:themeColor="background1"/>
              </w:rPr>
              <w:t>N</w:t>
            </w:r>
          </w:p>
        </w:tc>
        <w:tc>
          <w:tcPr>
            <w:tcW w:w="808" w:type="dxa"/>
          </w:tcPr>
          <w:p w14:paraId="05C08E09" w14:textId="77777777" w:rsidR="004461C5" w:rsidRDefault="004461C5" w:rsidP="004461C5">
            <w:pPr>
              <w:pStyle w:val="Tableheadertext"/>
              <w:jc w:val="center"/>
            </w:pPr>
            <w:r w:rsidRPr="00C63676">
              <w:rPr>
                <w:color w:val="FFFFFF" w:themeColor="background1"/>
              </w:rPr>
              <w:t>mean</w:t>
            </w:r>
          </w:p>
        </w:tc>
        <w:tc>
          <w:tcPr>
            <w:tcW w:w="808" w:type="dxa"/>
          </w:tcPr>
          <w:p w14:paraId="4715AE49" w14:textId="77777777" w:rsidR="004461C5" w:rsidRDefault="004461C5" w:rsidP="004461C5">
            <w:pPr>
              <w:pStyle w:val="Tableheadertext"/>
              <w:jc w:val="center"/>
            </w:pPr>
            <w:r w:rsidRPr="00C63676">
              <w:rPr>
                <w:color w:val="FFFFFF" w:themeColor="background1"/>
              </w:rPr>
              <w:t>N</w:t>
            </w:r>
          </w:p>
        </w:tc>
        <w:tc>
          <w:tcPr>
            <w:tcW w:w="808" w:type="dxa"/>
          </w:tcPr>
          <w:p w14:paraId="25CBF725" w14:textId="77777777" w:rsidR="004461C5" w:rsidRDefault="004461C5" w:rsidP="004461C5">
            <w:pPr>
              <w:pStyle w:val="Tableheadertext"/>
              <w:jc w:val="center"/>
            </w:pPr>
            <w:r w:rsidRPr="00C63676">
              <w:rPr>
                <w:color w:val="FFFFFF" w:themeColor="background1"/>
              </w:rPr>
              <w:t>mean</w:t>
            </w:r>
          </w:p>
        </w:tc>
        <w:tc>
          <w:tcPr>
            <w:tcW w:w="808" w:type="dxa"/>
          </w:tcPr>
          <w:p w14:paraId="1CD50B01" w14:textId="77777777" w:rsidR="004461C5" w:rsidRDefault="004461C5" w:rsidP="004461C5">
            <w:pPr>
              <w:pStyle w:val="Tableheadertext"/>
              <w:jc w:val="center"/>
            </w:pPr>
            <w:r w:rsidRPr="00C63676">
              <w:rPr>
                <w:color w:val="FFFFFF" w:themeColor="background1"/>
              </w:rPr>
              <w:t>N</w:t>
            </w:r>
          </w:p>
        </w:tc>
        <w:tc>
          <w:tcPr>
            <w:tcW w:w="808" w:type="dxa"/>
          </w:tcPr>
          <w:p w14:paraId="3413E08F" w14:textId="77777777" w:rsidR="004461C5" w:rsidRDefault="004461C5" w:rsidP="004461C5">
            <w:pPr>
              <w:pStyle w:val="Tableheadertext"/>
              <w:jc w:val="center"/>
            </w:pPr>
            <w:r w:rsidRPr="00C63676">
              <w:rPr>
                <w:color w:val="FFFFFF" w:themeColor="background1"/>
              </w:rPr>
              <w:t>mean</w:t>
            </w:r>
          </w:p>
        </w:tc>
        <w:tc>
          <w:tcPr>
            <w:tcW w:w="808" w:type="dxa"/>
          </w:tcPr>
          <w:p w14:paraId="799A9474" w14:textId="77777777" w:rsidR="004461C5" w:rsidRDefault="004461C5" w:rsidP="004461C5">
            <w:pPr>
              <w:pStyle w:val="Tableheadertext"/>
              <w:jc w:val="center"/>
            </w:pPr>
            <w:r w:rsidRPr="00C63676">
              <w:rPr>
                <w:color w:val="FFFFFF" w:themeColor="background1"/>
              </w:rPr>
              <w:t>N</w:t>
            </w:r>
          </w:p>
        </w:tc>
        <w:tc>
          <w:tcPr>
            <w:tcW w:w="808" w:type="dxa"/>
          </w:tcPr>
          <w:p w14:paraId="3A3E236C" w14:textId="77777777" w:rsidR="004461C5" w:rsidRDefault="004461C5" w:rsidP="004461C5">
            <w:pPr>
              <w:pStyle w:val="Tableheadertext"/>
              <w:jc w:val="center"/>
            </w:pPr>
            <w:r w:rsidRPr="00C63676">
              <w:rPr>
                <w:color w:val="FFFFFF" w:themeColor="background1"/>
              </w:rPr>
              <w:t>mean</w:t>
            </w:r>
          </w:p>
        </w:tc>
      </w:tr>
      <w:tr w:rsidR="004461C5" w14:paraId="5DBB66E4"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vAlign w:val="center"/>
          </w:tcPr>
          <w:p w14:paraId="79DD7E3B" w14:textId="77777777" w:rsidR="004461C5" w:rsidRDefault="004461C5" w:rsidP="004461C5">
            <w:pPr>
              <w:pStyle w:val="Tablebodytext"/>
            </w:pPr>
            <w:r w:rsidRPr="00E35C51">
              <w:t>All</w:t>
            </w:r>
          </w:p>
        </w:tc>
        <w:tc>
          <w:tcPr>
            <w:tcW w:w="806" w:type="dxa"/>
            <w:vAlign w:val="center"/>
          </w:tcPr>
          <w:p w14:paraId="41408390" w14:textId="77777777" w:rsidR="004461C5" w:rsidRDefault="004461C5" w:rsidP="004461C5">
            <w:pPr>
              <w:pStyle w:val="Tablebodytext"/>
              <w:jc w:val="right"/>
            </w:pPr>
            <w:r w:rsidRPr="00E35C51">
              <w:t>7537</w:t>
            </w:r>
          </w:p>
        </w:tc>
        <w:tc>
          <w:tcPr>
            <w:tcW w:w="806" w:type="dxa"/>
            <w:vAlign w:val="center"/>
          </w:tcPr>
          <w:p w14:paraId="6303F4F7" w14:textId="77777777" w:rsidR="004461C5" w:rsidRDefault="004461C5" w:rsidP="004461C5">
            <w:pPr>
              <w:pStyle w:val="Tablebodytext"/>
              <w:jc w:val="center"/>
            </w:pPr>
            <w:r w:rsidRPr="00E35C51">
              <w:t>0.28</w:t>
            </w:r>
          </w:p>
        </w:tc>
        <w:tc>
          <w:tcPr>
            <w:tcW w:w="806" w:type="dxa"/>
            <w:vAlign w:val="center"/>
          </w:tcPr>
          <w:p w14:paraId="29D996C7" w14:textId="77777777" w:rsidR="004461C5" w:rsidRDefault="004461C5" w:rsidP="004461C5">
            <w:pPr>
              <w:pStyle w:val="Tablebodytext"/>
              <w:jc w:val="right"/>
            </w:pPr>
            <w:r w:rsidRPr="00E35C51">
              <w:t>12536</w:t>
            </w:r>
          </w:p>
        </w:tc>
        <w:tc>
          <w:tcPr>
            <w:tcW w:w="807" w:type="dxa"/>
            <w:vAlign w:val="center"/>
          </w:tcPr>
          <w:p w14:paraId="1B7A0B1D" w14:textId="77777777" w:rsidR="004461C5" w:rsidRDefault="004461C5" w:rsidP="004461C5">
            <w:pPr>
              <w:pStyle w:val="Tablebodytext"/>
              <w:jc w:val="center"/>
            </w:pPr>
            <w:r w:rsidRPr="00E35C51">
              <w:t>0.26</w:t>
            </w:r>
          </w:p>
        </w:tc>
        <w:tc>
          <w:tcPr>
            <w:tcW w:w="808" w:type="dxa"/>
            <w:vAlign w:val="center"/>
          </w:tcPr>
          <w:p w14:paraId="34092191" w14:textId="77777777" w:rsidR="004461C5" w:rsidRDefault="004461C5" w:rsidP="004461C5">
            <w:pPr>
              <w:pStyle w:val="Tablebodytext"/>
              <w:jc w:val="right"/>
            </w:pPr>
            <w:r w:rsidRPr="00E35C51">
              <w:t>12536</w:t>
            </w:r>
          </w:p>
        </w:tc>
        <w:tc>
          <w:tcPr>
            <w:tcW w:w="808" w:type="dxa"/>
            <w:vAlign w:val="center"/>
          </w:tcPr>
          <w:p w14:paraId="5D597CD5" w14:textId="77777777" w:rsidR="004461C5" w:rsidRDefault="004461C5" w:rsidP="004461C5">
            <w:pPr>
              <w:pStyle w:val="Tablebodytext"/>
              <w:jc w:val="center"/>
            </w:pPr>
            <w:r w:rsidRPr="00E35C51">
              <w:t>0.11</w:t>
            </w:r>
          </w:p>
        </w:tc>
        <w:tc>
          <w:tcPr>
            <w:tcW w:w="808" w:type="dxa"/>
            <w:vAlign w:val="center"/>
          </w:tcPr>
          <w:p w14:paraId="4D16EA52" w14:textId="77777777" w:rsidR="004461C5" w:rsidRDefault="004461C5" w:rsidP="004461C5">
            <w:pPr>
              <w:pStyle w:val="Tablebodytext"/>
              <w:jc w:val="right"/>
            </w:pPr>
            <w:r w:rsidRPr="00E35C51">
              <w:t>12536</w:t>
            </w:r>
          </w:p>
        </w:tc>
        <w:tc>
          <w:tcPr>
            <w:tcW w:w="808" w:type="dxa"/>
            <w:vAlign w:val="center"/>
          </w:tcPr>
          <w:p w14:paraId="032817B2" w14:textId="77777777" w:rsidR="004461C5" w:rsidRDefault="004461C5" w:rsidP="004461C5">
            <w:pPr>
              <w:pStyle w:val="Tablebodytext"/>
              <w:jc w:val="center"/>
            </w:pPr>
            <w:r w:rsidRPr="00E35C51">
              <w:t>0.13</w:t>
            </w:r>
          </w:p>
        </w:tc>
        <w:tc>
          <w:tcPr>
            <w:tcW w:w="808" w:type="dxa"/>
            <w:vAlign w:val="center"/>
          </w:tcPr>
          <w:p w14:paraId="3421BB37" w14:textId="77777777" w:rsidR="004461C5" w:rsidRDefault="004461C5" w:rsidP="004461C5">
            <w:pPr>
              <w:pStyle w:val="Tablebodytext"/>
              <w:jc w:val="right"/>
            </w:pPr>
            <w:r w:rsidRPr="00E35C51">
              <w:t>7537</w:t>
            </w:r>
          </w:p>
        </w:tc>
        <w:tc>
          <w:tcPr>
            <w:tcW w:w="808" w:type="dxa"/>
            <w:vAlign w:val="center"/>
          </w:tcPr>
          <w:p w14:paraId="0D1805A0" w14:textId="77777777" w:rsidR="004461C5" w:rsidRDefault="004461C5" w:rsidP="004461C5">
            <w:pPr>
              <w:pStyle w:val="Tablebodytext"/>
              <w:jc w:val="center"/>
            </w:pPr>
            <w:r w:rsidRPr="00E35C51">
              <w:t>0.17</w:t>
            </w:r>
          </w:p>
        </w:tc>
        <w:tc>
          <w:tcPr>
            <w:tcW w:w="808" w:type="dxa"/>
            <w:vAlign w:val="center"/>
          </w:tcPr>
          <w:p w14:paraId="6D9C9108" w14:textId="77777777" w:rsidR="004461C5" w:rsidRDefault="004461C5" w:rsidP="004461C5">
            <w:pPr>
              <w:pStyle w:val="Tablebodytext"/>
              <w:jc w:val="right"/>
            </w:pPr>
            <w:r w:rsidRPr="00E35C51">
              <w:t>12536</w:t>
            </w:r>
          </w:p>
        </w:tc>
        <w:tc>
          <w:tcPr>
            <w:tcW w:w="808" w:type="dxa"/>
            <w:vAlign w:val="center"/>
          </w:tcPr>
          <w:p w14:paraId="2A74CBCE" w14:textId="77777777" w:rsidR="004461C5" w:rsidRDefault="004461C5" w:rsidP="004461C5">
            <w:pPr>
              <w:pStyle w:val="Tablebodytext"/>
              <w:jc w:val="center"/>
            </w:pPr>
            <w:r w:rsidRPr="00E35C51">
              <w:t>0.39</w:t>
            </w:r>
          </w:p>
        </w:tc>
      </w:tr>
      <w:tr w:rsidR="004461C5" w14:paraId="5C648E3A" w14:textId="77777777" w:rsidTr="004461C5">
        <w:trPr>
          <w:cnfStyle w:val="000000010000" w:firstRow="0" w:lastRow="0" w:firstColumn="0" w:lastColumn="0" w:oddVBand="0" w:evenVBand="0" w:oddHBand="0" w:evenHBand="1" w:firstRowFirstColumn="0" w:firstRowLastColumn="0" w:lastRowFirstColumn="0" w:lastRowLastColumn="0"/>
        </w:trPr>
        <w:tc>
          <w:tcPr>
            <w:tcW w:w="3462" w:type="dxa"/>
            <w:vAlign w:val="center"/>
          </w:tcPr>
          <w:p w14:paraId="7967167C" w14:textId="442E2519" w:rsidR="004461C5" w:rsidRDefault="004461C5" w:rsidP="004461C5">
            <w:pPr>
              <w:pStyle w:val="Tablebodytext"/>
            </w:pPr>
            <w:r w:rsidRPr="00E35C51">
              <w:t>0</w:t>
            </w:r>
            <w:r>
              <w:t>–</w:t>
            </w:r>
            <w:r w:rsidRPr="00E35C51">
              <w:t>4</w:t>
            </w:r>
            <w:r>
              <w:t xml:space="preserve"> years</w:t>
            </w:r>
          </w:p>
        </w:tc>
        <w:tc>
          <w:tcPr>
            <w:tcW w:w="806" w:type="dxa"/>
            <w:vAlign w:val="center"/>
          </w:tcPr>
          <w:p w14:paraId="02D69534" w14:textId="77777777" w:rsidR="004461C5" w:rsidRDefault="004461C5" w:rsidP="004461C5">
            <w:pPr>
              <w:pStyle w:val="Tablebodytext"/>
              <w:jc w:val="right"/>
            </w:pPr>
            <w:r w:rsidRPr="00E35C51">
              <w:t>916</w:t>
            </w:r>
          </w:p>
        </w:tc>
        <w:tc>
          <w:tcPr>
            <w:tcW w:w="806" w:type="dxa"/>
            <w:vAlign w:val="center"/>
          </w:tcPr>
          <w:p w14:paraId="7D268CA2" w14:textId="77777777" w:rsidR="004461C5" w:rsidRDefault="004461C5" w:rsidP="004461C5">
            <w:pPr>
              <w:pStyle w:val="Tablebodytext"/>
              <w:jc w:val="center"/>
            </w:pPr>
            <w:r w:rsidRPr="00E35C51">
              <w:t>0.23</w:t>
            </w:r>
          </w:p>
        </w:tc>
        <w:tc>
          <w:tcPr>
            <w:tcW w:w="806" w:type="dxa"/>
            <w:vAlign w:val="center"/>
          </w:tcPr>
          <w:p w14:paraId="4AEE0B27" w14:textId="77777777" w:rsidR="004461C5" w:rsidRDefault="004461C5" w:rsidP="004461C5">
            <w:pPr>
              <w:pStyle w:val="Tablebodytext"/>
              <w:jc w:val="right"/>
            </w:pPr>
            <w:r w:rsidRPr="00E35C51">
              <w:t>1796</w:t>
            </w:r>
          </w:p>
        </w:tc>
        <w:tc>
          <w:tcPr>
            <w:tcW w:w="807" w:type="dxa"/>
            <w:vAlign w:val="center"/>
          </w:tcPr>
          <w:p w14:paraId="292EC218" w14:textId="77777777" w:rsidR="004461C5" w:rsidRDefault="004461C5" w:rsidP="004461C5">
            <w:pPr>
              <w:pStyle w:val="Tablebodytext"/>
              <w:jc w:val="center"/>
            </w:pPr>
            <w:r w:rsidRPr="00E35C51">
              <w:t>0.21</w:t>
            </w:r>
          </w:p>
        </w:tc>
        <w:tc>
          <w:tcPr>
            <w:tcW w:w="808" w:type="dxa"/>
            <w:vAlign w:val="center"/>
          </w:tcPr>
          <w:p w14:paraId="01D8CDEB" w14:textId="77777777" w:rsidR="004461C5" w:rsidRDefault="004461C5" w:rsidP="004461C5">
            <w:pPr>
              <w:pStyle w:val="Tablebodytext"/>
              <w:jc w:val="right"/>
            </w:pPr>
            <w:r w:rsidRPr="00E35C51">
              <w:t>1796</w:t>
            </w:r>
          </w:p>
        </w:tc>
        <w:tc>
          <w:tcPr>
            <w:tcW w:w="808" w:type="dxa"/>
            <w:vAlign w:val="center"/>
          </w:tcPr>
          <w:p w14:paraId="75605083" w14:textId="77777777" w:rsidR="004461C5" w:rsidRDefault="004461C5" w:rsidP="004461C5">
            <w:pPr>
              <w:pStyle w:val="Tablebodytext"/>
              <w:jc w:val="center"/>
            </w:pPr>
            <w:r w:rsidRPr="00E35C51">
              <w:t>0.08</w:t>
            </w:r>
          </w:p>
        </w:tc>
        <w:tc>
          <w:tcPr>
            <w:tcW w:w="808" w:type="dxa"/>
            <w:vAlign w:val="center"/>
          </w:tcPr>
          <w:p w14:paraId="0AFDAEE0" w14:textId="77777777" w:rsidR="004461C5" w:rsidRDefault="004461C5" w:rsidP="004461C5">
            <w:pPr>
              <w:pStyle w:val="Tablebodytext"/>
              <w:jc w:val="right"/>
            </w:pPr>
            <w:r w:rsidRPr="00E35C51">
              <w:t>1796</w:t>
            </w:r>
          </w:p>
        </w:tc>
        <w:tc>
          <w:tcPr>
            <w:tcW w:w="808" w:type="dxa"/>
            <w:vAlign w:val="center"/>
          </w:tcPr>
          <w:p w14:paraId="412A868A" w14:textId="77777777" w:rsidR="004461C5" w:rsidRDefault="004461C5" w:rsidP="004461C5">
            <w:pPr>
              <w:pStyle w:val="Tablebodytext"/>
              <w:jc w:val="center"/>
            </w:pPr>
            <w:r w:rsidRPr="00E35C51">
              <w:t>0.07</w:t>
            </w:r>
          </w:p>
        </w:tc>
        <w:tc>
          <w:tcPr>
            <w:tcW w:w="808" w:type="dxa"/>
            <w:vAlign w:val="center"/>
          </w:tcPr>
          <w:p w14:paraId="17783AB2" w14:textId="77777777" w:rsidR="004461C5" w:rsidRDefault="004461C5" w:rsidP="004461C5">
            <w:pPr>
              <w:pStyle w:val="Tablebodytext"/>
              <w:jc w:val="right"/>
            </w:pPr>
            <w:r w:rsidRPr="00E35C51">
              <w:t>916</w:t>
            </w:r>
          </w:p>
        </w:tc>
        <w:tc>
          <w:tcPr>
            <w:tcW w:w="808" w:type="dxa"/>
            <w:vAlign w:val="center"/>
          </w:tcPr>
          <w:p w14:paraId="7A707AFA" w14:textId="77777777" w:rsidR="004461C5" w:rsidRDefault="004461C5" w:rsidP="004461C5">
            <w:pPr>
              <w:pStyle w:val="Tablebodytext"/>
              <w:jc w:val="center"/>
            </w:pPr>
            <w:r w:rsidRPr="00E35C51">
              <w:t>0.13</w:t>
            </w:r>
          </w:p>
        </w:tc>
        <w:tc>
          <w:tcPr>
            <w:tcW w:w="808" w:type="dxa"/>
            <w:vAlign w:val="center"/>
          </w:tcPr>
          <w:p w14:paraId="482AD17D" w14:textId="77777777" w:rsidR="004461C5" w:rsidRDefault="004461C5" w:rsidP="004461C5">
            <w:pPr>
              <w:pStyle w:val="Tablebodytext"/>
              <w:jc w:val="right"/>
            </w:pPr>
            <w:r w:rsidRPr="00E35C51">
              <w:t>1796</w:t>
            </w:r>
          </w:p>
        </w:tc>
        <w:tc>
          <w:tcPr>
            <w:tcW w:w="808" w:type="dxa"/>
            <w:vAlign w:val="center"/>
          </w:tcPr>
          <w:p w14:paraId="2DB38E3D" w14:textId="77777777" w:rsidR="004461C5" w:rsidRDefault="004461C5" w:rsidP="004461C5">
            <w:pPr>
              <w:pStyle w:val="Tablebodytext"/>
              <w:jc w:val="center"/>
            </w:pPr>
            <w:r w:rsidRPr="00E35C51">
              <w:t>0.33</w:t>
            </w:r>
          </w:p>
        </w:tc>
      </w:tr>
      <w:tr w:rsidR="004461C5" w14:paraId="45A18926"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vAlign w:val="center"/>
          </w:tcPr>
          <w:p w14:paraId="18B13FA2" w14:textId="39521589" w:rsidR="004461C5" w:rsidRDefault="004461C5" w:rsidP="004461C5">
            <w:pPr>
              <w:pStyle w:val="Tablebodytext"/>
            </w:pPr>
            <w:r>
              <w:t>4–9 years</w:t>
            </w:r>
          </w:p>
        </w:tc>
        <w:tc>
          <w:tcPr>
            <w:tcW w:w="806" w:type="dxa"/>
            <w:vAlign w:val="center"/>
          </w:tcPr>
          <w:p w14:paraId="62E2E74A" w14:textId="77777777" w:rsidR="004461C5" w:rsidRDefault="004461C5" w:rsidP="004461C5">
            <w:pPr>
              <w:pStyle w:val="Tablebodytext"/>
              <w:jc w:val="right"/>
            </w:pPr>
            <w:r w:rsidRPr="00E35C51">
              <w:t>1061</w:t>
            </w:r>
          </w:p>
        </w:tc>
        <w:tc>
          <w:tcPr>
            <w:tcW w:w="806" w:type="dxa"/>
            <w:vAlign w:val="center"/>
          </w:tcPr>
          <w:p w14:paraId="35CFFFFD" w14:textId="77777777" w:rsidR="004461C5" w:rsidRDefault="004461C5" w:rsidP="004461C5">
            <w:pPr>
              <w:pStyle w:val="Tablebodytext"/>
              <w:jc w:val="center"/>
            </w:pPr>
            <w:r w:rsidRPr="00E35C51">
              <w:t>0.24</w:t>
            </w:r>
          </w:p>
        </w:tc>
        <w:tc>
          <w:tcPr>
            <w:tcW w:w="806" w:type="dxa"/>
            <w:vAlign w:val="center"/>
          </w:tcPr>
          <w:p w14:paraId="079C5B4A" w14:textId="77777777" w:rsidR="004461C5" w:rsidRDefault="004461C5" w:rsidP="004461C5">
            <w:pPr>
              <w:pStyle w:val="Tablebodytext"/>
              <w:jc w:val="right"/>
            </w:pPr>
            <w:r w:rsidRPr="00E35C51">
              <w:t>1918</w:t>
            </w:r>
          </w:p>
        </w:tc>
        <w:tc>
          <w:tcPr>
            <w:tcW w:w="807" w:type="dxa"/>
            <w:vAlign w:val="center"/>
          </w:tcPr>
          <w:p w14:paraId="1466D936" w14:textId="77777777" w:rsidR="004461C5" w:rsidRDefault="004461C5" w:rsidP="004461C5">
            <w:pPr>
              <w:pStyle w:val="Tablebodytext"/>
              <w:jc w:val="center"/>
            </w:pPr>
            <w:r w:rsidRPr="00E35C51">
              <w:t>0.23</w:t>
            </w:r>
          </w:p>
        </w:tc>
        <w:tc>
          <w:tcPr>
            <w:tcW w:w="808" w:type="dxa"/>
            <w:vAlign w:val="center"/>
          </w:tcPr>
          <w:p w14:paraId="48A7B05A" w14:textId="77777777" w:rsidR="004461C5" w:rsidRDefault="004461C5" w:rsidP="004461C5">
            <w:pPr>
              <w:pStyle w:val="Tablebodytext"/>
              <w:jc w:val="right"/>
            </w:pPr>
            <w:r w:rsidRPr="00E35C51">
              <w:t>1918</w:t>
            </w:r>
          </w:p>
        </w:tc>
        <w:tc>
          <w:tcPr>
            <w:tcW w:w="808" w:type="dxa"/>
            <w:vAlign w:val="center"/>
          </w:tcPr>
          <w:p w14:paraId="64254E53" w14:textId="77777777" w:rsidR="004461C5" w:rsidRDefault="004461C5" w:rsidP="004461C5">
            <w:pPr>
              <w:pStyle w:val="Tablebodytext"/>
              <w:jc w:val="center"/>
            </w:pPr>
            <w:r w:rsidRPr="00E35C51">
              <w:t>0.09</w:t>
            </w:r>
          </w:p>
        </w:tc>
        <w:tc>
          <w:tcPr>
            <w:tcW w:w="808" w:type="dxa"/>
            <w:vAlign w:val="center"/>
          </w:tcPr>
          <w:p w14:paraId="063AB9FF" w14:textId="77777777" w:rsidR="004461C5" w:rsidRDefault="004461C5" w:rsidP="004461C5">
            <w:pPr>
              <w:pStyle w:val="Tablebodytext"/>
              <w:jc w:val="right"/>
            </w:pPr>
            <w:r w:rsidRPr="00E35C51">
              <w:t>1918</w:t>
            </w:r>
          </w:p>
        </w:tc>
        <w:tc>
          <w:tcPr>
            <w:tcW w:w="808" w:type="dxa"/>
            <w:vAlign w:val="center"/>
          </w:tcPr>
          <w:p w14:paraId="15FE1812" w14:textId="77777777" w:rsidR="004461C5" w:rsidRDefault="004461C5" w:rsidP="004461C5">
            <w:pPr>
              <w:pStyle w:val="Tablebodytext"/>
              <w:jc w:val="center"/>
            </w:pPr>
            <w:r w:rsidRPr="00E35C51">
              <w:t>0.09</w:t>
            </w:r>
          </w:p>
        </w:tc>
        <w:tc>
          <w:tcPr>
            <w:tcW w:w="808" w:type="dxa"/>
            <w:vAlign w:val="center"/>
          </w:tcPr>
          <w:p w14:paraId="4FEE395D" w14:textId="77777777" w:rsidR="004461C5" w:rsidRDefault="004461C5" w:rsidP="004461C5">
            <w:pPr>
              <w:pStyle w:val="Tablebodytext"/>
              <w:jc w:val="right"/>
            </w:pPr>
            <w:r w:rsidRPr="00E35C51">
              <w:t>1061</w:t>
            </w:r>
          </w:p>
        </w:tc>
        <w:tc>
          <w:tcPr>
            <w:tcW w:w="808" w:type="dxa"/>
            <w:vAlign w:val="center"/>
          </w:tcPr>
          <w:p w14:paraId="011B81ED" w14:textId="77777777" w:rsidR="004461C5" w:rsidRDefault="004461C5" w:rsidP="004461C5">
            <w:pPr>
              <w:pStyle w:val="Tablebodytext"/>
              <w:jc w:val="center"/>
            </w:pPr>
            <w:r w:rsidRPr="00E35C51">
              <w:t>0.13</w:t>
            </w:r>
          </w:p>
        </w:tc>
        <w:tc>
          <w:tcPr>
            <w:tcW w:w="808" w:type="dxa"/>
            <w:vAlign w:val="center"/>
          </w:tcPr>
          <w:p w14:paraId="17540C1C" w14:textId="77777777" w:rsidR="004461C5" w:rsidRDefault="004461C5" w:rsidP="004461C5">
            <w:pPr>
              <w:pStyle w:val="Tablebodytext"/>
              <w:jc w:val="right"/>
            </w:pPr>
            <w:r w:rsidRPr="00E35C51">
              <w:t>1918</w:t>
            </w:r>
          </w:p>
        </w:tc>
        <w:tc>
          <w:tcPr>
            <w:tcW w:w="808" w:type="dxa"/>
            <w:vAlign w:val="center"/>
          </w:tcPr>
          <w:p w14:paraId="0E614BB1" w14:textId="77777777" w:rsidR="004461C5" w:rsidRDefault="004461C5" w:rsidP="004461C5">
            <w:pPr>
              <w:pStyle w:val="Tablebodytext"/>
              <w:jc w:val="center"/>
            </w:pPr>
            <w:r w:rsidRPr="00E35C51">
              <w:t>0.35</w:t>
            </w:r>
          </w:p>
        </w:tc>
      </w:tr>
      <w:tr w:rsidR="004461C5" w14:paraId="2FF3D9C5" w14:textId="77777777" w:rsidTr="004461C5">
        <w:trPr>
          <w:cnfStyle w:val="000000010000" w:firstRow="0" w:lastRow="0" w:firstColumn="0" w:lastColumn="0" w:oddVBand="0" w:evenVBand="0" w:oddHBand="0" w:evenHBand="1" w:firstRowFirstColumn="0" w:firstRowLastColumn="0" w:lastRowFirstColumn="0" w:lastRowLastColumn="0"/>
        </w:trPr>
        <w:tc>
          <w:tcPr>
            <w:tcW w:w="3462" w:type="dxa"/>
            <w:vAlign w:val="center"/>
          </w:tcPr>
          <w:p w14:paraId="61174FB5" w14:textId="77777777" w:rsidR="004461C5" w:rsidRDefault="004461C5" w:rsidP="004461C5">
            <w:pPr>
              <w:pStyle w:val="Tablebodytext"/>
            </w:pPr>
            <w:r>
              <w:t>More than 9 years</w:t>
            </w:r>
          </w:p>
        </w:tc>
        <w:tc>
          <w:tcPr>
            <w:tcW w:w="806" w:type="dxa"/>
            <w:vAlign w:val="center"/>
          </w:tcPr>
          <w:p w14:paraId="5659AD44" w14:textId="77777777" w:rsidR="004461C5" w:rsidRDefault="004461C5" w:rsidP="004461C5">
            <w:pPr>
              <w:pStyle w:val="Tablebodytext"/>
              <w:jc w:val="right"/>
            </w:pPr>
            <w:r w:rsidRPr="00E35C51">
              <w:t>5524</w:t>
            </w:r>
          </w:p>
        </w:tc>
        <w:tc>
          <w:tcPr>
            <w:tcW w:w="806" w:type="dxa"/>
            <w:vAlign w:val="center"/>
          </w:tcPr>
          <w:p w14:paraId="4958F3BA" w14:textId="77777777" w:rsidR="004461C5" w:rsidRDefault="004461C5" w:rsidP="004461C5">
            <w:pPr>
              <w:pStyle w:val="Tablebodytext"/>
              <w:jc w:val="center"/>
            </w:pPr>
            <w:r w:rsidRPr="00E35C51">
              <w:t>0.29</w:t>
            </w:r>
          </w:p>
        </w:tc>
        <w:tc>
          <w:tcPr>
            <w:tcW w:w="806" w:type="dxa"/>
            <w:vAlign w:val="center"/>
          </w:tcPr>
          <w:p w14:paraId="748B013B" w14:textId="77777777" w:rsidR="004461C5" w:rsidRDefault="004461C5" w:rsidP="004461C5">
            <w:pPr>
              <w:pStyle w:val="Tablebodytext"/>
              <w:jc w:val="right"/>
            </w:pPr>
            <w:r w:rsidRPr="00E35C51">
              <w:t>8801</w:t>
            </w:r>
          </w:p>
        </w:tc>
        <w:tc>
          <w:tcPr>
            <w:tcW w:w="807" w:type="dxa"/>
            <w:vAlign w:val="center"/>
          </w:tcPr>
          <w:p w14:paraId="13BB2C66" w14:textId="77777777" w:rsidR="004461C5" w:rsidRDefault="004461C5" w:rsidP="004461C5">
            <w:pPr>
              <w:pStyle w:val="Tablebodytext"/>
              <w:jc w:val="center"/>
            </w:pPr>
            <w:r w:rsidRPr="00E35C51">
              <w:t>0.28</w:t>
            </w:r>
          </w:p>
        </w:tc>
        <w:tc>
          <w:tcPr>
            <w:tcW w:w="808" w:type="dxa"/>
            <w:vAlign w:val="center"/>
          </w:tcPr>
          <w:p w14:paraId="0EA2F131" w14:textId="77777777" w:rsidR="004461C5" w:rsidRDefault="004461C5" w:rsidP="004461C5">
            <w:pPr>
              <w:pStyle w:val="Tablebodytext"/>
              <w:jc w:val="right"/>
            </w:pPr>
            <w:r w:rsidRPr="00E35C51">
              <w:t>8801</w:t>
            </w:r>
          </w:p>
        </w:tc>
        <w:tc>
          <w:tcPr>
            <w:tcW w:w="808" w:type="dxa"/>
            <w:vAlign w:val="center"/>
          </w:tcPr>
          <w:p w14:paraId="1C0B97C1" w14:textId="77777777" w:rsidR="004461C5" w:rsidRDefault="004461C5" w:rsidP="004461C5">
            <w:pPr>
              <w:pStyle w:val="Tablebodytext"/>
              <w:jc w:val="center"/>
            </w:pPr>
            <w:r w:rsidRPr="00E35C51">
              <w:t>0.12</w:t>
            </w:r>
          </w:p>
        </w:tc>
        <w:tc>
          <w:tcPr>
            <w:tcW w:w="808" w:type="dxa"/>
            <w:vAlign w:val="center"/>
          </w:tcPr>
          <w:p w14:paraId="03C98E60" w14:textId="77777777" w:rsidR="004461C5" w:rsidRDefault="004461C5" w:rsidP="004461C5">
            <w:pPr>
              <w:pStyle w:val="Tablebodytext"/>
              <w:jc w:val="right"/>
            </w:pPr>
            <w:r w:rsidRPr="00E35C51">
              <w:t>8801</w:t>
            </w:r>
          </w:p>
        </w:tc>
        <w:tc>
          <w:tcPr>
            <w:tcW w:w="808" w:type="dxa"/>
            <w:vAlign w:val="center"/>
          </w:tcPr>
          <w:p w14:paraId="6667A262" w14:textId="77777777" w:rsidR="004461C5" w:rsidRDefault="004461C5" w:rsidP="004461C5">
            <w:pPr>
              <w:pStyle w:val="Tablebodytext"/>
              <w:jc w:val="center"/>
            </w:pPr>
            <w:r w:rsidRPr="00E35C51">
              <w:t>0.14</w:t>
            </w:r>
          </w:p>
        </w:tc>
        <w:tc>
          <w:tcPr>
            <w:tcW w:w="808" w:type="dxa"/>
            <w:vAlign w:val="center"/>
          </w:tcPr>
          <w:p w14:paraId="30CD7B92" w14:textId="77777777" w:rsidR="004461C5" w:rsidRDefault="004461C5" w:rsidP="004461C5">
            <w:pPr>
              <w:pStyle w:val="Tablebodytext"/>
              <w:jc w:val="right"/>
            </w:pPr>
            <w:r w:rsidRPr="00E35C51">
              <w:t>5524</w:t>
            </w:r>
          </w:p>
        </w:tc>
        <w:tc>
          <w:tcPr>
            <w:tcW w:w="808" w:type="dxa"/>
            <w:vAlign w:val="center"/>
          </w:tcPr>
          <w:p w14:paraId="560A4E14" w14:textId="77777777" w:rsidR="004461C5" w:rsidRDefault="004461C5" w:rsidP="004461C5">
            <w:pPr>
              <w:pStyle w:val="Tablebodytext"/>
              <w:jc w:val="center"/>
            </w:pPr>
            <w:r w:rsidRPr="00E35C51">
              <w:t>0.18</w:t>
            </w:r>
          </w:p>
        </w:tc>
        <w:tc>
          <w:tcPr>
            <w:tcW w:w="808" w:type="dxa"/>
            <w:vAlign w:val="center"/>
          </w:tcPr>
          <w:p w14:paraId="64623E63" w14:textId="77777777" w:rsidR="004461C5" w:rsidRDefault="004461C5" w:rsidP="004461C5">
            <w:pPr>
              <w:pStyle w:val="Tablebodytext"/>
              <w:jc w:val="right"/>
            </w:pPr>
            <w:r w:rsidRPr="00E35C51">
              <w:t>8801</w:t>
            </w:r>
          </w:p>
        </w:tc>
        <w:tc>
          <w:tcPr>
            <w:tcW w:w="808" w:type="dxa"/>
            <w:vAlign w:val="center"/>
          </w:tcPr>
          <w:p w14:paraId="2800561A" w14:textId="77777777" w:rsidR="004461C5" w:rsidRDefault="004461C5" w:rsidP="004461C5">
            <w:pPr>
              <w:pStyle w:val="Tablebodytext"/>
              <w:jc w:val="center"/>
            </w:pPr>
            <w:r w:rsidRPr="00E35C51">
              <w:t>0.41</w:t>
            </w:r>
          </w:p>
        </w:tc>
      </w:tr>
    </w:tbl>
    <w:p w14:paraId="6E71701F" w14:textId="3B8008ED" w:rsidR="004461C5" w:rsidRPr="00C62F3A" w:rsidRDefault="004461C5" w:rsidP="004461C5">
      <w:pPr>
        <w:pStyle w:val="Note"/>
      </w:pPr>
      <w:r w:rsidRPr="00C62F3A">
        <w:t>Note</w:t>
      </w:r>
      <w:r>
        <w:t>s: N denotes number of observations</w:t>
      </w:r>
    </w:p>
    <w:p w14:paraId="10E75551" w14:textId="1D11005D" w:rsidR="004461C5" w:rsidRDefault="004461C5" w:rsidP="00F92995">
      <w:pPr>
        <w:pStyle w:val="Source"/>
        <w:ind w:right="775"/>
      </w:pPr>
      <w:r>
        <w:t xml:space="preserve">Source: </w:t>
      </w:r>
      <w:r>
        <w:rPr>
          <w:rFonts w:eastAsia="Arial"/>
          <w:szCs w:val="16"/>
        </w:rPr>
        <w:t>Australian Bureau of Statistics 2016, Management and Organisational Capabilities of Australian Business, 2015–16. Expanded Confidentialised Unit Record File (CURF), ABS DataLab. Findings based on use of ABS Microdata. ABS (2018) Business Longitudinal Analysis Data Environment</w:t>
      </w:r>
    </w:p>
    <w:p w14:paraId="691EA6EC" w14:textId="3BF0F65E" w:rsidR="004461C5" w:rsidRPr="000618FB" w:rsidRDefault="004461C5" w:rsidP="00F92995">
      <w:pPr>
        <w:pStyle w:val="Caption"/>
        <w:ind w:right="775"/>
      </w:pPr>
      <w:r w:rsidRPr="000618FB">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B</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4</w:t>
      </w:r>
      <w:r>
        <w:rPr>
          <w:noProof/>
        </w:rPr>
        <w:fldChar w:fldCharType="end"/>
      </w:r>
      <w:r>
        <w:t>: Average management capability scores by foreign ownership status among Australian firms, 2015–16</w:t>
      </w:r>
    </w:p>
    <w:tbl>
      <w:tblPr>
        <w:tblStyle w:val="OCETable"/>
        <w:tblW w:w="4711" w:type="pct"/>
        <w:tblInd w:w="57" w:type="dxa"/>
        <w:tblLayout w:type="fixed"/>
        <w:tblLook w:val="04A0" w:firstRow="1" w:lastRow="0" w:firstColumn="1" w:lastColumn="0" w:noHBand="0" w:noVBand="1"/>
        <w:tblCaption w:val="Table B4: Average management capability scores by foreign ownership status among Australian firms, 2015–16"/>
        <w:tblDescription w:val="Table B4 shows average management capability values for the six scores OMC, OMCV2, DCM, EMC, SCMC and SMC by status of foreign ownership: with foreign ownership and without foreign ownership. The Table show that the mean values of all six scores of management capability are higher for firms with foreign ownership."/>
      </w:tblPr>
      <w:tblGrid>
        <w:gridCol w:w="3223"/>
        <w:gridCol w:w="765"/>
        <w:gridCol w:w="764"/>
        <w:gridCol w:w="764"/>
        <w:gridCol w:w="764"/>
        <w:gridCol w:w="765"/>
        <w:gridCol w:w="765"/>
        <w:gridCol w:w="765"/>
        <w:gridCol w:w="765"/>
        <w:gridCol w:w="765"/>
        <w:gridCol w:w="765"/>
        <w:gridCol w:w="765"/>
        <w:gridCol w:w="765"/>
      </w:tblGrid>
      <w:tr w:rsidR="004461C5" w14:paraId="2DF03C60"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3462" w:type="dxa"/>
          </w:tcPr>
          <w:p w14:paraId="5E9D5B7E" w14:textId="77777777" w:rsidR="004461C5" w:rsidRDefault="004461C5" w:rsidP="004461C5">
            <w:pPr>
              <w:pStyle w:val="Tableheadertext"/>
            </w:pPr>
          </w:p>
        </w:tc>
        <w:tc>
          <w:tcPr>
            <w:tcW w:w="1612" w:type="dxa"/>
            <w:gridSpan w:val="2"/>
          </w:tcPr>
          <w:p w14:paraId="55CBD793" w14:textId="77777777" w:rsidR="004461C5" w:rsidRDefault="004461C5" w:rsidP="004461C5">
            <w:pPr>
              <w:pStyle w:val="Tableheadertext"/>
              <w:jc w:val="center"/>
            </w:pPr>
            <w:r>
              <w:t>OMC</w:t>
            </w:r>
          </w:p>
        </w:tc>
        <w:tc>
          <w:tcPr>
            <w:tcW w:w="1613" w:type="dxa"/>
            <w:gridSpan w:val="2"/>
          </w:tcPr>
          <w:p w14:paraId="081A0456"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OMCv2</w:t>
            </w:r>
          </w:p>
        </w:tc>
        <w:tc>
          <w:tcPr>
            <w:tcW w:w="1616" w:type="dxa"/>
            <w:gridSpan w:val="2"/>
          </w:tcPr>
          <w:p w14:paraId="69251A3A"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DMC</w:t>
            </w:r>
          </w:p>
        </w:tc>
        <w:tc>
          <w:tcPr>
            <w:tcW w:w="1616" w:type="dxa"/>
            <w:gridSpan w:val="2"/>
          </w:tcPr>
          <w:p w14:paraId="4F6C0BBF"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EMC</w:t>
            </w:r>
          </w:p>
        </w:tc>
        <w:tc>
          <w:tcPr>
            <w:tcW w:w="1616" w:type="dxa"/>
            <w:gridSpan w:val="2"/>
          </w:tcPr>
          <w:p w14:paraId="7F0B6EB5"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SCMC</w:t>
            </w:r>
          </w:p>
        </w:tc>
        <w:tc>
          <w:tcPr>
            <w:tcW w:w="1616" w:type="dxa"/>
            <w:gridSpan w:val="2"/>
          </w:tcPr>
          <w:p w14:paraId="74A30B2A"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SMC</w:t>
            </w:r>
          </w:p>
        </w:tc>
      </w:tr>
      <w:tr w:rsidR="004461C5" w14:paraId="3F038F59" w14:textId="77777777" w:rsidTr="00393EC5">
        <w:trPr>
          <w:cnfStyle w:val="100000000000" w:firstRow="1" w:lastRow="0" w:firstColumn="0" w:lastColumn="0" w:oddVBand="0" w:evenVBand="0" w:oddHBand="0" w:evenHBand="0" w:firstRowFirstColumn="0" w:firstRowLastColumn="0" w:lastRowFirstColumn="0" w:lastRowLastColumn="0"/>
          <w:trHeight w:val="414"/>
          <w:tblHeader/>
        </w:trPr>
        <w:tc>
          <w:tcPr>
            <w:tcW w:w="3462" w:type="dxa"/>
          </w:tcPr>
          <w:p w14:paraId="7448FAED" w14:textId="77777777" w:rsidR="004461C5" w:rsidRDefault="004461C5" w:rsidP="004461C5">
            <w:pPr>
              <w:pStyle w:val="Tableheadertext"/>
            </w:pPr>
            <w:r>
              <w:t>Foreign ownership</w:t>
            </w:r>
          </w:p>
        </w:tc>
        <w:tc>
          <w:tcPr>
            <w:tcW w:w="806" w:type="dxa"/>
          </w:tcPr>
          <w:p w14:paraId="2ECF3DF3" w14:textId="77777777" w:rsidR="004461C5" w:rsidRDefault="004461C5" w:rsidP="004461C5">
            <w:pPr>
              <w:pStyle w:val="Tableheadertext"/>
              <w:jc w:val="right"/>
            </w:pPr>
            <w:r w:rsidRPr="00C63676">
              <w:rPr>
                <w:color w:val="FFFFFF" w:themeColor="background1"/>
              </w:rPr>
              <w:t>N</w:t>
            </w:r>
          </w:p>
        </w:tc>
        <w:tc>
          <w:tcPr>
            <w:tcW w:w="806" w:type="dxa"/>
          </w:tcPr>
          <w:p w14:paraId="5F8863D3" w14:textId="77777777" w:rsidR="004461C5" w:rsidRDefault="004461C5" w:rsidP="004461C5">
            <w:pPr>
              <w:pStyle w:val="Tableheadertext"/>
            </w:pPr>
            <w:r w:rsidRPr="00C63676">
              <w:rPr>
                <w:color w:val="FFFFFF" w:themeColor="background1"/>
              </w:rPr>
              <w:t>mean</w:t>
            </w:r>
          </w:p>
        </w:tc>
        <w:tc>
          <w:tcPr>
            <w:tcW w:w="806" w:type="dxa"/>
          </w:tcPr>
          <w:p w14:paraId="0E6A799C" w14:textId="77777777" w:rsidR="004461C5" w:rsidRDefault="004461C5" w:rsidP="004461C5">
            <w:pPr>
              <w:pStyle w:val="Tableheadertext"/>
              <w:jc w:val="right"/>
            </w:pPr>
            <w:r w:rsidRPr="00C63676">
              <w:rPr>
                <w:color w:val="FFFFFF" w:themeColor="background1"/>
              </w:rPr>
              <w:t>N</w:t>
            </w:r>
          </w:p>
        </w:tc>
        <w:tc>
          <w:tcPr>
            <w:tcW w:w="807" w:type="dxa"/>
          </w:tcPr>
          <w:p w14:paraId="25C814FD" w14:textId="77777777" w:rsidR="004461C5" w:rsidRDefault="004461C5" w:rsidP="004461C5">
            <w:pPr>
              <w:pStyle w:val="Tableheadertext"/>
              <w:jc w:val="center"/>
            </w:pPr>
            <w:r w:rsidRPr="00C63676">
              <w:rPr>
                <w:color w:val="FFFFFF" w:themeColor="background1"/>
              </w:rPr>
              <w:t>mean</w:t>
            </w:r>
          </w:p>
        </w:tc>
        <w:tc>
          <w:tcPr>
            <w:tcW w:w="808" w:type="dxa"/>
          </w:tcPr>
          <w:p w14:paraId="07D9F40C" w14:textId="77777777" w:rsidR="004461C5" w:rsidRDefault="004461C5" w:rsidP="004461C5">
            <w:pPr>
              <w:pStyle w:val="Tableheadertext"/>
              <w:jc w:val="right"/>
            </w:pPr>
            <w:r w:rsidRPr="00C63676">
              <w:rPr>
                <w:color w:val="FFFFFF" w:themeColor="background1"/>
              </w:rPr>
              <w:t>N</w:t>
            </w:r>
          </w:p>
        </w:tc>
        <w:tc>
          <w:tcPr>
            <w:tcW w:w="808" w:type="dxa"/>
          </w:tcPr>
          <w:p w14:paraId="4F74246F" w14:textId="77777777" w:rsidR="004461C5" w:rsidRDefault="004461C5" w:rsidP="004461C5">
            <w:pPr>
              <w:pStyle w:val="Tableheadertext"/>
              <w:jc w:val="center"/>
            </w:pPr>
            <w:r w:rsidRPr="00C63676">
              <w:rPr>
                <w:color w:val="FFFFFF" w:themeColor="background1"/>
              </w:rPr>
              <w:t>mean</w:t>
            </w:r>
          </w:p>
        </w:tc>
        <w:tc>
          <w:tcPr>
            <w:tcW w:w="808" w:type="dxa"/>
          </w:tcPr>
          <w:p w14:paraId="35A69961" w14:textId="77777777" w:rsidR="004461C5" w:rsidRDefault="004461C5" w:rsidP="004461C5">
            <w:pPr>
              <w:pStyle w:val="Tableheadertext"/>
              <w:jc w:val="right"/>
            </w:pPr>
            <w:r w:rsidRPr="00C63676">
              <w:rPr>
                <w:color w:val="FFFFFF" w:themeColor="background1"/>
              </w:rPr>
              <w:t>N</w:t>
            </w:r>
          </w:p>
        </w:tc>
        <w:tc>
          <w:tcPr>
            <w:tcW w:w="808" w:type="dxa"/>
          </w:tcPr>
          <w:p w14:paraId="5356FD06" w14:textId="77777777" w:rsidR="004461C5" w:rsidRDefault="004461C5" w:rsidP="004461C5">
            <w:pPr>
              <w:pStyle w:val="Tableheadertext"/>
              <w:jc w:val="center"/>
            </w:pPr>
            <w:r w:rsidRPr="00C63676">
              <w:rPr>
                <w:color w:val="FFFFFF" w:themeColor="background1"/>
              </w:rPr>
              <w:t>mean</w:t>
            </w:r>
          </w:p>
        </w:tc>
        <w:tc>
          <w:tcPr>
            <w:tcW w:w="808" w:type="dxa"/>
          </w:tcPr>
          <w:p w14:paraId="4B35A067" w14:textId="77777777" w:rsidR="004461C5" w:rsidRDefault="004461C5" w:rsidP="004461C5">
            <w:pPr>
              <w:pStyle w:val="Tableheadertext"/>
              <w:jc w:val="right"/>
            </w:pPr>
            <w:r w:rsidRPr="00C63676">
              <w:rPr>
                <w:color w:val="FFFFFF" w:themeColor="background1"/>
              </w:rPr>
              <w:t>N</w:t>
            </w:r>
          </w:p>
        </w:tc>
        <w:tc>
          <w:tcPr>
            <w:tcW w:w="808" w:type="dxa"/>
          </w:tcPr>
          <w:p w14:paraId="6357655C" w14:textId="77777777" w:rsidR="004461C5" w:rsidRDefault="004461C5" w:rsidP="004461C5">
            <w:pPr>
              <w:pStyle w:val="Tableheadertext"/>
              <w:jc w:val="center"/>
            </w:pPr>
            <w:r w:rsidRPr="00C63676">
              <w:rPr>
                <w:color w:val="FFFFFF" w:themeColor="background1"/>
              </w:rPr>
              <w:t>mean</w:t>
            </w:r>
          </w:p>
        </w:tc>
        <w:tc>
          <w:tcPr>
            <w:tcW w:w="808" w:type="dxa"/>
          </w:tcPr>
          <w:p w14:paraId="2AD86160" w14:textId="77777777" w:rsidR="004461C5" w:rsidRDefault="004461C5" w:rsidP="004461C5">
            <w:pPr>
              <w:pStyle w:val="Tableheadertext"/>
              <w:jc w:val="right"/>
            </w:pPr>
            <w:r w:rsidRPr="00C63676">
              <w:rPr>
                <w:color w:val="FFFFFF" w:themeColor="background1"/>
              </w:rPr>
              <w:t>N</w:t>
            </w:r>
          </w:p>
        </w:tc>
        <w:tc>
          <w:tcPr>
            <w:tcW w:w="808" w:type="dxa"/>
          </w:tcPr>
          <w:p w14:paraId="4A1C6961" w14:textId="77777777" w:rsidR="004461C5" w:rsidRDefault="004461C5" w:rsidP="004461C5">
            <w:pPr>
              <w:pStyle w:val="Tableheadertext"/>
            </w:pPr>
            <w:r w:rsidRPr="00C63676">
              <w:rPr>
                <w:color w:val="FFFFFF" w:themeColor="background1"/>
              </w:rPr>
              <w:t>mean</w:t>
            </w:r>
          </w:p>
        </w:tc>
      </w:tr>
      <w:tr w:rsidR="004461C5" w14:paraId="0DF239C9"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vAlign w:val="center"/>
          </w:tcPr>
          <w:p w14:paraId="069F0C66" w14:textId="77777777" w:rsidR="004461C5" w:rsidRPr="007B3DA1" w:rsidRDefault="004461C5" w:rsidP="007B3DA1">
            <w:pPr>
              <w:pStyle w:val="Tablebodytext"/>
            </w:pPr>
            <w:r w:rsidRPr="007B3DA1">
              <w:t>All firms</w:t>
            </w:r>
          </w:p>
        </w:tc>
        <w:tc>
          <w:tcPr>
            <w:tcW w:w="806" w:type="dxa"/>
            <w:vAlign w:val="center"/>
          </w:tcPr>
          <w:p w14:paraId="1EAB47F9" w14:textId="77777777" w:rsidR="004461C5" w:rsidRPr="007B3DA1" w:rsidRDefault="004461C5" w:rsidP="007B3DA1">
            <w:pPr>
              <w:pStyle w:val="Tablebodytext"/>
              <w:jc w:val="right"/>
            </w:pPr>
            <w:r w:rsidRPr="007B3DA1">
              <w:t>7537</w:t>
            </w:r>
          </w:p>
        </w:tc>
        <w:tc>
          <w:tcPr>
            <w:tcW w:w="806" w:type="dxa"/>
            <w:vAlign w:val="center"/>
          </w:tcPr>
          <w:p w14:paraId="2BF4E7A9" w14:textId="77777777" w:rsidR="004461C5" w:rsidRPr="007B3DA1" w:rsidRDefault="004461C5" w:rsidP="007B3DA1">
            <w:pPr>
              <w:pStyle w:val="Tablebodytext"/>
              <w:jc w:val="right"/>
            </w:pPr>
            <w:r w:rsidRPr="007B3DA1">
              <w:t>0.28</w:t>
            </w:r>
          </w:p>
        </w:tc>
        <w:tc>
          <w:tcPr>
            <w:tcW w:w="806" w:type="dxa"/>
            <w:vAlign w:val="center"/>
          </w:tcPr>
          <w:p w14:paraId="6D680DD1" w14:textId="77777777" w:rsidR="004461C5" w:rsidRPr="007B3DA1" w:rsidRDefault="004461C5" w:rsidP="007B3DA1">
            <w:pPr>
              <w:pStyle w:val="Tablebodytext"/>
              <w:jc w:val="right"/>
            </w:pPr>
            <w:r w:rsidRPr="007B3DA1">
              <w:t>12536</w:t>
            </w:r>
          </w:p>
        </w:tc>
        <w:tc>
          <w:tcPr>
            <w:tcW w:w="807" w:type="dxa"/>
            <w:vAlign w:val="center"/>
          </w:tcPr>
          <w:p w14:paraId="4BE6F972" w14:textId="77777777" w:rsidR="004461C5" w:rsidRPr="007B3DA1" w:rsidRDefault="004461C5" w:rsidP="007B3DA1">
            <w:pPr>
              <w:pStyle w:val="Tablebodytext"/>
              <w:jc w:val="right"/>
            </w:pPr>
            <w:r w:rsidRPr="007B3DA1">
              <w:t>0.26</w:t>
            </w:r>
          </w:p>
        </w:tc>
        <w:tc>
          <w:tcPr>
            <w:tcW w:w="808" w:type="dxa"/>
            <w:vAlign w:val="center"/>
          </w:tcPr>
          <w:p w14:paraId="76FC6141" w14:textId="77777777" w:rsidR="004461C5" w:rsidRPr="007B3DA1" w:rsidRDefault="004461C5" w:rsidP="007B3DA1">
            <w:pPr>
              <w:pStyle w:val="Tablebodytext"/>
              <w:jc w:val="right"/>
            </w:pPr>
            <w:r w:rsidRPr="007B3DA1">
              <w:t>12536</w:t>
            </w:r>
          </w:p>
        </w:tc>
        <w:tc>
          <w:tcPr>
            <w:tcW w:w="808" w:type="dxa"/>
            <w:vAlign w:val="center"/>
          </w:tcPr>
          <w:p w14:paraId="4B2BE875" w14:textId="77777777" w:rsidR="004461C5" w:rsidRPr="007B3DA1" w:rsidRDefault="004461C5" w:rsidP="007B3DA1">
            <w:pPr>
              <w:pStyle w:val="Tablebodytext"/>
              <w:jc w:val="right"/>
            </w:pPr>
            <w:r w:rsidRPr="007B3DA1">
              <w:t>0.11</w:t>
            </w:r>
          </w:p>
        </w:tc>
        <w:tc>
          <w:tcPr>
            <w:tcW w:w="808" w:type="dxa"/>
            <w:vAlign w:val="center"/>
          </w:tcPr>
          <w:p w14:paraId="6E81B56E" w14:textId="77777777" w:rsidR="004461C5" w:rsidRPr="007B3DA1" w:rsidRDefault="004461C5" w:rsidP="007B3DA1">
            <w:pPr>
              <w:pStyle w:val="Tablebodytext"/>
              <w:jc w:val="right"/>
            </w:pPr>
            <w:r w:rsidRPr="007B3DA1">
              <w:t>12536</w:t>
            </w:r>
          </w:p>
        </w:tc>
        <w:tc>
          <w:tcPr>
            <w:tcW w:w="808" w:type="dxa"/>
            <w:vAlign w:val="center"/>
          </w:tcPr>
          <w:p w14:paraId="011A3081" w14:textId="77777777" w:rsidR="004461C5" w:rsidRPr="007B3DA1" w:rsidRDefault="004461C5" w:rsidP="007B3DA1">
            <w:pPr>
              <w:pStyle w:val="Tablebodytext"/>
              <w:jc w:val="right"/>
            </w:pPr>
            <w:r w:rsidRPr="007B3DA1">
              <w:t>0.13</w:t>
            </w:r>
          </w:p>
        </w:tc>
        <w:tc>
          <w:tcPr>
            <w:tcW w:w="808" w:type="dxa"/>
            <w:vAlign w:val="center"/>
          </w:tcPr>
          <w:p w14:paraId="64C37BEF" w14:textId="77777777" w:rsidR="004461C5" w:rsidRPr="007B3DA1" w:rsidRDefault="004461C5" w:rsidP="007B3DA1">
            <w:pPr>
              <w:pStyle w:val="Tablebodytext"/>
              <w:jc w:val="right"/>
            </w:pPr>
            <w:r w:rsidRPr="007B3DA1">
              <w:t>7537</w:t>
            </w:r>
          </w:p>
        </w:tc>
        <w:tc>
          <w:tcPr>
            <w:tcW w:w="808" w:type="dxa"/>
            <w:vAlign w:val="center"/>
          </w:tcPr>
          <w:p w14:paraId="3A766D12" w14:textId="77777777" w:rsidR="004461C5" w:rsidRPr="007B3DA1" w:rsidRDefault="004461C5" w:rsidP="007B3DA1">
            <w:pPr>
              <w:pStyle w:val="Tablebodytext"/>
              <w:jc w:val="right"/>
            </w:pPr>
            <w:r w:rsidRPr="007B3DA1">
              <w:t>0.17</w:t>
            </w:r>
          </w:p>
        </w:tc>
        <w:tc>
          <w:tcPr>
            <w:tcW w:w="808" w:type="dxa"/>
            <w:vAlign w:val="center"/>
          </w:tcPr>
          <w:p w14:paraId="6C432A65" w14:textId="77777777" w:rsidR="004461C5" w:rsidRPr="007B3DA1" w:rsidRDefault="004461C5" w:rsidP="007B3DA1">
            <w:pPr>
              <w:pStyle w:val="Tablebodytext"/>
              <w:jc w:val="right"/>
            </w:pPr>
            <w:r w:rsidRPr="007B3DA1">
              <w:t>12536</w:t>
            </w:r>
          </w:p>
        </w:tc>
        <w:tc>
          <w:tcPr>
            <w:tcW w:w="808" w:type="dxa"/>
            <w:vAlign w:val="center"/>
          </w:tcPr>
          <w:p w14:paraId="67BE633E" w14:textId="77777777" w:rsidR="004461C5" w:rsidRPr="007B3DA1" w:rsidRDefault="004461C5" w:rsidP="007B3DA1">
            <w:pPr>
              <w:pStyle w:val="Tablebodytext"/>
              <w:jc w:val="right"/>
            </w:pPr>
            <w:r w:rsidRPr="007B3DA1">
              <w:t>0.39</w:t>
            </w:r>
          </w:p>
        </w:tc>
      </w:tr>
      <w:tr w:rsidR="004461C5" w14:paraId="79918C7A" w14:textId="77777777" w:rsidTr="004461C5">
        <w:trPr>
          <w:cnfStyle w:val="000000010000" w:firstRow="0" w:lastRow="0" w:firstColumn="0" w:lastColumn="0" w:oddVBand="0" w:evenVBand="0" w:oddHBand="0" w:evenHBand="1" w:firstRowFirstColumn="0" w:firstRowLastColumn="0" w:lastRowFirstColumn="0" w:lastRowLastColumn="0"/>
        </w:trPr>
        <w:tc>
          <w:tcPr>
            <w:tcW w:w="3462" w:type="dxa"/>
            <w:vAlign w:val="center"/>
          </w:tcPr>
          <w:p w14:paraId="209F9BF4" w14:textId="77777777" w:rsidR="004461C5" w:rsidRPr="007B3DA1" w:rsidRDefault="004461C5" w:rsidP="007B3DA1">
            <w:pPr>
              <w:pStyle w:val="Tablebodytext"/>
            </w:pPr>
            <w:r w:rsidRPr="007B3DA1">
              <w:t>With foreign ownership</w:t>
            </w:r>
          </w:p>
        </w:tc>
        <w:tc>
          <w:tcPr>
            <w:tcW w:w="806" w:type="dxa"/>
            <w:vAlign w:val="center"/>
          </w:tcPr>
          <w:p w14:paraId="262EA181" w14:textId="77777777" w:rsidR="004461C5" w:rsidRPr="007B3DA1" w:rsidRDefault="004461C5" w:rsidP="007B3DA1">
            <w:pPr>
              <w:pStyle w:val="Tablebodytext"/>
              <w:jc w:val="right"/>
            </w:pPr>
            <w:r w:rsidRPr="007B3DA1">
              <w:t>1192</w:t>
            </w:r>
          </w:p>
        </w:tc>
        <w:tc>
          <w:tcPr>
            <w:tcW w:w="806" w:type="dxa"/>
            <w:vAlign w:val="center"/>
          </w:tcPr>
          <w:p w14:paraId="65F69EBD" w14:textId="77777777" w:rsidR="004461C5" w:rsidRPr="007B3DA1" w:rsidRDefault="004461C5" w:rsidP="007B3DA1">
            <w:pPr>
              <w:pStyle w:val="Tablebodytext"/>
              <w:jc w:val="right"/>
            </w:pPr>
            <w:r w:rsidRPr="007B3DA1">
              <w:t>0.38</w:t>
            </w:r>
          </w:p>
        </w:tc>
        <w:tc>
          <w:tcPr>
            <w:tcW w:w="806" w:type="dxa"/>
            <w:vAlign w:val="center"/>
          </w:tcPr>
          <w:p w14:paraId="4134A070" w14:textId="77777777" w:rsidR="004461C5" w:rsidRPr="007B3DA1" w:rsidRDefault="004461C5" w:rsidP="007B3DA1">
            <w:pPr>
              <w:pStyle w:val="Tablebodytext"/>
              <w:jc w:val="right"/>
            </w:pPr>
            <w:r w:rsidRPr="007B3DA1">
              <w:t>1587</w:t>
            </w:r>
          </w:p>
        </w:tc>
        <w:tc>
          <w:tcPr>
            <w:tcW w:w="807" w:type="dxa"/>
            <w:vAlign w:val="center"/>
          </w:tcPr>
          <w:p w14:paraId="1AFBB21F" w14:textId="77777777" w:rsidR="004461C5" w:rsidRPr="007B3DA1" w:rsidRDefault="004461C5" w:rsidP="007B3DA1">
            <w:pPr>
              <w:pStyle w:val="Tablebodytext"/>
              <w:jc w:val="right"/>
            </w:pPr>
            <w:r w:rsidRPr="007B3DA1">
              <w:t>0.39</w:t>
            </w:r>
          </w:p>
        </w:tc>
        <w:tc>
          <w:tcPr>
            <w:tcW w:w="808" w:type="dxa"/>
            <w:vAlign w:val="center"/>
          </w:tcPr>
          <w:p w14:paraId="44ED030A" w14:textId="77777777" w:rsidR="004461C5" w:rsidRPr="007B3DA1" w:rsidRDefault="004461C5" w:rsidP="007B3DA1">
            <w:pPr>
              <w:pStyle w:val="Tablebodytext"/>
              <w:jc w:val="right"/>
            </w:pPr>
            <w:r w:rsidRPr="007B3DA1">
              <w:t>1587</w:t>
            </w:r>
          </w:p>
        </w:tc>
        <w:tc>
          <w:tcPr>
            <w:tcW w:w="808" w:type="dxa"/>
            <w:vAlign w:val="center"/>
          </w:tcPr>
          <w:p w14:paraId="539A5DD0" w14:textId="77777777" w:rsidR="004461C5" w:rsidRPr="007B3DA1" w:rsidRDefault="004461C5" w:rsidP="007B3DA1">
            <w:pPr>
              <w:pStyle w:val="Tablebodytext"/>
              <w:jc w:val="right"/>
            </w:pPr>
            <w:r w:rsidRPr="007B3DA1">
              <w:t>0.18</w:t>
            </w:r>
          </w:p>
        </w:tc>
        <w:tc>
          <w:tcPr>
            <w:tcW w:w="808" w:type="dxa"/>
            <w:vAlign w:val="center"/>
          </w:tcPr>
          <w:p w14:paraId="640DE3D4" w14:textId="77777777" w:rsidR="004461C5" w:rsidRPr="007B3DA1" w:rsidRDefault="004461C5" w:rsidP="007B3DA1">
            <w:pPr>
              <w:pStyle w:val="Tablebodytext"/>
              <w:jc w:val="right"/>
            </w:pPr>
            <w:r w:rsidRPr="007B3DA1">
              <w:t>1587</w:t>
            </w:r>
          </w:p>
        </w:tc>
        <w:tc>
          <w:tcPr>
            <w:tcW w:w="808" w:type="dxa"/>
            <w:vAlign w:val="center"/>
          </w:tcPr>
          <w:p w14:paraId="03EA321B" w14:textId="77777777" w:rsidR="004461C5" w:rsidRPr="007B3DA1" w:rsidRDefault="004461C5" w:rsidP="007B3DA1">
            <w:pPr>
              <w:pStyle w:val="Tablebodytext"/>
              <w:jc w:val="right"/>
            </w:pPr>
            <w:r w:rsidRPr="007B3DA1">
              <w:t>0.24</w:t>
            </w:r>
          </w:p>
        </w:tc>
        <w:tc>
          <w:tcPr>
            <w:tcW w:w="808" w:type="dxa"/>
            <w:vAlign w:val="center"/>
          </w:tcPr>
          <w:p w14:paraId="4A90F379" w14:textId="77777777" w:rsidR="004461C5" w:rsidRPr="007B3DA1" w:rsidRDefault="004461C5" w:rsidP="007B3DA1">
            <w:pPr>
              <w:pStyle w:val="Tablebodytext"/>
              <w:jc w:val="right"/>
            </w:pPr>
            <w:r w:rsidRPr="007B3DA1">
              <w:t>1192</w:t>
            </w:r>
          </w:p>
        </w:tc>
        <w:tc>
          <w:tcPr>
            <w:tcW w:w="808" w:type="dxa"/>
            <w:vAlign w:val="center"/>
          </w:tcPr>
          <w:p w14:paraId="35D9559B" w14:textId="77777777" w:rsidR="004461C5" w:rsidRPr="007B3DA1" w:rsidRDefault="004461C5" w:rsidP="007B3DA1">
            <w:pPr>
              <w:pStyle w:val="Tablebodytext"/>
              <w:jc w:val="right"/>
            </w:pPr>
            <w:r w:rsidRPr="007B3DA1">
              <w:t>0.28</w:t>
            </w:r>
          </w:p>
        </w:tc>
        <w:tc>
          <w:tcPr>
            <w:tcW w:w="808" w:type="dxa"/>
            <w:vAlign w:val="center"/>
          </w:tcPr>
          <w:p w14:paraId="6DB5DD51" w14:textId="77777777" w:rsidR="004461C5" w:rsidRPr="007B3DA1" w:rsidRDefault="004461C5" w:rsidP="007B3DA1">
            <w:pPr>
              <w:pStyle w:val="Tablebodytext"/>
              <w:jc w:val="right"/>
            </w:pPr>
            <w:r w:rsidRPr="007B3DA1">
              <w:t>1587</w:t>
            </w:r>
          </w:p>
        </w:tc>
        <w:tc>
          <w:tcPr>
            <w:tcW w:w="808" w:type="dxa"/>
            <w:vAlign w:val="center"/>
          </w:tcPr>
          <w:p w14:paraId="74F86D99" w14:textId="77777777" w:rsidR="004461C5" w:rsidRPr="007B3DA1" w:rsidRDefault="004461C5" w:rsidP="007B3DA1">
            <w:pPr>
              <w:pStyle w:val="Tablebodytext"/>
              <w:jc w:val="right"/>
            </w:pPr>
            <w:r w:rsidRPr="007B3DA1">
              <w:t>0.54</w:t>
            </w:r>
          </w:p>
        </w:tc>
      </w:tr>
      <w:tr w:rsidR="004461C5" w14:paraId="2351A2ED"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vAlign w:val="center"/>
          </w:tcPr>
          <w:p w14:paraId="5FC714F0" w14:textId="77777777" w:rsidR="004461C5" w:rsidRPr="007B3DA1" w:rsidRDefault="004461C5" w:rsidP="007B3DA1">
            <w:pPr>
              <w:pStyle w:val="Tablebodytext"/>
            </w:pPr>
            <w:r w:rsidRPr="007B3DA1">
              <w:t>No foreign ownership</w:t>
            </w:r>
          </w:p>
        </w:tc>
        <w:tc>
          <w:tcPr>
            <w:tcW w:w="806" w:type="dxa"/>
            <w:vAlign w:val="center"/>
          </w:tcPr>
          <w:p w14:paraId="737B1553" w14:textId="77777777" w:rsidR="004461C5" w:rsidRPr="007B3DA1" w:rsidRDefault="004461C5" w:rsidP="007B3DA1">
            <w:pPr>
              <w:pStyle w:val="Tablebodytext"/>
              <w:jc w:val="right"/>
            </w:pPr>
            <w:r w:rsidRPr="007B3DA1">
              <w:t>6288</w:t>
            </w:r>
          </w:p>
        </w:tc>
        <w:tc>
          <w:tcPr>
            <w:tcW w:w="806" w:type="dxa"/>
            <w:vAlign w:val="center"/>
          </w:tcPr>
          <w:p w14:paraId="53EDFEB2" w14:textId="77777777" w:rsidR="004461C5" w:rsidRPr="007B3DA1" w:rsidRDefault="004461C5" w:rsidP="007B3DA1">
            <w:pPr>
              <w:pStyle w:val="Tablebodytext"/>
              <w:jc w:val="right"/>
            </w:pPr>
            <w:r w:rsidRPr="007B3DA1">
              <w:t>0.26</w:t>
            </w:r>
          </w:p>
        </w:tc>
        <w:tc>
          <w:tcPr>
            <w:tcW w:w="806" w:type="dxa"/>
            <w:vAlign w:val="center"/>
          </w:tcPr>
          <w:p w14:paraId="6C50E214" w14:textId="77777777" w:rsidR="004461C5" w:rsidRPr="007B3DA1" w:rsidRDefault="004461C5" w:rsidP="007B3DA1">
            <w:pPr>
              <w:pStyle w:val="Tablebodytext"/>
              <w:jc w:val="right"/>
            </w:pPr>
            <w:r w:rsidRPr="007B3DA1">
              <w:t>10857</w:t>
            </w:r>
          </w:p>
        </w:tc>
        <w:tc>
          <w:tcPr>
            <w:tcW w:w="807" w:type="dxa"/>
            <w:vAlign w:val="center"/>
          </w:tcPr>
          <w:p w14:paraId="75FE1D49" w14:textId="77777777" w:rsidR="004461C5" w:rsidRPr="007B3DA1" w:rsidRDefault="004461C5" w:rsidP="007B3DA1">
            <w:pPr>
              <w:pStyle w:val="Tablebodytext"/>
              <w:jc w:val="right"/>
            </w:pPr>
            <w:r w:rsidRPr="007B3DA1">
              <w:t>0.24</w:t>
            </w:r>
          </w:p>
        </w:tc>
        <w:tc>
          <w:tcPr>
            <w:tcW w:w="808" w:type="dxa"/>
            <w:vAlign w:val="center"/>
          </w:tcPr>
          <w:p w14:paraId="30B67BD2" w14:textId="77777777" w:rsidR="004461C5" w:rsidRPr="007B3DA1" w:rsidRDefault="004461C5" w:rsidP="007B3DA1">
            <w:pPr>
              <w:pStyle w:val="Tablebodytext"/>
              <w:jc w:val="right"/>
            </w:pPr>
            <w:r w:rsidRPr="007B3DA1">
              <w:t>10857</w:t>
            </w:r>
          </w:p>
        </w:tc>
        <w:tc>
          <w:tcPr>
            <w:tcW w:w="808" w:type="dxa"/>
            <w:vAlign w:val="center"/>
          </w:tcPr>
          <w:p w14:paraId="63B8FC55" w14:textId="77777777" w:rsidR="004461C5" w:rsidRPr="007B3DA1" w:rsidRDefault="004461C5" w:rsidP="007B3DA1">
            <w:pPr>
              <w:pStyle w:val="Tablebodytext"/>
              <w:jc w:val="right"/>
            </w:pPr>
            <w:r w:rsidRPr="007B3DA1">
              <w:t>0.10</w:t>
            </w:r>
          </w:p>
        </w:tc>
        <w:tc>
          <w:tcPr>
            <w:tcW w:w="808" w:type="dxa"/>
            <w:vAlign w:val="center"/>
          </w:tcPr>
          <w:p w14:paraId="4AB528F0" w14:textId="77777777" w:rsidR="004461C5" w:rsidRPr="007B3DA1" w:rsidRDefault="004461C5" w:rsidP="007B3DA1">
            <w:pPr>
              <w:pStyle w:val="Tablebodytext"/>
              <w:jc w:val="right"/>
            </w:pPr>
            <w:r w:rsidRPr="007B3DA1">
              <w:t>10857</w:t>
            </w:r>
          </w:p>
        </w:tc>
        <w:tc>
          <w:tcPr>
            <w:tcW w:w="808" w:type="dxa"/>
            <w:vAlign w:val="center"/>
          </w:tcPr>
          <w:p w14:paraId="22F053C9" w14:textId="77777777" w:rsidR="004461C5" w:rsidRPr="007B3DA1" w:rsidRDefault="004461C5" w:rsidP="007B3DA1">
            <w:pPr>
              <w:pStyle w:val="Tablebodytext"/>
              <w:jc w:val="right"/>
            </w:pPr>
            <w:r w:rsidRPr="007B3DA1">
              <w:t>0.11</w:t>
            </w:r>
          </w:p>
        </w:tc>
        <w:tc>
          <w:tcPr>
            <w:tcW w:w="808" w:type="dxa"/>
            <w:vAlign w:val="center"/>
          </w:tcPr>
          <w:p w14:paraId="78CAFC44" w14:textId="77777777" w:rsidR="004461C5" w:rsidRPr="007B3DA1" w:rsidRDefault="004461C5" w:rsidP="007B3DA1">
            <w:pPr>
              <w:pStyle w:val="Tablebodytext"/>
              <w:jc w:val="right"/>
            </w:pPr>
            <w:r w:rsidRPr="007B3DA1">
              <w:t>6288</w:t>
            </w:r>
          </w:p>
        </w:tc>
        <w:tc>
          <w:tcPr>
            <w:tcW w:w="808" w:type="dxa"/>
            <w:vAlign w:val="center"/>
          </w:tcPr>
          <w:p w14:paraId="1E3CAA07" w14:textId="77777777" w:rsidR="004461C5" w:rsidRPr="007B3DA1" w:rsidRDefault="004461C5" w:rsidP="007B3DA1">
            <w:pPr>
              <w:pStyle w:val="Tablebodytext"/>
              <w:jc w:val="right"/>
            </w:pPr>
            <w:r w:rsidRPr="007B3DA1">
              <w:t>0.15</w:t>
            </w:r>
          </w:p>
        </w:tc>
        <w:tc>
          <w:tcPr>
            <w:tcW w:w="808" w:type="dxa"/>
            <w:vAlign w:val="center"/>
          </w:tcPr>
          <w:p w14:paraId="1853829F" w14:textId="77777777" w:rsidR="004461C5" w:rsidRPr="007B3DA1" w:rsidRDefault="004461C5" w:rsidP="007B3DA1">
            <w:pPr>
              <w:pStyle w:val="Tablebodytext"/>
              <w:jc w:val="right"/>
            </w:pPr>
            <w:r w:rsidRPr="007B3DA1">
              <w:t>10857</w:t>
            </w:r>
          </w:p>
        </w:tc>
        <w:tc>
          <w:tcPr>
            <w:tcW w:w="808" w:type="dxa"/>
            <w:vAlign w:val="center"/>
          </w:tcPr>
          <w:p w14:paraId="56C6CA74" w14:textId="77777777" w:rsidR="004461C5" w:rsidRPr="007B3DA1" w:rsidRDefault="004461C5" w:rsidP="007B3DA1">
            <w:pPr>
              <w:pStyle w:val="Tablebodytext"/>
              <w:jc w:val="right"/>
            </w:pPr>
            <w:r w:rsidRPr="007B3DA1">
              <w:t>0.36</w:t>
            </w:r>
          </w:p>
        </w:tc>
      </w:tr>
    </w:tbl>
    <w:p w14:paraId="559082CB" w14:textId="7CBD2878" w:rsidR="004461C5" w:rsidRPr="00C62F3A" w:rsidRDefault="004461C5" w:rsidP="004461C5">
      <w:pPr>
        <w:pStyle w:val="Note"/>
      </w:pPr>
      <w:r w:rsidRPr="00C62F3A">
        <w:t>Note</w:t>
      </w:r>
      <w:r>
        <w:t>s: N denotes number of observations</w:t>
      </w:r>
    </w:p>
    <w:p w14:paraId="23F69252" w14:textId="3047B03A" w:rsidR="004461C5" w:rsidRDefault="004461C5" w:rsidP="00F92995">
      <w:pPr>
        <w:pStyle w:val="Source"/>
        <w:ind w:right="775"/>
      </w:pPr>
      <w:r>
        <w:t xml:space="preserve">Source: </w:t>
      </w:r>
      <w:r>
        <w:rPr>
          <w:rFonts w:eastAsia="Arial"/>
          <w:szCs w:val="16"/>
        </w:rPr>
        <w:t>Australian Bureau of Statistics 2016, Management and Organisational Capabilities of Australian Business, 2015–16. Expanded Confidentialised Unit Record File (CURF), ABS DataLab. Findings based on use of ABS Microdata. ABS (2018) Business Longitudinal Analysis Data Environment</w:t>
      </w:r>
    </w:p>
    <w:p w14:paraId="69431770" w14:textId="26F311EF" w:rsidR="004461C5" w:rsidRPr="000618FB" w:rsidRDefault="004461C5" w:rsidP="00F92995">
      <w:pPr>
        <w:pStyle w:val="Caption"/>
        <w:ind w:right="775"/>
      </w:pPr>
      <w:r w:rsidRPr="000618FB">
        <w:lastRenderedPageBreak/>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B</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5</w:t>
      </w:r>
      <w:r>
        <w:rPr>
          <w:noProof/>
        </w:rPr>
        <w:fldChar w:fldCharType="end"/>
      </w:r>
      <w:r>
        <w:t>: Average management capability scores by innovation status among Australian firms, 2015–16</w:t>
      </w:r>
    </w:p>
    <w:tbl>
      <w:tblPr>
        <w:tblStyle w:val="OCETable"/>
        <w:tblW w:w="4711" w:type="pct"/>
        <w:tblInd w:w="57" w:type="dxa"/>
        <w:tblLayout w:type="fixed"/>
        <w:tblLook w:val="04A0" w:firstRow="1" w:lastRow="0" w:firstColumn="1" w:lastColumn="0" w:noHBand="0" w:noVBand="1"/>
        <w:tblCaption w:val="Table B5: Average management capability scores by innovation status among Australian firms, 2015–16"/>
        <w:tblDescription w:val="Table B5 shows average management capability values for the six scores OMC, OMCV2, DCM, EMC, SCMC and SMC by innovation status: innovation-active firms and non innovation-active firms. The Table shows that the mean values of all six scores of management capability are higher for firms that are innovation active than the non innovation active firms. "/>
      </w:tblPr>
      <w:tblGrid>
        <w:gridCol w:w="3223"/>
        <w:gridCol w:w="765"/>
        <w:gridCol w:w="764"/>
        <w:gridCol w:w="764"/>
        <w:gridCol w:w="764"/>
        <w:gridCol w:w="765"/>
        <w:gridCol w:w="765"/>
        <w:gridCol w:w="765"/>
        <w:gridCol w:w="765"/>
        <w:gridCol w:w="765"/>
        <w:gridCol w:w="765"/>
        <w:gridCol w:w="765"/>
        <w:gridCol w:w="765"/>
      </w:tblGrid>
      <w:tr w:rsidR="004461C5" w14:paraId="49927F01" w14:textId="77777777" w:rsidTr="00393EC5">
        <w:trPr>
          <w:cnfStyle w:val="100000000000" w:firstRow="1" w:lastRow="0" w:firstColumn="0" w:lastColumn="0" w:oddVBand="0" w:evenVBand="0" w:oddHBand="0" w:evenHBand="0" w:firstRowFirstColumn="0" w:firstRowLastColumn="0" w:lastRowFirstColumn="0" w:lastRowLastColumn="0"/>
          <w:tblHeader/>
        </w:trPr>
        <w:tc>
          <w:tcPr>
            <w:tcW w:w="3462" w:type="dxa"/>
          </w:tcPr>
          <w:p w14:paraId="06126377" w14:textId="77777777" w:rsidR="004461C5" w:rsidRDefault="004461C5" w:rsidP="004461C5">
            <w:pPr>
              <w:pStyle w:val="Tableheadertext"/>
            </w:pPr>
          </w:p>
        </w:tc>
        <w:tc>
          <w:tcPr>
            <w:tcW w:w="1612" w:type="dxa"/>
            <w:gridSpan w:val="2"/>
          </w:tcPr>
          <w:p w14:paraId="0A7E7705" w14:textId="77777777" w:rsidR="004461C5" w:rsidRDefault="004461C5" w:rsidP="004461C5">
            <w:pPr>
              <w:pStyle w:val="Tableheadertext"/>
              <w:jc w:val="center"/>
            </w:pPr>
            <w:r>
              <w:t>OMC</w:t>
            </w:r>
          </w:p>
        </w:tc>
        <w:tc>
          <w:tcPr>
            <w:tcW w:w="1613" w:type="dxa"/>
            <w:gridSpan w:val="2"/>
          </w:tcPr>
          <w:p w14:paraId="30A8A36E"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OMCv2</w:t>
            </w:r>
          </w:p>
        </w:tc>
        <w:tc>
          <w:tcPr>
            <w:tcW w:w="1616" w:type="dxa"/>
            <w:gridSpan w:val="2"/>
          </w:tcPr>
          <w:p w14:paraId="509277AB"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DMC</w:t>
            </w:r>
          </w:p>
        </w:tc>
        <w:tc>
          <w:tcPr>
            <w:tcW w:w="1616" w:type="dxa"/>
            <w:gridSpan w:val="2"/>
          </w:tcPr>
          <w:p w14:paraId="1E05CA9E"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EMC</w:t>
            </w:r>
          </w:p>
        </w:tc>
        <w:tc>
          <w:tcPr>
            <w:tcW w:w="1616" w:type="dxa"/>
            <w:gridSpan w:val="2"/>
          </w:tcPr>
          <w:p w14:paraId="5F3ACDAA"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SCMC</w:t>
            </w:r>
          </w:p>
        </w:tc>
        <w:tc>
          <w:tcPr>
            <w:tcW w:w="1616" w:type="dxa"/>
            <w:gridSpan w:val="2"/>
          </w:tcPr>
          <w:p w14:paraId="6DF0CA6C" w14:textId="77777777" w:rsidR="004461C5" w:rsidRPr="00DD173B" w:rsidRDefault="004461C5" w:rsidP="004461C5">
            <w:pPr>
              <w:pStyle w:val="Tableheadertext"/>
              <w:jc w:val="center"/>
              <w:rPr>
                <w:color w:val="FFFFFF" w:themeColor="background1"/>
              </w:rPr>
            </w:pPr>
            <w:r w:rsidRPr="00DD173B">
              <w:rPr>
                <w:rFonts w:eastAsia="Arial"/>
                <w:bCs/>
                <w:color w:val="FFFFFF" w:themeColor="background1"/>
                <w:szCs w:val="16"/>
                <w:lang w:eastAsia="en-AU"/>
              </w:rPr>
              <w:t>SMC</w:t>
            </w:r>
          </w:p>
        </w:tc>
      </w:tr>
      <w:tr w:rsidR="004461C5" w14:paraId="25F50836" w14:textId="77777777" w:rsidTr="00393EC5">
        <w:trPr>
          <w:cnfStyle w:val="100000000000" w:firstRow="1" w:lastRow="0" w:firstColumn="0" w:lastColumn="0" w:oddVBand="0" w:evenVBand="0" w:oddHBand="0" w:evenHBand="0" w:firstRowFirstColumn="0" w:firstRowLastColumn="0" w:lastRowFirstColumn="0" w:lastRowLastColumn="0"/>
          <w:trHeight w:val="414"/>
          <w:tblHeader/>
        </w:trPr>
        <w:tc>
          <w:tcPr>
            <w:tcW w:w="3462" w:type="dxa"/>
          </w:tcPr>
          <w:p w14:paraId="141F2740" w14:textId="77777777" w:rsidR="004461C5" w:rsidRDefault="004461C5" w:rsidP="004461C5">
            <w:pPr>
              <w:pStyle w:val="Tableheadertext"/>
            </w:pPr>
            <w:r>
              <w:t>Foreign ownership</w:t>
            </w:r>
          </w:p>
        </w:tc>
        <w:tc>
          <w:tcPr>
            <w:tcW w:w="806" w:type="dxa"/>
          </w:tcPr>
          <w:p w14:paraId="0A318C95" w14:textId="77777777" w:rsidR="004461C5" w:rsidRDefault="004461C5" w:rsidP="004461C5">
            <w:pPr>
              <w:pStyle w:val="Tableheadertext"/>
              <w:jc w:val="right"/>
            </w:pPr>
            <w:r w:rsidRPr="00C63676">
              <w:rPr>
                <w:color w:val="FFFFFF" w:themeColor="background1"/>
              </w:rPr>
              <w:t>N</w:t>
            </w:r>
          </w:p>
        </w:tc>
        <w:tc>
          <w:tcPr>
            <w:tcW w:w="806" w:type="dxa"/>
          </w:tcPr>
          <w:p w14:paraId="29EAEACD" w14:textId="77777777" w:rsidR="004461C5" w:rsidRDefault="004461C5" w:rsidP="004461C5">
            <w:pPr>
              <w:pStyle w:val="Tableheadertext"/>
            </w:pPr>
            <w:r w:rsidRPr="00C63676">
              <w:rPr>
                <w:color w:val="FFFFFF" w:themeColor="background1"/>
              </w:rPr>
              <w:t>mean</w:t>
            </w:r>
          </w:p>
        </w:tc>
        <w:tc>
          <w:tcPr>
            <w:tcW w:w="806" w:type="dxa"/>
          </w:tcPr>
          <w:p w14:paraId="343E7691" w14:textId="77777777" w:rsidR="004461C5" w:rsidRDefault="004461C5" w:rsidP="004461C5">
            <w:pPr>
              <w:pStyle w:val="Tableheadertext"/>
              <w:jc w:val="right"/>
            </w:pPr>
            <w:r w:rsidRPr="00C63676">
              <w:rPr>
                <w:color w:val="FFFFFF" w:themeColor="background1"/>
              </w:rPr>
              <w:t>N</w:t>
            </w:r>
          </w:p>
        </w:tc>
        <w:tc>
          <w:tcPr>
            <w:tcW w:w="807" w:type="dxa"/>
          </w:tcPr>
          <w:p w14:paraId="5B576613" w14:textId="77777777" w:rsidR="004461C5" w:rsidRDefault="004461C5" w:rsidP="004461C5">
            <w:pPr>
              <w:pStyle w:val="Tableheadertext"/>
              <w:jc w:val="center"/>
            </w:pPr>
            <w:r w:rsidRPr="00C63676">
              <w:rPr>
                <w:color w:val="FFFFFF" w:themeColor="background1"/>
              </w:rPr>
              <w:t>mean</w:t>
            </w:r>
          </w:p>
        </w:tc>
        <w:tc>
          <w:tcPr>
            <w:tcW w:w="808" w:type="dxa"/>
          </w:tcPr>
          <w:p w14:paraId="42F3D918" w14:textId="77777777" w:rsidR="004461C5" w:rsidRDefault="004461C5" w:rsidP="004461C5">
            <w:pPr>
              <w:pStyle w:val="Tableheadertext"/>
              <w:jc w:val="right"/>
            </w:pPr>
            <w:r w:rsidRPr="00C63676">
              <w:rPr>
                <w:color w:val="FFFFFF" w:themeColor="background1"/>
              </w:rPr>
              <w:t>N</w:t>
            </w:r>
          </w:p>
        </w:tc>
        <w:tc>
          <w:tcPr>
            <w:tcW w:w="808" w:type="dxa"/>
          </w:tcPr>
          <w:p w14:paraId="1FDC40AB" w14:textId="77777777" w:rsidR="004461C5" w:rsidRDefault="004461C5" w:rsidP="004461C5">
            <w:pPr>
              <w:pStyle w:val="Tableheadertext"/>
              <w:jc w:val="center"/>
            </w:pPr>
            <w:r w:rsidRPr="00C63676">
              <w:rPr>
                <w:color w:val="FFFFFF" w:themeColor="background1"/>
              </w:rPr>
              <w:t>mean</w:t>
            </w:r>
          </w:p>
        </w:tc>
        <w:tc>
          <w:tcPr>
            <w:tcW w:w="808" w:type="dxa"/>
          </w:tcPr>
          <w:p w14:paraId="5FA99684" w14:textId="77777777" w:rsidR="004461C5" w:rsidRDefault="004461C5" w:rsidP="004461C5">
            <w:pPr>
              <w:pStyle w:val="Tableheadertext"/>
              <w:jc w:val="right"/>
            </w:pPr>
            <w:r w:rsidRPr="00C63676">
              <w:rPr>
                <w:color w:val="FFFFFF" w:themeColor="background1"/>
              </w:rPr>
              <w:t>N</w:t>
            </w:r>
          </w:p>
        </w:tc>
        <w:tc>
          <w:tcPr>
            <w:tcW w:w="808" w:type="dxa"/>
          </w:tcPr>
          <w:p w14:paraId="08004137" w14:textId="77777777" w:rsidR="004461C5" w:rsidRDefault="004461C5" w:rsidP="004461C5">
            <w:pPr>
              <w:pStyle w:val="Tableheadertext"/>
              <w:jc w:val="center"/>
            </w:pPr>
            <w:r w:rsidRPr="00C63676">
              <w:rPr>
                <w:color w:val="FFFFFF" w:themeColor="background1"/>
              </w:rPr>
              <w:t>mean</w:t>
            </w:r>
          </w:p>
        </w:tc>
        <w:tc>
          <w:tcPr>
            <w:tcW w:w="808" w:type="dxa"/>
          </w:tcPr>
          <w:p w14:paraId="0CD286BE" w14:textId="77777777" w:rsidR="004461C5" w:rsidRDefault="004461C5" w:rsidP="004461C5">
            <w:pPr>
              <w:pStyle w:val="Tableheadertext"/>
              <w:jc w:val="right"/>
            </w:pPr>
            <w:r w:rsidRPr="00C63676">
              <w:rPr>
                <w:color w:val="FFFFFF" w:themeColor="background1"/>
              </w:rPr>
              <w:t>N</w:t>
            </w:r>
          </w:p>
        </w:tc>
        <w:tc>
          <w:tcPr>
            <w:tcW w:w="808" w:type="dxa"/>
          </w:tcPr>
          <w:p w14:paraId="0387DD80" w14:textId="77777777" w:rsidR="004461C5" w:rsidRDefault="004461C5" w:rsidP="004461C5">
            <w:pPr>
              <w:pStyle w:val="Tableheadertext"/>
              <w:jc w:val="center"/>
            </w:pPr>
            <w:r w:rsidRPr="00C63676">
              <w:rPr>
                <w:color w:val="FFFFFF" w:themeColor="background1"/>
              </w:rPr>
              <w:t>mean</w:t>
            </w:r>
          </w:p>
        </w:tc>
        <w:tc>
          <w:tcPr>
            <w:tcW w:w="808" w:type="dxa"/>
          </w:tcPr>
          <w:p w14:paraId="0E492D01" w14:textId="77777777" w:rsidR="004461C5" w:rsidRDefault="004461C5" w:rsidP="004461C5">
            <w:pPr>
              <w:pStyle w:val="Tableheadertext"/>
              <w:jc w:val="right"/>
            </w:pPr>
            <w:r w:rsidRPr="00C63676">
              <w:rPr>
                <w:color w:val="FFFFFF" w:themeColor="background1"/>
              </w:rPr>
              <w:t>N</w:t>
            </w:r>
          </w:p>
        </w:tc>
        <w:tc>
          <w:tcPr>
            <w:tcW w:w="808" w:type="dxa"/>
          </w:tcPr>
          <w:p w14:paraId="28502701" w14:textId="77777777" w:rsidR="004461C5" w:rsidRDefault="004461C5" w:rsidP="004461C5">
            <w:pPr>
              <w:pStyle w:val="Tableheadertext"/>
            </w:pPr>
            <w:r w:rsidRPr="00C63676">
              <w:rPr>
                <w:color w:val="FFFFFF" w:themeColor="background1"/>
              </w:rPr>
              <w:t>mean</w:t>
            </w:r>
          </w:p>
        </w:tc>
      </w:tr>
      <w:tr w:rsidR="004461C5" w14:paraId="38BF2DDD"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tcPr>
          <w:p w14:paraId="4448D7F5" w14:textId="77777777" w:rsidR="004461C5" w:rsidRPr="007B3DA1" w:rsidRDefault="004461C5" w:rsidP="007B3DA1">
            <w:pPr>
              <w:pStyle w:val="Tablebodytext"/>
            </w:pPr>
            <w:r w:rsidRPr="007B3DA1">
              <w:t>All firms</w:t>
            </w:r>
          </w:p>
        </w:tc>
        <w:tc>
          <w:tcPr>
            <w:tcW w:w="806" w:type="dxa"/>
            <w:vAlign w:val="center"/>
          </w:tcPr>
          <w:p w14:paraId="3991B1C3" w14:textId="77777777" w:rsidR="004461C5" w:rsidRPr="007B3DA1" w:rsidRDefault="004461C5" w:rsidP="007B3DA1">
            <w:pPr>
              <w:pStyle w:val="Tablebodytext"/>
              <w:jc w:val="right"/>
            </w:pPr>
            <w:r w:rsidRPr="007B3DA1">
              <w:t>7537</w:t>
            </w:r>
          </w:p>
        </w:tc>
        <w:tc>
          <w:tcPr>
            <w:tcW w:w="806" w:type="dxa"/>
            <w:vAlign w:val="center"/>
          </w:tcPr>
          <w:p w14:paraId="255D64ED" w14:textId="77777777" w:rsidR="004461C5" w:rsidRPr="007B3DA1" w:rsidRDefault="004461C5" w:rsidP="007B3DA1">
            <w:pPr>
              <w:pStyle w:val="Tablebodytext"/>
              <w:jc w:val="right"/>
            </w:pPr>
            <w:r w:rsidRPr="007B3DA1">
              <w:t>0.28</w:t>
            </w:r>
          </w:p>
        </w:tc>
        <w:tc>
          <w:tcPr>
            <w:tcW w:w="806" w:type="dxa"/>
            <w:vAlign w:val="center"/>
          </w:tcPr>
          <w:p w14:paraId="0AF59ED5" w14:textId="77777777" w:rsidR="004461C5" w:rsidRPr="007B3DA1" w:rsidRDefault="004461C5" w:rsidP="007B3DA1">
            <w:pPr>
              <w:pStyle w:val="Tablebodytext"/>
              <w:jc w:val="right"/>
            </w:pPr>
            <w:r w:rsidRPr="007B3DA1">
              <w:t>12536</w:t>
            </w:r>
          </w:p>
        </w:tc>
        <w:tc>
          <w:tcPr>
            <w:tcW w:w="807" w:type="dxa"/>
            <w:vAlign w:val="center"/>
          </w:tcPr>
          <w:p w14:paraId="0BDB16D7" w14:textId="77777777" w:rsidR="004461C5" w:rsidRPr="007B3DA1" w:rsidRDefault="004461C5" w:rsidP="007B3DA1">
            <w:pPr>
              <w:pStyle w:val="Tablebodytext"/>
              <w:jc w:val="right"/>
            </w:pPr>
            <w:r w:rsidRPr="007B3DA1">
              <w:t>0.26</w:t>
            </w:r>
          </w:p>
        </w:tc>
        <w:tc>
          <w:tcPr>
            <w:tcW w:w="808" w:type="dxa"/>
            <w:vAlign w:val="center"/>
          </w:tcPr>
          <w:p w14:paraId="6F07F831" w14:textId="77777777" w:rsidR="004461C5" w:rsidRPr="007B3DA1" w:rsidRDefault="004461C5" w:rsidP="007B3DA1">
            <w:pPr>
              <w:pStyle w:val="Tablebodytext"/>
              <w:jc w:val="right"/>
            </w:pPr>
            <w:r w:rsidRPr="007B3DA1">
              <w:t>12536</w:t>
            </w:r>
          </w:p>
        </w:tc>
        <w:tc>
          <w:tcPr>
            <w:tcW w:w="808" w:type="dxa"/>
            <w:vAlign w:val="center"/>
          </w:tcPr>
          <w:p w14:paraId="1FC95196" w14:textId="77777777" w:rsidR="004461C5" w:rsidRPr="007B3DA1" w:rsidRDefault="004461C5" w:rsidP="007B3DA1">
            <w:pPr>
              <w:pStyle w:val="Tablebodytext"/>
              <w:jc w:val="right"/>
            </w:pPr>
            <w:r w:rsidRPr="007B3DA1">
              <w:t>0.11</w:t>
            </w:r>
          </w:p>
        </w:tc>
        <w:tc>
          <w:tcPr>
            <w:tcW w:w="808" w:type="dxa"/>
            <w:vAlign w:val="center"/>
          </w:tcPr>
          <w:p w14:paraId="094B9C9F" w14:textId="77777777" w:rsidR="004461C5" w:rsidRPr="007B3DA1" w:rsidRDefault="004461C5" w:rsidP="007B3DA1">
            <w:pPr>
              <w:pStyle w:val="Tablebodytext"/>
              <w:jc w:val="right"/>
            </w:pPr>
            <w:r w:rsidRPr="007B3DA1">
              <w:t>12536</w:t>
            </w:r>
          </w:p>
        </w:tc>
        <w:tc>
          <w:tcPr>
            <w:tcW w:w="808" w:type="dxa"/>
            <w:vAlign w:val="center"/>
          </w:tcPr>
          <w:p w14:paraId="34C42AEC" w14:textId="77777777" w:rsidR="004461C5" w:rsidRPr="007B3DA1" w:rsidRDefault="004461C5" w:rsidP="007B3DA1">
            <w:pPr>
              <w:pStyle w:val="Tablebodytext"/>
              <w:jc w:val="right"/>
            </w:pPr>
            <w:r w:rsidRPr="007B3DA1">
              <w:t>0.13</w:t>
            </w:r>
          </w:p>
        </w:tc>
        <w:tc>
          <w:tcPr>
            <w:tcW w:w="808" w:type="dxa"/>
            <w:vAlign w:val="center"/>
          </w:tcPr>
          <w:p w14:paraId="64AF6B2F" w14:textId="77777777" w:rsidR="004461C5" w:rsidRPr="007B3DA1" w:rsidRDefault="004461C5" w:rsidP="007B3DA1">
            <w:pPr>
              <w:pStyle w:val="Tablebodytext"/>
              <w:jc w:val="right"/>
            </w:pPr>
            <w:r w:rsidRPr="007B3DA1">
              <w:t>7537</w:t>
            </w:r>
          </w:p>
        </w:tc>
        <w:tc>
          <w:tcPr>
            <w:tcW w:w="808" w:type="dxa"/>
            <w:vAlign w:val="center"/>
          </w:tcPr>
          <w:p w14:paraId="38AFE6E8" w14:textId="77777777" w:rsidR="004461C5" w:rsidRPr="007B3DA1" w:rsidRDefault="004461C5" w:rsidP="007B3DA1">
            <w:pPr>
              <w:pStyle w:val="Tablebodytext"/>
              <w:jc w:val="right"/>
            </w:pPr>
            <w:r w:rsidRPr="007B3DA1">
              <w:t>0.17</w:t>
            </w:r>
          </w:p>
        </w:tc>
        <w:tc>
          <w:tcPr>
            <w:tcW w:w="808" w:type="dxa"/>
            <w:vAlign w:val="center"/>
          </w:tcPr>
          <w:p w14:paraId="4F3A1D49" w14:textId="77777777" w:rsidR="004461C5" w:rsidRPr="007B3DA1" w:rsidRDefault="004461C5" w:rsidP="007B3DA1">
            <w:pPr>
              <w:pStyle w:val="Tablebodytext"/>
              <w:jc w:val="right"/>
            </w:pPr>
            <w:r w:rsidRPr="007B3DA1">
              <w:t>12536</w:t>
            </w:r>
          </w:p>
        </w:tc>
        <w:tc>
          <w:tcPr>
            <w:tcW w:w="808" w:type="dxa"/>
            <w:vAlign w:val="center"/>
          </w:tcPr>
          <w:p w14:paraId="03824C8B" w14:textId="77777777" w:rsidR="004461C5" w:rsidRPr="007B3DA1" w:rsidRDefault="004461C5" w:rsidP="007B3DA1">
            <w:pPr>
              <w:pStyle w:val="Tablebodytext"/>
              <w:jc w:val="right"/>
            </w:pPr>
            <w:r w:rsidRPr="007B3DA1">
              <w:t>0.39</w:t>
            </w:r>
          </w:p>
        </w:tc>
      </w:tr>
      <w:tr w:rsidR="004461C5" w14:paraId="1A079307" w14:textId="77777777" w:rsidTr="004461C5">
        <w:trPr>
          <w:cnfStyle w:val="000000010000" w:firstRow="0" w:lastRow="0" w:firstColumn="0" w:lastColumn="0" w:oddVBand="0" w:evenVBand="0" w:oddHBand="0" w:evenHBand="1" w:firstRowFirstColumn="0" w:firstRowLastColumn="0" w:lastRowFirstColumn="0" w:lastRowLastColumn="0"/>
        </w:trPr>
        <w:tc>
          <w:tcPr>
            <w:tcW w:w="3462" w:type="dxa"/>
          </w:tcPr>
          <w:p w14:paraId="194F480F" w14:textId="77777777" w:rsidR="004461C5" w:rsidRPr="007B3DA1" w:rsidRDefault="004461C5" w:rsidP="007B3DA1">
            <w:pPr>
              <w:pStyle w:val="Tablebodytext"/>
            </w:pPr>
            <w:r w:rsidRPr="007B3DA1">
              <w:t>Innovation-active firms</w:t>
            </w:r>
          </w:p>
        </w:tc>
        <w:tc>
          <w:tcPr>
            <w:tcW w:w="806" w:type="dxa"/>
            <w:vAlign w:val="center"/>
          </w:tcPr>
          <w:p w14:paraId="118C39F3" w14:textId="77777777" w:rsidR="004461C5" w:rsidRPr="007B3DA1" w:rsidRDefault="004461C5" w:rsidP="007B3DA1">
            <w:pPr>
              <w:pStyle w:val="Tablebodytext"/>
              <w:jc w:val="right"/>
            </w:pPr>
            <w:r w:rsidRPr="007B3DA1">
              <w:t>5440</w:t>
            </w:r>
          </w:p>
        </w:tc>
        <w:tc>
          <w:tcPr>
            <w:tcW w:w="806" w:type="dxa"/>
            <w:vAlign w:val="center"/>
          </w:tcPr>
          <w:p w14:paraId="4B97D23A" w14:textId="77777777" w:rsidR="004461C5" w:rsidRPr="007B3DA1" w:rsidRDefault="004461C5" w:rsidP="007B3DA1">
            <w:pPr>
              <w:pStyle w:val="Tablebodytext"/>
              <w:jc w:val="right"/>
            </w:pPr>
            <w:r w:rsidRPr="007B3DA1">
              <w:t>0.31</w:t>
            </w:r>
          </w:p>
        </w:tc>
        <w:tc>
          <w:tcPr>
            <w:tcW w:w="806" w:type="dxa"/>
            <w:vAlign w:val="center"/>
          </w:tcPr>
          <w:p w14:paraId="1A68E8B1" w14:textId="77777777" w:rsidR="004461C5" w:rsidRPr="007B3DA1" w:rsidRDefault="004461C5" w:rsidP="007B3DA1">
            <w:pPr>
              <w:pStyle w:val="Tablebodytext"/>
              <w:jc w:val="right"/>
            </w:pPr>
            <w:r w:rsidRPr="007B3DA1">
              <w:t>7731</w:t>
            </w:r>
          </w:p>
        </w:tc>
        <w:tc>
          <w:tcPr>
            <w:tcW w:w="807" w:type="dxa"/>
            <w:vAlign w:val="center"/>
          </w:tcPr>
          <w:p w14:paraId="45B39E2D" w14:textId="77777777" w:rsidR="004461C5" w:rsidRPr="007B3DA1" w:rsidRDefault="004461C5" w:rsidP="007B3DA1">
            <w:pPr>
              <w:pStyle w:val="Tablebodytext"/>
              <w:jc w:val="right"/>
            </w:pPr>
            <w:r w:rsidRPr="007B3DA1">
              <w:t>0.32</w:t>
            </w:r>
          </w:p>
        </w:tc>
        <w:tc>
          <w:tcPr>
            <w:tcW w:w="808" w:type="dxa"/>
            <w:vAlign w:val="center"/>
          </w:tcPr>
          <w:p w14:paraId="16C7EFF4" w14:textId="77777777" w:rsidR="004461C5" w:rsidRPr="007B3DA1" w:rsidRDefault="004461C5" w:rsidP="007B3DA1">
            <w:pPr>
              <w:pStyle w:val="Tablebodytext"/>
              <w:jc w:val="right"/>
            </w:pPr>
            <w:r w:rsidRPr="007B3DA1">
              <w:t>7731</w:t>
            </w:r>
          </w:p>
        </w:tc>
        <w:tc>
          <w:tcPr>
            <w:tcW w:w="808" w:type="dxa"/>
            <w:vAlign w:val="center"/>
          </w:tcPr>
          <w:p w14:paraId="0F4D21AF" w14:textId="77777777" w:rsidR="004461C5" w:rsidRPr="007B3DA1" w:rsidRDefault="004461C5" w:rsidP="007B3DA1">
            <w:pPr>
              <w:pStyle w:val="Tablebodytext"/>
              <w:jc w:val="right"/>
            </w:pPr>
            <w:r w:rsidRPr="007B3DA1">
              <w:t>0.15</w:t>
            </w:r>
          </w:p>
        </w:tc>
        <w:tc>
          <w:tcPr>
            <w:tcW w:w="808" w:type="dxa"/>
            <w:vAlign w:val="center"/>
          </w:tcPr>
          <w:p w14:paraId="1D11F956" w14:textId="77777777" w:rsidR="004461C5" w:rsidRPr="007B3DA1" w:rsidRDefault="004461C5" w:rsidP="007B3DA1">
            <w:pPr>
              <w:pStyle w:val="Tablebodytext"/>
              <w:jc w:val="right"/>
            </w:pPr>
            <w:r w:rsidRPr="007B3DA1">
              <w:t>7731</w:t>
            </w:r>
          </w:p>
        </w:tc>
        <w:tc>
          <w:tcPr>
            <w:tcW w:w="808" w:type="dxa"/>
            <w:vAlign w:val="center"/>
          </w:tcPr>
          <w:p w14:paraId="55972C03" w14:textId="77777777" w:rsidR="004461C5" w:rsidRPr="007B3DA1" w:rsidRDefault="004461C5" w:rsidP="007B3DA1">
            <w:pPr>
              <w:pStyle w:val="Tablebodytext"/>
              <w:jc w:val="right"/>
            </w:pPr>
            <w:r w:rsidRPr="007B3DA1">
              <w:t>0.16</w:t>
            </w:r>
          </w:p>
        </w:tc>
        <w:tc>
          <w:tcPr>
            <w:tcW w:w="808" w:type="dxa"/>
            <w:vAlign w:val="center"/>
          </w:tcPr>
          <w:p w14:paraId="23804BC7" w14:textId="77777777" w:rsidR="004461C5" w:rsidRPr="007B3DA1" w:rsidRDefault="004461C5" w:rsidP="007B3DA1">
            <w:pPr>
              <w:pStyle w:val="Tablebodytext"/>
              <w:jc w:val="right"/>
            </w:pPr>
            <w:r w:rsidRPr="007B3DA1">
              <w:t>5440</w:t>
            </w:r>
          </w:p>
        </w:tc>
        <w:tc>
          <w:tcPr>
            <w:tcW w:w="808" w:type="dxa"/>
            <w:vAlign w:val="center"/>
          </w:tcPr>
          <w:p w14:paraId="0BE7DF39" w14:textId="77777777" w:rsidR="004461C5" w:rsidRPr="007B3DA1" w:rsidRDefault="004461C5" w:rsidP="007B3DA1">
            <w:pPr>
              <w:pStyle w:val="Tablebodytext"/>
              <w:jc w:val="right"/>
            </w:pPr>
            <w:r w:rsidRPr="007B3DA1">
              <w:t>0.20</w:t>
            </w:r>
          </w:p>
        </w:tc>
        <w:tc>
          <w:tcPr>
            <w:tcW w:w="808" w:type="dxa"/>
            <w:vAlign w:val="center"/>
          </w:tcPr>
          <w:p w14:paraId="596B3D96" w14:textId="77777777" w:rsidR="004461C5" w:rsidRPr="007B3DA1" w:rsidRDefault="004461C5" w:rsidP="007B3DA1">
            <w:pPr>
              <w:pStyle w:val="Tablebodytext"/>
              <w:jc w:val="right"/>
            </w:pPr>
            <w:r w:rsidRPr="007B3DA1">
              <w:t>7731</w:t>
            </w:r>
          </w:p>
        </w:tc>
        <w:tc>
          <w:tcPr>
            <w:tcW w:w="808" w:type="dxa"/>
            <w:vAlign w:val="center"/>
          </w:tcPr>
          <w:p w14:paraId="02267FF5" w14:textId="77777777" w:rsidR="004461C5" w:rsidRPr="007B3DA1" w:rsidRDefault="004461C5" w:rsidP="007B3DA1">
            <w:pPr>
              <w:pStyle w:val="Tablebodytext"/>
              <w:jc w:val="right"/>
            </w:pPr>
            <w:r w:rsidRPr="007B3DA1">
              <w:t>0.46</w:t>
            </w:r>
          </w:p>
        </w:tc>
      </w:tr>
      <w:tr w:rsidR="004461C5" w14:paraId="39FD74DC" w14:textId="77777777" w:rsidTr="004461C5">
        <w:trPr>
          <w:cnfStyle w:val="000000100000" w:firstRow="0" w:lastRow="0" w:firstColumn="0" w:lastColumn="0" w:oddVBand="0" w:evenVBand="0" w:oddHBand="1" w:evenHBand="0" w:firstRowFirstColumn="0" w:firstRowLastColumn="0" w:lastRowFirstColumn="0" w:lastRowLastColumn="0"/>
        </w:trPr>
        <w:tc>
          <w:tcPr>
            <w:tcW w:w="3462" w:type="dxa"/>
          </w:tcPr>
          <w:p w14:paraId="2FA02FCA" w14:textId="77777777" w:rsidR="004461C5" w:rsidRPr="007B3DA1" w:rsidRDefault="004461C5" w:rsidP="007B3DA1">
            <w:pPr>
              <w:pStyle w:val="Tablebodytext"/>
            </w:pPr>
            <w:r w:rsidRPr="007B3DA1">
              <w:t>Non innovation active firms</w:t>
            </w:r>
          </w:p>
        </w:tc>
        <w:tc>
          <w:tcPr>
            <w:tcW w:w="806" w:type="dxa"/>
            <w:vAlign w:val="center"/>
          </w:tcPr>
          <w:p w14:paraId="2F56245D" w14:textId="77777777" w:rsidR="004461C5" w:rsidRPr="007B3DA1" w:rsidRDefault="004461C5" w:rsidP="007B3DA1">
            <w:pPr>
              <w:pStyle w:val="Tablebodytext"/>
              <w:jc w:val="right"/>
            </w:pPr>
            <w:r w:rsidRPr="007B3DA1">
              <w:t>2097</w:t>
            </w:r>
          </w:p>
        </w:tc>
        <w:tc>
          <w:tcPr>
            <w:tcW w:w="806" w:type="dxa"/>
            <w:vAlign w:val="center"/>
          </w:tcPr>
          <w:p w14:paraId="16BDBE4F" w14:textId="77777777" w:rsidR="004461C5" w:rsidRPr="007B3DA1" w:rsidRDefault="004461C5" w:rsidP="007B3DA1">
            <w:pPr>
              <w:pStyle w:val="Tablebodytext"/>
              <w:jc w:val="right"/>
            </w:pPr>
            <w:r w:rsidRPr="007B3DA1">
              <w:t>0.19</w:t>
            </w:r>
          </w:p>
        </w:tc>
        <w:tc>
          <w:tcPr>
            <w:tcW w:w="806" w:type="dxa"/>
            <w:vAlign w:val="center"/>
          </w:tcPr>
          <w:p w14:paraId="083A8ADC" w14:textId="77777777" w:rsidR="004461C5" w:rsidRPr="007B3DA1" w:rsidRDefault="004461C5" w:rsidP="007B3DA1">
            <w:pPr>
              <w:pStyle w:val="Tablebodytext"/>
              <w:jc w:val="right"/>
            </w:pPr>
            <w:r w:rsidRPr="007B3DA1">
              <w:t>4805</w:t>
            </w:r>
          </w:p>
        </w:tc>
        <w:tc>
          <w:tcPr>
            <w:tcW w:w="807" w:type="dxa"/>
            <w:vAlign w:val="center"/>
          </w:tcPr>
          <w:p w14:paraId="48EDC934" w14:textId="77777777" w:rsidR="004461C5" w:rsidRPr="007B3DA1" w:rsidRDefault="004461C5" w:rsidP="007B3DA1">
            <w:pPr>
              <w:pStyle w:val="Tablebodytext"/>
              <w:jc w:val="right"/>
            </w:pPr>
            <w:r w:rsidRPr="007B3DA1">
              <w:t>0.17</w:t>
            </w:r>
          </w:p>
        </w:tc>
        <w:tc>
          <w:tcPr>
            <w:tcW w:w="808" w:type="dxa"/>
            <w:vAlign w:val="center"/>
          </w:tcPr>
          <w:p w14:paraId="654C9AF8" w14:textId="77777777" w:rsidR="004461C5" w:rsidRPr="007B3DA1" w:rsidRDefault="004461C5" w:rsidP="007B3DA1">
            <w:pPr>
              <w:pStyle w:val="Tablebodytext"/>
              <w:jc w:val="right"/>
            </w:pPr>
            <w:r w:rsidRPr="007B3DA1">
              <w:t>4805</w:t>
            </w:r>
          </w:p>
        </w:tc>
        <w:tc>
          <w:tcPr>
            <w:tcW w:w="808" w:type="dxa"/>
            <w:vAlign w:val="center"/>
          </w:tcPr>
          <w:p w14:paraId="46E1F615" w14:textId="77777777" w:rsidR="004461C5" w:rsidRPr="007B3DA1" w:rsidRDefault="004461C5" w:rsidP="007B3DA1">
            <w:pPr>
              <w:pStyle w:val="Tablebodytext"/>
              <w:jc w:val="right"/>
            </w:pPr>
            <w:r w:rsidRPr="007B3DA1">
              <w:t>0.04</w:t>
            </w:r>
          </w:p>
        </w:tc>
        <w:tc>
          <w:tcPr>
            <w:tcW w:w="808" w:type="dxa"/>
            <w:vAlign w:val="center"/>
          </w:tcPr>
          <w:p w14:paraId="65AA633C" w14:textId="77777777" w:rsidR="004461C5" w:rsidRPr="007B3DA1" w:rsidRDefault="004461C5" w:rsidP="007B3DA1">
            <w:pPr>
              <w:pStyle w:val="Tablebodytext"/>
              <w:jc w:val="right"/>
            </w:pPr>
            <w:r w:rsidRPr="007B3DA1">
              <w:t>4805</w:t>
            </w:r>
          </w:p>
        </w:tc>
        <w:tc>
          <w:tcPr>
            <w:tcW w:w="808" w:type="dxa"/>
            <w:vAlign w:val="center"/>
          </w:tcPr>
          <w:p w14:paraId="54ADEC4E" w14:textId="77777777" w:rsidR="004461C5" w:rsidRPr="007B3DA1" w:rsidRDefault="004461C5" w:rsidP="007B3DA1">
            <w:pPr>
              <w:pStyle w:val="Tablebodytext"/>
              <w:jc w:val="right"/>
            </w:pPr>
            <w:r w:rsidRPr="007B3DA1">
              <w:t>0.07</w:t>
            </w:r>
          </w:p>
        </w:tc>
        <w:tc>
          <w:tcPr>
            <w:tcW w:w="808" w:type="dxa"/>
            <w:vAlign w:val="center"/>
          </w:tcPr>
          <w:p w14:paraId="2F4F61AD" w14:textId="77777777" w:rsidR="004461C5" w:rsidRPr="007B3DA1" w:rsidRDefault="004461C5" w:rsidP="007B3DA1">
            <w:pPr>
              <w:pStyle w:val="Tablebodytext"/>
              <w:jc w:val="right"/>
            </w:pPr>
            <w:r w:rsidRPr="007B3DA1">
              <w:t>2097</w:t>
            </w:r>
          </w:p>
        </w:tc>
        <w:tc>
          <w:tcPr>
            <w:tcW w:w="808" w:type="dxa"/>
            <w:vAlign w:val="center"/>
          </w:tcPr>
          <w:p w14:paraId="1362EE8F" w14:textId="77777777" w:rsidR="004461C5" w:rsidRPr="007B3DA1" w:rsidRDefault="004461C5" w:rsidP="007B3DA1">
            <w:pPr>
              <w:pStyle w:val="Tablebodytext"/>
              <w:jc w:val="right"/>
            </w:pPr>
            <w:r w:rsidRPr="007B3DA1">
              <w:t>0.10</w:t>
            </w:r>
          </w:p>
        </w:tc>
        <w:tc>
          <w:tcPr>
            <w:tcW w:w="808" w:type="dxa"/>
            <w:vAlign w:val="center"/>
          </w:tcPr>
          <w:p w14:paraId="5566AD14" w14:textId="77777777" w:rsidR="004461C5" w:rsidRPr="007B3DA1" w:rsidRDefault="004461C5" w:rsidP="007B3DA1">
            <w:pPr>
              <w:pStyle w:val="Tablebodytext"/>
              <w:jc w:val="right"/>
            </w:pPr>
            <w:r w:rsidRPr="007B3DA1">
              <w:t>4805</w:t>
            </w:r>
          </w:p>
        </w:tc>
        <w:tc>
          <w:tcPr>
            <w:tcW w:w="808" w:type="dxa"/>
            <w:vAlign w:val="center"/>
          </w:tcPr>
          <w:p w14:paraId="5F0ABCE5" w14:textId="77777777" w:rsidR="004461C5" w:rsidRPr="007B3DA1" w:rsidRDefault="004461C5" w:rsidP="007B3DA1">
            <w:pPr>
              <w:pStyle w:val="Tablebodytext"/>
              <w:jc w:val="right"/>
            </w:pPr>
            <w:r w:rsidRPr="007B3DA1">
              <w:t>0.26</w:t>
            </w:r>
          </w:p>
        </w:tc>
      </w:tr>
    </w:tbl>
    <w:p w14:paraId="7BCC3CD1" w14:textId="5D735768" w:rsidR="004461C5" w:rsidRPr="00C62F3A" w:rsidRDefault="004461C5" w:rsidP="004461C5">
      <w:pPr>
        <w:pStyle w:val="Note"/>
      </w:pPr>
      <w:r w:rsidRPr="00C62F3A">
        <w:t>Note</w:t>
      </w:r>
      <w:r>
        <w:t>s: N denotes number of observations</w:t>
      </w:r>
    </w:p>
    <w:p w14:paraId="65460D91" w14:textId="49405CA3" w:rsidR="004461C5" w:rsidRDefault="004461C5" w:rsidP="00F92995">
      <w:pPr>
        <w:pStyle w:val="Source"/>
        <w:ind w:right="775"/>
      </w:pPr>
      <w:r>
        <w:t xml:space="preserve">Source: </w:t>
      </w:r>
      <w:r w:rsidR="00AE7D09">
        <w:rPr>
          <w:rFonts w:eastAsia="Arial"/>
          <w:szCs w:val="16"/>
        </w:rPr>
        <w:t>Australian Bureau of Statistics 2016, Management and Organisational Capabilities of Australian Business, 2015–16. Expanded Confidentialised Unit Record File (CURF), ABS DataLab. Findings based on use of ABS Microdata. ABS (2018) Business Longitudinal Analysis Data Environment</w:t>
      </w:r>
    </w:p>
    <w:p w14:paraId="38F027CE" w14:textId="77777777" w:rsidR="00C52CE4" w:rsidRDefault="00C52CE4" w:rsidP="00F92995">
      <w:pPr>
        <w:pStyle w:val="BodyText"/>
        <w:ind w:right="775"/>
        <w:sectPr w:rsidR="00C52CE4" w:rsidSect="00F92995">
          <w:headerReference w:type="even" r:id="rId50"/>
          <w:headerReference w:type="default" r:id="rId51"/>
          <w:footerReference w:type="even" r:id="rId52"/>
          <w:footerReference w:type="default" r:id="rId53"/>
          <w:headerReference w:type="first" r:id="rId54"/>
          <w:footerReference w:type="first" r:id="rId55"/>
          <w:pgSz w:w="16838" w:h="11906" w:orient="landscape" w:code="9"/>
          <w:pgMar w:top="1276" w:right="2237" w:bottom="1440" w:left="1440" w:header="709" w:footer="709" w:gutter="0"/>
          <w:cols w:space="708"/>
          <w:docGrid w:linePitch="360"/>
        </w:sectPr>
      </w:pPr>
    </w:p>
    <w:p w14:paraId="6DDB4F16" w14:textId="27DF6D6C" w:rsidR="00657561" w:rsidRDefault="00F95AF6" w:rsidP="00C63277">
      <w:pPr>
        <w:pStyle w:val="Heading6"/>
        <w:ind w:left="284" w:hanging="2269"/>
        <w:rPr>
          <w:lang w:val="en"/>
        </w:rPr>
      </w:pPr>
      <w:r>
        <w:rPr>
          <w:lang w:val="en"/>
        </w:rPr>
        <w:lastRenderedPageBreak/>
        <w:t>Summary question selection and weights</w:t>
      </w:r>
    </w:p>
    <w:p w14:paraId="766BFD40" w14:textId="11653245" w:rsidR="00F95AF6" w:rsidRDefault="00F95AF6" w:rsidP="00C63277">
      <w:pPr>
        <w:pStyle w:val="Heading7"/>
        <w:ind w:left="-1276"/>
        <w:rPr>
          <w:lang w:val="en"/>
        </w:rPr>
      </w:pPr>
      <w:r>
        <w:rPr>
          <w:lang w:val="en"/>
        </w:rPr>
        <w:t>Strategic Management capability</w:t>
      </w:r>
    </w:p>
    <w:p w14:paraId="2C2DC4BF" w14:textId="46FA9917" w:rsidR="00F95AF6" w:rsidRPr="000618FB" w:rsidRDefault="00F95AF6" w:rsidP="009746A6">
      <w:pPr>
        <w:pStyle w:val="CaptionWide"/>
        <w:keepNext w:val="0"/>
        <w:widowControl w:val="0"/>
      </w:pPr>
      <w:r w:rsidRPr="000618FB">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C</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1</w:t>
      </w:r>
      <w:r>
        <w:rPr>
          <w:noProof/>
        </w:rPr>
        <w:fldChar w:fldCharType="end"/>
      </w:r>
      <w:r>
        <w:t>: Strategic management capability</w:t>
      </w:r>
    </w:p>
    <w:tbl>
      <w:tblPr>
        <w:tblW w:w="9600" w:type="dxa"/>
        <w:tblInd w:w="-1990" w:type="dxa"/>
        <w:tblBorders>
          <w:top w:val="single" w:sz="4" w:space="0" w:color="373737"/>
          <w:left w:val="single" w:sz="4" w:space="0" w:color="373737"/>
          <w:bottom w:val="single" w:sz="4" w:space="0" w:color="373737"/>
          <w:right w:val="single" w:sz="4" w:space="0" w:color="373737"/>
          <w:insideH w:val="single" w:sz="4" w:space="0" w:color="373737"/>
          <w:insideV w:val="single" w:sz="4" w:space="0" w:color="373737"/>
        </w:tblBorders>
        <w:tblLayout w:type="fixed"/>
        <w:tblCellMar>
          <w:top w:w="100" w:type="dxa"/>
          <w:left w:w="100" w:type="dxa"/>
          <w:bottom w:w="100" w:type="dxa"/>
          <w:right w:w="100" w:type="dxa"/>
        </w:tblCellMar>
        <w:tblLook w:val="0400" w:firstRow="0" w:lastRow="0" w:firstColumn="0" w:lastColumn="0" w:noHBand="0" w:noVBand="1"/>
        <w:tblCaption w:val="Table C1: Strategic management capability"/>
        <w:tblDescription w:val="Table C1 shows in detail the elements used in the process of constructing the score of Strategic Management Capability. This includes: i) the numbers of questions selected for the score;  ii) the structure type of the question: scaled, listed or scaled-listed; iii) the specific part of the selected question; iv) the weight assigned to the specific part of the selected question; v) the sub topic of the question; and vi)  the overall score assigned to the question. At the end of the Table, the Strategic Management Capability (SMC) Score is calculated as a weighted average of the sub-scores calculated for each question."/>
      </w:tblPr>
      <w:tblGrid>
        <w:gridCol w:w="2037"/>
        <w:gridCol w:w="1082"/>
        <w:gridCol w:w="992"/>
        <w:gridCol w:w="2485"/>
        <w:gridCol w:w="966"/>
        <w:gridCol w:w="1043"/>
        <w:gridCol w:w="995"/>
      </w:tblGrid>
      <w:tr w:rsidR="00F95AF6" w:rsidRPr="001C28F5" w14:paraId="5C5A1E0D" w14:textId="77777777" w:rsidTr="00913D65">
        <w:trPr>
          <w:trHeight w:val="858"/>
          <w:tblHeader/>
        </w:trPr>
        <w:tc>
          <w:tcPr>
            <w:tcW w:w="203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46F00661" w14:textId="77777777" w:rsidR="00F95AF6" w:rsidRPr="00345687" w:rsidRDefault="00F95AF6" w:rsidP="009746A6">
            <w:pPr>
              <w:pStyle w:val="Tableheadertext"/>
              <w:keepNext w:val="0"/>
            </w:pPr>
            <w:r w:rsidRPr="00345687">
              <w:t>MCM Question Number</w:t>
            </w:r>
          </w:p>
        </w:tc>
        <w:tc>
          <w:tcPr>
            <w:tcW w:w="108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01318F0F" w14:textId="77777777" w:rsidR="00F95AF6" w:rsidRPr="00345687" w:rsidRDefault="00F95AF6" w:rsidP="009746A6">
            <w:pPr>
              <w:pStyle w:val="Tableheadertext"/>
              <w:keepNext w:val="0"/>
            </w:pPr>
            <w:r w:rsidRPr="00345687">
              <w:t>Structure Type</w:t>
            </w:r>
          </w:p>
        </w:tc>
        <w:tc>
          <w:tcPr>
            <w:tcW w:w="99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6549E16D" w14:textId="77777777" w:rsidR="00F95AF6" w:rsidRPr="00345687" w:rsidRDefault="00F95AF6" w:rsidP="009746A6">
            <w:pPr>
              <w:pStyle w:val="Tableheadertext"/>
              <w:keepNext w:val="0"/>
            </w:pPr>
            <w:r w:rsidRPr="00345687">
              <w:t>Question part</w:t>
            </w:r>
          </w:p>
        </w:tc>
        <w:tc>
          <w:tcPr>
            <w:tcW w:w="2485" w:type="dxa"/>
            <w:tcBorders>
              <w:top w:val="nil"/>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5E5A0E87" w14:textId="77777777" w:rsidR="00F95AF6" w:rsidRPr="00345687" w:rsidRDefault="00F95AF6" w:rsidP="009746A6">
            <w:pPr>
              <w:pStyle w:val="Tableheadertext"/>
              <w:keepNext w:val="0"/>
            </w:pPr>
            <w:r w:rsidRPr="00345687">
              <w:t>Description</w:t>
            </w:r>
          </w:p>
        </w:tc>
        <w:tc>
          <w:tcPr>
            <w:tcW w:w="966" w:type="dxa"/>
            <w:tcBorders>
              <w:top w:val="nil"/>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3FEC46FB" w14:textId="77777777" w:rsidR="00F95AF6" w:rsidRPr="00345687" w:rsidRDefault="00F95AF6" w:rsidP="009746A6">
            <w:pPr>
              <w:pStyle w:val="Tableheadertext"/>
              <w:keepNext w:val="0"/>
            </w:pPr>
            <w:r w:rsidRPr="00345687">
              <w:t>Weight</w:t>
            </w:r>
          </w:p>
        </w:tc>
        <w:tc>
          <w:tcPr>
            <w:tcW w:w="104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666BE146" w14:textId="77777777" w:rsidR="00F95AF6" w:rsidRPr="00345687" w:rsidRDefault="00F95AF6" w:rsidP="009746A6">
            <w:pPr>
              <w:pStyle w:val="Tableheadertext"/>
              <w:keepNext w:val="0"/>
            </w:pPr>
            <w:r w:rsidRPr="00345687">
              <w:t>Sub-Score topic</w:t>
            </w:r>
          </w:p>
        </w:tc>
        <w:tc>
          <w:tcPr>
            <w:tcW w:w="995" w:type="dxa"/>
            <w:tcBorders>
              <w:left w:val="single" w:sz="4" w:space="0" w:color="FFFFFF" w:themeColor="background1"/>
              <w:bottom w:val="single" w:sz="4" w:space="0" w:color="FFFFFF" w:themeColor="background1"/>
            </w:tcBorders>
            <w:shd w:val="clear" w:color="auto" w:fill="005CAF" w:themeFill="accent1"/>
          </w:tcPr>
          <w:p w14:paraId="53AE2F51" w14:textId="77777777" w:rsidR="00F95AF6" w:rsidRPr="00345687" w:rsidRDefault="00F95AF6" w:rsidP="009746A6">
            <w:pPr>
              <w:pStyle w:val="Tableheadertext"/>
              <w:keepNext w:val="0"/>
            </w:pPr>
            <w:r w:rsidRPr="00345687">
              <w:t xml:space="preserve">Question Score </w:t>
            </w:r>
          </w:p>
        </w:tc>
      </w:tr>
      <w:tr w:rsidR="00F95AF6" w:rsidRPr="001C28F5" w14:paraId="62F928A7" w14:textId="77777777" w:rsidTr="00913D65">
        <w:trPr>
          <w:trHeight w:val="20"/>
        </w:trPr>
        <w:tc>
          <w:tcPr>
            <w:tcW w:w="2037" w:type="dxa"/>
            <w:vMerge w:val="restart"/>
            <w:tcBorders>
              <w:top w:val="single" w:sz="4" w:space="0" w:color="FFFFFF" w:themeColor="background1"/>
            </w:tcBorders>
          </w:tcPr>
          <w:p w14:paraId="083FBA95" w14:textId="77777777" w:rsidR="00F95AF6" w:rsidRPr="001C28F5" w:rsidRDefault="00F95AF6" w:rsidP="009746A6">
            <w:pPr>
              <w:pStyle w:val="Tablebodytext"/>
              <w:keepNext w:val="0"/>
              <w:keepLines w:val="0"/>
              <w:rPr>
                <w:lang w:eastAsia="en-AU"/>
              </w:rPr>
            </w:pPr>
            <w:r w:rsidRPr="001C28F5">
              <w:rPr>
                <w:lang w:eastAsia="en-AU"/>
              </w:rPr>
              <w:t xml:space="preserve">10. During the year ended 30 June 2016, how many Key Performance Indicators were monitored by this business? </w:t>
            </w:r>
          </w:p>
          <w:p w14:paraId="0FE5A226" w14:textId="77777777" w:rsidR="00F95AF6" w:rsidRPr="001C28F5" w:rsidRDefault="00F95AF6" w:rsidP="009746A6">
            <w:pPr>
              <w:pStyle w:val="Tablebodytext"/>
              <w:keepNext w:val="0"/>
              <w:keepLines w:val="0"/>
              <w:rPr>
                <w:lang w:eastAsia="en-AU"/>
              </w:rPr>
            </w:pPr>
          </w:p>
        </w:tc>
        <w:tc>
          <w:tcPr>
            <w:tcW w:w="1082" w:type="dxa"/>
            <w:vMerge w:val="restart"/>
            <w:tcBorders>
              <w:top w:val="single" w:sz="4" w:space="0" w:color="FFFFFF" w:themeColor="background1"/>
            </w:tcBorders>
          </w:tcPr>
          <w:p w14:paraId="778A523C" w14:textId="77777777" w:rsidR="00F95AF6" w:rsidRPr="001C28F5" w:rsidRDefault="00F95AF6" w:rsidP="009746A6">
            <w:pPr>
              <w:pStyle w:val="Tablebodytext"/>
              <w:keepNext w:val="0"/>
              <w:keepLines w:val="0"/>
              <w:rPr>
                <w:lang w:eastAsia="en-AU"/>
              </w:rPr>
            </w:pPr>
            <w:r w:rsidRPr="001C28F5">
              <w:rPr>
                <w:lang w:eastAsia="en-AU"/>
              </w:rPr>
              <w:t>Scaled</w:t>
            </w:r>
          </w:p>
          <w:p w14:paraId="1081BE1D" w14:textId="77777777" w:rsidR="00F95AF6" w:rsidRPr="001C28F5" w:rsidRDefault="00F95AF6" w:rsidP="009746A6">
            <w:pPr>
              <w:pStyle w:val="Tablebodytext"/>
              <w:keepNext w:val="0"/>
              <w:keepLines w:val="0"/>
              <w:rPr>
                <w:lang w:eastAsia="en-AU"/>
              </w:rPr>
            </w:pPr>
          </w:p>
        </w:tc>
        <w:tc>
          <w:tcPr>
            <w:tcW w:w="992" w:type="dxa"/>
            <w:tcBorders>
              <w:top w:val="single" w:sz="4" w:space="0" w:color="FFFFFF" w:themeColor="background1"/>
            </w:tcBorders>
          </w:tcPr>
          <w:p w14:paraId="5C670AD1"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Borders>
              <w:top w:val="single" w:sz="4" w:space="0" w:color="FFFFFF" w:themeColor="background1"/>
            </w:tcBorders>
          </w:tcPr>
          <w:p w14:paraId="7816DB2D" w14:textId="77777777" w:rsidR="00F95AF6" w:rsidRPr="001C28F5" w:rsidRDefault="00F95AF6" w:rsidP="009746A6">
            <w:pPr>
              <w:pStyle w:val="Tablebodytext"/>
              <w:keepNext w:val="0"/>
              <w:keepLines w:val="0"/>
              <w:rPr>
                <w:lang w:eastAsia="en-AU"/>
              </w:rPr>
            </w:pPr>
            <w:r w:rsidRPr="001C28F5">
              <w:rPr>
                <w:lang w:eastAsia="en-AU"/>
              </w:rPr>
              <w:t>1 or 2</w:t>
            </w:r>
          </w:p>
        </w:tc>
        <w:tc>
          <w:tcPr>
            <w:tcW w:w="966" w:type="dxa"/>
            <w:tcBorders>
              <w:top w:val="single" w:sz="4" w:space="0" w:color="FFFFFF" w:themeColor="background1"/>
            </w:tcBorders>
          </w:tcPr>
          <w:p w14:paraId="1FE332BA"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val="restart"/>
            <w:tcBorders>
              <w:top w:val="single" w:sz="4" w:space="0" w:color="FFFFFF" w:themeColor="background1"/>
            </w:tcBorders>
          </w:tcPr>
          <w:p w14:paraId="6A1DDA44" w14:textId="77777777" w:rsidR="00F95AF6" w:rsidRPr="001C28F5" w:rsidRDefault="00F95AF6" w:rsidP="009746A6">
            <w:pPr>
              <w:pStyle w:val="Tablebodytext"/>
              <w:keepNext w:val="0"/>
              <w:keepLines w:val="0"/>
              <w:rPr>
                <w:lang w:eastAsia="en-AU"/>
              </w:rPr>
            </w:pPr>
            <w:r w:rsidRPr="001C28F5">
              <w:rPr>
                <w:lang w:eastAsia="en-AU"/>
              </w:rPr>
              <w:t>Monitoring</w:t>
            </w:r>
          </w:p>
        </w:tc>
        <w:tc>
          <w:tcPr>
            <w:tcW w:w="995" w:type="dxa"/>
            <w:vMerge w:val="restart"/>
            <w:tcBorders>
              <w:top w:val="single" w:sz="4" w:space="0" w:color="FFFFFF" w:themeColor="background1"/>
            </w:tcBorders>
          </w:tcPr>
          <w:p w14:paraId="164B5499" w14:textId="77777777" w:rsidR="00F95AF6" w:rsidRPr="001C28F5" w:rsidRDefault="00F95AF6" w:rsidP="009746A6">
            <w:pPr>
              <w:pStyle w:val="Tablebodytext"/>
              <w:keepNext w:val="0"/>
              <w:keepLines w:val="0"/>
              <w:rPr>
                <w:lang w:eastAsia="en-AU"/>
              </w:rPr>
            </w:pPr>
            <w:r w:rsidRPr="001C28F5">
              <w:rPr>
                <w:lang w:eastAsia="en-AU"/>
              </w:rPr>
              <w:t>0.334</w:t>
            </w:r>
          </w:p>
        </w:tc>
      </w:tr>
      <w:tr w:rsidR="00F95AF6" w:rsidRPr="001C28F5" w14:paraId="052EA4F0" w14:textId="77777777" w:rsidTr="001371EB">
        <w:trPr>
          <w:trHeight w:val="320"/>
        </w:trPr>
        <w:tc>
          <w:tcPr>
            <w:tcW w:w="2037" w:type="dxa"/>
            <w:vMerge/>
          </w:tcPr>
          <w:p w14:paraId="0B997BEB" w14:textId="77777777" w:rsidR="00F95AF6" w:rsidRPr="001C28F5" w:rsidRDefault="00F95AF6" w:rsidP="009746A6">
            <w:pPr>
              <w:pStyle w:val="Tablebodytext"/>
              <w:keepNext w:val="0"/>
              <w:keepLines w:val="0"/>
              <w:rPr>
                <w:lang w:eastAsia="en-AU"/>
              </w:rPr>
            </w:pPr>
          </w:p>
        </w:tc>
        <w:tc>
          <w:tcPr>
            <w:tcW w:w="1082" w:type="dxa"/>
            <w:vMerge/>
          </w:tcPr>
          <w:p w14:paraId="1A339368" w14:textId="77777777" w:rsidR="00F95AF6" w:rsidRPr="001C28F5" w:rsidRDefault="00F95AF6" w:rsidP="009746A6">
            <w:pPr>
              <w:pStyle w:val="Tablebodytext"/>
              <w:keepNext w:val="0"/>
              <w:keepLines w:val="0"/>
              <w:rPr>
                <w:lang w:eastAsia="en-AU"/>
              </w:rPr>
            </w:pPr>
          </w:p>
        </w:tc>
        <w:tc>
          <w:tcPr>
            <w:tcW w:w="992" w:type="dxa"/>
          </w:tcPr>
          <w:p w14:paraId="47AAB6A0"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7B2CFAA7" w14:textId="77777777" w:rsidR="00F95AF6" w:rsidRPr="001C28F5" w:rsidRDefault="00F95AF6" w:rsidP="009746A6">
            <w:pPr>
              <w:pStyle w:val="Tablebodytext"/>
              <w:keepNext w:val="0"/>
              <w:keepLines w:val="0"/>
              <w:rPr>
                <w:lang w:eastAsia="en-AU"/>
              </w:rPr>
            </w:pPr>
            <w:r w:rsidRPr="001C28F5">
              <w:rPr>
                <w:lang w:eastAsia="en-AU"/>
              </w:rPr>
              <w:t>3 to 5</w:t>
            </w:r>
          </w:p>
        </w:tc>
        <w:tc>
          <w:tcPr>
            <w:tcW w:w="966" w:type="dxa"/>
          </w:tcPr>
          <w:p w14:paraId="0798D367" w14:textId="77777777" w:rsidR="00F95AF6" w:rsidRPr="001C28F5" w:rsidRDefault="00F95AF6" w:rsidP="009746A6">
            <w:pPr>
              <w:pStyle w:val="Tablebodytext"/>
              <w:keepNext w:val="0"/>
              <w:keepLines w:val="0"/>
              <w:rPr>
                <w:lang w:eastAsia="en-AU"/>
              </w:rPr>
            </w:pPr>
            <w:r w:rsidRPr="001C28F5">
              <w:rPr>
                <w:lang w:eastAsia="en-AU"/>
              </w:rPr>
              <w:t>2/4</w:t>
            </w:r>
          </w:p>
        </w:tc>
        <w:tc>
          <w:tcPr>
            <w:tcW w:w="1043" w:type="dxa"/>
            <w:vMerge/>
          </w:tcPr>
          <w:p w14:paraId="0CF2DE47" w14:textId="77777777" w:rsidR="00F95AF6" w:rsidRPr="001C28F5" w:rsidRDefault="00F95AF6" w:rsidP="009746A6">
            <w:pPr>
              <w:pStyle w:val="Tablebodytext"/>
              <w:keepNext w:val="0"/>
              <w:keepLines w:val="0"/>
              <w:rPr>
                <w:lang w:eastAsia="en-AU"/>
              </w:rPr>
            </w:pPr>
          </w:p>
        </w:tc>
        <w:tc>
          <w:tcPr>
            <w:tcW w:w="995" w:type="dxa"/>
            <w:vMerge/>
          </w:tcPr>
          <w:p w14:paraId="5C4604AF" w14:textId="77777777" w:rsidR="00F95AF6" w:rsidRPr="001C28F5" w:rsidRDefault="00F95AF6" w:rsidP="009746A6">
            <w:pPr>
              <w:pStyle w:val="Tablebodytext"/>
              <w:keepNext w:val="0"/>
              <w:keepLines w:val="0"/>
              <w:rPr>
                <w:lang w:eastAsia="en-AU"/>
              </w:rPr>
            </w:pPr>
          </w:p>
        </w:tc>
      </w:tr>
      <w:tr w:rsidR="00F95AF6" w:rsidRPr="001C28F5" w14:paraId="5EAF5AA2" w14:textId="77777777" w:rsidTr="001371EB">
        <w:trPr>
          <w:trHeight w:val="320"/>
        </w:trPr>
        <w:tc>
          <w:tcPr>
            <w:tcW w:w="2037" w:type="dxa"/>
            <w:vMerge/>
          </w:tcPr>
          <w:p w14:paraId="697A4C39" w14:textId="77777777" w:rsidR="00F95AF6" w:rsidRPr="001C28F5" w:rsidRDefault="00F95AF6" w:rsidP="009746A6">
            <w:pPr>
              <w:pStyle w:val="Tablebodytext"/>
              <w:keepNext w:val="0"/>
              <w:keepLines w:val="0"/>
              <w:rPr>
                <w:lang w:eastAsia="en-AU"/>
              </w:rPr>
            </w:pPr>
          </w:p>
        </w:tc>
        <w:tc>
          <w:tcPr>
            <w:tcW w:w="1082" w:type="dxa"/>
            <w:vMerge/>
          </w:tcPr>
          <w:p w14:paraId="13CB1A06" w14:textId="77777777" w:rsidR="00F95AF6" w:rsidRPr="001C28F5" w:rsidRDefault="00F95AF6" w:rsidP="009746A6">
            <w:pPr>
              <w:pStyle w:val="Tablebodytext"/>
              <w:keepNext w:val="0"/>
              <w:keepLines w:val="0"/>
              <w:rPr>
                <w:lang w:eastAsia="en-AU"/>
              </w:rPr>
            </w:pPr>
          </w:p>
        </w:tc>
        <w:tc>
          <w:tcPr>
            <w:tcW w:w="992" w:type="dxa"/>
          </w:tcPr>
          <w:p w14:paraId="71B2208F"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5997F99F" w14:textId="77777777" w:rsidR="00F95AF6" w:rsidRPr="001C28F5" w:rsidRDefault="00F95AF6" w:rsidP="009746A6">
            <w:pPr>
              <w:pStyle w:val="Tablebodytext"/>
              <w:keepNext w:val="0"/>
              <w:keepLines w:val="0"/>
              <w:rPr>
                <w:lang w:eastAsia="en-AU"/>
              </w:rPr>
            </w:pPr>
            <w:r w:rsidRPr="001C28F5">
              <w:rPr>
                <w:lang w:eastAsia="en-AU"/>
              </w:rPr>
              <w:t>6 to 9</w:t>
            </w:r>
          </w:p>
        </w:tc>
        <w:tc>
          <w:tcPr>
            <w:tcW w:w="966" w:type="dxa"/>
          </w:tcPr>
          <w:p w14:paraId="3650235A" w14:textId="77777777" w:rsidR="00F95AF6" w:rsidRPr="001C28F5" w:rsidRDefault="00F95AF6" w:rsidP="009746A6">
            <w:pPr>
              <w:pStyle w:val="Tablebodytext"/>
              <w:keepNext w:val="0"/>
              <w:keepLines w:val="0"/>
              <w:rPr>
                <w:lang w:eastAsia="en-AU"/>
              </w:rPr>
            </w:pPr>
            <w:r w:rsidRPr="001C28F5">
              <w:rPr>
                <w:lang w:eastAsia="en-AU"/>
              </w:rPr>
              <w:t>3/4</w:t>
            </w:r>
          </w:p>
        </w:tc>
        <w:tc>
          <w:tcPr>
            <w:tcW w:w="1043" w:type="dxa"/>
            <w:vMerge/>
          </w:tcPr>
          <w:p w14:paraId="3B68FE53" w14:textId="77777777" w:rsidR="00F95AF6" w:rsidRPr="001C28F5" w:rsidRDefault="00F95AF6" w:rsidP="009746A6">
            <w:pPr>
              <w:pStyle w:val="Tablebodytext"/>
              <w:keepNext w:val="0"/>
              <w:keepLines w:val="0"/>
              <w:rPr>
                <w:lang w:eastAsia="en-AU"/>
              </w:rPr>
            </w:pPr>
          </w:p>
        </w:tc>
        <w:tc>
          <w:tcPr>
            <w:tcW w:w="995" w:type="dxa"/>
            <w:vMerge/>
          </w:tcPr>
          <w:p w14:paraId="45F18CB2" w14:textId="77777777" w:rsidR="00F95AF6" w:rsidRPr="001C28F5" w:rsidRDefault="00F95AF6" w:rsidP="009746A6">
            <w:pPr>
              <w:pStyle w:val="Tablebodytext"/>
              <w:keepNext w:val="0"/>
              <w:keepLines w:val="0"/>
              <w:rPr>
                <w:lang w:eastAsia="en-AU"/>
              </w:rPr>
            </w:pPr>
          </w:p>
        </w:tc>
      </w:tr>
      <w:tr w:rsidR="00F95AF6" w:rsidRPr="001C28F5" w14:paraId="3860F9EF" w14:textId="77777777" w:rsidTr="001371EB">
        <w:trPr>
          <w:trHeight w:val="320"/>
        </w:trPr>
        <w:tc>
          <w:tcPr>
            <w:tcW w:w="2037" w:type="dxa"/>
            <w:vMerge/>
          </w:tcPr>
          <w:p w14:paraId="0834EE1E" w14:textId="77777777" w:rsidR="00F95AF6" w:rsidRPr="001C28F5" w:rsidRDefault="00F95AF6" w:rsidP="009746A6">
            <w:pPr>
              <w:pStyle w:val="Tablebodytext"/>
              <w:keepNext w:val="0"/>
              <w:keepLines w:val="0"/>
              <w:rPr>
                <w:lang w:eastAsia="en-AU"/>
              </w:rPr>
            </w:pPr>
          </w:p>
        </w:tc>
        <w:tc>
          <w:tcPr>
            <w:tcW w:w="1082" w:type="dxa"/>
            <w:vMerge/>
          </w:tcPr>
          <w:p w14:paraId="719FB2A3" w14:textId="77777777" w:rsidR="00F95AF6" w:rsidRPr="001C28F5" w:rsidRDefault="00F95AF6" w:rsidP="009746A6">
            <w:pPr>
              <w:pStyle w:val="Tablebodytext"/>
              <w:keepNext w:val="0"/>
              <w:keepLines w:val="0"/>
              <w:rPr>
                <w:lang w:eastAsia="en-AU"/>
              </w:rPr>
            </w:pPr>
          </w:p>
        </w:tc>
        <w:tc>
          <w:tcPr>
            <w:tcW w:w="992" w:type="dxa"/>
          </w:tcPr>
          <w:p w14:paraId="16950AD5"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6ECD4B58" w14:textId="77777777" w:rsidR="00F95AF6" w:rsidRPr="001C28F5" w:rsidRDefault="00F95AF6" w:rsidP="009746A6">
            <w:pPr>
              <w:pStyle w:val="Tablebodytext"/>
              <w:keepNext w:val="0"/>
              <w:keepLines w:val="0"/>
              <w:rPr>
                <w:lang w:eastAsia="en-AU"/>
              </w:rPr>
            </w:pPr>
            <w:r w:rsidRPr="001C28F5">
              <w:rPr>
                <w:lang w:eastAsia="en-AU"/>
              </w:rPr>
              <w:t>10 or more</w:t>
            </w:r>
          </w:p>
        </w:tc>
        <w:tc>
          <w:tcPr>
            <w:tcW w:w="966" w:type="dxa"/>
          </w:tcPr>
          <w:p w14:paraId="54D05120"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56C510AA" w14:textId="77777777" w:rsidR="00F95AF6" w:rsidRPr="001C28F5" w:rsidRDefault="00F95AF6" w:rsidP="009746A6">
            <w:pPr>
              <w:pStyle w:val="Tablebodytext"/>
              <w:keepNext w:val="0"/>
              <w:keepLines w:val="0"/>
              <w:rPr>
                <w:lang w:eastAsia="en-AU"/>
              </w:rPr>
            </w:pPr>
          </w:p>
        </w:tc>
        <w:tc>
          <w:tcPr>
            <w:tcW w:w="995" w:type="dxa"/>
            <w:vMerge/>
          </w:tcPr>
          <w:p w14:paraId="611D3401" w14:textId="77777777" w:rsidR="00F95AF6" w:rsidRPr="001C28F5" w:rsidRDefault="00F95AF6" w:rsidP="009746A6">
            <w:pPr>
              <w:pStyle w:val="Tablebodytext"/>
              <w:keepNext w:val="0"/>
              <w:keepLines w:val="0"/>
              <w:rPr>
                <w:lang w:eastAsia="en-AU"/>
              </w:rPr>
            </w:pPr>
          </w:p>
        </w:tc>
      </w:tr>
      <w:tr w:rsidR="00F95AF6" w:rsidRPr="001C28F5" w14:paraId="273CBD68" w14:textId="77777777" w:rsidTr="001371EB">
        <w:trPr>
          <w:trHeight w:val="320"/>
        </w:trPr>
        <w:tc>
          <w:tcPr>
            <w:tcW w:w="2037" w:type="dxa"/>
            <w:vMerge/>
          </w:tcPr>
          <w:p w14:paraId="7B610B0E" w14:textId="77777777" w:rsidR="00F95AF6" w:rsidRPr="001C28F5" w:rsidRDefault="00F95AF6" w:rsidP="009746A6">
            <w:pPr>
              <w:pStyle w:val="Tablebodytext"/>
              <w:keepNext w:val="0"/>
              <w:keepLines w:val="0"/>
              <w:rPr>
                <w:lang w:eastAsia="en-AU"/>
              </w:rPr>
            </w:pPr>
          </w:p>
        </w:tc>
        <w:tc>
          <w:tcPr>
            <w:tcW w:w="1082" w:type="dxa"/>
            <w:vMerge/>
          </w:tcPr>
          <w:p w14:paraId="54F211FE" w14:textId="77777777" w:rsidR="00F95AF6" w:rsidRPr="001C28F5" w:rsidRDefault="00F95AF6" w:rsidP="009746A6">
            <w:pPr>
              <w:pStyle w:val="Tablebodytext"/>
              <w:keepNext w:val="0"/>
              <w:keepLines w:val="0"/>
              <w:rPr>
                <w:lang w:eastAsia="en-AU"/>
              </w:rPr>
            </w:pPr>
          </w:p>
        </w:tc>
        <w:tc>
          <w:tcPr>
            <w:tcW w:w="992" w:type="dxa"/>
          </w:tcPr>
          <w:p w14:paraId="65A92B7E"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25F66208" w14:textId="77777777" w:rsidR="00F95AF6" w:rsidRPr="001C28F5" w:rsidRDefault="00F95AF6" w:rsidP="009746A6">
            <w:pPr>
              <w:pStyle w:val="Tablebodytext"/>
              <w:keepNext w:val="0"/>
              <w:keepLines w:val="0"/>
              <w:rPr>
                <w:lang w:eastAsia="en-AU"/>
              </w:rPr>
            </w:pPr>
            <w:r w:rsidRPr="001C28F5">
              <w:rPr>
                <w:lang w:eastAsia="en-AU"/>
              </w:rPr>
              <w:t>Don't know</w:t>
            </w:r>
          </w:p>
        </w:tc>
        <w:tc>
          <w:tcPr>
            <w:tcW w:w="966" w:type="dxa"/>
          </w:tcPr>
          <w:p w14:paraId="781B9DE7"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56858E51" w14:textId="77777777" w:rsidR="00F95AF6" w:rsidRPr="001C28F5" w:rsidRDefault="00F95AF6" w:rsidP="009746A6">
            <w:pPr>
              <w:pStyle w:val="Tablebodytext"/>
              <w:keepNext w:val="0"/>
              <w:keepLines w:val="0"/>
              <w:rPr>
                <w:lang w:eastAsia="en-AU"/>
              </w:rPr>
            </w:pPr>
          </w:p>
        </w:tc>
        <w:tc>
          <w:tcPr>
            <w:tcW w:w="995" w:type="dxa"/>
            <w:vMerge/>
          </w:tcPr>
          <w:p w14:paraId="5CB1ACBD" w14:textId="77777777" w:rsidR="00F95AF6" w:rsidRPr="001C28F5" w:rsidRDefault="00F95AF6" w:rsidP="009746A6">
            <w:pPr>
              <w:pStyle w:val="Tablebodytext"/>
              <w:keepNext w:val="0"/>
              <w:keepLines w:val="0"/>
              <w:rPr>
                <w:lang w:eastAsia="en-AU"/>
              </w:rPr>
            </w:pPr>
          </w:p>
        </w:tc>
      </w:tr>
      <w:tr w:rsidR="00F95AF6" w:rsidRPr="001C28F5" w14:paraId="71B3CEFF" w14:textId="77777777" w:rsidTr="001371EB">
        <w:trPr>
          <w:trHeight w:val="320"/>
        </w:trPr>
        <w:tc>
          <w:tcPr>
            <w:tcW w:w="2037" w:type="dxa"/>
            <w:vMerge/>
          </w:tcPr>
          <w:p w14:paraId="603B0417" w14:textId="77777777" w:rsidR="00F95AF6" w:rsidRPr="001C28F5" w:rsidRDefault="00F95AF6" w:rsidP="009746A6">
            <w:pPr>
              <w:pStyle w:val="Tablebodytext"/>
              <w:keepNext w:val="0"/>
              <w:keepLines w:val="0"/>
              <w:rPr>
                <w:lang w:eastAsia="en-AU"/>
              </w:rPr>
            </w:pPr>
          </w:p>
        </w:tc>
        <w:tc>
          <w:tcPr>
            <w:tcW w:w="1082" w:type="dxa"/>
            <w:vMerge/>
          </w:tcPr>
          <w:p w14:paraId="5318C0DE" w14:textId="77777777" w:rsidR="00F95AF6" w:rsidRPr="001C28F5" w:rsidRDefault="00F95AF6" w:rsidP="009746A6">
            <w:pPr>
              <w:pStyle w:val="Tablebodytext"/>
              <w:keepNext w:val="0"/>
              <w:keepLines w:val="0"/>
              <w:rPr>
                <w:lang w:eastAsia="en-AU"/>
              </w:rPr>
            </w:pPr>
          </w:p>
        </w:tc>
        <w:tc>
          <w:tcPr>
            <w:tcW w:w="992" w:type="dxa"/>
          </w:tcPr>
          <w:p w14:paraId="77ABEEAB"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19F01726" w14:textId="77777777" w:rsidR="00F95AF6" w:rsidRPr="001C28F5" w:rsidRDefault="00F95AF6" w:rsidP="009746A6">
            <w:pPr>
              <w:pStyle w:val="Tablebodytext"/>
              <w:keepNext w:val="0"/>
              <w:keepLines w:val="0"/>
              <w:rPr>
                <w:lang w:eastAsia="en-AU"/>
              </w:rPr>
            </w:pPr>
            <w:r w:rsidRPr="001C28F5">
              <w:rPr>
                <w:lang w:eastAsia="en-AU"/>
              </w:rPr>
              <w:t>No Key Performance indicators monitored</w:t>
            </w:r>
          </w:p>
        </w:tc>
        <w:tc>
          <w:tcPr>
            <w:tcW w:w="966" w:type="dxa"/>
          </w:tcPr>
          <w:p w14:paraId="2AB4DE8E"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77CAA794" w14:textId="77777777" w:rsidR="00F95AF6" w:rsidRPr="001C28F5" w:rsidRDefault="00F95AF6" w:rsidP="009746A6">
            <w:pPr>
              <w:pStyle w:val="Tablebodytext"/>
              <w:keepNext w:val="0"/>
              <w:keepLines w:val="0"/>
              <w:rPr>
                <w:lang w:eastAsia="en-AU"/>
              </w:rPr>
            </w:pPr>
          </w:p>
        </w:tc>
        <w:tc>
          <w:tcPr>
            <w:tcW w:w="995" w:type="dxa"/>
            <w:vMerge/>
          </w:tcPr>
          <w:p w14:paraId="348BC93C" w14:textId="77777777" w:rsidR="00F95AF6" w:rsidRPr="001C28F5" w:rsidRDefault="00F95AF6" w:rsidP="009746A6">
            <w:pPr>
              <w:pStyle w:val="Tablebodytext"/>
              <w:keepNext w:val="0"/>
              <w:keepLines w:val="0"/>
              <w:rPr>
                <w:lang w:eastAsia="en-AU"/>
              </w:rPr>
            </w:pPr>
          </w:p>
        </w:tc>
      </w:tr>
      <w:tr w:rsidR="00F95AF6" w:rsidRPr="001C28F5" w14:paraId="51F1AFE1" w14:textId="77777777" w:rsidTr="001371EB">
        <w:trPr>
          <w:trHeight w:val="260"/>
        </w:trPr>
        <w:tc>
          <w:tcPr>
            <w:tcW w:w="2037" w:type="dxa"/>
            <w:vMerge w:val="restart"/>
          </w:tcPr>
          <w:p w14:paraId="1A19026D" w14:textId="77777777" w:rsidR="00F95AF6" w:rsidRPr="001C28F5" w:rsidRDefault="00F95AF6" w:rsidP="009746A6">
            <w:pPr>
              <w:pStyle w:val="Tablebodytext"/>
              <w:keepNext w:val="0"/>
              <w:keepLines w:val="0"/>
              <w:rPr>
                <w:lang w:eastAsia="en-AU"/>
              </w:rPr>
            </w:pPr>
            <w:r w:rsidRPr="001C28F5">
              <w:rPr>
                <w:lang w:eastAsia="en-AU"/>
              </w:rPr>
              <w:t xml:space="preserve">11. What were the topics of focus for the Key Performance Indicators monitored by this business? </w:t>
            </w:r>
          </w:p>
        </w:tc>
        <w:tc>
          <w:tcPr>
            <w:tcW w:w="1082" w:type="dxa"/>
            <w:vMerge w:val="restart"/>
          </w:tcPr>
          <w:p w14:paraId="4C7ED7C1" w14:textId="77777777" w:rsidR="00F95AF6" w:rsidRPr="0064751A" w:rsidRDefault="00F95AF6" w:rsidP="009746A6">
            <w:pPr>
              <w:pStyle w:val="Tablebodytext"/>
              <w:keepNext w:val="0"/>
              <w:keepLines w:val="0"/>
              <w:rPr>
                <w:lang w:eastAsia="en-AU"/>
              </w:rPr>
            </w:pPr>
            <w:r w:rsidRPr="0064751A">
              <w:rPr>
                <w:lang w:eastAsia="en-AU"/>
              </w:rPr>
              <w:t>List</w:t>
            </w:r>
          </w:p>
        </w:tc>
        <w:tc>
          <w:tcPr>
            <w:tcW w:w="992" w:type="dxa"/>
          </w:tcPr>
          <w:p w14:paraId="3927DDE2"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4977E79D" w14:textId="77777777" w:rsidR="00F95AF6" w:rsidRPr="001C28F5" w:rsidRDefault="00F95AF6" w:rsidP="009746A6">
            <w:pPr>
              <w:pStyle w:val="Tablebodytext"/>
              <w:keepNext w:val="0"/>
              <w:keepLines w:val="0"/>
              <w:rPr>
                <w:lang w:eastAsia="en-AU"/>
              </w:rPr>
            </w:pPr>
            <w:r w:rsidRPr="001C28F5">
              <w:rPr>
                <w:lang w:eastAsia="en-AU"/>
              </w:rPr>
              <w:t>Financial measures</w:t>
            </w:r>
          </w:p>
        </w:tc>
        <w:tc>
          <w:tcPr>
            <w:tcW w:w="966" w:type="dxa"/>
          </w:tcPr>
          <w:p w14:paraId="17FD5AF0"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val="restart"/>
          </w:tcPr>
          <w:p w14:paraId="6D96680D" w14:textId="77777777" w:rsidR="00F95AF6" w:rsidRPr="001C28F5" w:rsidRDefault="00F95AF6" w:rsidP="009746A6">
            <w:pPr>
              <w:pStyle w:val="Tablebodytext"/>
              <w:keepNext w:val="0"/>
              <w:keepLines w:val="0"/>
              <w:rPr>
                <w:lang w:eastAsia="en-AU"/>
              </w:rPr>
            </w:pPr>
            <w:r w:rsidRPr="001C28F5">
              <w:rPr>
                <w:lang w:eastAsia="en-AU"/>
              </w:rPr>
              <w:t>Planning</w:t>
            </w:r>
          </w:p>
        </w:tc>
        <w:tc>
          <w:tcPr>
            <w:tcW w:w="995" w:type="dxa"/>
            <w:vMerge w:val="restart"/>
          </w:tcPr>
          <w:p w14:paraId="3E22A3C6" w14:textId="77777777" w:rsidR="00F95AF6" w:rsidRPr="001C28F5" w:rsidRDefault="00F95AF6" w:rsidP="009746A6">
            <w:pPr>
              <w:pStyle w:val="Tablebodytext"/>
              <w:keepNext w:val="0"/>
              <w:keepLines w:val="0"/>
              <w:rPr>
                <w:lang w:eastAsia="en-AU"/>
              </w:rPr>
            </w:pPr>
            <w:r w:rsidRPr="001C28F5">
              <w:rPr>
                <w:lang w:eastAsia="en-AU"/>
              </w:rPr>
              <w:t>0.284</w:t>
            </w:r>
          </w:p>
        </w:tc>
      </w:tr>
      <w:tr w:rsidR="00F95AF6" w:rsidRPr="001C28F5" w14:paraId="0B6E2F0B" w14:textId="77777777" w:rsidTr="001371EB">
        <w:trPr>
          <w:trHeight w:val="320"/>
        </w:trPr>
        <w:tc>
          <w:tcPr>
            <w:tcW w:w="2037" w:type="dxa"/>
            <w:vMerge/>
          </w:tcPr>
          <w:p w14:paraId="3FF5397C" w14:textId="77777777" w:rsidR="00F95AF6" w:rsidRPr="001C28F5" w:rsidRDefault="00F95AF6" w:rsidP="009746A6">
            <w:pPr>
              <w:pStyle w:val="Tablebodytext"/>
              <w:keepNext w:val="0"/>
              <w:keepLines w:val="0"/>
              <w:rPr>
                <w:lang w:eastAsia="en-AU"/>
              </w:rPr>
            </w:pPr>
          </w:p>
        </w:tc>
        <w:tc>
          <w:tcPr>
            <w:tcW w:w="1082" w:type="dxa"/>
            <w:vMerge/>
          </w:tcPr>
          <w:p w14:paraId="3DAB0F5B" w14:textId="77777777" w:rsidR="00F95AF6" w:rsidRPr="001C28F5" w:rsidRDefault="00F95AF6" w:rsidP="009746A6">
            <w:pPr>
              <w:pStyle w:val="Tablebodytext"/>
              <w:keepNext w:val="0"/>
              <w:keepLines w:val="0"/>
              <w:rPr>
                <w:lang w:eastAsia="en-AU"/>
              </w:rPr>
            </w:pPr>
          </w:p>
        </w:tc>
        <w:tc>
          <w:tcPr>
            <w:tcW w:w="992" w:type="dxa"/>
          </w:tcPr>
          <w:p w14:paraId="6678F092"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48B1FB10" w14:textId="77777777" w:rsidR="00F95AF6" w:rsidRPr="001C28F5" w:rsidRDefault="00F95AF6" w:rsidP="009746A6">
            <w:pPr>
              <w:pStyle w:val="Tablebodytext"/>
              <w:keepNext w:val="0"/>
              <w:keepLines w:val="0"/>
              <w:rPr>
                <w:lang w:eastAsia="en-AU"/>
              </w:rPr>
            </w:pPr>
            <w:r w:rsidRPr="001C28F5">
              <w:rPr>
                <w:lang w:eastAsia="en-AU"/>
              </w:rPr>
              <w:t>Operational measures</w:t>
            </w:r>
          </w:p>
        </w:tc>
        <w:tc>
          <w:tcPr>
            <w:tcW w:w="966" w:type="dxa"/>
          </w:tcPr>
          <w:p w14:paraId="6EF96F79"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72366CEA" w14:textId="77777777" w:rsidR="00F95AF6" w:rsidRPr="001C28F5" w:rsidRDefault="00F95AF6" w:rsidP="009746A6">
            <w:pPr>
              <w:pStyle w:val="Tablebodytext"/>
              <w:keepNext w:val="0"/>
              <w:keepLines w:val="0"/>
              <w:rPr>
                <w:lang w:eastAsia="en-AU"/>
              </w:rPr>
            </w:pPr>
          </w:p>
        </w:tc>
        <w:tc>
          <w:tcPr>
            <w:tcW w:w="995" w:type="dxa"/>
            <w:vMerge/>
          </w:tcPr>
          <w:p w14:paraId="2CFD45DE" w14:textId="77777777" w:rsidR="00F95AF6" w:rsidRPr="001C28F5" w:rsidRDefault="00F95AF6" w:rsidP="009746A6">
            <w:pPr>
              <w:pStyle w:val="Tablebodytext"/>
              <w:keepNext w:val="0"/>
              <w:keepLines w:val="0"/>
              <w:rPr>
                <w:lang w:eastAsia="en-AU"/>
              </w:rPr>
            </w:pPr>
          </w:p>
        </w:tc>
      </w:tr>
      <w:tr w:rsidR="00F95AF6" w:rsidRPr="001C28F5" w14:paraId="36F165FD" w14:textId="77777777" w:rsidTr="001371EB">
        <w:trPr>
          <w:trHeight w:val="320"/>
        </w:trPr>
        <w:tc>
          <w:tcPr>
            <w:tcW w:w="2037" w:type="dxa"/>
            <w:vMerge/>
          </w:tcPr>
          <w:p w14:paraId="1D0F60DC" w14:textId="77777777" w:rsidR="00F95AF6" w:rsidRPr="001C28F5" w:rsidRDefault="00F95AF6" w:rsidP="009746A6">
            <w:pPr>
              <w:pStyle w:val="Tablebodytext"/>
              <w:keepNext w:val="0"/>
              <w:keepLines w:val="0"/>
              <w:rPr>
                <w:lang w:eastAsia="en-AU"/>
              </w:rPr>
            </w:pPr>
          </w:p>
        </w:tc>
        <w:tc>
          <w:tcPr>
            <w:tcW w:w="1082" w:type="dxa"/>
            <w:vMerge/>
          </w:tcPr>
          <w:p w14:paraId="7203A3AC" w14:textId="77777777" w:rsidR="00F95AF6" w:rsidRPr="001C28F5" w:rsidRDefault="00F95AF6" w:rsidP="009746A6">
            <w:pPr>
              <w:pStyle w:val="Tablebodytext"/>
              <w:keepNext w:val="0"/>
              <w:keepLines w:val="0"/>
              <w:rPr>
                <w:lang w:eastAsia="en-AU"/>
              </w:rPr>
            </w:pPr>
          </w:p>
        </w:tc>
        <w:tc>
          <w:tcPr>
            <w:tcW w:w="992" w:type="dxa"/>
          </w:tcPr>
          <w:p w14:paraId="10AAEFD4"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08BF52B0" w14:textId="77777777" w:rsidR="00F95AF6" w:rsidRPr="001C28F5" w:rsidRDefault="00F95AF6" w:rsidP="009746A6">
            <w:pPr>
              <w:pStyle w:val="Tablebodytext"/>
              <w:keepNext w:val="0"/>
              <w:keepLines w:val="0"/>
              <w:rPr>
                <w:lang w:eastAsia="en-AU"/>
              </w:rPr>
            </w:pPr>
            <w:r w:rsidRPr="001C28F5">
              <w:rPr>
                <w:lang w:eastAsia="en-AU"/>
              </w:rPr>
              <w:t>Quality measures</w:t>
            </w:r>
          </w:p>
        </w:tc>
        <w:tc>
          <w:tcPr>
            <w:tcW w:w="966" w:type="dxa"/>
          </w:tcPr>
          <w:p w14:paraId="2ED3E608"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122C8E4F" w14:textId="77777777" w:rsidR="00F95AF6" w:rsidRPr="001C28F5" w:rsidRDefault="00F95AF6" w:rsidP="009746A6">
            <w:pPr>
              <w:pStyle w:val="Tablebodytext"/>
              <w:keepNext w:val="0"/>
              <w:keepLines w:val="0"/>
              <w:rPr>
                <w:lang w:eastAsia="en-AU"/>
              </w:rPr>
            </w:pPr>
          </w:p>
        </w:tc>
        <w:tc>
          <w:tcPr>
            <w:tcW w:w="995" w:type="dxa"/>
            <w:vMerge/>
          </w:tcPr>
          <w:p w14:paraId="525C3887" w14:textId="77777777" w:rsidR="00F95AF6" w:rsidRPr="001C28F5" w:rsidRDefault="00F95AF6" w:rsidP="009746A6">
            <w:pPr>
              <w:pStyle w:val="Tablebodytext"/>
              <w:keepNext w:val="0"/>
              <w:keepLines w:val="0"/>
              <w:rPr>
                <w:lang w:eastAsia="en-AU"/>
              </w:rPr>
            </w:pPr>
          </w:p>
        </w:tc>
      </w:tr>
      <w:tr w:rsidR="00F95AF6" w:rsidRPr="001C28F5" w14:paraId="037B2CF1" w14:textId="77777777" w:rsidTr="001371EB">
        <w:trPr>
          <w:trHeight w:val="320"/>
        </w:trPr>
        <w:tc>
          <w:tcPr>
            <w:tcW w:w="2037" w:type="dxa"/>
            <w:vMerge/>
          </w:tcPr>
          <w:p w14:paraId="65E277AB" w14:textId="77777777" w:rsidR="00F95AF6" w:rsidRPr="001C28F5" w:rsidRDefault="00F95AF6" w:rsidP="009746A6">
            <w:pPr>
              <w:pStyle w:val="Tablebodytext"/>
              <w:keepNext w:val="0"/>
              <w:keepLines w:val="0"/>
              <w:rPr>
                <w:lang w:eastAsia="en-AU"/>
              </w:rPr>
            </w:pPr>
          </w:p>
        </w:tc>
        <w:tc>
          <w:tcPr>
            <w:tcW w:w="1082" w:type="dxa"/>
            <w:vMerge/>
          </w:tcPr>
          <w:p w14:paraId="3C15D661" w14:textId="77777777" w:rsidR="00F95AF6" w:rsidRPr="001C28F5" w:rsidRDefault="00F95AF6" w:rsidP="009746A6">
            <w:pPr>
              <w:pStyle w:val="Tablebodytext"/>
              <w:keepNext w:val="0"/>
              <w:keepLines w:val="0"/>
              <w:rPr>
                <w:lang w:eastAsia="en-AU"/>
              </w:rPr>
            </w:pPr>
          </w:p>
        </w:tc>
        <w:tc>
          <w:tcPr>
            <w:tcW w:w="992" w:type="dxa"/>
          </w:tcPr>
          <w:p w14:paraId="2CCE195C"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79AFBB41" w14:textId="77777777" w:rsidR="00F95AF6" w:rsidRPr="001C28F5" w:rsidRDefault="00F95AF6" w:rsidP="009746A6">
            <w:pPr>
              <w:pStyle w:val="Tablebodytext"/>
              <w:keepNext w:val="0"/>
              <w:keepLines w:val="0"/>
              <w:rPr>
                <w:lang w:eastAsia="en-AU"/>
              </w:rPr>
            </w:pPr>
            <w:r w:rsidRPr="001C28F5">
              <w:rPr>
                <w:lang w:eastAsia="en-AU"/>
              </w:rPr>
              <w:t>Innovation measures</w:t>
            </w:r>
          </w:p>
        </w:tc>
        <w:tc>
          <w:tcPr>
            <w:tcW w:w="966" w:type="dxa"/>
          </w:tcPr>
          <w:p w14:paraId="65AFAED6"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1FD33C42" w14:textId="77777777" w:rsidR="00F95AF6" w:rsidRPr="001C28F5" w:rsidRDefault="00F95AF6" w:rsidP="009746A6">
            <w:pPr>
              <w:pStyle w:val="Tablebodytext"/>
              <w:keepNext w:val="0"/>
              <w:keepLines w:val="0"/>
              <w:rPr>
                <w:lang w:eastAsia="en-AU"/>
              </w:rPr>
            </w:pPr>
          </w:p>
        </w:tc>
        <w:tc>
          <w:tcPr>
            <w:tcW w:w="995" w:type="dxa"/>
            <w:vMerge/>
          </w:tcPr>
          <w:p w14:paraId="05BB74C4" w14:textId="77777777" w:rsidR="00F95AF6" w:rsidRPr="001C28F5" w:rsidRDefault="00F95AF6" w:rsidP="009746A6">
            <w:pPr>
              <w:pStyle w:val="Tablebodytext"/>
              <w:keepNext w:val="0"/>
              <w:keepLines w:val="0"/>
              <w:rPr>
                <w:lang w:eastAsia="en-AU"/>
              </w:rPr>
            </w:pPr>
          </w:p>
        </w:tc>
      </w:tr>
      <w:tr w:rsidR="00F95AF6" w:rsidRPr="001C28F5" w14:paraId="49FC4623" w14:textId="77777777" w:rsidTr="001371EB">
        <w:trPr>
          <w:trHeight w:val="320"/>
        </w:trPr>
        <w:tc>
          <w:tcPr>
            <w:tcW w:w="2037" w:type="dxa"/>
            <w:vMerge/>
          </w:tcPr>
          <w:p w14:paraId="2777D3B2" w14:textId="77777777" w:rsidR="00F95AF6" w:rsidRPr="001C28F5" w:rsidRDefault="00F95AF6" w:rsidP="009746A6">
            <w:pPr>
              <w:pStyle w:val="Tablebodytext"/>
              <w:keepNext w:val="0"/>
              <w:keepLines w:val="0"/>
              <w:rPr>
                <w:lang w:eastAsia="en-AU"/>
              </w:rPr>
            </w:pPr>
          </w:p>
        </w:tc>
        <w:tc>
          <w:tcPr>
            <w:tcW w:w="1082" w:type="dxa"/>
            <w:vMerge/>
          </w:tcPr>
          <w:p w14:paraId="3B012BB5" w14:textId="77777777" w:rsidR="00F95AF6" w:rsidRPr="001C28F5" w:rsidRDefault="00F95AF6" w:rsidP="009746A6">
            <w:pPr>
              <w:pStyle w:val="Tablebodytext"/>
              <w:keepNext w:val="0"/>
              <w:keepLines w:val="0"/>
              <w:rPr>
                <w:lang w:eastAsia="en-AU"/>
              </w:rPr>
            </w:pPr>
          </w:p>
        </w:tc>
        <w:tc>
          <w:tcPr>
            <w:tcW w:w="992" w:type="dxa"/>
          </w:tcPr>
          <w:p w14:paraId="36F682A4"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29FE96C9" w14:textId="77777777" w:rsidR="00F95AF6" w:rsidRPr="001C28F5" w:rsidRDefault="00F95AF6" w:rsidP="009746A6">
            <w:pPr>
              <w:pStyle w:val="Tablebodytext"/>
              <w:keepNext w:val="0"/>
              <w:keepLines w:val="0"/>
              <w:rPr>
                <w:lang w:eastAsia="en-AU"/>
              </w:rPr>
            </w:pPr>
            <w:r w:rsidRPr="001C28F5">
              <w:rPr>
                <w:lang w:eastAsia="en-AU"/>
              </w:rPr>
              <w:t>Human resource measures</w:t>
            </w:r>
          </w:p>
        </w:tc>
        <w:tc>
          <w:tcPr>
            <w:tcW w:w="966" w:type="dxa"/>
          </w:tcPr>
          <w:p w14:paraId="26EB6241"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2F252B29" w14:textId="77777777" w:rsidR="00F95AF6" w:rsidRPr="001C28F5" w:rsidRDefault="00F95AF6" w:rsidP="009746A6">
            <w:pPr>
              <w:pStyle w:val="Tablebodytext"/>
              <w:keepNext w:val="0"/>
              <w:keepLines w:val="0"/>
              <w:rPr>
                <w:lang w:eastAsia="en-AU"/>
              </w:rPr>
            </w:pPr>
          </w:p>
        </w:tc>
        <w:tc>
          <w:tcPr>
            <w:tcW w:w="995" w:type="dxa"/>
            <w:vMerge/>
          </w:tcPr>
          <w:p w14:paraId="3FF58BAD" w14:textId="77777777" w:rsidR="00F95AF6" w:rsidRPr="001C28F5" w:rsidRDefault="00F95AF6" w:rsidP="009746A6">
            <w:pPr>
              <w:pStyle w:val="Tablebodytext"/>
              <w:keepNext w:val="0"/>
              <w:keepLines w:val="0"/>
              <w:rPr>
                <w:lang w:eastAsia="en-AU"/>
              </w:rPr>
            </w:pPr>
          </w:p>
        </w:tc>
      </w:tr>
      <w:tr w:rsidR="00F95AF6" w:rsidRPr="001C28F5" w14:paraId="3542BDCE" w14:textId="77777777" w:rsidTr="001371EB">
        <w:trPr>
          <w:trHeight w:val="320"/>
        </w:trPr>
        <w:tc>
          <w:tcPr>
            <w:tcW w:w="2037" w:type="dxa"/>
            <w:vMerge/>
          </w:tcPr>
          <w:p w14:paraId="6E1B81D5" w14:textId="77777777" w:rsidR="00F95AF6" w:rsidRPr="001C28F5" w:rsidRDefault="00F95AF6" w:rsidP="009746A6">
            <w:pPr>
              <w:pStyle w:val="Tablebodytext"/>
              <w:keepNext w:val="0"/>
              <w:keepLines w:val="0"/>
              <w:rPr>
                <w:lang w:eastAsia="en-AU"/>
              </w:rPr>
            </w:pPr>
          </w:p>
        </w:tc>
        <w:tc>
          <w:tcPr>
            <w:tcW w:w="1082" w:type="dxa"/>
            <w:vMerge/>
          </w:tcPr>
          <w:p w14:paraId="3050AF68" w14:textId="77777777" w:rsidR="00F95AF6" w:rsidRPr="001C28F5" w:rsidRDefault="00F95AF6" w:rsidP="009746A6">
            <w:pPr>
              <w:pStyle w:val="Tablebodytext"/>
              <w:keepNext w:val="0"/>
              <w:keepLines w:val="0"/>
              <w:rPr>
                <w:lang w:eastAsia="en-AU"/>
              </w:rPr>
            </w:pPr>
          </w:p>
        </w:tc>
        <w:tc>
          <w:tcPr>
            <w:tcW w:w="992" w:type="dxa"/>
          </w:tcPr>
          <w:p w14:paraId="2265F955"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3D1AEF78" w14:textId="77777777" w:rsidR="00F95AF6" w:rsidRPr="001C28F5" w:rsidRDefault="00F95AF6" w:rsidP="009746A6">
            <w:pPr>
              <w:pStyle w:val="Tablebodytext"/>
              <w:keepNext w:val="0"/>
              <w:keepLines w:val="0"/>
              <w:rPr>
                <w:lang w:eastAsia="en-AU"/>
              </w:rPr>
            </w:pPr>
            <w:r w:rsidRPr="001C28F5">
              <w:rPr>
                <w:lang w:eastAsia="en-AU"/>
              </w:rPr>
              <w:t>Environmental measures</w:t>
            </w:r>
          </w:p>
        </w:tc>
        <w:tc>
          <w:tcPr>
            <w:tcW w:w="966" w:type="dxa"/>
          </w:tcPr>
          <w:p w14:paraId="4D61B445"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384DA790" w14:textId="77777777" w:rsidR="00F95AF6" w:rsidRPr="001C28F5" w:rsidRDefault="00F95AF6" w:rsidP="009746A6">
            <w:pPr>
              <w:pStyle w:val="Tablebodytext"/>
              <w:keepNext w:val="0"/>
              <w:keepLines w:val="0"/>
              <w:rPr>
                <w:lang w:eastAsia="en-AU"/>
              </w:rPr>
            </w:pPr>
          </w:p>
        </w:tc>
        <w:tc>
          <w:tcPr>
            <w:tcW w:w="995" w:type="dxa"/>
            <w:vMerge/>
          </w:tcPr>
          <w:p w14:paraId="162219C1" w14:textId="77777777" w:rsidR="00F95AF6" w:rsidRPr="001C28F5" w:rsidRDefault="00F95AF6" w:rsidP="009746A6">
            <w:pPr>
              <w:pStyle w:val="Tablebodytext"/>
              <w:keepNext w:val="0"/>
              <w:keepLines w:val="0"/>
              <w:rPr>
                <w:lang w:eastAsia="en-AU"/>
              </w:rPr>
            </w:pPr>
          </w:p>
        </w:tc>
      </w:tr>
      <w:tr w:rsidR="00F95AF6" w:rsidRPr="001C28F5" w14:paraId="0217C8EF" w14:textId="77777777" w:rsidTr="001371EB">
        <w:trPr>
          <w:trHeight w:val="320"/>
        </w:trPr>
        <w:tc>
          <w:tcPr>
            <w:tcW w:w="2037" w:type="dxa"/>
            <w:vMerge/>
          </w:tcPr>
          <w:p w14:paraId="5C78669E" w14:textId="77777777" w:rsidR="00F95AF6" w:rsidRPr="001C28F5" w:rsidRDefault="00F95AF6" w:rsidP="009746A6">
            <w:pPr>
              <w:pStyle w:val="Tablebodytext"/>
              <w:keepNext w:val="0"/>
              <w:keepLines w:val="0"/>
              <w:rPr>
                <w:lang w:eastAsia="en-AU"/>
              </w:rPr>
            </w:pPr>
          </w:p>
        </w:tc>
        <w:tc>
          <w:tcPr>
            <w:tcW w:w="1082" w:type="dxa"/>
            <w:vMerge/>
          </w:tcPr>
          <w:p w14:paraId="1205B2FD" w14:textId="77777777" w:rsidR="00F95AF6" w:rsidRPr="001C28F5" w:rsidRDefault="00F95AF6" w:rsidP="009746A6">
            <w:pPr>
              <w:pStyle w:val="Tablebodytext"/>
              <w:keepNext w:val="0"/>
              <w:keepLines w:val="0"/>
              <w:rPr>
                <w:lang w:eastAsia="en-AU"/>
              </w:rPr>
            </w:pPr>
          </w:p>
        </w:tc>
        <w:tc>
          <w:tcPr>
            <w:tcW w:w="992" w:type="dxa"/>
          </w:tcPr>
          <w:p w14:paraId="7FB0437C"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2819F95D" w14:textId="77777777" w:rsidR="00F95AF6" w:rsidRPr="001C28F5" w:rsidRDefault="00F95AF6" w:rsidP="009746A6">
            <w:pPr>
              <w:pStyle w:val="Tablebodytext"/>
              <w:keepNext w:val="0"/>
              <w:keepLines w:val="0"/>
              <w:rPr>
                <w:lang w:eastAsia="en-AU"/>
              </w:rPr>
            </w:pPr>
            <w:r w:rsidRPr="001C28F5">
              <w:rPr>
                <w:lang w:eastAsia="en-AU"/>
              </w:rPr>
              <w:t>Social measures</w:t>
            </w:r>
          </w:p>
        </w:tc>
        <w:tc>
          <w:tcPr>
            <w:tcW w:w="966" w:type="dxa"/>
          </w:tcPr>
          <w:p w14:paraId="07802E72"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5B826DBB" w14:textId="77777777" w:rsidR="00F95AF6" w:rsidRPr="001C28F5" w:rsidRDefault="00F95AF6" w:rsidP="009746A6">
            <w:pPr>
              <w:pStyle w:val="Tablebodytext"/>
              <w:keepNext w:val="0"/>
              <w:keepLines w:val="0"/>
              <w:rPr>
                <w:lang w:eastAsia="en-AU"/>
              </w:rPr>
            </w:pPr>
          </w:p>
        </w:tc>
        <w:tc>
          <w:tcPr>
            <w:tcW w:w="995" w:type="dxa"/>
            <w:vMerge/>
          </w:tcPr>
          <w:p w14:paraId="35B8801E" w14:textId="77777777" w:rsidR="00F95AF6" w:rsidRPr="001C28F5" w:rsidRDefault="00F95AF6" w:rsidP="009746A6">
            <w:pPr>
              <w:pStyle w:val="Tablebodytext"/>
              <w:keepNext w:val="0"/>
              <w:keepLines w:val="0"/>
              <w:rPr>
                <w:lang w:eastAsia="en-AU"/>
              </w:rPr>
            </w:pPr>
          </w:p>
        </w:tc>
      </w:tr>
      <w:tr w:rsidR="00F95AF6" w:rsidRPr="001C28F5" w14:paraId="58AF6039" w14:textId="77777777" w:rsidTr="001371EB">
        <w:trPr>
          <w:trHeight w:val="320"/>
        </w:trPr>
        <w:tc>
          <w:tcPr>
            <w:tcW w:w="2037" w:type="dxa"/>
            <w:vMerge/>
          </w:tcPr>
          <w:p w14:paraId="6584179E" w14:textId="77777777" w:rsidR="00F95AF6" w:rsidRPr="001C28F5" w:rsidRDefault="00F95AF6" w:rsidP="009746A6">
            <w:pPr>
              <w:pStyle w:val="Tablebodytext"/>
              <w:keepNext w:val="0"/>
              <w:keepLines w:val="0"/>
              <w:rPr>
                <w:lang w:eastAsia="en-AU"/>
              </w:rPr>
            </w:pPr>
          </w:p>
        </w:tc>
        <w:tc>
          <w:tcPr>
            <w:tcW w:w="1082" w:type="dxa"/>
            <w:vMerge/>
          </w:tcPr>
          <w:p w14:paraId="178AFB58" w14:textId="77777777" w:rsidR="00F95AF6" w:rsidRPr="001C28F5" w:rsidRDefault="00F95AF6" w:rsidP="009746A6">
            <w:pPr>
              <w:pStyle w:val="Tablebodytext"/>
              <w:keepNext w:val="0"/>
              <w:keepLines w:val="0"/>
              <w:rPr>
                <w:lang w:eastAsia="en-AU"/>
              </w:rPr>
            </w:pPr>
          </w:p>
        </w:tc>
        <w:tc>
          <w:tcPr>
            <w:tcW w:w="992" w:type="dxa"/>
          </w:tcPr>
          <w:p w14:paraId="49D91B83" w14:textId="77777777" w:rsidR="00F95AF6" w:rsidRPr="001C28F5" w:rsidRDefault="00F95AF6" w:rsidP="009746A6">
            <w:pPr>
              <w:pStyle w:val="Tablebodytext"/>
              <w:keepNext w:val="0"/>
              <w:keepLines w:val="0"/>
              <w:rPr>
                <w:lang w:eastAsia="en-AU"/>
              </w:rPr>
            </w:pPr>
            <w:r w:rsidRPr="001C28F5">
              <w:rPr>
                <w:lang w:eastAsia="en-AU"/>
              </w:rPr>
              <w:t>h</w:t>
            </w:r>
          </w:p>
        </w:tc>
        <w:tc>
          <w:tcPr>
            <w:tcW w:w="2485" w:type="dxa"/>
          </w:tcPr>
          <w:p w14:paraId="29014170" w14:textId="77777777" w:rsidR="00F95AF6" w:rsidRPr="001C28F5" w:rsidRDefault="00F95AF6" w:rsidP="009746A6">
            <w:pPr>
              <w:pStyle w:val="Tablebodytext"/>
              <w:keepNext w:val="0"/>
              <w:keepLines w:val="0"/>
              <w:rPr>
                <w:lang w:eastAsia="en-AU"/>
              </w:rPr>
            </w:pPr>
            <w:r w:rsidRPr="001C28F5">
              <w:rPr>
                <w:lang w:eastAsia="en-AU"/>
              </w:rPr>
              <w:t>Health and safety measures</w:t>
            </w:r>
          </w:p>
        </w:tc>
        <w:tc>
          <w:tcPr>
            <w:tcW w:w="966" w:type="dxa"/>
          </w:tcPr>
          <w:p w14:paraId="30383F27"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78DB905C" w14:textId="77777777" w:rsidR="00F95AF6" w:rsidRPr="001C28F5" w:rsidRDefault="00F95AF6" w:rsidP="009746A6">
            <w:pPr>
              <w:pStyle w:val="Tablebodytext"/>
              <w:keepNext w:val="0"/>
              <w:keepLines w:val="0"/>
              <w:rPr>
                <w:lang w:eastAsia="en-AU"/>
              </w:rPr>
            </w:pPr>
          </w:p>
        </w:tc>
        <w:tc>
          <w:tcPr>
            <w:tcW w:w="995" w:type="dxa"/>
            <w:vMerge/>
          </w:tcPr>
          <w:p w14:paraId="1A3E076B" w14:textId="77777777" w:rsidR="00F95AF6" w:rsidRPr="001C28F5" w:rsidRDefault="00F95AF6" w:rsidP="009746A6">
            <w:pPr>
              <w:pStyle w:val="Tablebodytext"/>
              <w:keepNext w:val="0"/>
              <w:keepLines w:val="0"/>
              <w:rPr>
                <w:lang w:eastAsia="en-AU"/>
              </w:rPr>
            </w:pPr>
          </w:p>
        </w:tc>
      </w:tr>
      <w:tr w:rsidR="00F95AF6" w:rsidRPr="001C28F5" w14:paraId="45E4C047" w14:textId="77777777" w:rsidTr="001371EB">
        <w:trPr>
          <w:trHeight w:val="320"/>
        </w:trPr>
        <w:tc>
          <w:tcPr>
            <w:tcW w:w="2037" w:type="dxa"/>
            <w:vMerge/>
          </w:tcPr>
          <w:p w14:paraId="5B0B4811" w14:textId="77777777" w:rsidR="00F95AF6" w:rsidRPr="001C28F5" w:rsidRDefault="00F95AF6" w:rsidP="009746A6">
            <w:pPr>
              <w:pStyle w:val="Tablebodytext"/>
              <w:keepNext w:val="0"/>
              <w:keepLines w:val="0"/>
              <w:rPr>
                <w:lang w:eastAsia="en-AU"/>
              </w:rPr>
            </w:pPr>
          </w:p>
        </w:tc>
        <w:tc>
          <w:tcPr>
            <w:tcW w:w="1082" w:type="dxa"/>
            <w:vMerge/>
          </w:tcPr>
          <w:p w14:paraId="5AD89A74" w14:textId="77777777" w:rsidR="00F95AF6" w:rsidRPr="001C28F5" w:rsidRDefault="00F95AF6" w:rsidP="009746A6">
            <w:pPr>
              <w:pStyle w:val="Tablebodytext"/>
              <w:keepNext w:val="0"/>
              <w:keepLines w:val="0"/>
              <w:rPr>
                <w:lang w:eastAsia="en-AU"/>
              </w:rPr>
            </w:pPr>
          </w:p>
        </w:tc>
        <w:tc>
          <w:tcPr>
            <w:tcW w:w="992" w:type="dxa"/>
          </w:tcPr>
          <w:p w14:paraId="42AA2BA8" w14:textId="77777777" w:rsidR="00F95AF6" w:rsidRPr="001C28F5" w:rsidRDefault="00F95AF6" w:rsidP="009746A6">
            <w:pPr>
              <w:pStyle w:val="Tablebodytext"/>
              <w:keepNext w:val="0"/>
              <w:keepLines w:val="0"/>
              <w:rPr>
                <w:lang w:eastAsia="en-AU"/>
              </w:rPr>
            </w:pPr>
            <w:r w:rsidRPr="001C28F5">
              <w:rPr>
                <w:lang w:eastAsia="en-AU"/>
              </w:rPr>
              <w:t>i</w:t>
            </w:r>
          </w:p>
        </w:tc>
        <w:tc>
          <w:tcPr>
            <w:tcW w:w="2485" w:type="dxa"/>
          </w:tcPr>
          <w:p w14:paraId="1559ABDE" w14:textId="77777777" w:rsidR="00F95AF6" w:rsidRPr="001C28F5" w:rsidRDefault="00F95AF6" w:rsidP="009746A6">
            <w:pPr>
              <w:pStyle w:val="Tablebodytext"/>
              <w:keepNext w:val="0"/>
              <w:keepLines w:val="0"/>
              <w:rPr>
                <w:lang w:eastAsia="en-AU"/>
              </w:rPr>
            </w:pPr>
            <w:r w:rsidRPr="001C28F5">
              <w:rPr>
                <w:lang w:eastAsia="en-AU"/>
              </w:rPr>
              <w:t>None of the above</w:t>
            </w:r>
          </w:p>
        </w:tc>
        <w:tc>
          <w:tcPr>
            <w:tcW w:w="966" w:type="dxa"/>
          </w:tcPr>
          <w:p w14:paraId="2C232357"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5B0F8337" w14:textId="77777777" w:rsidR="00F95AF6" w:rsidRPr="001C28F5" w:rsidRDefault="00F95AF6" w:rsidP="009746A6">
            <w:pPr>
              <w:pStyle w:val="Tablebodytext"/>
              <w:keepNext w:val="0"/>
              <w:keepLines w:val="0"/>
              <w:rPr>
                <w:lang w:eastAsia="en-AU"/>
              </w:rPr>
            </w:pPr>
          </w:p>
        </w:tc>
        <w:tc>
          <w:tcPr>
            <w:tcW w:w="995" w:type="dxa"/>
            <w:vMerge/>
          </w:tcPr>
          <w:p w14:paraId="7D29C12C" w14:textId="77777777" w:rsidR="00F95AF6" w:rsidRPr="001C28F5" w:rsidRDefault="00F95AF6" w:rsidP="009746A6">
            <w:pPr>
              <w:pStyle w:val="Tablebodytext"/>
              <w:keepNext w:val="0"/>
              <w:keepLines w:val="0"/>
              <w:rPr>
                <w:lang w:eastAsia="en-AU"/>
              </w:rPr>
            </w:pPr>
          </w:p>
        </w:tc>
      </w:tr>
      <w:tr w:rsidR="00F95AF6" w:rsidRPr="001C28F5" w14:paraId="096E2C7E" w14:textId="77777777" w:rsidTr="001371EB">
        <w:trPr>
          <w:trHeight w:val="360"/>
        </w:trPr>
        <w:tc>
          <w:tcPr>
            <w:tcW w:w="2037" w:type="dxa"/>
            <w:vMerge w:val="restart"/>
          </w:tcPr>
          <w:p w14:paraId="73B1310B" w14:textId="77777777" w:rsidR="00F95AF6" w:rsidRPr="001C28F5" w:rsidRDefault="00F95AF6" w:rsidP="009746A6">
            <w:pPr>
              <w:pStyle w:val="Tablebodytext"/>
              <w:keepNext w:val="0"/>
              <w:keepLines w:val="0"/>
              <w:rPr>
                <w:lang w:eastAsia="en-AU"/>
              </w:rPr>
            </w:pPr>
            <w:r w:rsidRPr="001C28F5">
              <w:rPr>
                <w:lang w:eastAsia="en-AU"/>
              </w:rPr>
              <w:t xml:space="preserve">12. What best describes the period of time covered by Key Performance Indicators set by management at this business? </w:t>
            </w:r>
          </w:p>
        </w:tc>
        <w:tc>
          <w:tcPr>
            <w:tcW w:w="1082" w:type="dxa"/>
            <w:vMerge w:val="restart"/>
          </w:tcPr>
          <w:p w14:paraId="6FB3573F" w14:textId="77777777" w:rsidR="00F95AF6" w:rsidRPr="0064751A" w:rsidRDefault="00F95AF6" w:rsidP="009746A6">
            <w:pPr>
              <w:pStyle w:val="Tablebodytext"/>
              <w:keepNext w:val="0"/>
              <w:keepLines w:val="0"/>
              <w:rPr>
                <w:lang w:eastAsia="en-AU"/>
              </w:rPr>
            </w:pPr>
            <w:r w:rsidRPr="0064751A">
              <w:rPr>
                <w:lang w:eastAsia="en-AU"/>
              </w:rPr>
              <w:t>Scaled</w:t>
            </w:r>
          </w:p>
          <w:p w14:paraId="4E270D96" w14:textId="77777777" w:rsidR="00F95AF6" w:rsidRPr="001C28F5" w:rsidRDefault="00F95AF6" w:rsidP="009746A6">
            <w:pPr>
              <w:pStyle w:val="Tablebodytext"/>
              <w:keepNext w:val="0"/>
              <w:keepLines w:val="0"/>
              <w:rPr>
                <w:lang w:eastAsia="en-AU"/>
              </w:rPr>
            </w:pPr>
          </w:p>
        </w:tc>
        <w:tc>
          <w:tcPr>
            <w:tcW w:w="992" w:type="dxa"/>
          </w:tcPr>
          <w:p w14:paraId="4B411D84"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1C162B9E" w14:textId="77777777" w:rsidR="00F95AF6" w:rsidRPr="001C28F5" w:rsidRDefault="00F95AF6" w:rsidP="009746A6">
            <w:pPr>
              <w:pStyle w:val="Tablebodytext"/>
              <w:keepNext w:val="0"/>
              <w:keepLines w:val="0"/>
              <w:rPr>
                <w:lang w:eastAsia="en-AU"/>
              </w:rPr>
            </w:pPr>
            <w:r w:rsidRPr="001C28F5">
              <w:rPr>
                <w:lang w:eastAsia="en-AU"/>
              </w:rPr>
              <w:t>Short-term (up to one year)</w:t>
            </w:r>
          </w:p>
        </w:tc>
        <w:tc>
          <w:tcPr>
            <w:tcW w:w="966" w:type="dxa"/>
          </w:tcPr>
          <w:p w14:paraId="19941DFF" w14:textId="77777777" w:rsidR="00F95AF6" w:rsidRPr="001C28F5" w:rsidRDefault="00F95AF6" w:rsidP="009746A6">
            <w:pPr>
              <w:pStyle w:val="Tablebodytext"/>
              <w:keepNext w:val="0"/>
              <w:keepLines w:val="0"/>
              <w:rPr>
                <w:lang w:eastAsia="en-AU"/>
              </w:rPr>
            </w:pPr>
            <w:r w:rsidRPr="001C28F5">
              <w:rPr>
                <w:lang w:eastAsia="en-AU"/>
              </w:rPr>
              <w:t>1/3</w:t>
            </w:r>
          </w:p>
        </w:tc>
        <w:tc>
          <w:tcPr>
            <w:tcW w:w="1043" w:type="dxa"/>
            <w:vMerge w:val="restart"/>
          </w:tcPr>
          <w:p w14:paraId="624F920E" w14:textId="77777777" w:rsidR="00F95AF6" w:rsidRPr="001C28F5" w:rsidRDefault="00F95AF6" w:rsidP="009746A6">
            <w:pPr>
              <w:pStyle w:val="Tablebodytext"/>
              <w:keepNext w:val="0"/>
              <w:keepLines w:val="0"/>
              <w:rPr>
                <w:lang w:eastAsia="en-AU"/>
              </w:rPr>
            </w:pPr>
            <w:r w:rsidRPr="001C28F5">
              <w:rPr>
                <w:lang w:eastAsia="en-AU"/>
              </w:rPr>
              <w:t>Planning</w:t>
            </w:r>
          </w:p>
        </w:tc>
        <w:tc>
          <w:tcPr>
            <w:tcW w:w="995" w:type="dxa"/>
            <w:vMerge w:val="restart"/>
          </w:tcPr>
          <w:p w14:paraId="21A31BCC" w14:textId="77777777" w:rsidR="00F95AF6" w:rsidRPr="001C28F5" w:rsidRDefault="00F95AF6" w:rsidP="009746A6">
            <w:pPr>
              <w:pStyle w:val="Tablebodytext"/>
              <w:keepNext w:val="0"/>
              <w:keepLines w:val="0"/>
              <w:rPr>
                <w:lang w:eastAsia="en-AU"/>
              </w:rPr>
            </w:pPr>
            <w:r w:rsidRPr="001C28F5">
              <w:rPr>
                <w:lang w:eastAsia="en-AU"/>
              </w:rPr>
              <w:t>0.427</w:t>
            </w:r>
          </w:p>
        </w:tc>
      </w:tr>
      <w:tr w:rsidR="00F95AF6" w:rsidRPr="001C28F5" w14:paraId="6B8CA044" w14:textId="77777777" w:rsidTr="001371EB">
        <w:trPr>
          <w:trHeight w:val="443"/>
        </w:trPr>
        <w:tc>
          <w:tcPr>
            <w:tcW w:w="2037" w:type="dxa"/>
            <w:vMerge/>
          </w:tcPr>
          <w:p w14:paraId="62AD86E8" w14:textId="77777777" w:rsidR="00F95AF6" w:rsidRPr="001C28F5" w:rsidRDefault="00F95AF6" w:rsidP="009746A6">
            <w:pPr>
              <w:pStyle w:val="Tablebodytext"/>
              <w:keepNext w:val="0"/>
              <w:keepLines w:val="0"/>
              <w:rPr>
                <w:lang w:eastAsia="en-AU"/>
              </w:rPr>
            </w:pPr>
          </w:p>
        </w:tc>
        <w:tc>
          <w:tcPr>
            <w:tcW w:w="1082" w:type="dxa"/>
            <w:vMerge/>
          </w:tcPr>
          <w:p w14:paraId="361D67C5" w14:textId="77777777" w:rsidR="00F95AF6" w:rsidRPr="001C28F5" w:rsidRDefault="00F95AF6" w:rsidP="009746A6">
            <w:pPr>
              <w:pStyle w:val="Tablebodytext"/>
              <w:keepNext w:val="0"/>
              <w:keepLines w:val="0"/>
              <w:rPr>
                <w:lang w:eastAsia="en-AU"/>
              </w:rPr>
            </w:pPr>
          </w:p>
        </w:tc>
        <w:tc>
          <w:tcPr>
            <w:tcW w:w="992" w:type="dxa"/>
          </w:tcPr>
          <w:p w14:paraId="2122C337"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4DA7D5DE" w14:textId="77777777" w:rsidR="00F95AF6" w:rsidRPr="001C28F5" w:rsidRDefault="00F95AF6" w:rsidP="009746A6">
            <w:pPr>
              <w:pStyle w:val="Tablebodytext"/>
              <w:keepNext w:val="0"/>
              <w:keepLines w:val="0"/>
              <w:rPr>
                <w:lang w:eastAsia="en-AU"/>
              </w:rPr>
            </w:pPr>
            <w:r w:rsidRPr="001C28F5">
              <w:rPr>
                <w:lang w:eastAsia="en-AU"/>
              </w:rPr>
              <w:t xml:space="preserve">Long-term (more than one year) </w:t>
            </w:r>
          </w:p>
        </w:tc>
        <w:tc>
          <w:tcPr>
            <w:tcW w:w="966" w:type="dxa"/>
          </w:tcPr>
          <w:p w14:paraId="3AC48B07" w14:textId="77777777" w:rsidR="00F95AF6" w:rsidRPr="001C28F5" w:rsidRDefault="00F95AF6" w:rsidP="009746A6">
            <w:pPr>
              <w:pStyle w:val="Tablebodytext"/>
              <w:keepNext w:val="0"/>
              <w:keepLines w:val="0"/>
              <w:rPr>
                <w:lang w:eastAsia="en-AU"/>
              </w:rPr>
            </w:pPr>
            <w:r w:rsidRPr="001C28F5">
              <w:rPr>
                <w:lang w:eastAsia="en-AU"/>
              </w:rPr>
              <w:t>2/3</w:t>
            </w:r>
          </w:p>
        </w:tc>
        <w:tc>
          <w:tcPr>
            <w:tcW w:w="1043" w:type="dxa"/>
            <w:vMerge/>
          </w:tcPr>
          <w:p w14:paraId="21165C2B" w14:textId="77777777" w:rsidR="00F95AF6" w:rsidRPr="001C28F5" w:rsidRDefault="00F95AF6" w:rsidP="009746A6">
            <w:pPr>
              <w:pStyle w:val="Tablebodytext"/>
              <w:keepNext w:val="0"/>
              <w:keepLines w:val="0"/>
              <w:rPr>
                <w:lang w:eastAsia="en-AU"/>
              </w:rPr>
            </w:pPr>
          </w:p>
        </w:tc>
        <w:tc>
          <w:tcPr>
            <w:tcW w:w="995" w:type="dxa"/>
            <w:vMerge/>
          </w:tcPr>
          <w:p w14:paraId="71DAA22E" w14:textId="77777777" w:rsidR="00F95AF6" w:rsidRPr="001C28F5" w:rsidRDefault="00F95AF6" w:rsidP="009746A6">
            <w:pPr>
              <w:pStyle w:val="Tablebodytext"/>
              <w:keepNext w:val="0"/>
              <w:keepLines w:val="0"/>
              <w:rPr>
                <w:lang w:eastAsia="en-AU"/>
              </w:rPr>
            </w:pPr>
          </w:p>
        </w:tc>
      </w:tr>
      <w:tr w:rsidR="00F95AF6" w:rsidRPr="001C28F5" w14:paraId="2CC73C47" w14:textId="77777777" w:rsidTr="001371EB">
        <w:trPr>
          <w:trHeight w:val="320"/>
        </w:trPr>
        <w:tc>
          <w:tcPr>
            <w:tcW w:w="2037" w:type="dxa"/>
            <w:vMerge/>
          </w:tcPr>
          <w:p w14:paraId="0CED3DBA" w14:textId="77777777" w:rsidR="00F95AF6" w:rsidRPr="001C28F5" w:rsidRDefault="00F95AF6" w:rsidP="009746A6">
            <w:pPr>
              <w:pStyle w:val="Tablebodytext"/>
              <w:keepNext w:val="0"/>
              <w:keepLines w:val="0"/>
              <w:rPr>
                <w:lang w:eastAsia="en-AU"/>
              </w:rPr>
            </w:pPr>
          </w:p>
        </w:tc>
        <w:tc>
          <w:tcPr>
            <w:tcW w:w="1082" w:type="dxa"/>
            <w:vMerge/>
          </w:tcPr>
          <w:p w14:paraId="0465C724" w14:textId="77777777" w:rsidR="00F95AF6" w:rsidRPr="001C28F5" w:rsidRDefault="00F95AF6" w:rsidP="009746A6">
            <w:pPr>
              <w:pStyle w:val="Tablebodytext"/>
              <w:keepNext w:val="0"/>
              <w:keepLines w:val="0"/>
              <w:rPr>
                <w:lang w:eastAsia="en-AU"/>
              </w:rPr>
            </w:pPr>
          </w:p>
        </w:tc>
        <w:tc>
          <w:tcPr>
            <w:tcW w:w="992" w:type="dxa"/>
          </w:tcPr>
          <w:p w14:paraId="4F9556E4"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2F33461D" w14:textId="77777777" w:rsidR="00F95AF6" w:rsidRPr="001C28F5" w:rsidRDefault="00F95AF6" w:rsidP="009746A6">
            <w:pPr>
              <w:pStyle w:val="Tablebodytext"/>
              <w:keepNext w:val="0"/>
              <w:keepLines w:val="0"/>
              <w:rPr>
                <w:lang w:eastAsia="en-AU"/>
              </w:rPr>
            </w:pPr>
            <w:r w:rsidRPr="001C28F5">
              <w:rPr>
                <w:lang w:eastAsia="en-AU"/>
              </w:rPr>
              <w:t xml:space="preserve">Combination of short-term and long-term </w:t>
            </w:r>
          </w:p>
        </w:tc>
        <w:tc>
          <w:tcPr>
            <w:tcW w:w="966" w:type="dxa"/>
          </w:tcPr>
          <w:p w14:paraId="5D15A5D8"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2882B1C" w14:textId="77777777" w:rsidR="00F95AF6" w:rsidRPr="001C28F5" w:rsidRDefault="00F95AF6" w:rsidP="009746A6">
            <w:pPr>
              <w:pStyle w:val="Tablebodytext"/>
              <w:keepNext w:val="0"/>
              <w:keepLines w:val="0"/>
              <w:rPr>
                <w:lang w:eastAsia="en-AU"/>
              </w:rPr>
            </w:pPr>
          </w:p>
        </w:tc>
        <w:tc>
          <w:tcPr>
            <w:tcW w:w="995" w:type="dxa"/>
            <w:vMerge/>
          </w:tcPr>
          <w:p w14:paraId="5CEA8A44" w14:textId="77777777" w:rsidR="00F95AF6" w:rsidRPr="001C28F5" w:rsidRDefault="00F95AF6" w:rsidP="009746A6">
            <w:pPr>
              <w:pStyle w:val="Tablebodytext"/>
              <w:keepNext w:val="0"/>
              <w:keepLines w:val="0"/>
              <w:rPr>
                <w:lang w:eastAsia="en-AU"/>
              </w:rPr>
            </w:pPr>
          </w:p>
        </w:tc>
      </w:tr>
      <w:tr w:rsidR="00F95AF6" w:rsidRPr="001C28F5" w14:paraId="41748B88" w14:textId="77777777" w:rsidTr="001371EB">
        <w:trPr>
          <w:trHeight w:val="320"/>
        </w:trPr>
        <w:tc>
          <w:tcPr>
            <w:tcW w:w="2037" w:type="dxa"/>
            <w:vMerge/>
          </w:tcPr>
          <w:p w14:paraId="72604702" w14:textId="77777777" w:rsidR="00F95AF6" w:rsidRPr="001C28F5" w:rsidRDefault="00F95AF6" w:rsidP="009746A6">
            <w:pPr>
              <w:pStyle w:val="Tablebodytext"/>
              <w:keepNext w:val="0"/>
              <w:keepLines w:val="0"/>
              <w:rPr>
                <w:lang w:eastAsia="en-AU"/>
              </w:rPr>
            </w:pPr>
          </w:p>
        </w:tc>
        <w:tc>
          <w:tcPr>
            <w:tcW w:w="1082" w:type="dxa"/>
            <w:vMerge/>
          </w:tcPr>
          <w:p w14:paraId="7291020C" w14:textId="77777777" w:rsidR="00F95AF6" w:rsidRPr="001C28F5" w:rsidRDefault="00F95AF6" w:rsidP="009746A6">
            <w:pPr>
              <w:pStyle w:val="Tablebodytext"/>
              <w:keepNext w:val="0"/>
              <w:keepLines w:val="0"/>
              <w:rPr>
                <w:lang w:eastAsia="en-AU"/>
              </w:rPr>
            </w:pPr>
          </w:p>
        </w:tc>
        <w:tc>
          <w:tcPr>
            <w:tcW w:w="992" w:type="dxa"/>
          </w:tcPr>
          <w:p w14:paraId="40087CF9"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20AF249D" w14:textId="77777777" w:rsidR="00F95AF6" w:rsidRPr="001C28F5" w:rsidRDefault="00F95AF6" w:rsidP="009746A6">
            <w:pPr>
              <w:pStyle w:val="Tablebodytext"/>
              <w:keepNext w:val="0"/>
              <w:keepLines w:val="0"/>
              <w:rPr>
                <w:lang w:eastAsia="en-AU"/>
              </w:rPr>
            </w:pPr>
            <w:r w:rsidRPr="001C28F5">
              <w:rPr>
                <w:lang w:eastAsia="en-AU"/>
              </w:rPr>
              <w:t>None of the above</w:t>
            </w:r>
          </w:p>
        </w:tc>
        <w:tc>
          <w:tcPr>
            <w:tcW w:w="966" w:type="dxa"/>
          </w:tcPr>
          <w:p w14:paraId="7A1C71CD"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3046AC5A" w14:textId="77777777" w:rsidR="00F95AF6" w:rsidRPr="001C28F5" w:rsidRDefault="00F95AF6" w:rsidP="009746A6">
            <w:pPr>
              <w:pStyle w:val="Tablebodytext"/>
              <w:keepNext w:val="0"/>
              <w:keepLines w:val="0"/>
              <w:rPr>
                <w:lang w:eastAsia="en-AU"/>
              </w:rPr>
            </w:pPr>
          </w:p>
        </w:tc>
        <w:tc>
          <w:tcPr>
            <w:tcW w:w="995" w:type="dxa"/>
            <w:vMerge/>
          </w:tcPr>
          <w:p w14:paraId="224EBB4F" w14:textId="77777777" w:rsidR="00F95AF6" w:rsidRPr="001C28F5" w:rsidRDefault="00F95AF6" w:rsidP="009746A6">
            <w:pPr>
              <w:pStyle w:val="Tablebodytext"/>
              <w:keepNext w:val="0"/>
              <w:keepLines w:val="0"/>
              <w:rPr>
                <w:lang w:eastAsia="en-AU"/>
              </w:rPr>
            </w:pPr>
          </w:p>
        </w:tc>
      </w:tr>
      <w:tr w:rsidR="00F95AF6" w:rsidRPr="001C28F5" w14:paraId="38F9E820" w14:textId="77777777" w:rsidTr="001371EB">
        <w:trPr>
          <w:trHeight w:val="280"/>
        </w:trPr>
        <w:tc>
          <w:tcPr>
            <w:tcW w:w="2037" w:type="dxa"/>
            <w:vMerge w:val="restart"/>
          </w:tcPr>
          <w:p w14:paraId="2F19C556" w14:textId="77777777" w:rsidR="00F95AF6" w:rsidRPr="001C28F5" w:rsidRDefault="00F95AF6" w:rsidP="009746A6">
            <w:pPr>
              <w:pStyle w:val="Tablebodytext"/>
              <w:keepNext w:val="0"/>
              <w:keepLines w:val="0"/>
              <w:rPr>
                <w:lang w:eastAsia="en-AU"/>
              </w:rPr>
            </w:pPr>
            <w:r w:rsidRPr="001C28F5">
              <w:rPr>
                <w:lang w:eastAsia="en-AU"/>
              </w:rPr>
              <w:lastRenderedPageBreak/>
              <w:t xml:space="preserve">13.1 How frequently were the Key Performance Indicators monitored by managers and non-managers of this business? </w:t>
            </w:r>
          </w:p>
        </w:tc>
        <w:tc>
          <w:tcPr>
            <w:tcW w:w="1082" w:type="dxa"/>
            <w:vMerge w:val="restart"/>
          </w:tcPr>
          <w:p w14:paraId="0AB4416C" w14:textId="77777777" w:rsidR="00F95AF6" w:rsidRPr="0064751A" w:rsidRDefault="00F95AF6" w:rsidP="009746A6">
            <w:pPr>
              <w:pStyle w:val="Tablebodytext"/>
              <w:keepNext w:val="0"/>
              <w:keepLines w:val="0"/>
              <w:rPr>
                <w:lang w:eastAsia="en-AU"/>
              </w:rPr>
            </w:pPr>
            <w:r w:rsidRPr="0064751A">
              <w:rPr>
                <w:lang w:eastAsia="en-AU"/>
              </w:rPr>
              <w:t>Scaled</w:t>
            </w:r>
          </w:p>
          <w:p w14:paraId="403E8328" w14:textId="77777777" w:rsidR="00F95AF6" w:rsidRPr="001C28F5" w:rsidRDefault="00F95AF6" w:rsidP="009746A6">
            <w:pPr>
              <w:pStyle w:val="Tablebodytext"/>
              <w:keepNext w:val="0"/>
              <w:keepLines w:val="0"/>
              <w:rPr>
                <w:lang w:eastAsia="en-AU"/>
              </w:rPr>
            </w:pPr>
          </w:p>
        </w:tc>
        <w:tc>
          <w:tcPr>
            <w:tcW w:w="992" w:type="dxa"/>
          </w:tcPr>
          <w:p w14:paraId="393A74D7"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12A137BF"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Annually</w:t>
            </w:r>
          </w:p>
        </w:tc>
        <w:tc>
          <w:tcPr>
            <w:tcW w:w="966" w:type="dxa"/>
          </w:tcPr>
          <w:p w14:paraId="4DE4537B"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val="restart"/>
          </w:tcPr>
          <w:p w14:paraId="4B637F42"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4315DE31" w14:textId="77777777" w:rsidR="00F95AF6" w:rsidRPr="001C28F5" w:rsidRDefault="00F95AF6" w:rsidP="009746A6">
            <w:pPr>
              <w:pStyle w:val="Tablebodytext"/>
              <w:keepNext w:val="0"/>
              <w:keepLines w:val="0"/>
              <w:rPr>
                <w:lang w:eastAsia="en-AU"/>
              </w:rPr>
            </w:pPr>
            <w:r w:rsidRPr="001C28F5">
              <w:rPr>
                <w:lang w:eastAsia="en-AU"/>
              </w:rPr>
              <w:t>0.220</w:t>
            </w:r>
          </w:p>
        </w:tc>
      </w:tr>
      <w:tr w:rsidR="00F95AF6" w:rsidRPr="001C28F5" w14:paraId="58695A5F" w14:textId="77777777" w:rsidTr="001371EB">
        <w:trPr>
          <w:trHeight w:val="440"/>
        </w:trPr>
        <w:tc>
          <w:tcPr>
            <w:tcW w:w="2037" w:type="dxa"/>
            <w:vMerge/>
          </w:tcPr>
          <w:p w14:paraId="664AE3CC" w14:textId="77777777" w:rsidR="00F95AF6" w:rsidRPr="001C28F5" w:rsidRDefault="00F95AF6" w:rsidP="009746A6">
            <w:pPr>
              <w:pStyle w:val="Tablebodytext"/>
              <w:keepNext w:val="0"/>
              <w:keepLines w:val="0"/>
              <w:rPr>
                <w:lang w:eastAsia="en-AU"/>
              </w:rPr>
            </w:pPr>
          </w:p>
        </w:tc>
        <w:tc>
          <w:tcPr>
            <w:tcW w:w="1082" w:type="dxa"/>
            <w:vMerge/>
          </w:tcPr>
          <w:p w14:paraId="6211F095" w14:textId="77777777" w:rsidR="00F95AF6" w:rsidRPr="001C28F5" w:rsidRDefault="00F95AF6" w:rsidP="009746A6">
            <w:pPr>
              <w:pStyle w:val="Tablebodytext"/>
              <w:keepNext w:val="0"/>
              <w:keepLines w:val="0"/>
              <w:rPr>
                <w:lang w:eastAsia="en-AU"/>
              </w:rPr>
            </w:pPr>
          </w:p>
        </w:tc>
        <w:tc>
          <w:tcPr>
            <w:tcW w:w="992" w:type="dxa"/>
          </w:tcPr>
          <w:p w14:paraId="65477E69"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02C96CC6"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Biannually</w:t>
            </w:r>
          </w:p>
        </w:tc>
        <w:tc>
          <w:tcPr>
            <w:tcW w:w="966" w:type="dxa"/>
          </w:tcPr>
          <w:p w14:paraId="045E8741"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3977793F" w14:textId="77777777" w:rsidR="00F95AF6" w:rsidRPr="001C28F5" w:rsidRDefault="00F95AF6" w:rsidP="009746A6">
            <w:pPr>
              <w:pStyle w:val="Tablebodytext"/>
              <w:keepNext w:val="0"/>
              <w:keepLines w:val="0"/>
              <w:rPr>
                <w:lang w:eastAsia="en-AU"/>
              </w:rPr>
            </w:pPr>
          </w:p>
        </w:tc>
        <w:tc>
          <w:tcPr>
            <w:tcW w:w="995" w:type="dxa"/>
            <w:vMerge/>
          </w:tcPr>
          <w:p w14:paraId="37732BF0" w14:textId="77777777" w:rsidR="00F95AF6" w:rsidRPr="001C28F5" w:rsidRDefault="00F95AF6" w:rsidP="009746A6">
            <w:pPr>
              <w:pStyle w:val="Tablebodytext"/>
              <w:keepNext w:val="0"/>
              <w:keepLines w:val="0"/>
              <w:rPr>
                <w:lang w:eastAsia="en-AU"/>
              </w:rPr>
            </w:pPr>
          </w:p>
        </w:tc>
      </w:tr>
      <w:tr w:rsidR="00F95AF6" w:rsidRPr="001C28F5" w14:paraId="37B61F25" w14:textId="77777777" w:rsidTr="001371EB">
        <w:trPr>
          <w:trHeight w:val="440"/>
        </w:trPr>
        <w:tc>
          <w:tcPr>
            <w:tcW w:w="2037" w:type="dxa"/>
            <w:vMerge/>
          </w:tcPr>
          <w:p w14:paraId="5CBCD397" w14:textId="77777777" w:rsidR="00F95AF6" w:rsidRPr="001C28F5" w:rsidRDefault="00F95AF6" w:rsidP="009746A6">
            <w:pPr>
              <w:pStyle w:val="Tablebodytext"/>
              <w:keepNext w:val="0"/>
              <w:keepLines w:val="0"/>
              <w:rPr>
                <w:lang w:eastAsia="en-AU"/>
              </w:rPr>
            </w:pPr>
          </w:p>
        </w:tc>
        <w:tc>
          <w:tcPr>
            <w:tcW w:w="1082" w:type="dxa"/>
            <w:vMerge/>
          </w:tcPr>
          <w:p w14:paraId="530E22F8" w14:textId="77777777" w:rsidR="00F95AF6" w:rsidRPr="001C28F5" w:rsidRDefault="00F95AF6" w:rsidP="009746A6">
            <w:pPr>
              <w:pStyle w:val="Tablebodytext"/>
              <w:keepNext w:val="0"/>
              <w:keepLines w:val="0"/>
              <w:rPr>
                <w:lang w:eastAsia="en-AU"/>
              </w:rPr>
            </w:pPr>
          </w:p>
        </w:tc>
        <w:tc>
          <w:tcPr>
            <w:tcW w:w="992" w:type="dxa"/>
          </w:tcPr>
          <w:p w14:paraId="60605923"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6B4873C5"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Quarterly</w:t>
            </w:r>
          </w:p>
        </w:tc>
        <w:tc>
          <w:tcPr>
            <w:tcW w:w="966" w:type="dxa"/>
          </w:tcPr>
          <w:p w14:paraId="558E4786" w14:textId="77777777" w:rsidR="00F95AF6" w:rsidRPr="001C28F5" w:rsidRDefault="00F95AF6" w:rsidP="009746A6">
            <w:pPr>
              <w:pStyle w:val="Tablebodytext"/>
              <w:keepNext w:val="0"/>
              <w:keepLines w:val="0"/>
              <w:rPr>
                <w:lang w:eastAsia="en-AU"/>
              </w:rPr>
            </w:pPr>
            <w:r w:rsidRPr="001C28F5">
              <w:rPr>
                <w:lang w:eastAsia="en-AU"/>
              </w:rPr>
              <w:t>2/4</w:t>
            </w:r>
          </w:p>
        </w:tc>
        <w:tc>
          <w:tcPr>
            <w:tcW w:w="1043" w:type="dxa"/>
            <w:vMerge/>
          </w:tcPr>
          <w:p w14:paraId="4E5ABC5E" w14:textId="77777777" w:rsidR="00F95AF6" w:rsidRPr="001C28F5" w:rsidRDefault="00F95AF6" w:rsidP="009746A6">
            <w:pPr>
              <w:pStyle w:val="Tablebodytext"/>
              <w:keepNext w:val="0"/>
              <w:keepLines w:val="0"/>
              <w:rPr>
                <w:lang w:eastAsia="en-AU"/>
              </w:rPr>
            </w:pPr>
          </w:p>
        </w:tc>
        <w:tc>
          <w:tcPr>
            <w:tcW w:w="995" w:type="dxa"/>
            <w:vMerge/>
          </w:tcPr>
          <w:p w14:paraId="09F93014" w14:textId="77777777" w:rsidR="00F95AF6" w:rsidRPr="001C28F5" w:rsidRDefault="00F95AF6" w:rsidP="009746A6">
            <w:pPr>
              <w:pStyle w:val="Tablebodytext"/>
              <w:keepNext w:val="0"/>
              <w:keepLines w:val="0"/>
              <w:rPr>
                <w:lang w:eastAsia="en-AU"/>
              </w:rPr>
            </w:pPr>
          </w:p>
        </w:tc>
      </w:tr>
      <w:tr w:rsidR="00F95AF6" w:rsidRPr="001C28F5" w14:paraId="01CDBC79" w14:textId="77777777" w:rsidTr="001371EB">
        <w:trPr>
          <w:trHeight w:val="440"/>
        </w:trPr>
        <w:tc>
          <w:tcPr>
            <w:tcW w:w="2037" w:type="dxa"/>
            <w:vMerge/>
          </w:tcPr>
          <w:p w14:paraId="60D5AAE7" w14:textId="77777777" w:rsidR="00F95AF6" w:rsidRPr="001C28F5" w:rsidRDefault="00F95AF6" w:rsidP="009746A6">
            <w:pPr>
              <w:pStyle w:val="Tablebodytext"/>
              <w:keepNext w:val="0"/>
              <w:keepLines w:val="0"/>
              <w:rPr>
                <w:lang w:eastAsia="en-AU"/>
              </w:rPr>
            </w:pPr>
          </w:p>
        </w:tc>
        <w:tc>
          <w:tcPr>
            <w:tcW w:w="1082" w:type="dxa"/>
            <w:vMerge/>
          </w:tcPr>
          <w:p w14:paraId="000A3F4E" w14:textId="77777777" w:rsidR="00F95AF6" w:rsidRPr="001C28F5" w:rsidRDefault="00F95AF6" w:rsidP="009746A6">
            <w:pPr>
              <w:pStyle w:val="Tablebodytext"/>
              <w:keepNext w:val="0"/>
              <w:keepLines w:val="0"/>
              <w:rPr>
                <w:lang w:eastAsia="en-AU"/>
              </w:rPr>
            </w:pPr>
          </w:p>
        </w:tc>
        <w:tc>
          <w:tcPr>
            <w:tcW w:w="992" w:type="dxa"/>
          </w:tcPr>
          <w:p w14:paraId="242B4F95"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2C98BC1B"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Monthly</w:t>
            </w:r>
          </w:p>
        </w:tc>
        <w:tc>
          <w:tcPr>
            <w:tcW w:w="966" w:type="dxa"/>
          </w:tcPr>
          <w:p w14:paraId="7A752907" w14:textId="77777777" w:rsidR="00F95AF6" w:rsidRPr="001C28F5" w:rsidRDefault="00F95AF6" w:rsidP="009746A6">
            <w:pPr>
              <w:pStyle w:val="Tablebodytext"/>
              <w:keepNext w:val="0"/>
              <w:keepLines w:val="0"/>
              <w:rPr>
                <w:lang w:eastAsia="en-AU"/>
              </w:rPr>
            </w:pPr>
            <w:r w:rsidRPr="001C28F5">
              <w:rPr>
                <w:lang w:eastAsia="en-AU"/>
              </w:rPr>
              <w:t>2/4</w:t>
            </w:r>
          </w:p>
        </w:tc>
        <w:tc>
          <w:tcPr>
            <w:tcW w:w="1043" w:type="dxa"/>
            <w:vMerge/>
          </w:tcPr>
          <w:p w14:paraId="7BB3EDD8" w14:textId="77777777" w:rsidR="00F95AF6" w:rsidRPr="001C28F5" w:rsidRDefault="00F95AF6" w:rsidP="009746A6">
            <w:pPr>
              <w:pStyle w:val="Tablebodytext"/>
              <w:keepNext w:val="0"/>
              <w:keepLines w:val="0"/>
              <w:rPr>
                <w:lang w:eastAsia="en-AU"/>
              </w:rPr>
            </w:pPr>
          </w:p>
        </w:tc>
        <w:tc>
          <w:tcPr>
            <w:tcW w:w="995" w:type="dxa"/>
            <w:vMerge/>
          </w:tcPr>
          <w:p w14:paraId="40B884DC" w14:textId="77777777" w:rsidR="00F95AF6" w:rsidRPr="001C28F5" w:rsidRDefault="00F95AF6" w:rsidP="009746A6">
            <w:pPr>
              <w:pStyle w:val="Tablebodytext"/>
              <w:keepNext w:val="0"/>
              <w:keepLines w:val="0"/>
              <w:rPr>
                <w:lang w:eastAsia="en-AU"/>
              </w:rPr>
            </w:pPr>
          </w:p>
        </w:tc>
      </w:tr>
      <w:tr w:rsidR="00F95AF6" w:rsidRPr="001C28F5" w14:paraId="12BE996A" w14:textId="77777777" w:rsidTr="001371EB">
        <w:trPr>
          <w:trHeight w:val="440"/>
        </w:trPr>
        <w:tc>
          <w:tcPr>
            <w:tcW w:w="2037" w:type="dxa"/>
            <w:vMerge/>
          </w:tcPr>
          <w:p w14:paraId="4CC42B8C" w14:textId="77777777" w:rsidR="00F95AF6" w:rsidRPr="001C28F5" w:rsidRDefault="00F95AF6" w:rsidP="009746A6">
            <w:pPr>
              <w:pStyle w:val="Tablebodytext"/>
              <w:keepNext w:val="0"/>
              <w:keepLines w:val="0"/>
              <w:rPr>
                <w:lang w:eastAsia="en-AU"/>
              </w:rPr>
            </w:pPr>
          </w:p>
        </w:tc>
        <w:tc>
          <w:tcPr>
            <w:tcW w:w="1082" w:type="dxa"/>
            <w:vMerge/>
          </w:tcPr>
          <w:p w14:paraId="1CC77F8B" w14:textId="77777777" w:rsidR="00F95AF6" w:rsidRPr="001C28F5" w:rsidRDefault="00F95AF6" w:rsidP="009746A6">
            <w:pPr>
              <w:pStyle w:val="Tablebodytext"/>
              <w:keepNext w:val="0"/>
              <w:keepLines w:val="0"/>
              <w:rPr>
                <w:lang w:eastAsia="en-AU"/>
              </w:rPr>
            </w:pPr>
          </w:p>
        </w:tc>
        <w:tc>
          <w:tcPr>
            <w:tcW w:w="992" w:type="dxa"/>
          </w:tcPr>
          <w:p w14:paraId="2C74AE45"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134E5E71"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Weekly</w:t>
            </w:r>
          </w:p>
        </w:tc>
        <w:tc>
          <w:tcPr>
            <w:tcW w:w="966" w:type="dxa"/>
          </w:tcPr>
          <w:p w14:paraId="4089D291" w14:textId="77777777" w:rsidR="00F95AF6" w:rsidRPr="001C28F5" w:rsidRDefault="00F95AF6" w:rsidP="009746A6">
            <w:pPr>
              <w:pStyle w:val="Tablebodytext"/>
              <w:keepNext w:val="0"/>
              <w:keepLines w:val="0"/>
              <w:rPr>
                <w:lang w:eastAsia="en-AU"/>
              </w:rPr>
            </w:pPr>
            <w:r w:rsidRPr="001C28F5">
              <w:rPr>
                <w:lang w:eastAsia="en-AU"/>
              </w:rPr>
              <w:t>3/4</w:t>
            </w:r>
          </w:p>
        </w:tc>
        <w:tc>
          <w:tcPr>
            <w:tcW w:w="1043" w:type="dxa"/>
            <w:vMerge/>
          </w:tcPr>
          <w:p w14:paraId="025FE364" w14:textId="77777777" w:rsidR="00F95AF6" w:rsidRPr="001C28F5" w:rsidRDefault="00F95AF6" w:rsidP="009746A6">
            <w:pPr>
              <w:pStyle w:val="Tablebodytext"/>
              <w:keepNext w:val="0"/>
              <w:keepLines w:val="0"/>
              <w:rPr>
                <w:lang w:eastAsia="en-AU"/>
              </w:rPr>
            </w:pPr>
          </w:p>
        </w:tc>
        <w:tc>
          <w:tcPr>
            <w:tcW w:w="995" w:type="dxa"/>
            <w:vMerge/>
          </w:tcPr>
          <w:p w14:paraId="33A31738" w14:textId="77777777" w:rsidR="00F95AF6" w:rsidRPr="001C28F5" w:rsidRDefault="00F95AF6" w:rsidP="009746A6">
            <w:pPr>
              <w:pStyle w:val="Tablebodytext"/>
              <w:keepNext w:val="0"/>
              <w:keepLines w:val="0"/>
              <w:rPr>
                <w:lang w:eastAsia="en-AU"/>
              </w:rPr>
            </w:pPr>
          </w:p>
        </w:tc>
      </w:tr>
      <w:tr w:rsidR="00F95AF6" w:rsidRPr="001C28F5" w14:paraId="4862D3C5" w14:textId="77777777" w:rsidTr="001371EB">
        <w:trPr>
          <w:trHeight w:val="440"/>
        </w:trPr>
        <w:tc>
          <w:tcPr>
            <w:tcW w:w="2037" w:type="dxa"/>
            <w:vMerge/>
          </w:tcPr>
          <w:p w14:paraId="3510285D" w14:textId="77777777" w:rsidR="00F95AF6" w:rsidRPr="001C28F5" w:rsidRDefault="00F95AF6" w:rsidP="009746A6">
            <w:pPr>
              <w:pStyle w:val="Tablebodytext"/>
              <w:keepNext w:val="0"/>
              <w:keepLines w:val="0"/>
              <w:rPr>
                <w:lang w:eastAsia="en-AU"/>
              </w:rPr>
            </w:pPr>
          </w:p>
        </w:tc>
        <w:tc>
          <w:tcPr>
            <w:tcW w:w="1082" w:type="dxa"/>
            <w:vMerge/>
          </w:tcPr>
          <w:p w14:paraId="47E93BBF" w14:textId="77777777" w:rsidR="00F95AF6" w:rsidRPr="001C28F5" w:rsidRDefault="00F95AF6" w:rsidP="009746A6">
            <w:pPr>
              <w:pStyle w:val="Tablebodytext"/>
              <w:keepNext w:val="0"/>
              <w:keepLines w:val="0"/>
              <w:rPr>
                <w:lang w:eastAsia="en-AU"/>
              </w:rPr>
            </w:pPr>
          </w:p>
        </w:tc>
        <w:tc>
          <w:tcPr>
            <w:tcW w:w="992" w:type="dxa"/>
          </w:tcPr>
          <w:p w14:paraId="59A5DE8F"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4B57FB6D"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Daily</w:t>
            </w:r>
          </w:p>
        </w:tc>
        <w:tc>
          <w:tcPr>
            <w:tcW w:w="966" w:type="dxa"/>
          </w:tcPr>
          <w:p w14:paraId="09555885"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A31AA94" w14:textId="77777777" w:rsidR="00F95AF6" w:rsidRPr="001C28F5" w:rsidRDefault="00F95AF6" w:rsidP="009746A6">
            <w:pPr>
              <w:pStyle w:val="Tablebodytext"/>
              <w:keepNext w:val="0"/>
              <w:keepLines w:val="0"/>
              <w:rPr>
                <w:lang w:eastAsia="en-AU"/>
              </w:rPr>
            </w:pPr>
          </w:p>
        </w:tc>
        <w:tc>
          <w:tcPr>
            <w:tcW w:w="995" w:type="dxa"/>
            <w:vMerge/>
          </w:tcPr>
          <w:p w14:paraId="4E69B573" w14:textId="77777777" w:rsidR="00F95AF6" w:rsidRPr="001C28F5" w:rsidRDefault="00F95AF6" w:rsidP="009746A6">
            <w:pPr>
              <w:pStyle w:val="Tablebodytext"/>
              <w:keepNext w:val="0"/>
              <w:keepLines w:val="0"/>
              <w:rPr>
                <w:lang w:eastAsia="en-AU"/>
              </w:rPr>
            </w:pPr>
          </w:p>
        </w:tc>
      </w:tr>
      <w:tr w:rsidR="00F95AF6" w:rsidRPr="001C28F5" w14:paraId="643B73FE" w14:textId="77777777" w:rsidTr="001371EB">
        <w:trPr>
          <w:trHeight w:val="440"/>
        </w:trPr>
        <w:tc>
          <w:tcPr>
            <w:tcW w:w="2037" w:type="dxa"/>
            <w:vMerge/>
          </w:tcPr>
          <w:p w14:paraId="126301FD" w14:textId="77777777" w:rsidR="00F95AF6" w:rsidRPr="001C28F5" w:rsidRDefault="00F95AF6" w:rsidP="009746A6">
            <w:pPr>
              <w:pStyle w:val="Tablebodytext"/>
              <w:keepNext w:val="0"/>
              <w:keepLines w:val="0"/>
              <w:rPr>
                <w:lang w:eastAsia="en-AU"/>
              </w:rPr>
            </w:pPr>
          </w:p>
        </w:tc>
        <w:tc>
          <w:tcPr>
            <w:tcW w:w="1082" w:type="dxa"/>
            <w:vMerge/>
          </w:tcPr>
          <w:p w14:paraId="7B4FFD14" w14:textId="77777777" w:rsidR="00F95AF6" w:rsidRPr="001C28F5" w:rsidRDefault="00F95AF6" w:rsidP="009746A6">
            <w:pPr>
              <w:pStyle w:val="Tablebodytext"/>
              <w:keepNext w:val="0"/>
              <w:keepLines w:val="0"/>
              <w:rPr>
                <w:lang w:eastAsia="en-AU"/>
              </w:rPr>
            </w:pPr>
          </w:p>
        </w:tc>
        <w:tc>
          <w:tcPr>
            <w:tcW w:w="992" w:type="dxa"/>
          </w:tcPr>
          <w:p w14:paraId="46ACF4FB"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743F1FD1"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Hourly or more frequently</w:t>
            </w:r>
          </w:p>
        </w:tc>
        <w:tc>
          <w:tcPr>
            <w:tcW w:w="966" w:type="dxa"/>
          </w:tcPr>
          <w:p w14:paraId="34B47E93"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0B68ABBE" w14:textId="77777777" w:rsidR="00F95AF6" w:rsidRPr="001C28F5" w:rsidRDefault="00F95AF6" w:rsidP="009746A6">
            <w:pPr>
              <w:pStyle w:val="Tablebodytext"/>
              <w:keepNext w:val="0"/>
              <w:keepLines w:val="0"/>
              <w:rPr>
                <w:lang w:eastAsia="en-AU"/>
              </w:rPr>
            </w:pPr>
          </w:p>
        </w:tc>
        <w:tc>
          <w:tcPr>
            <w:tcW w:w="995" w:type="dxa"/>
            <w:vMerge/>
          </w:tcPr>
          <w:p w14:paraId="49913F6F" w14:textId="77777777" w:rsidR="00F95AF6" w:rsidRPr="001C28F5" w:rsidRDefault="00F95AF6" w:rsidP="009746A6">
            <w:pPr>
              <w:pStyle w:val="Tablebodytext"/>
              <w:keepNext w:val="0"/>
              <w:keepLines w:val="0"/>
              <w:rPr>
                <w:lang w:eastAsia="en-AU"/>
              </w:rPr>
            </w:pPr>
          </w:p>
        </w:tc>
      </w:tr>
      <w:tr w:rsidR="00F95AF6" w:rsidRPr="001C28F5" w14:paraId="19F71C28" w14:textId="77777777" w:rsidTr="001371EB">
        <w:trPr>
          <w:trHeight w:val="440"/>
        </w:trPr>
        <w:tc>
          <w:tcPr>
            <w:tcW w:w="2037" w:type="dxa"/>
            <w:vMerge/>
          </w:tcPr>
          <w:p w14:paraId="57DDBBFA" w14:textId="77777777" w:rsidR="00F95AF6" w:rsidRPr="001C28F5" w:rsidRDefault="00F95AF6" w:rsidP="009746A6">
            <w:pPr>
              <w:pStyle w:val="Tablebodytext"/>
              <w:keepNext w:val="0"/>
              <w:keepLines w:val="0"/>
              <w:rPr>
                <w:lang w:eastAsia="en-AU"/>
              </w:rPr>
            </w:pPr>
          </w:p>
        </w:tc>
        <w:tc>
          <w:tcPr>
            <w:tcW w:w="1082" w:type="dxa"/>
            <w:vMerge/>
          </w:tcPr>
          <w:p w14:paraId="70814474" w14:textId="77777777" w:rsidR="00F95AF6" w:rsidRPr="001C28F5" w:rsidRDefault="00F95AF6" w:rsidP="009746A6">
            <w:pPr>
              <w:pStyle w:val="Tablebodytext"/>
              <w:keepNext w:val="0"/>
              <w:keepLines w:val="0"/>
              <w:rPr>
                <w:lang w:eastAsia="en-AU"/>
              </w:rPr>
            </w:pPr>
          </w:p>
        </w:tc>
        <w:tc>
          <w:tcPr>
            <w:tcW w:w="992" w:type="dxa"/>
          </w:tcPr>
          <w:p w14:paraId="2A2BFFCB" w14:textId="77777777" w:rsidR="00F95AF6" w:rsidRPr="001C28F5" w:rsidRDefault="00F95AF6" w:rsidP="009746A6">
            <w:pPr>
              <w:pStyle w:val="Tablebodytext"/>
              <w:keepNext w:val="0"/>
              <w:keepLines w:val="0"/>
              <w:rPr>
                <w:lang w:eastAsia="en-AU"/>
              </w:rPr>
            </w:pPr>
            <w:r w:rsidRPr="001C28F5">
              <w:rPr>
                <w:lang w:eastAsia="en-AU"/>
              </w:rPr>
              <w:t>h</w:t>
            </w:r>
          </w:p>
        </w:tc>
        <w:tc>
          <w:tcPr>
            <w:tcW w:w="2485" w:type="dxa"/>
          </w:tcPr>
          <w:p w14:paraId="7500C6B7"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Other review period(s)</w:t>
            </w:r>
          </w:p>
        </w:tc>
        <w:tc>
          <w:tcPr>
            <w:tcW w:w="966" w:type="dxa"/>
          </w:tcPr>
          <w:p w14:paraId="39D44E9F"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20D8F238" w14:textId="77777777" w:rsidR="00F95AF6" w:rsidRPr="001C28F5" w:rsidRDefault="00F95AF6" w:rsidP="009746A6">
            <w:pPr>
              <w:pStyle w:val="Tablebodytext"/>
              <w:keepNext w:val="0"/>
              <w:keepLines w:val="0"/>
              <w:rPr>
                <w:lang w:eastAsia="en-AU"/>
              </w:rPr>
            </w:pPr>
          </w:p>
        </w:tc>
        <w:tc>
          <w:tcPr>
            <w:tcW w:w="995" w:type="dxa"/>
            <w:vMerge/>
          </w:tcPr>
          <w:p w14:paraId="3DD11A9F" w14:textId="77777777" w:rsidR="00F95AF6" w:rsidRPr="001C28F5" w:rsidRDefault="00F95AF6" w:rsidP="009746A6">
            <w:pPr>
              <w:pStyle w:val="Tablebodytext"/>
              <w:keepNext w:val="0"/>
              <w:keepLines w:val="0"/>
              <w:rPr>
                <w:lang w:eastAsia="en-AU"/>
              </w:rPr>
            </w:pPr>
          </w:p>
        </w:tc>
      </w:tr>
      <w:tr w:rsidR="00F95AF6" w:rsidRPr="001C28F5" w14:paraId="143CD830" w14:textId="77777777" w:rsidTr="001371EB">
        <w:trPr>
          <w:trHeight w:val="440"/>
        </w:trPr>
        <w:tc>
          <w:tcPr>
            <w:tcW w:w="2037" w:type="dxa"/>
            <w:vMerge/>
          </w:tcPr>
          <w:p w14:paraId="37FFEE91" w14:textId="77777777" w:rsidR="00F95AF6" w:rsidRPr="001C28F5" w:rsidRDefault="00F95AF6" w:rsidP="009746A6">
            <w:pPr>
              <w:pStyle w:val="Tablebodytext"/>
              <w:keepNext w:val="0"/>
              <w:keepLines w:val="0"/>
              <w:rPr>
                <w:lang w:eastAsia="en-AU"/>
              </w:rPr>
            </w:pPr>
          </w:p>
        </w:tc>
        <w:tc>
          <w:tcPr>
            <w:tcW w:w="1082" w:type="dxa"/>
            <w:vMerge/>
          </w:tcPr>
          <w:p w14:paraId="707007D1" w14:textId="77777777" w:rsidR="00F95AF6" w:rsidRPr="001C28F5" w:rsidRDefault="00F95AF6" w:rsidP="009746A6">
            <w:pPr>
              <w:pStyle w:val="Tablebodytext"/>
              <w:keepNext w:val="0"/>
              <w:keepLines w:val="0"/>
              <w:rPr>
                <w:lang w:eastAsia="en-AU"/>
              </w:rPr>
            </w:pPr>
          </w:p>
        </w:tc>
        <w:tc>
          <w:tcPr>
            <w:tcW w:w="992" w:type="dxa"/>
          </w:tcPr>
          <w:p w14:paraId="14E8C049" w14:textId="77777777" w:rsidR="00F95AF6" w:rsidRPr="001C28F5" w:rsidRDefault="00F95AF6" w:rsidP="009746A6">
            <w:pPr>
              <w:pStyle w:val="Tablebodytext"/>
              <w:keepNext w:val="0"/>
              <w:keepLines w:val="0"/>
              <w:rPr>
                <w:lang w:eastAsia="en-AU"/>
              </w:rPr>
            </w:pPr>
            <w:r w:rsidRPr="001C28F5">
              <w:rPr>
                <w:lang w:eastAsia="en-AU"/>
              </w:rPr>
              <w:t>i</w:t>
            </w:r>
          </w:p>
        </w:tc>
        <w:tc>
          <w:tcPr>
            <w:tcW w:w="2485" w:type="dxa"/>
          </w:tcPr>
          <w:p w14:paraId="40255E9A" w14:textId="77777777" w:rsidR="00F95AF6" w:rsidRPr="001C28F5" w:rsidRDefault="00F95AF6" w:rsidP="009746A6">
            <w:pPr>
              <w:pStyle w:val="Tablebodytext"/>
              <w:keepNext w:val="0"/>
              <w:keepLines w:val="0"/>
              <w:rPr>
                <w:lang w:eastAsia="en-AU"/>
              </w:rPr>
            </w:pPr>
            <w:r w:rsidRPr="001C28F5">
              <w:rPr>
                <w:lang w:eastAsia="en-AU"/>
              </w:rPr>
              <w:t>Frequency KPIs monitored by non-managers - Never</w:t>
            </w:r>
          </w:p>
        </w:tc>
        <w:tc>
          <w:tcPr>
            <w:tcW w:w="966" w:type="dxa"/>
          </w:tcPr>
          <w:p w14:paraId="74AB089E"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60768AF6" w14:textId="77777777" w:rsidR="00F95AF6" w:rsidRPr="001C28F5" w:rsidRDefault="00F95AF6" w:rsidP="009746A6">
            <w:pPr>
              <w:pStyle w:val="Tablebodytext"/>
              <w:keepNext w:val="0"/>
              <w:keepLines w:val="0"/>
              <w:rPr>
                <w:lang w:eastAsia="en-AU"/>
              </w:rPr>
            </w:pPr>
          </w:p>
        </w:tc>
        <w:tc>
          <w:tcPr>
            <w:tcW w:w="995" w:type="dxa"/>
            <w:vMerge/>
          </w:tcPr>
          <w:p w14:paraId="3EBDD90F" w14:textId="77777777" w:rsidR="00F95AF6" w:rsidRPr="001C28F5" w:rsidRDefault="00F95AF6" w:rsidP="009746A6">
            <w:pPr>
              <w:pStyle w:val="Tablebodytext"/>
              <w:keepNext w:val="0"/>
              <w:keepLines w:val="0"/>
              <w:rPr>
                <w:lang w:eastAsia="en-AU"/>
              </w:rPr>
            </w:pPr>
          </w:p>
        </w:tc>
      </w:tr>
      <w:tr w:rsidR="00F95AF6" w:rsidRPr="001C28F5" w14:paraId="4BB50E39" w14:textId="77777777" w:rsidTr="001371EB">
        <w:trPr>
          <w:trHeight w:val="220"/>
        </w:trPr>
        <w:tc>
          <w:tcPr>
            <w:tcW w:w="2037" w:type="dxa"/>
            <w:vMerge w:val="restart"/>
          </w:tcPr>
          <w:p w14:paraId="7D3E64B4" w14:textId="77777777" w:rsidR="00F95AF6" w:rsidRPr="001C28F5" w:rsidRDefault="00F95AF6" w:rsidP="009746A6">
            <w:pPr>
              <w:pStyle w:val="Tablebodytext"/>
              <w:keepNext w:val="0"/>
              <w:keepLines w:val="0"/>
              <w:rPr>
                <w:lang w:eastAsia="en-AU"/>
              </w:rPr>
            </w:pPr>
            <w:r w:rsidRPr="001C28F5">
              <w:rPr>
                <w:lang w:eastAsia="en-AU"/>
              </w:rPr>
              <w:t xml:space="preserve">13.2 How frequently were the Key Performance Indicators monitored by managers and non-managers of this business? </w:t>
            </w:r>
          </w:p>
          <w:p w14:paraId="5DAA413A" w14:textId="77777777" w:rsidR="00F95AF6" w:rsidRPr="001C28F5" w:rsidRDefault="00F95AF6" w:rsidP="009746A6">
            <w:pPr>
              <w:pStyle w:val="Tablebodytext"/>
              <w:keepNext w:val="0"/>
              <w:keepLines w:val="0"/>
              <w:rPr>
                <w:lang w:eastAsia="en-AU"/>
              </w:rPr>
            </w:pPr>
          </w:p>
        </w:tc>
        <w:tc>
          <w:tcPr>
            <w:tcW w:w="1082" w:type="dxa"/>
            <w:vMerge w:val="restart"/>
          </w:tcPr>
          <w:p w14:paraId="67954761" w14:textId="77777777" w:rsidR="00F95AF6" w:rsidRPr="0064751A" w:rsidRDefault="00F95AF6" w:rsidP="009746A6">
            <w:pPr>
              <w:pStyle w:val="Tablebodytext"/>
              <w:keepNext w:val="0"/>
              <w:keepLines w:val="0"/>
              <w:rPr>
                <w:lang w:eastAsia="en-AU"/>
              </w:rPr>
            </w:pPr>
            <w:r w:rsidRPr="0064751A">
              <w:rPr>
                <w:lang w:eastAsia="en-AU"/>
              </w:rPr>
              <w:t>Scaled</w:t>
            </w:r>
          </w:p>
          <w:p w14:paraId="64E030FF" w14:textId="77777777" w:rsidR="00F95AF6" w:rsidRPr="001C28F5" w:rsidRDefault="00F95AF6" w:rsidP="009746A6">
            <w:pPr>
              <w:pStyle w:val="Tablebodytext"/>
              <w:keepNext w:val="0"/>
              <w:keepLines w:val="0"/>
              <w:rPr>
                <w:lang w:eastAsia="en-AU"/>
              </w:rPr>
            </w:pPr>
          </w:p>
        </w:tc>
        <w:tc>
          <w:tcPr>
            <w:tcW w:w="992" w:type="dxa"/>
          </w:tcPr>
          <w:p w14:paraId="07C4A1E6"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1D83A051" w14:textId="77777777" w:rsidR="00F95AF6" w:rsidRPr="001C28F5" w:rsidRDefault="00F95AF6" w:rsidP="009746A6">
            <w:pPr>
              <w:pStyle w:val="Tablebodytext"/>
              <w:keepNext w:val="0"/>
              <w:keepLines w:val="0"/>
              <w:rPr>
                <w:lang w:eastAsia="en-AU"/>
              </w:rPr>
            </w:pPr>
            <w:r w:rsidRPr="001C28F5">
              <w:rPr>
                <w:lang w:eastAsia="en-AU"/>
              </w:rPr>
              <w:t>Frequency KPIs monitored by managers - Annually</w:t>
            </w:r>
          </w:p>
        </w:tc>
        <w:tc>
          <w:tcPr>
            <w:tcW w:w="966" w:type="dxa"/>
          </w:tcPr>
          <w:p w14:paraId="5DA9F9E6"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val="restart"/>
          </w:tcPr>
          <w:p w14:paraId="5CE4C86A"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4FE97EDF" w14:textId="77777777" w:rsidR="00F95AF6" w:rsidRPr="001C28F5" w:rsidRDefault="00F95AF6" w:rsidP="009746A6">
            <w:pPr>
              <w:pStyle w:val="Tablebodytext"/>
              <w:keepNext w:val="0"/>
              <w:keepLines w:val="0"/>
              <w:rPr>
                <w:lang w:eastAsia="en-AU"/>
              </w:rPr>
            </w:pPr>
            <w:r w:rsidRPr="001C28F5">
              <w:rPr>
                <w:lang w:eastAsia="en-AU"/>
              </w:rPr>
              <w:t>0.350</w:t>
            </w:r>
          </w:p>
        </w:tc>
      </w:tr>
      <w:tr w:rsidR="00F95AF6" w:rsidRPr="001C28F5" w14:paraId="579212A5" w14:textId="77777777" w:rsidTr="001371EB">
        <w:trPr>
          <w:trHeight w:val="440"/>
        </w:trPr>
        <w:tc>
          <w:tcPr>
            <w:tcW w:w="2037" w:type="dxa"/>
            <w:vMerge/>
          </w:tcPr>
          <w:p w14:paraId="7BEF790B" w14:textId="77777777" w:rsidR="00F95AF6" w:rsidRPr="001C28F5" w:rsidRDefault="00F95AF6" w:rsidP="009746A6">
            <w:pPr>
              <w:pStyle w:val="Tablebodytext"/>
              <w:keepNext w:val="0"/>
              <w:keepLines w:val="0"/>
              <w:rPr>
                <w:lang w:eastAsia="en-AU"/>
              </w:rPr>
            </w:pPr>
          </w:p>
        </w:tc>
        <w:tc>
          <w:tcPr>
            <w:tcW w:w="1082" w:type="dxa"/>
            <w:vMerge/>
          </w:tcPr>
          <w:p w14:paraId="2D03A11F" w14:textId="77777777" w:rsidR="00F95AF6" w:rsidRPr="001C28F5" w:rsidRDefault="00F95AF6" w:rsidP="009746A6">
            <w:pPr>
              <w:pStyle w:val="Tablebodytext"/>
              <w:keepNext w:val="0"/>
              <w:keepLines w:val="0"/>
              <w:rPr>
                <w:lang w:eastAsia="en-AU"/>
              </w:rPr>
            </w:pPr>
          </w:p>
        </w:tc>
        <w:tc>
          <w:tcPr>
            <w:tcW w:w="992" w:type="dxa"/>
          </w:tcPr>
          <w:p w14:paraId="7F48DB21"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290B7C06" w14:textId="77777777" w:rsidR="00F95AF6" w:rsidRPr="001C28F5" w:rsidRDefault="00F95AF6" w:rsidP="009746A6">
            <w:pPr>
              <w:pStyle w:val="Tablebodytext"/>
              <w:keepNext w:val="0"/>
              <w:keepLines w:val="0"/>
              <w:rPr>
                <w:lang w:eastAsia="en-AU"/>
              </w:rPr>
            </w:pPr>
            <w:r w:rsidRPr="001C28F5">
              <w:rPr>
                <w:lang w:eastAsia="en-AU"/>
              </w:rPr>
              <w:t>Frequency KPIs monitored by managers - Biannually</w:t>
            </w:r>
          </w:p>
        </w:tc>
        <w:tc>
          <w:tcPr>
            <w:tcW w:w="966" w:type="dxa"/>
          </w:tcPr>
          <w:p w14:paraId="38A1AF8C"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2DD85EA2" w14:textId="77777777" w:rsidR="00F95AF6" w:rsidRPr="001C28F5" w:rsidRDefault="00F95AF6" w:rsidP="009746A6">
            <w:pPr>
              <w:pStyle w:val="Tablebodytext"/>
              <w:keepNext w:val="0"/>
              <w:keepLines w:val="0"/>
              <w:rPr>
                <w:lang w:eastAsia="en-AU"/>
              </w:rPr>
            </w:pPr>
          </w:p>
        </w:tc>
        <w:tc>
          <w:tcPr>
            <w:tcW w:w="995" w:type="dxa"/>
            <w:vMerge/>
          </w:tcPr>
          <w:p w14:paraId="60B33F59" w14:textId="77777777" w:rsidR="00F95AF6" w:rsidRPr="001C28F5" w:rsidRDefault="00F95AF6" w:rsidP="009746A6">
            <w:pPr>
              <w:pStyle w:val="Tablebodytext"/>
              <w:keepNext w:val="0"/>
              <w:keepLines w:val="0"/>
              <w:rPr>
                <w:lang w:eastAsia="en-AU"/>
              </w:rPr>
            </w:pPr>
          </w:p>
        </w:tc>
      </w:tr>
      <w:tr w:rsidR="00F95AF6" w:rsidRPr="001C28F5" w14:paraId="14DD6A41" w14:textId="77777777" w:rsidTr="001371EB">
        <w:trPr>
          <w:trHeight w:val="440"/>
        </w:trPr>
        <w:tc>
          <w:tcPr>
            <w:tcW w:w="2037" w:type="dxa"/>
            <w:vMerge/>
          </w:tcPr>
          <w:p w14:paraId="19E23190" w14:textId="77777777" w:rsidR="00F95AF6" w:rsidRPr="001C28F5" w:rsidRDefault="00F95AF6" w:rsidP="009746A6">
            <w:pPr>
              <w:pStyle w:val="Tablebodytext"/>
              <w:keepNext w:val="0"/>
              <w:keepLines w:val="0"/>
              <w:rPr>
                <w:lang w:eastAsia="en-AU"/>
              </w:rPr>
            </w:pPr>
          </w:p>
        </w:tc>
        <w:tc>
          <w:tcPr>
            <w:tcW w:w="1082" w:type="dxa"/>
            <w:vMerge/>
          </w:tcPr>
          <w:p w14:paraId="15943130" w14:textId="77777777" w:rsidR="00F95AF6" w:rsidRPr="001C28F5" w:rsidRDefault="00F95AF6" w:rsidP="009746A6">
            <w:pPr>
              <w:pStyle w:val="Tablebodytext"/>
              <w:keepNext w:val="0"/>
              <w:keepLines w:val="0"/>
              <w:rPr>
                <w:lang w:eastAsia="en-AU"/>
              </w:rPr>
            </w:pPr>
          </w:p>
        </w:tc>
        <w:tc>
          <w:tcPr>
            <w:tcW w:w="992" w:type="dxa"/>
          </w:tcPr>
          <w:p w14:paraId="712FCA0A"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5166C609" w14:textId="77777777" w:rsidR="00F95AF6" w:rsidRPr="001C28F5" w:rsidRDefault="00F95AF6" w:rsidP="009746A6">
            <w:pPr>
              <w:pStyle w:val="Tablebodytext"/>
              <w:keepNext w:val="0"/>
              <w:keepLines w:val="0"/>
              <w:rPr>
                <w:lang w:eastAsia="en-AU"/>
              </w:rPr>
            </w:pPr>
            <w:r w:rsidRPr="001C28F5">
              <w:rPr>
                <w:lang w:eastAsia="en-AU"/>
              </w:rPr>
              <w:t>Frequency KPIs monitored by managers - Quarterly</w:t>
            </w:r>
          </w:p>
        </w:tc>
        <w:tc>
          <w:tcPr>
            <w:tcW w:w="966" w:type="dxa"/>
          </w:tcPr>
          <w:p w14:paraId="6EC83064"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10F56677" w14:textId="77777777" w:rsidR="00F95AF6" w:rsidRPr="001C28F5" w:rsidRDefault="00F95AF6" w:rsidP="009746A6">
            <w:pPr>
              <w:pStyle w:val="Tablebodytext"/>
              <w:keepNext w:val="0"/>
              <w:keepLines w:val="0"/>
              <w:rPr>
                <w:lang w:eastAsia="en-AU"/>
              </w:rPr>
            </w:pPr>
          </w:p>
        </w:tc>
        <w:tc>
          <w:tcPr>
            <w:tcW w:w="995" w:type="dxa"/>
            <w:vMerge/>
          </w:tcPr>
          <w:p w14:paraId="316899B4" w14:textId="77777777" w:rsidR="00F95AF6" w:rsidRPr="001C28F5" w:rsidRDefault="00F95AF6" w:rsidP="009746A6">
            <w:pPr>
              <w:pStyle w:val="Tablebodytext"/>
              <w:keepNext w:val="0"/>
              <w:keepLines w:val="0"/>
              <w:rPr>
                <w:lang w:eastAsia="en-AU"/>
              </w:rPr>
            </w:pPr>
          </w:p>
        </w:tc>
      </w:tr>
      <w:tr w:rsidR="00F95AF6" w:rsidRPr="001C28F5" w14:paraId="508A5612" w14:textId="77777777" w:rsidTr="001371EB">
        <w:trPr>
          <w:trHeight w:val="440"/>
        </w:trPr>
        <w:tc>
          <w:tcPr>
            <w:tcW w:w="2037" w:type="dxa"/>
            <w:vMerge/>
          </w:tcPr>
          <w:p w14:paraId="0D420D9E" w14:textId="77777777" w:rsidR="00F95AF6" w:rsidRPr="001C28F5" w:rsidRDefault="00F95AF6" w:rsidP="009746A6">
            <w:pPr>
              <w:pStyle w:val="Tablebodytext"/>
              <w:keepNext w:val="0"/>
              <w:keepLines w:val="0"/>
              <w:rPr>
                <w:lang w:eastAsia="en-AU"/>
              </w:rPr>
            </w:pPr>
          </w:p>
        </w:tc>
        <w:tc>
          <w:tcPr>
            <w:tcW w:w="1082" w:type="dxa"/>
            <w:vMerge/>
          </w:tcPr>
          <w:p w14:paraId="3A111D3F" w14:textId="77777777" w:rsidR="00F95AF6" w:rsidRPr="001C28F5" w:rsidRDefault="00F95AF6" w:rsidP="009746A6">
            <w:pPr>
              <w:pStyle w:val="Tablebodytext"/>
              <w:keepNext w:val="0"/>
              <w:keepLines w:val="0"/>
              <w:rPr>
                <w:lang w:eastAsia="en-AU"/>
              </w:rPr>
            </w:pPr>
          </w:p>
        </w:tc>
        <w:tc>
          <w:tcPr>
            <w:tcW w:w="992" w:type="dxa"/>
          </w:tcPr>
          <w:p w14:paraId="3D9BD23A"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1DDCDAD5" w14:textId="77777777" w:rsidR="00F95AF6" w:rsidRPr="001C28F5" w:rsidRDefault="00F95AF6" w:rsidP="009746A6">
            <w:pPr>
              <w:pStyle w:val="Tablebodytext"/>
              <w:keepNext w:val="0"/>
              <w:keepLines w:val="0"/>
              <w:rPr>
                <w:lang w:eastAsia="en-AU"/>
              </w:rPr>
            </w:pPr>
            <w:r w:rsidRPr="001C28F5">
              <w:rPr>
                <w:lang w:eastAsia="en-AU"/>
              </w:rPr>
              <w:t>Frequency KPIs monitored by managers - Monthly</w:t>
            </w:r>
          </w:p>
        </w:tc>
        <w:tc>
          <w:tcPr>
            <w:tcW w:w="966" w:type="dxa"/>
          </w:tcPr>
          <w:p w14:paraId="3CC3D61A"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3FF96A2E" w14:textId="77777777" w:rsidR="00F95AF6" w:rsidRPr="001C28F5" w:rsidRDefault="00F95AF6" w:rsidP="009746A6">
            <w:pPr>
              <w:pStyle w:val="Tablebodytext"/>
              <w:keepNext w:val="0"/>
              <w:keepLines w:val="0"/>
              <w:rPr>
                <w:lang w:eastAsia="en-AU"/>
              </w:rPr>
            </w:pPr>
          </w:p>
        </w:tc>
        <w:tc>
          <w:tcPr>
            <w:tcW w:w="995" w:type="dxa"/>
            <w:vMerge/>
          </w:tcPr>
          <w:p w14:paraId="5E6B2C2B" w14:textId="77777777" w:rsidR="00F95AF6" w:rsidRPr="001C28F5" w:rsidRDefault="00F95AF6" w:rsidP="009746A6">
            <w:pPr>
              <w:pStyle w:val="Tablebodytext"/>
              <w:keepNext w:val="0"/>
              <w:keepLines w:val="0"/>
              <w:rPr>
                <w:lang w:eastAsia="en-AU"/>
              </w:rPr>
            </w:pPr>
          </w:p>
        </w:tc>
      </w:tr>
      <w:tr w:rsidR="00F95AF6" w:rsidRPr="001C28F5" w14:paraId="72165036" w14:textId="77777777" w:rsidTr="001371EB">
        <w:trPr>
          <w:trHeight w:val="440"/>
        </w:trPr>
        <w:tc>
          <w:tcPr>
            <w:tcW w:w="2037" w:type="dxa"/>
            <w:vMerge/>
          </w:tcPr>
          <w:p w14:paraId="6614D252" w14:textId="77777777" w:rsidR="00F95AF6" w:rsidRPr="001C28F5" w:rsidRDefault="00F95AF6" w:rsidP="009746A6">
            <w:pPr>
              <w:pStyle w:val="Tablebodytext"/>
              <w:keepNext w:val="0"/>
              <w:keepLines w:val="0"/>
              <w:rPr>
                <w:lang w:eastAsia="en-AU"/>
              </w:rPr>
            </w:pPr>
          </w:p>
        </w:tc>
        <w:tc>
          <w:tcPr>
            <w:tcW w:w="1082" w:type="dxa"/>
            <w:vMerge/>
          </w:tcPr>
          <w:p w14:paraId="47D56F34" w14:textId="77777777" w:rsidR="00F95AF6" w:rsidRPr="001C28F5" w:rsidRDefault="00F95AF6" w:rsidP="009746A6">
            <w:pPr>
              <w:pStyle w:val="Tablebodytext"/>
              <w:keepNext w:val="0"/>
              <w:keepLines w:val="0"/>
              <w:rPr>
                <w:lang w:eastAsia="en-AU"/>
              </w:rPr>
            </w:pPr>
          </w:p>
        </w:tc>
        <w:tc>
          <w:tcPr>
            <w:tcW w:w="992" w:type="dxa"/>
          </w:tcPr>
          <w:p w14:paraId="6217E871"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4A3D2CFD" w14:textId="77777777" w:rsidR="00F95AF6" w:rsidRPr="001C28F5" w:rsidRDefault="00F95AF6" w:rsidP="009746A6">
            <w:pPr>
              <w:pStyle w:val="Tablebodytext"/>
              <w:keepNext w:val="0"/>
              <w:keepLines w:val="0"/>
              <w:rPr>
                <w:lang w:eastAsia="en-AU"/>
              </w:rPr>
            </w:pPr>
            <w:r w:rsidRPr="001C28F5">
              <w:rPr>
                <w:lang w:eastAsia="en-AU"/>
              </w:rPr>
              <w:t>Frequency KPIs monitored by managers - Weekly</w:t>
            </w:r>
          </w:p>
        </w:tc>
        <w:tc>
          <w:tcPr>
            <w:tcW w:w="966" w:type="dxa"/>
          </w:tcPr>
          <w:p w14:paraId="27F3BC01" w14:textId="77777777" w:rsidR="00F95AF6" w:rsidRPr="001C28F5" w:rsidRDefault="00F95AF6" w:rsidP="009746A6">
            <w:pPr>
              <w:pStyle w:val="Tablebodytext"/>
              <w:keepNext w:val="0"/>
              <w:keepLines w:val="0"/>
              <w:rPr>
                <w:lang w:eastAsia="en-AU"/>
              </w:rPr>
            </w:pPr>
            <w:r w:rsidRPr="001C28F5">
              <w:rPr>
                <w:lang w:eastAsia="en-AU"/>
              </w:rPr>
              <w:t>3/4</w:t>
            </w:r>
          </w:p>
        </w:tc>
        <w:tc>
          <w:tcPr>
            <w:tcW w:w="1043" w:type="dxa"/>
            <w:vMerge/>
          </w:tcPr>
          <w:p w14:paraId="4C8040E3" w14:textId="77777777" w:rsidR="00F95AF6" w:rsidRPr="001C28F5" w:rsidRDefault="00F95AF6" w:rsidP="009746A6">
            <w:pPr>
              <w:pStyle w:val="Tablebodytext"/>
              <w:keepNext w:val="0"/>
              <w:keepLines w:val="0"/>
              <w:rPr>
                <w:lang w:eastAsia="en-AU"/>
              </w:rPr>
            </w:pPr>
          </w:p>
        </w:tc>
        <w:tc>
          <w:tcPr>
            <w:tcW w:w="995" w:type="dxa"/>
            <w:vMerge/>
          </w:tcPr>
          <w:p w14:paraId="6F462C17" w14:textId="77777777" w:rsidR="00F95AF6" w:rsidRPr="001C28F5" w:rsidRDefault="00F95AF6" w:rsidP="009746A6">
            <w:pPr>
              <w:pStyle w:val="Tablebodytext"/>
              <w:keepNext w:val="0"/>
              <w:keepLines w:val="0"/>
              <w:rPr>
                <w:lang w:eastAsia="en-AU"/>
              </w:rPr>
            </w:pPr>
          </w:p>
        </w:tc>
      </w:tr>
      <w:tr w:rsidR="00F95AF6" w:rsidRPr="001C28F5" w14:paraId="6265621B" w14:textId="77777777" w:rsidTr="001371EB">
        <w:trPr>
          <w:trHeight w:val="320"/>
        </w:trPr>
        <w:tc>
          <w:tcPr>
            <w:tcW w:w="2037" w:type="dxa"/>
            <w:vMerge/>
          </w:tcPr>
          <w:p w14:paraId="5D100A25" w14:textId="77777777" w:rsidR="00F95AF6" w:rsidRPr="001C28F5" w:rsidRDefault="00F95AF6" w:rsidP="009746A6">
            <w:pPr>
              <w:pStyle w:val="Tablebodytext"/>
              <w:keepNext w:val="0"/>
              <w:keepLines w:val="0"/>
              <w:rPr>
                <w:lang w:eastAsia="en-AU"/>
              </w:rPr>
            </w:pPr>
          </w:p>
        </w:tc>
        <w:tc>
          <w:tcPr>
            <w:tcW w:w="1082" w:type="dxa"/>
            <w:vMerge/>
          </w:tcPr>
          <w:p w14:paraId="4B622840" w14:textId="77777777" w:rsidR="00F95AF6" w:rsidRPr="001C28F5" w:rsidRDefault="00F95AF6" w:rsidP="009746A6">
            <w:pPr>
              <w:pStyle w:val="Tablebodytext"/>
              <w:keepNext w:val="0"/>
              <w:keepLines w:val="0"/>
              <w:rPr>
                <w:lang w:eastAsia="en-AU"/>
              </w:rPr>
            </w:pPr>
          </w:p>
        </w:tc>
        <w:tc>
          <w:tcPr>
            <w:tcW w:w="992" w:type="dxa"/>
          </w:tcPr>
          <w:p w14:paraId="0FAEEDEE"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44EA6C4C" w14:textId="77777777" w:rsidR="00F95AF6" w:rsidRPr="001C28F5" w:rsidRDefault="00F95AF6" w:rsidP="009746A6">
            <w:pPr>
              <w:pStyle w:val="Tablebodytext"/>
              <w:keepNext w:val="0"/>
              <w:keepLines w:val="0"/>
              <w:rPr>
                <w:lang w:eastAsia="en-AU"/>
              </w:rPr>
            </w:pPr>
            <w:r w:rsidRPr="001C28F5">
              <w:rPr>
                <w:lang w:eastAsia="en-AU"/>
              </w:rPr>
              <w:t>Frequency KPIs monitored by managers - Daily</w:t>
            </w:r>
          </w:p>
        </w:tc>
        <w:tc>
          <w:tcPr>
            <w:tcW w:w="966" w:type="dxa"/>
          </w:tcPr>
          <w:p w14:paraId="70497939"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4DBC62D6" w14:textId="77777777" w:rsidR="00F95AF6" w:rsidRPr="001C28F5" w:rsidRDefault="00F95AF6" w:rsidP="009746A6">
            <w:pPr>
              <w:pStyle w:val="Tablebodytext"/>
              <w:keepNext w:val="0"/>
              <w:keepLines w:val="0"/>
              <w:rPr>
                <w:lang w:eastAsia="en-AU"/>
              </w:rPr>
            </w:pPr>
          </w:p>
        </w:tc>
        <w:tc>
          <w:tcPr>
            <w:tcW w:w="995" w:type="dxa"/>
            <w:vMerge/>
          </w:tcPr>
          <w:p w14:paraId="4F289192" w14:textId="77777777" w:rsidR="00F95AF6" w:rsidRPr="001C28F5" w:rsidRDefault="00F95AF6" w:rsidP="009746A6">
            <w:pPr>
              <w:pStyle w:val="Tablebodytext"/>
              <w:keepNext w:val="0"/>
              <w:keepLines w:val="0"/>
              <w:rPr>
                <w:lang w:eastAsia="en-AU"/>
              </w:rPr>
            </w:pPr>
          </w:p>
        </w:tc>
      </w:tr>
      <w:tr w:rsidR="00F95AF6" w:rsidRPr="001C28F5" w14:paraId="67BED291" w14:textId="77777777" w:rsidTr="001371EB">
        <w:trPr>
          <w:trHeight w:val="440"/>
        </w:trPr>
        <w:tc>
          <w:tcPr>
            <w:tcW w:w="2037" w:type="dxa"/>
            <w:vMerge/>
          </w:tcPr>
          <w:p w14:paraId="66719E5E" w14:textId="77777777" w:rsidR="00F95AF6" w:rsidRPr="001C28F5" w:rsidRDefault="00F95AF6" w:rsidP="009746A6">
            <w:pPr>
              <w:pStyle w:val="Tablebodytext"/>
              <w:keepNext w:val="0"/>
              <w:keepLines w:val="0"/>
              <w:rPr>
                <w:lang w:eastAsia="en-AU"/>
              </w:rPr>
            </w:pPr>
          </w:p>
        </w:tc>
        <w:tc>
          <w:tcPr>
            <w:tcW w:w="1082" w:type="dxa"/>
            <w:vMerge/>
          </w:tcPr>
          <w:p w14:paraId="2FD55FF4" w14:textId="77777777" w:rsidR="00F95AF6" w:rsidRPr="001C28F5" w:rsidRDefault="00F95AF6" w:rsidP="009746A6">
            <w:pPr>
              <w:pStyle w:val="Tablebodytext"/>
              <w:keepNext w:val="0"/>
              <w:keepLines w:val="0"/>
              <w:rPr>
                <w:lang w:eastAsia="en-AU"/>
              </w:rPr>
            </w:pPr>
          </w:p>
        </w:tc>
        <w:tc>
          <w:tcPr>
            <w:tcW w:w="992" w:type="dxa"/>
          </w:tcPr>
          <w:p w14:paraId="27CEEB62"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4828DCFA" w14:textId="77777777" w:rsidR="00F95AF6" w:rsidRPr="001C28F5" w:rsidRDefault="00F95AF6" w:rsidP="009746A6">
            <w:pPr>
              <w:pStyle w:val="Tablebodytext"/>
              <w:keepNext w:val="0"/>
              <w:keepLines w:val="0"/>
              <w:rPr>
                <w:lang w:eastAsia="en-AU"/>
              </w:rPr>
            </w:pPr>
            <w:r w:rsidRPr="001C28F5">
              <w:rPr>
                <w:lang w:eastAsia="en-AU"/>
              </w:rPr>
              <w:t>Frequency KPIs monitored by managers - Hourly or more frequently</w:t>
            </w:r>
          </w:p>
        </w:tc>
        <w:tc>
          <w:tcPr>
            <w:tcW w:w="966" w:type="dxa"/>
          </w:tcPr>
          <w:p w14:paraId="62B23C82"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6AC83153" w14:textId="77777777" w:rsidR="00F95AF6" w:rsidRPr="001C28F5" w:rsidRDefault="00F95AF6" w:rsidP="009746A6">
            <w:pPr>
              <w:pStyle w:val="Tablebodytext"/>
              <w:keepNext w:val="0"/>
              <w:keepLines w:val="0"/>
              <w:rPr>
                <w:lang w:eastAsia="en-AU"/>
              </w:rPr>
            </w:pPr>
          </w:p>
        </w:tc>
        <w:tc>
          <w:tcPr>
            <w:tcW w:w="995" w:type="dxa"/>
            <w:vMerge/>
          </w:tcPr>
          <w:p w14:paraId="1D191EC9" w14:textId="77777777" w:rsidR="00F95AF6" w:rsidRPr="001C28F5" w:rsidRDefault="00F95AF6" w:rsidP="009746A6">
            <w:pPr>
              <w:pStyle w:val="Tablebodytext"/>
              <w:keepNext w:val="0"/>
              <w:keepLines w:val="0"/>
              <w:rPr>
                <w:lang w:eastAsia="en-AU"/>
              </w:rPr>
            </w:pPr>
          </w:p>
        </w:tc>
      </w:tr>
      <w:tr w:rsidR="00F95AF6" w:rsidRPr="001C28F5" w14:paraId="3C1755F1" w14:textId="77777777" w:rsidTr="001371EB">
        <w:trPr>
          <w:trHeight w:val="440"/>
        </w:trPr>
        <w:tc>
          <w:tcPr>
            <w:tcW w:w="2037" w:type="dxa"/>
            <w:vMerge/>
          </w:tcPr>
          <w:p w14:paraId="1EA104CE" w14:textId="77777777" w:rsidR="00F95AF6" w:rsidRPr="001C28F5" w:rsidRDefault="00F95AF6" w:rsidP="009746A6">
            <w:pPr>
              <w:pStyle w:val="Tablebodytext"/>
              <w:keepNext w:val="0"/>
              <w:keepLines w:val="0"/>
              <w:rPr>
                <w:lang w:eastAsia="en-AU"/>
              </w:rPr>
            </w:pPr>
          </w:p>
        </w:tc>
        <w:tc>
          <w:tcPr>
            <w:tcW w:w="1082" w:type="dxa"/>
            <w:vMerge/>
          </w:tcPr>
          <w:p w14:paraId="22421D8B" w14:textId="77777777" w:rsidR="00F95AF6" w:rsidRPr="001C28F5" w:rsidRDefault="00F95AF6" w:rsidP="009746A6">
            <w:pPr>
              <w:pStyle w:val="Tablebodytext"/>
              <w:keepNext w:val="0"/>
              <w:keepLines w:val="0"/>
              <w:rPr>
                <w:lang w:eastAsia="en-AU"/>
              </w:rPr>
            </w:pPr>
          </w:p>
        </w:tc>
        <w:tc>
          <w:tcPr>
            <w:tcW w:w="992" w:type="dxa"/>
          </w:tcPr>
          <w:p w14:paraId="5D7414A4" w14:textId="77777777" w:rsidR="00F95AF6" w:rsidRPr="001C28F5" w:rsidRDefault="00F95AF6" w:rsidP="009746A6">
            <w:pPr>
              <w:pStyle w:val="Tablebodytext"/>
              <w:keepNext w:val="0"/>
              <w:keepLines w:val="0"/>
              <w:rPr>
                <w:lang w:eastAsia="en-AU"/>
              </w:rPr>
            </w:pPr>
            <w:r w:rsidRPr="001C28F5">
              <w:rPr>
                <w:lang w:eastAsia="en-AU"/>
              </w:rPr>
              <w:t>h</w:t>
            </w:r>
          </w:p>
        </w:tc>
        <w:tc>
          <w:tcPr>
            <w:tcW w:w="2485" w:type="dxa"/>
          </w:tcPr>
          <w:p w14:paraId="4948CBCB" w14:textId="77777777" w:rsidR="00F95AF6" w:rsidRPr="001C28F5" w:rsidRDefault="00F95AF6" w:rsidP="009746A6">
            <w:pPr>
              <w:pStyle w:val="Tablebodytext"/>
              <w:keepNext w:val="0"/>
              <w:keepLines w:val="0"/>
              <w:rPr>
                <w:lang w:eastAsia="en-AU"/>
              </w:rPr>
            </w:pPr>
            <w:r w:rsidRPr="001C28F5">
              <w:rPr>
                <w:lang w:eastAsia="en-AU"/>
              </w:rPr>
              <w:t>Frequency KPIs monitored by managers - Other review period(s)</w:t>
            </w:r>
          </w:p>
        </w:tc>
        <w:tc>
          <w:tcPr>
            <w:tcW w:w="966" w:type="dxa"/>
          </w:tcPr>
          <w:p w14:paraId="08BEFA06"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218A7267" w14:textId="77777777" w:rsidR="00F95AF6" w:rsidRPr="001C28F5" w:rsidRDefault="00F95AF6" w:rsidP="009746A6">
            <w:pPr>
              <w:pStyle w:val="Tablebodytext"/>
              <w:keepNext w:val="0"/>
              <w:keepLines w:val="0"/>
              <w:rPr>
                <w:lang w:eastAsia="en-AU"/>
              </w:rPr>
            </w:pPr>
          </w:p>
        </w:tc>
        <w:tc>
          <w:tcPr>
            <w:tcW w:w="995" w:type="dxa"/>
            <w:vMerge/>
          </w:tcPr>
          <w:p w14:paraId="57539210" w14:textId="77777777" w:rsidR="00F95AF6" w:rsidRPr="001C28F5" w:rsidRDefault="00F95AF6" w:rsidP="009746A6">
            <w:pPr>
              <w:pStyle w:val="Tablebodytext"/>
              <w:keepNext w:val="0"/>
              <w:keepLines w:val="0"/>
              <w:rPr>
                <w:lang w:eastAsia="en-AU"/>
              </w:rPr>
            </w:pPr>
          </w:p>
        </w:tc>
      </w:tr>
      <w:tr w:rsidR="00F95AF6" w:rsidRPr="001C28F5" w14:paraId="2AF6E8F3" w14:textId="77777777" w:rsidTr="001371EB">
        <w:trPr>
          <w:trHeight w:val="320"/>
        </w:trPr>
        <w:tc>
          <w:tcPr>
            <w:tcW w:w="2037" w:type="dxa"/>
            <w:vMerge/>
          </w:tcPr>
          <w:p w14:paraId="6648C821" w14:textId="77777777" w:rsidR="00F95AF6" w:rsidRPr="001C28F5" w:rsidRDefault="00F95AF6" w:rsidP="009746A6">
            <w:pPr>
              <w:pStyle w:val="Tablebodytext"/>
              <w:keepNext w:val="0"/>
              <w:keepLines w:val="0"/>
              <w:rPr>
                <w:lang w:eastAsia="en-AU"/>
              </w:rPr>
            </w:pPr>
          </w:p>
        </w:tc>
        <w:tc>
          <w:tcPr>
            <w:tcW w:w="1082" w:type="dxa"/>
            <w:vMerge/>
          </w:tcPr>
          <w:p w14:paraId="11328211" w14:textId="77777777" w:rsidR="00F95AF6" w:rsidRPr="001C28F5" w:rsidRDefault="00F95AF6" w:rsidP="009746A6">
            <w:pPr>
              <w:pStyle w:val="Tablebodytext"/>
              <w:keepNext w:val="0"/>
              <w:keepLines w:val="0"/>
              <w:rPr>
                <w:lang w:eastAsia="en-AU"/>
              </w:rPr>
            </w:pPr>
          </w:p>
        </w:tc>
        <w:tc>
          <w:tcPr>
            <w:tcW w:w="992" w:type="dxa"/>
          </w:tcPr>
          <w:p w14:paraId="59B4851D" w14:textId="77777777" w:rsidR="00F95AF6" w:rsidRPr="001C28F5" w:rsidRDefault="00F95AF6" w:rsidP="009746A6">
            <w:pPr>
              <w:pStyle w:val="Tablebodytext"/>
              <w:keepNext w:val="0"/>
              <w:keepLines w:val="0"/>
              <w:rPr>
                <w:lang w:eastAsia="en-AU"/>
              </w:rPr>
            </w:pPr>
            <w:r w:rsidRPr="001C28F5">
              <w:rPr>
                <w:lang w:eastAsia="en-AU"/>
              </w:rPr>
              <w:t>i</w:t>
            </w:r>
          </w:p>
        </w:tc>
        <w:tc>
          <w:tcPr>
            <w:tcW w:w="2485" w:type="dxa"/>
          </w:tcPr>
          <w:p w14:paraId="7D63998D" w14:textId="77777777" w:rsidR="00F95AF6" w:rsidRPr="001C28F5" w:rsidRDefault="00F95AF6" w:rsidP="009746A6">
            <w:pPr>
              <w:pStyle w:val="Tablebodytext"/>
              <w:keepNext w:val="0"/>
              <w:keepLines w:val="0"/>
              <w:rPr>
                <w:lang w:eastAsia="en-AU"/>
              </w:rPr>
            </w:pPr>
            <w:r w:rsidRPr="001C28F5">
              <w:rPr>
                <w:lang w:eastAsia="en-AU"/>
              </w:rPr>
              <w:t>Frequency KPIs monitored by managers - Never</w:t>
            </w:r>
          </w:p>
        </w:tc>
        <w:tc>
          <w:tcPr>
            <w:tcW w:w="966" w:type="dxa"/>
          </w:tcPr>
          <w:p w14:paraId="7106A544"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26FF0309" w14:textId="77777777" w:rsidR="00F95AF6" w:rsidRPr="001C28F5" w:rsidRDefault="00F95AF6" w:rsidP="009746A6">
            <w:pPr>
              <w:pStyle w:val="Tablebodytext"/>
              <w:keepNext w:val="0"/>
              <w:keepLines w:val="0"/>
              <w:rPr>
                <w:lang w:eastAsia="en-AU"/>
              </w:rPr>
            </w:pPr>
          </w:p>
        </w:tc>
        <w:tc>
          <w:tcPr>
            <w:tcW w:w="995" w:type="dxa"/>
            <w:vMerge/>
          </w:tcPr>
          <w:p w14:paraId="20244850" w14:textId="77777777" w:rsidR="00F95AF6" w:rsidRPr="001C28F5" w:rsidRDefault="00F95AF6" w:rsidP="009746A6">
            <w:pPr>
              <w:pStyle w:val="Tablebodytext"/>
              <w:keepNext w:val="0"/>
              <w:keepLines w:val="0"/>
              <w:rPr>
                <w:lang w:eastAsia="en-AU"/>
              </w:rPr>
            </w:pPr>
          </w:p>
        </w:tc>
      </w:tr>
      <w:tr w:rsidR="00F95AF6" w:rsidRPr="001C28F5" w14:paraId="12EB154E" w14:textId="77777777" w:rsidTr="001371EB">
        <w:trPr>
          <w:trHeight w:val="300"/>
        </w:trPr>
        <w:tc>
          <w:tcPr>
            <w:tcW w:w="2037" w:type="dxa"/>
            <w:vMerge w:val="restart"/>
          </w:tcPr>
          <w:p w14:paraId="5D537B7B" w14:textId="77777777" w:rsidR="00F95AF6" w:rsidRPr="001C28F5" w:rsidRDefault="00F95AF6" w:rsidP="009746A6">
            <w:pPr>
              <w:pStyle w:val="Tablebodytext"/>
              <w:keepNext w:val="0"/>
              <w:keepLines w:val="0"/>
              <w:rPr>
                <w:lang w:eastAsia="en-AU"/>
              </w:rPr>
            </w:pPr>
            <w:r w:rsidRPr="001C28F5">
              <w:rPr>
                <w:lang w:eastAsia="en-AU"/>
              </w:rPr>
              <w:t xml:space="preserve">14.1 What were the performance bonuses of managers and non-managers based on? </w:t>
            </w:r>
          </w:p>
          <w:p w14:paraId="66B50947" w14:textId="77777777" w:rsidR="00F95AF6" w:rsidRPr="001C28F5" w:rsidRDefault="00F95AF6" w:rsidP="009746A6">
            <w:pPr>
              <w:pStyle w:val="Tablebodytext"/>
              <w:keepNext w:val="0"/>
              <w:keepLines w:val="0"/>
              <w:rPr>
                <w:lang w:eastAsia="en-AU"/>
              </w:rPr>
            </w:pPr>
          </w:p>
        </w:tc>
        <w:tc>
          <w:tcPr>
            <w:tcW w:w="1082" w:type="dxa"/>
            <w:vMerge w:val="restart"/>
          </w:tcPr>
          <w:p w14:paraId="4A31E2B3" w14:textId="77777777" w:rsidR="00F95AF6" w:rsidRPr="0064751A" w:rsidRDefault="00F95AF6" w:rsidP="009746A6">
            <w:pPr>
              <w:pStyle w:val="Tablebodytext"/>
              <w:keepNext w:val="0"/>
              <w:keepLines w:val="0"/>
              <w:rPr>
                <w:lang w:eastAsia="en-AU"/>
              </w:rPr>
            </w:pPr>
            <w:r w:rsidRPr="0064751A">
              <w:rPr>
                <w:lang w:eastAsia="en-AU"/>
              </w:rPr>
              <w:t>List</w:t>
            </w:r>
          </w:p>
          <w:p w14:paraId="76D2DB2B" w14:textId="77777777" w:rsidR="00F95AF6" w:rsidRPr="001C28F5" w:rsidRDefault="00F95AF6" w:rsidP="009746A6">
            <w:pPr>
              <w:pStyle w:val="Tablebodytext"/>
              <w:keepNext w:val="0"/>
              <w:keepLines w:val="0"/>
              <w:rPr>
                <w:lang w:eastAsia="en-AU"/>
              </w:rPr>
            </w:pPr>
          </w:p>
        </w:tc>
        <w:tc>
          <w:tcPr>
            <w:tcW w:w="992" w:type="dxa"/>
          </w:tcPr>
          <w:p w14:paraId="122F0147"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3050AFA0" w14:textId="77777777" w:rsidR="00F95AF6" w:rsidRPr="001C28F5" w:rsidRDefault="00F95AF6" w:rsidP="009746A6">
            <w:pPr>
              <w:pStyle w:val="Tablebodytext"/>
              <w:keepNext w:val="0"/>
              <w:keepLines w:val="0"/>
              <w:rPr>
                <w:lang w:eastAsia="en-AU"/>
              </w:rPr>
            </w:pPr>
            <w:r w:rsidRPr="001C28F5">
              <w:rPr>
                <w:lang w:eastAsia="en-AU"/>
              </w:rPr>
              <w:t>No performance bonus system - Non-managers</w:t>
            </w:r>
          </w:p>
        </w:tc>
        <w:tc>
          <w:tcPr>
            <w:tcW w:w="966" w:type="dxa"/>
          </w:tcPr>
          <w:p w14:paraId="226E54C2"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7DB662D3" w14:textId="77777777" w:rsidR="00F95AF6" w:rsidRPr="001C28F5" w:rsidRDefault="00F95AF6" w:rsidP="009746A6">
            <w:pPr>
              <w:pStyle w:val="Tablebodytext"/>
              <w:keepNext w:val="0"/>
              <w:keepLines w:val="0"/>
              <w:rPr>
                <w:lang w:eastAsia="en-AU"/>
              </w:rPr>
            </w:pPr>
            <w:r w:rsidRPr="001C28F5">
              <w:rPr>
                <w:lang w:eastAsia="en-AU"/>
              </w:rPr>
              <w:t>Monitoring</w:t>
            </w:r>
          </w:p>
        </w:tc>
        <w:tc>
          <w:tcPr>
            <w:tcW w:w="995" w:type="dxa"/>
            <w:vMerge w:val="restart"/>
          </w:tcPr>
          <w:p w14:paraId="58FA3C60" w14:textId="77777777" w:rsidR="00F95AF6" w:rsidRPr="001C28F5" w:rsidRDefault="00F95AF6" w:rsidP="009746A6">
            <w:pPr>
              <w:pStyle w:val="Tablebodytext"/>
              <w:keepNext w:val="0"/>
              <w:keepLines w:val="0"/>
              <w:rPr>
                <w:lang w:eastAsia="en-AU"/>
              </w:rPr>
            </w:pPr>
            <w:r w:rsidRPr="001C28F5">
              <w:rPr>
                <w:lang w:eastAsia="en-AU"/>
              </w:rPr>
              <w:t>0.076</w:t>
            </w:r>
          </w:p>
        </w:tc>
      </w:tr>
      <w:tr w:rsidR="00F95AF6" w:rsidRPr="001C28F5" w14:paraId="50CB758C" w14:textId="77777777" w:rsidTr="001371EB">
        <w:trPr>
          <w:trHeight w:val="440"/>
        </w:trPr>
        <w:tc>
          <w:tcPr>
            <w:tcW w:w="2037" w:type="dxa"/>
            <w:vMerge/>
          </w:tcPr>
          <w:p w14:paraId="5F9D106D" w14:textId="77777777" w:rsidR="00F95AF6" w:rsidRPr="001C28F5" w:rsidRDefault="00F95AF6" w:rsidP="009746A6">
            <w:pPr>
              <w:pStyle w:val="Tablebodytext"/>
              <w:keepNext w:val="0"/>
              <w:keepLines w:val="0"/>
              <w:rPr>
                <w:lang w:eastAsia="en-AU"/>
              </w:rPr>
            </w:pPr>
          </w:p>
        </w:tc>
        <w:tc>
          <w:tcPr>
            <w:tcW w:w="1082" w:type="dxa"/>
            <w:vMerge/>
          </w:tcPr>
          <w:p w14:paraId="278BFD31" w14:textId="77777777" w:rsidR="00F95AF6" w:rsidRPr="001C28F5" w:rsidRDefault="00F95AF6" w:rsidP="009746A6">
            <w:pPr>
              <w:pStyle w:val="Tablebodytext"/>
              <w:keepNext w:val="0"/>
              <w:keepLines w:val="0"/>
              <w:rPr>
                <w:lang w:eastAsia="en-AU"/>
              </w:rPr>
            </w:pPr>
          </w:p>
        </w:tc>
        <w:tc>
          <w:tcPr>
            <w:tcW w:w="992" w:type="dxa"/>
          </w:tcPr>
          <w:p w14:paraId="407D013D"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16A56318" w14:textId="77777777" w:rsidR="00F95AF6" w:rsidRPr="001C28F5" w:rsidRDefault="00F95AF6" w:rsidP="009746A6">
            <w:pPr>
              <w:pStyle w:val="Tablebodytext"/>
              <w:keepNext w:val="0"/>
              <w:keepLines w:val="0"/>
              <w:rPr>
                <w:lang w:eastAsia="en-AU"/>
              </w:rPr>
            </w:pPr>
            <w:r w:rsidRPr="001C28F5">
              <w:rPr>
                <w:lang w:eastAsia="en-AU"/>
              </w:rPr>
              <w:t>Own performance based on KPIs -Non-managers</w:t>
            </w:r>
          </w:p>
        </w:tc>
        <w:tc>
          <w:tcPr>
            <w:tcW w:w="966" w:type="dxa"/>
          </w:tcPr>
          <w:p w14:paraId="61D752B4"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1C8CAC11" w14:textId="77777777" w:rsidR="00F95AF6" w:rsidRPr="001C28F5" w:rsidRDefault="00F95AF6" w:rsidP="009746A6">
            <w:pPr>
              <w:pStyle w:val="Tablebodytext"/>
              <w:keepNext w:val="0"/>
              <w:keepLines w:val="0"/>
              <w:rPr>
                <w:lang w:eastAsia="en-AU"/>
              </w:rPr>
            </w:pPr>
          </w:p>
        </w:tc>
        <w:tc>
          <w:tcPr>
            <w:tcW w:w="995" w:type="dxa"/>
            <w:vMerge/>
          </w:tcPr>
          <w:p w14:paraId="5BB1D87F" w14:textId="77777777" w:rsidR="00F95AF6" w:rsidRPr="001C28F5" w:rsidRDefault="00F95AF6" w:rsidP="009746A6">
            <w:pPr>
              <w:pStyle w:val="Tablebodytext"/>
              <w:keepNext w:val="0"/>
              <w:keepLines w:val="0"/>
              <w:rPr>
                <w:lang w:eastAsia="en-AU"/>
              </w:rPr>
            </w:pPr>
          </w:p>
        </w:tc>
      </w:tr>
      <w:tr w:rsidR="00F95AF6" w:rsidRPr="001C28F5" w14:paraId="654DA040" w14:textId="77777777" w:rsidTr="001371EB">
        <w:trPr>
          <w:trHeight w:val="440"/>
        </w:trPr>
        <w:tc>
          <w:tcPr>
            <w:tcW w:w="2037" w:type="dxa"/>
            <w:vMerge/>
          </w:tcPr>
          <w:p w14:paraId="28696DE7" w14:textId="77777777" w:rsidR="00F95AF6" w:rsidRPr="001C28F5" w:rsidRDefault="00F95AF6" w:rsidP="009746A6">
            <w:pPr>
              <w:pStyle w:val="Tablebodytext"/>
              <w:keepNext w:val="0"/>
              <w:keepLines w:val="0"/>
              <w:rPr>
                <w:lang w:eastAsia="en-AU"/>
              </w:rPr>
            </w:pPr>
          </w:p>
        </w:tc>
        <w:tc>
          <w:tcPr>
            <w:tcW w:w="1082" w:type="dxa"/>
            <w:vMerge/>
          </w:tcPr>
          <w:p w14:paraId="6FA9FBED" w14:textId="77777777" w:rsidR="00F95AF6" w:rsidRPr="001C28F5" w:rsidRDefault="00F95AF6" w:rsidP="009746A6">
            <w:pPr>
              <w:pStyle w:val="Tablebodytext"/>
              <w:keepNext w:val="0"/>
              <w:keepLines w:val="0"/>
              <w:rPr>
                <w:lang w:eastAsia="en-AU"/>
              </w:rPr>
            </w:pPr>
          </w:p>
        </w:tc>
        <w:tc>
          <w:tcPr>
            <w:tcW w:w="992" w:type="dxa"/>
          </w:tcPr>
          <w:p w14:paraId="67329819"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1B01F198" w14:textId="77777777" w:rsidR="00F95AF6" w:rsidRPr="001C28F5" w:rsidRDefault="00F95AF6" w:rsidP="009746A6">
            <w:pPr>
              <w:pStyle w:val="Tablebodytext"/>
              <w:keepNext w:val="0"/>
              <w:keepLines w:val="0"/>
              <w:rPr>
                <w:lang w:eastAsia="en-AU"/>
              </w:rPr>
            </w:pPr>
            <w:r w:rsidRPr="001C28F5">
              <w:rPr>
                <w:lang w:eastAsia="en-AU"/>
              </w:rPr>
              <w:t>Team performance based on KPIs-Non-managers</w:t>
            </w:r>
          </w:p>
        </w:tc>
        <w:tc>
          <w:tcPr>
            <w:tcW w:w="966" w:type="dxa"/>
          </w:tcPr>
          <w:p w14:paraId="349E0705"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2D802A80" w14:textId="77777777" w:rsidR="00F95AF6" w:rsidRPr="001C28F5" w:rsidRDefault="00F95AF6" w:rsidP="009746A6">
            <w:pPr>
              <w:pStyle w:val="Tablebodytext"/>
              <w:keepNext w:val="0"/>
              <w:keepLines w:val="0"/>
              <w:rPr>
                <w:lang w:eastAsia="en-AU"/>
              </w:rPr>
            </w:pPr>
          </w:p>
        </w:tc>
        <w:tc>
          <w:tcPr>
            <w:tcW w:w="995" w:type="dxa"/>
            <w:vMerge/>
          </w:tcPr>
          <w:p w14:paraId="28EB489E" w14:textId="77777777" w:rsidR="00F95AF6" w:rsidRPr="001C28F5" w:rsidRDefault="00F95AF6" w:rsidP="009746A6">
            <w:pPr>
              <w:pStyle w:val="Tablebodytext"/>
              <w:keepNext w:val="0"/>
              <w:keepLines w:val="0"/>
              <w:rPr>
                <w:lang w:eastAsia="en-AU"/>
              </w:rPr>
            </w:pPr>
          </w:p>
        </w:tc>
      </w:tr>
      <w:tr w:rsidR="00F95AF6" w:rsidRPr="001C28F5" w14:paraId="334D5B61" w14:textId="77777777" w:rsidTr="001371EB">
        <w:trPr>
          <w:trHeight w:val="440"/>
        </w:trPr>
        <w:tc>
          <w:tcPr>
            <w:tcW w:w="2037" w:type="dxa"/>
            <w:vMerge/>
          </w:tcPr>
          <w:p w14:paraId="6E09A2B2" w14:textId="77777777" w:rsidR="00F95AF6" w:rsidRPr="001C28F5" w:rsidRDefault="00F95AF6" w:rsidP="009746A6">
            <w:pPr>
              <w:pStyle w:val="Tablebodytext"/>
              <w:keepNext w:val="0"/>
              <w:keepLines w:val="0"/>
              <w:rPr>
                <w:lang w:eastAsia="en-AU"/>
              </w:rPr>
            </w:pPr>
          </w:p>
        </w:tc>
        <w:tc>
          <w:tcPr>
            <w:tcW w:w="1082" w:type="dxa"/>
            <w:vMerge/>
          </w:tcPr>
          <w:p w14:paraId="02B372A4" w14:textId="77777777" w:rsidR="00F95AF6" w:rsidRPr="001C28F5" w:rsidRDefault="00F95AF6" w:rsidP="009746A6">
            <w:pPr>
              <w:pStyle w:val="Tablebodytext"/>
              <w:keepNext w:val="0"/>
              <w:keepLines w:val="0"/>
              <w:rPr>
                <w:lang w:eastAsia="en-AU"/>
              </w:rPr>
            </w:pPr>
          </w:p>
        </w:tc>
        <w:tc>
          <w:tcPr>
            <w:tcW w:w="992" w:type="dxa"/>
          </w:tcPr>
          <w:p w14:paraId="3941A750"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26BC8893" w14:textId="77777777" w:rsidR="00F95AF6" w:rsidRPr="001C28F5" w:rsidRDefault="00F95AF6" w:rsidP="009746A6">
            <w:pPr>
              <w:pStyle w:val="Tablebodytext"/>
              <w:keepNext w:val="0"/>
              <w:keepLines w:val="0"/>
              <w:rPr>
                <w:lang w:eastAsia="en-AU"/>
              </w:rPr>
            </w:pPr>
            <w:r w:rsidRPr="001C28F5">
              <w:rPr>
                <w:lang w:eastAsia="en-AU"/>
              </w:rPr>
              <w:t>Business performance based on KPIs-Non-managers</w:t>
            </w:r>
          </w:p>
        </w:tc>
        <w:tc>
          <w:tcPr>
            <w:tcW w:w="966" w:type="dxa"/>
          </w:tcPr>
          <w:p w14:paraId="29D03816"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34045ED0" w14:textId="77777777" w:rsidR="00F95AF6" w:rsidRPr="001C28F5" w:rsidRDefault="00F95AF6" w:rsidP="009746A6">
            <w:pPr>
              <w:pStyle w:val="Tablebodytext"/>
              <w:keepNext w:val="0"/>
              <w:keepLines w:val="0"/>
              <w:rPr>
                <w:lang w:eastAsia="en-AU"/>
              </w:rPr>
            </w:pPr>
          </w:p>
        </w:tc>
        <w:tc>
          <w:tcPr>
            <w:tcW w:w="995" w:type="dxa"/>
            <w:vMerge/>
          </w:tcPr>
          <w:p w14:paraId="26B61B98" w14:textId="77777777" w:rsidR="00F95AF6" w:rsidRPr="001C28F5" w:rsidRDefault="00F95AF6" w:rsidP="009746A6">
            <w:pPr>
              <w:pStyle w:val="Tablebodytext"/>
              <w:keepNext w:val="0"/>
              <w:keepLines w:val="0"/>
              <w:rPr>
                <w:lang w:eastAsia="en-AU"/>
              </w:rPr>
            </w:pPr>
          </w:p>
        </w:tc>
      </w:tr>
      <w:tr w:rsidR="00F95AF6" w:rsidRPr="001C28F5" w14:paraId="66E6F970" w14:textId="77777777" w:rsidTr="001371EB">
        <w:trPr>
          <w:trHeight w:val="320"/>
        </w:trPr>
        <w:tc>
          <w:tcPr>
            <w:tcW w:w="2037" w:type="dxa"/>
            <w:vMerge/>
          </w:tcPr>
          <w:p w14:paraId="39B764D1" w14:textId="77777777" w:rsidR="00F95AF6" w:rsidRPr="001C28F5" w:rsidRDefault="00F95AF6" w:rsidP="009746A6">
            <w:pPr>
              <w:pStyle w:val="Tablebodytext"/>
              <w:keepNext w:val="0"/>
              <w:keepLines w:val="0"/>
              <w:rPr>
                <w:lang w:eastAsia="en-AU"/>
              </w:rPr>
            </w:pPr>
          </w:p>
        </w:tc>
        <w:tc>
          <w:tcPr>
            <w:tcW w:w="1082" w:type="dxa"/>
            <w:vMerge/>
          </w:tcPr>
          <w:p w14:paraId="4BA371D4" w14:textId="77777777" w:rsidR="00F95AF6" w:rsidRPr="001C28F5" w:rsidRDefault="00F95AF6" w:rsidP="009746A6">
            <w:pPr>
              <w:pStyle w:val="Tablebodytext"/>
              <w:keepNext w:val="0"/>
              <w:keepLines w:val="0"/>
              <w:rPr>
                <w:lang w:eastAsia="en-AU"/>
              </w:rPr>
            </w:pPr>
          </w:p>
        </w:tc>
        <w:tc>
          <w:tcPr>
            <w:tcW w:w="992" w:type="dxa"/>
          </w:tcPr>
          <w:p w14:paraId="5852ABEE"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769AA219" w14:textId="77777777" w:rsidR="00F95AF6" w:rsidRPr="001C28F5" w:rsidRDefault="00F95AF6" w:rsidP="009746A6">
            <w:pPr>
              <w:pStyle w:val="Tablebodytext"/>
              <w:keepNext w:val="0"/>
              <w:keepLines w:val="0"/>
              <w:rPr>
                <w:lang w:eastAsia="en-AU"/>
              </w:rPr>
            </w:pPr>
            <w:r w:rsidRPr="001C28F5">
              <w:rPr>
                <w:lang w:eastAsia="en-AU"/>
              </w:rPr>
              <w:t>Other-Non-managers</w:t>
            </w:r>
          </w:p>
        </w:tc>
        <w:tc>
          <w:tcPr>
            <w:tcW w:w="966" w:type="dxa"/>
          </w:tcPr>
          <w:p w14:paraId="254994B7"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12DAFF3C" w14:textId="77777777" w:rsidR="00F95AF6" w:rsidRPr="001C28F5" w:rsidRDefault="00F95AF6" w:rsidP="009746A6">
            <w:pPr>
              <w:pStyle w:val="Tablebodytext"/>
              <w:keepNext w:val="0"/>
              <w:keepLines w:val="0"/>
              <w:rPr>
                <w:lang w:eastAsia="en-AU"/>
              </w:rPr>
            </w:pPr>
          </w:p>
        </w:tc>
        <w:tc>
          <w:tcPr>
            <w:tcW w:w="995" w:type="dxa"/>
            <w:vMerge/>
          </w:tcPr>
          <w:p w14:paraId="767E5099" w14:textId="77777777" w:rsidR="00F95AF6" w:rsidRPr="001C28F5" w:rsidRDefault="00F95AF6" w:rsidP="009746A6">
            <w:pPr>
              <w:pStyle w:val="Tablebodytext"/>
              <w:keepNext w:val="0"/>
              <w:keepLines w:val="0"/>
              <w:rPr>
                <w:lang w:eastAsia="en-AU"/>
              </w:rPr>
            </w:pPr>
          </w:p>
        </w:tc>
      </w:tr>
      <w:tr w:rsidR="00F95AF6" w:rsidRPr="001C28F5" w14:paraId="53F16CF3" w14:textId="77777777" w:rsidTr="001371EB">
        <w:trPr>
          <w:trHeight w:val="380"/>
        </w:trPr>
        <w:tc>
          <w:tcPr>
            <w:tcW w:w="2037" w:type="dxa"/>
            <w:vMerge w:val="restart"/>
          </w:tcPr>
          <w:p w14:paraId="45FC2144" w14:textId="77777777" w:rsidR="00F95AF6" w:rsidRPr="001C28F5" w:rsidRDefault="00F95AF6" w:rsidP="009746A6">
            <w:pPr>
              <w:pStyle w:val="Tablebodytext"/>
              <w:keepNext w:val="0"/>
              <w:keepLines w:val="0"/>
              <w:rPr>
                <w:lang w:eastAsia="en-AU"/>
              </w:rPr>
            </w:pPr>
            <w:r w:rsidRPr="001C28F5">
              <w:rPr>
                <w:lang w:eastAsia="en-AU"/>
              </w:rPr>
              <w:t>14.2 What were the performance bonuses of managers and non-managers based on?</w:t>
            </w:r>
          </w:p>
        </w:tc>
        <w:tc>
          <w:tcPr>
            <w:tcW w:w="1082" w:type="dxa"/>
            <w:vMerge w:val="restart"/>
          </w:tcPr>
          <w:p w14:paraId="749516E6" w14:textId="77777777" w:rsidR="00F95AF6" w:rsidRPr="0064751A" w:rsidRDefault="00F95AF6" w:rsidP="009746A6">
            <w:pPr>
              <w:pStyle w:val="Tablebodytext"/>
              <w:keepNext w:val="0"/>
              <w:keepLines w:val="0"/>
              <w:rPr>
                <w:lang w:eastAsia="en-AU"/>
              </w:rPr>
            </w:pPr>
            <w:r w:rsidRPr="0064751A">
              <w:rPr>
                <w:lang w:eastAsia="en-AU"/>
              </w:rPr>
              <w:t>List</w:t>
            </w:r>
          </w:p>
          <w:p w14:paraId="169C76A9" w14:textId="77777777" w:rsidR="00F95AF6" w:rsidRPr="001C28F5" w:rsidRDefault="00F95AF6" w:rsidP="009746A6">
            <w:pPr>
              <w:pStyle w:val="Tablebodytext"/>
              <w:keepNext w:val="0"/>
              <w:keepLines w:val="0"/>
              <w:rPr>
                <w:lang w:eastAsia="en-AU"/>
              </w:rPr>
            </w:pPr>
          </w:p>
        </w:tc>
        <w:tc>
          <w:tcPr>
            <w:tcW w:w="992" w:type="dxa"/>
          </w:tcPr>
          <w:p w14:paraId="0B80E3AD"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6AAB12C0" w14:textId="77777777" w:rsidR="00F95AF6" w:rsidRPr="001C28F5" w:rsidRDefault="00F95AF6" w:rsidP="009746A6">
            <w:pPr>
              <w:pStyle w:val="Tablebodytext"/>
              <w:keepNext w:val="0"/>
              <w:keepLines w:val="0"/>
              <w:rPr>
                <w:lang w:eastAsia="en-AU"/>
              </w:rPr>
            </w:pPr>
            <w:r w:rsidRPr="001C28F5">
              <w:rPr>
                <w:lang w:eastAsia="en-AU"/>
              </w:rPr>
              <w:t>No performance bonus system - Managers</w:t>
            </w:r>
          </w:p>
        </w:tc>
        <w:tc>
          <w:tcPr>
            <w:tcW w:w="966" w:type="dxa"/>
          </w:tcPr>
          <w:p w14:paraId="3FFB44B7"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2587E8B7" w14:textId="77777777" w:rsidR="00F95AF6" w:rsidRPr="001C28F5" w:rsidRDefault="00F95AF6" w:rsidP="009746A6">
            <w:pPr>
              <w:pStyle w:val="Tablebodytext"/>
              <w:keepNext w:val="0"/>
              <w:keepLines w:val="0"/>
              <w:rPr>
                <w:lang w:eastAsia="en-AU"/>
              </w:rPr>
            </w:pPr>
            <w:r w:rsidRPr="001C28F5">
              <w:rPr>
                <w:lang w:eastAsia="en-AU"/>
              </w:rPr>
              <w:t>Monitoring</w:t>
            </w:r>
          </w:p>
        </w:tc>
        <w:tc>
          <w:tcPr>
            <w:tcW w:w="995" w:type="dxa"/>
            <w:vMerge w:val="restart"/>
          </w:tcPr>
          <w:p w14:paraId="69F76BDA" w14:textId="77777777" w:rsidR="00F95AF6" w:rsidRPr="001C28F5" w:rsidRDefault="00F95AF6" w:rsidP="009746A6">
            <w:pPr>
              <w:pStyle w:val="Tablebodytext"/>
              <w:keepNext w:val="0"/>
              <w:keepLines w:val="0"/>
              <w:rPr>
                <w:lang w:eastAsia="en-AU"/>
              </w:rPr>
            </w:pPr>
            <w:r w:rsidRPr="001C28F5">
              <w:rPr>
                <w:lang w:eastAsia="en-AU"/>
              </w:rPr>
              <w:t>0.115</w:t>
            </w:r>
          </w:p>
        </w:tc>
      </w:tr>
      <w:tr w:rsidR="00F95AF6" w:rsidRPr="001C28F5" w14:paraId="1D2AB86F" w14:textId="77777777" w:rsidTr="001371EB">
        <w:trPr>
          <w:trHeight w:val="320"/>
        </w:trPr>
        <w:tc>
          <w:tcPr>
            <w:tcW w:w="2037" w:type="dxa"/>
            <w:vMerge/>
          </w:tcPr>
          <w:p w14:paraId="6FED8F8D" w14:textId="77777777" w:rsidR="00F95AF6" w:rsidRPr="001C28F5" w:rsidRDefault="00F95AF6" w:rsidP="009746A6">
            <w:pPr>
              <w:pStyle w:val="Tablebodytext"/>
              <w:keepNext w:val="0"/>
              <w:keepLines w:val="0"/>
              <w:rPr>
                <w:lang w:eastAsia="en-AU"/>
              </w:rPr>
            </w:pPr>
          </w:p>
        </w:tc>
        <w:tc>
          <w:tcPr>
            <w:tcW w:w="1082" w:type="dxa"/>
            <w:vMerge/>
          </w:tcPr>
          <w:p w14:paraId="07A8F5EF" w14:textId="77777777" w:rsidR="00F95AF6" w:rsidRPr="001C28F5" w:rsidRDefault="00F95AF6" w:rsidP="009746A6">
            <w:pPr>
              <w:pStyle w:val="Tablebodytext"/>
              <w:keepNext w:val="0"/>
              <w:keepLines w:val="0"/>
              <w:rPr>
                <w:lang w:eastAsia="en-AU"/>
              </w:rPr>
            </w:pPr>
          </w:p>
        </w:tc>
        <w:tc>
          <w:tcPr>
            <w:tcW w:w="992" w:type="dxa"/>
          </w:tcPr>
          <w:p w14:paraId="77EF7FE7"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3A0AB5F5" w14:textId="77777777" w:rsidR="00F95AF6" w:rsidRPr="001C28F5" w:rsidRDefault="00F95AF6" w:rsidP="009746A6">
            <w:pPr>
              <w:pStyle w:val="Tablebodytext"/>
              <w:keepNext w:val="0"/>
              <w:keepLines w:val="0"/>
              <w:rPr>
                <w:lang w:eastAsia="en-AU"/>
              </w:rPr>
            </w:pPr>
            <w:r w:rsidRPr="001C28F5">
              <w:rPr>
                <w:lang w:eastAsia="en-AU"/>
              </w:rPr>
              <w:t>Own performance based on KPIs - Managers</w:t>
            </w:r>
          </w:p>
        </w:tc>
        <w:tc>
          <w:tcPr>
            <w:tcW w:w="966" w:type="dxa"/>
          </w:tcPr>
          <w:p w14:paraId="47F3475A"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5B052F3F" w14:textId="77777777" w:rsidR="00F95AF6" w:rsidRPr="001C28F5" w:rsidRDefault="00F95AF6" w:rsidP="009746A6">
            <w:pPr>
              <w:pStyle w:val="Tablebodytext"/>
              <w:keepNext w:val="0"/>
              <w:keepLines w:val="0"/>
              <w:rPr>
                <w:lang w:eastAsia="en-AU"/>
              </w:rPr>
            </w:pPr>
          </w:p>
        </w:tc>
        <w:tc>
          <w:tcPr>
            <w:tcW w:w="995" w:type="dxa"/>
            <w:vMerge/>
          </w:tcPr>
          <w:p w14:paraId="70F25EC6" w14:textId="77777777" w:rsidR="00F95AF6" w:rsidRPr="001C28F5" w:rsidRDefault="00F95AF6" w:rsidP="009746A6">
            <w:pPr>
              <w:pStyle w:val="Tablebodytext"/>
              <w:keepNext w:val="0"/>
              <w:keepLines w:val="0"/>
              <w:rPr>
                <w:lang w:eastAsia="en-AU"/>
              </w:rPr>
            </w:pPr>
          </w:p>
        </w:tc>
      </w:tr>
      <w:tr w:rsidR="00F95AF6" w:rsidRPr="001C28F5" w14:paraId="6E9FB726" w14:textId="77777777" w:rsidTr="001371EB">
        <w:trPr>
          <w:trHeight w:val="320"/>
        </w:trPr>
        <w:tc>
          <w:tcPr>
            <w:tcW w:w="2037" w:type="dxa"/>
            <w:vMerge/>
          </w:tcPr>
          <w:p w14:paraId="0AF24063" w14:textId="77777777" w:rsidR="00F95AF6" w:rsidRPr="001C28F5" w:rsidRDefault="00F95AF6" w:rsidP="009746A6">
            <w:pPr>
              <w:pStyle w:val="Tablebodytext"/>
              <w:keepNext w:val="0"/>
              <w:keepLines w:val="0"/>
              <w:rPr>
                <w:lang w:eastAsia="en-AU"/>
              </w:rPr>
            </w:pPr>
          </w:p>
        </w:tc>
        <w:tc>
          <w:tcPr>
            <w:tcW w:w="1082" w:type="dxa"/>
            <w:vMerge/>
          </w:tcPr>
          <w:p w14:paraId="0A9CC313" w14:textId="77777777" w:rsidR="00F95AF6" w:rsidRPr="001C28F5" w:rsidRDefault="00F95AF6" w:rsidP="009746A6">
            <w:pPr>
              <w:pStyle w:val="Tablebodytext"/>
              <w:keepNext w:val="0"/>
              <w:keepLines w:val="0"/>
              <w:rPr>
                <w:lang w:eastAsia="en-AU"/>
              </w:rPr>
            </w:pPr>
          </w:p>
        </w:tc>
        <w:tc>
          <w:tcPr>
            <w:tcW w:w="992" w:type="dxa"/>
          </w:tcPr>
          <w:p w14:paraId="3AF470B7"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4E94FAE4" w14:textId="77777777" w:rsidR="00F95AF6" w:rsidRPr="001C28F5" w:rsidRDefault="00F95AF6" w:rsidP="009746A6">
            <w:pPr>
              <w:pStyle w:val="Tablebodytext"/>
              <w:keepNext w:val="0"/>
              <w:keepLines w:val="0"/>
              <w:rPr>
                <w:lang w:eastAsia="en-AU"/>
              </w:rPr>
            </w:pPr>
            <w:r w:rsidRPr="001C28F5">
              <w:rPr>
                <w:lang w:eastAsia="en-AU"/>
              </w:rPr>
              <w:t>Team performance based on KPIs - Managers</w:t>
            </w:r>
          </w:p>
        </w:tc>
        <w:tc>
          <w:tcPr>
            <w:tcW w:w="966" w:type="dxa"/>
          </w:tcPr>
          <w:p w14:paraId="4469D192"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2A99B897" w14:textId="77777777" w:rsidR="00F95AF6" w:rsidRPr="001C28F5" w:rsidRDefault="00F95AF6" w:rsidP="009746A6">
            <w:pPr>
              <w:pStyle w:val="Tablebodytext"/>
              <w:keepNext w:val="0"/>
              <w:keepLines w:val="0"/>
              <w:rPr>
                <w:lang w:eastAsia="en-AU"/>
              </w:rPr>
            </w:pPr>
          </w:p>
        </w:tc>
        <w:tc>
          <w:tcPr>
            <w:tcW w:w="995" w:type="dxa"/>
            <w:vMerge/>
          </w:tcPr>
          <w:p w14:paraId="664B3792" w14:textId="77777777" w:rsidR="00F95AF6" w:rsidRPr="001C28F5" w:rsidRDefault="00F95AF6" w:rsidP="009746A6">
            <w:pPr>
              <w:pStyle w:val="Tablebodytext"/>
              <w:keepNext w:val="0"/>
              <w:keepLines w:val="0"/>
              <w:rPr>
                <w:lang w:eastAsia="en-AU"/>
              </w:rPr>
            </w:pPr>
          </w:p>
        </w:tc>
      </w:tr>
      <w:tr w:rsidR="00F95AF6" w:rsidRPr="001C28F5" w14:paraId="163FC334" w14:textId="77777777" w:rsidTr="001371EB">
        <w:trPr>
          <w:trHeight w:val="440"/>
        </w:trPr>
        <w:tc>
          <w:tcPr>
            <w:tcW w:w="2037" w:type="dxa"/>
            <w:vMerge/>
          </w:tcPr>
          <w:p w14:paraId="00422837" w14:textId="77777777" w:rsidR="00F95AF6" w:rsidRPr="001C28F5" w:rsidRDefault="00F95AF6" w:rsidP="009746A6">
            <w:pPr>
              <w:pStyle w:val="Tablebodytext"/>
              <w:keepNext w:val="0"/>
              <w:keepLines w:val="0"/>
              <w:rPr>
                <w:lang w:eastAsia="en-AU"/>
              </w:rPr>
            </w:pPr>
          </w:p>
        </w:tc>
        <w:tc>
          <w:tcPr>
            <w:tcW w:w="1082" w:type="dxa"/>
            <w:vMerge/>
          </w:tcPr>
          <w:p w14:paraId="050D7FC1" w14:textId="77777777" w:rsidR="00F95AF6" w:rsidRPr="001C28F5" w:rsidRDefault="00F95AF6" w:rsidP="009746A6">
            <w:pPr>
              <w:pStyle w:val="Tablebodytext"/>
              <w:keepNext w:val="0"/>
              <w:keepLines w:val="0"/>
              <w:rPr>
                <w:lang w:eastAsia="en-AU"/>
              </w:rPr>
            </w:pPr>
          </w:p>
        </w:tc>
        <w:tc>
          <w:tcPr>
            <w:tcW w:w="992" w:type="dxa"/>
          </w:tcPr>
          <w:p w14:paraId="71EAC450"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567A17ED" w14:textId="77777777" w:rsidR="00F95AF6" w:rsidRPr="001C28F5" w:rsidRDefault="00F95AF6" w:rsidP="009746A6">
            <w:pPr>
              <w:pStyle w:val="Tablebodytext"/>
              <w:keepNext w:val="0"/>
              <w:keepLines w:val="0"/>
              <w:rPr>
                <w:lang w:eastAsia="en-AU"/>
              </w:rPr>
            </w:pPr>
            <w:r w:rsidRPr="001C28F5">
              <w:rPr>
                <w:lang w:eastAsia="en-AU"/>
              </w:rPr>
              <w:t>Business performance based on KPIs - Managers</w:t>
            </w:r>
          </w:p>
        </w:tc>
        <w:tc>
          <w:tcPr>
            <w:tcW w:w="966" w:type="dxa"/>
          </w:tcPr>
          <w:p w14:paraId="24F4B125"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5A3CAE4F" w14:textId="77777777" w:rsidR="00F95AF6" w:rsidRPr="001C28F5" w:rsidRDefault="00F95AF6" w:rsidP="009746A6">
            <w:pPr>
              <w:pStyle w:val="Tablebodytext"/>
              <w:keepNext w:val="0"/>
              <w:keepLines w:val="0"/>
              <w:rPr>
                <w:lang w:eastAsia="en-AU"/>
              </w:rPr>
            </w:pPr>
          </w:p>
        </w:tc>
        <w:tc>
          <w:tcPr>
            <w:tcW w:w="995" w:type="dxa"/>
            <w:vMerge/>
          </w:tcPr>
          <w:p w14:paraId="64F7ECAE" w14:textId="77777777" w:rsidR="00F95AF6" w:rsidRPr="001C28F5" w:rsidRDefault="00F95AF6" w:rsidP="009746A6">
            <w:pPr>
              <w:pStyle w:val="Tablebodytext"/>
              <w:keepNext w:val="0"/>
              <w:keepLines w:val="0"/>
              <w:rPr>
                <w:lang w:eastAsia="en-AU"/>
              </w:rPr>
            </w:pPr>
          </w:p>
        </w:tc>
      </w:tr>
      <w:tr w:rsidR="00F95AF6" w:rsidRPr="001C28F5" w14:paraId="31E1550B" w14:textId="77777777" w:rsidTr="001371EB">
        <w:trPr>
          <w:trHeight w:val="320"/>
        </w:trPr>
        <w:tc>
          <w:tcPr>
            <w:tcW w:w="2037" w:type="dxa"/>
            <w:vMerge/>
          </w:tcPr>
          <w:p w14:paraId="27305C43" w14:textId="77777777" w:rsidR="00F95AF6" w:rsidRPr="001C28F5" w:rsidRDefault="00F95AF6" w:rsidP="009746A6">
            <w:pPr>
              <w:pStyle w:val="Tablebodytext"/>
              <w:keepNext w:val="0"/>
              <w:keepLines w:val="0"/>
              <w:rPr>
                <w:lang w:eastAsia="en-AU"/>
              </w:rPr>
            </w:pPr>
          </w:p>
        </w:tc>
        <w:tc>
          <w:tcPr>
            <w:tcW w:w="1082" w:type="dxa"/>
            <w:vMerge/>
          </w:tcPr>
          <w:p w14:paraId="05503CED" w14:textId="77777777" w:rsidR="00F95AF6" w:rsidRPr="001C28F5" w:rsidRDefault="00F95AF6" w:rsidP="009746A6">
            <w:pPr>
              <w:pStyle w:val="Tablebodytext"/>
              <w:keepNext w:val="0"/>
              <w:keepLines w:val="0"/>
              <w:rPr>
                <w:lang w:eastAsia="en-AU"/>
              </w:rPr>
            </w:pPr>
          </w:p>
        </w:tc>
        <w:tc>
          <w:tcPr>
            <w:tcW w:w="992" w:type="dxa"/>
          </w:tcPr>
          <w:p w14:paraId="723E079E"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50B72917" w14:textId="77777777" w:rsidR="00F95AF6" w:rsidRPr="001C28F5" w:rsidRDefault="00F95AF6" w:rsidP="009746A6">
            <w:pPr>
              <w:pStyle w:val="Tablebodytext"/>
              <w:keepNext w:val="0"/>
              <w:keepLines w:val="0"/>
              <w:rPr>
                <w:lang w:eastAsia="en-AU"/>
              </w:rPr>
            </w:pPr>
            <w:r w:rsidRPr="001C28F5">
              <w:rPr>
                <w:lang w:eastAsia="en-AU"/>
              </w:rPr>
              <w:t>Other - Managers</w:t>
            </w:r>
          </w:p>
        </w:tc>
        <w:tc>
          <w:tcPr>
            <w:tcW w:w="966" w:type="dxa"/>
          </w:tcPr>
          <w:p w14:paraId="1DB03864"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0C70106D" w14:textId="77777777" w:rsidR="00F95AF6" w:rsidRPr="001C28F5" w:rsidRDefault="00F95AF6" w:rsidP="009746A6">
            <w:pPr>
              <w:pStyle w:val="Tablebodytext"/>
              <w:keepNext w:val="0"/>
              <w:keepLines w:val="0"/>
              <w:rPr>
                <w:lang w:eastAsia="en-AU"/>
              </w:rPr>
            </w:pPr>
          </w:p>
        </w:tc>
        <w:tc>
          <w:tcPr>
            <w:tcW w:w="995" w:type="dxa"/>
            <w:vMerge/>
          </w:tcPr>
          <w:p w14:paraId="4232CCA3" w14:textId="77777777" w:rsidR="00F95AF6" w:rsidRPr="001C28F5" w:rsidRDefault="00F95AF6" w:rsidP="009746A6">
            <w:pPr>
              <w:pStyle w:val="Tablebodytext"/>
              <w:keepNext w:val="0"/>
              <w:keepLines w:val="0"/>
              <w:rPr>
                <w:lang w:eastAsia="en-AU"/>
              </w:rPr>
            </w:pPr>
          </w:p>
        </w:tc>
      </w:tr>
      <w:tr w:rsidR="00F95AF6" w:rsidRPr="001C28F5" w14:paraId="72E9316D" w14:textId="77777777" w:rsidTr="001371EB">
        <w:trPr>
          <w:trHeight w:val="360"/>
        </w:trPr>
        <w:tc>
          <w:tcPr>
            <w:tcW w:w="2037" w:type="dxa"/>
            <w:vMerge w:val="restart"/>
          </w:tcPr>
          <w:p w14:paraId="2C8859F1" w14:textId="77777777" w:rsidR="00F95AF6" w:rsidRPr="001C28F5" w:rsidRDefault="00F95AF6" w:rsidP="009746A6">
            <w:pPr>
              <w:pStyle w:val="Tablebodytext"/>
              <w:keepNext w:val="0"/>
              <w:keepLines w:val="0"/>
              <w:rPr>
                <w:lang w:eastAsia="en-AU"/>
              </w:rPr>
            </w:pPr>
            <w:r w:rsidRPr="001C28F5">
              <w:rPr>
                <w:lang w:eastAsia="en-AU"/>
              </w:rPr>
              <w:t xml:space="preserve">15.1 What percentage of non-managers and managers at this business received performance bonuses? </w:t>
            </w:r>
          </w:p>
          <w:p w14:paraId="05EF4F51" w14:textId="77777777" w:rsidR="00F95AF6" w:rsidRPr="001C28F5" w:rsidRDefault="00F95AF6" w:rsidP="009746A6">
            <w:pPr>
              <w:pStyle w:val="Tablebodytext"/>
              <w:keepNext w:val="0"/>
              <w:keepLines w:val="0"/>
              <w:rPr>
                <w:lang w:eastAsia="en-AU"/>
              </w:rPr>
            </w:pPr>
          </w:p>
        </w:tc>
        <w:tc>
          <w:tcPr>
            <w:tcW w:w="1082" w:type="dxa"/>
            <w:vMerge w:val="restart"/>
          </w:tcPr>
          <w:p w14:paraId="48C284F5" w14:textId="77777777" w:rsidR="00F95AF6" w:rsidRPr="0064751A" w:rsidRDefault="00F95AF6" w:rsidP="009746A6">
            <w:pPr>
              <w:pStyle w:val="Tablebodytext"/>
              <w:keepNext w:val="0"/>
              <w:keepLines w:val="0"/>
              <w:rPr>
                <w:lang w:eastAsia="en-AU"/>
              </w:rPr>
            </w:pPr>
            <w:r w:rsidRPr="0064751A">
              <w:rPr>
                <w:lang w:eastAsia="en-AU"/>
              </w:rPr>
              <w:t>Scaled</w:t>
            </w:r>
          </w:p>
          <w:p w14:paraId="69737D20" w14:textId="77777777" w:rsidR="00F95AF6" w:rsidRPr="001C28F5" w:rsidRDefault="00F95AF6" w:rsidP="009746A6">
            <w:pPr>
              <w:pStyle w:val="Tablebodytext"/>
              <w:keepNext w:val="0"/>
              <w:keepLines w:val="0"/>
              <w:rPr>
                <w:lang w:eastAsia="en-AU"/>
              </w:rPr>
            </w:pPr>
          </w:p>
        </w:tc>
        <w:tc>
          <w:tcPr>
            <w:tcW w:w="992" w:type="dxa"/>
          </w:tcPr>
          <w:p w14:paraId="0E941177"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616EB7BA" w14:textId="77777777" w:rsidR="00F95AF6" w:rsidRPr="001C28F5" w:rsidRDefault="00F95AF6" w:rsidP="009746A6">
            <w:pPr>
              <w:pStyle w:val="Tablebodytext"/>
              <w:keepNext w:val="0"/>
              <w:keepLines w:val="0"/>
              <w:rPr>
                <w:lang w:eastAsia="en-AU"/>
              </w:rPr>
            </w:pPr>
            <w:r w:rsidRPr="001C28F5">
              <w:rPr>
                <w:lang w:eastAsia="en-AU"/>
              </w:rPr>
              <w:t>No performance bonus paid</w:t>
            </w:r>
          </w:p>
        </w:tc>
        <w:tc>
          <w:tcPr>
            <w:tcW w:w="966" w:type="dxa"/>
          </w:tcPr>
          <w:p w14:paraId="6F8B4EEE"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4E600409"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5487A59C" w14:textId="77777777" w:rsidR="00F95AF6" w:rsidRPr="001C28F5" w:rsidRDefault="00F95AF6" w:rsidP="009746A6">
            <w:pPr>
              <w:pStyle w:val="Tablebodytext"/>
              <w:keepNext w:val="0"/>
              <w:keepLines w:val="0"/>
              <w:rPr>
                <w:lang w:eastAsia="en-AU"/>
              </w:rPr>
            </w:pPr>
            <w:r w:rsidRPr="001C28F5">
              <w:rPr>
                <w:lang w:eastAsia="en-AU"/>
              </w:rPr>
              <w:t>0.825</w:t>
            </w:r>
          </w:p>
        </w:tc>
      </w:tr>
      <w:tr w:rsidR="00F95AF6" w:rsidRPr="001C28F5" w14:paraId="351696E7" w14:textId="77777777" w:rsidTr="001371EB">
        <w:trPr>
          <w:trHeight w:val="320"/>
        </w:trPr>
        <w:tc>
          <w:tcPr>
            <w:tcW w:w="2037" w:type="dxa"/>
            <w:vMerge/>
          </w:tcPr>
          <w:p w14:paraId="771A280B" w14:textId="77777777" w:rsidR="00F95AF6" w:rsidRPr="001C28F5" w:rsidRDefault="00F95AF6" w:rsidP="009746A6">
            <w:pPr>
              <w:pStyle w:val="Tablebodytext"/>
              <w:keepNext w:val="0"/>
              <w:keepLines w:val="0"/>
              <w:rPr>
                <w:lang w:eastAsia="en-AU"/>
              </w:rPr>
            </w:pPr>
          </w:p>
        </w:tc>
        <w:tc>
          <w:tcPr>
            <w:tcW w:w="1082" w:type="dxa"/>
            <w:vMerge/>
          </w:tcPr>
          <w:p w14:paraId="417F1B2B" w14:textId="77777777" w:rsidR="00F95AF6" w:rsidRPr="001C28F5" w:rsidRDefault="00F95AF6" w:rsidP="009746A6">
            <w:pPr>
              <w:pStyle w:val="Tablebodytext"/>
              <w:keepNext w:val="0"/>
              <w:keepLines w:val="0"/>
              <w:rPr>
                <w:lang w:eastAsia="en-AU"/>
              </w:rPr>
            </w:pPr>
          </w:p>
        </w:tc>
        <w:tc>
          <w:tcPr>
            <w:tcW w:w="992" w:type="dxa"/>
          </w:tcPr>
          <w:p w14:paraId="44420D1F"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34FE498F" w14:textId="77777777" w:rsidR="00F95AF6" w:rsidRPr="001C28F5" w:rsidRDefault="00F95AF6" w:rsidP="009746A6">
            <w:pPr>
              <w:pStyle w:val="Tablebodytext"/>
              <w:keepNext w:val="0"/>
              <w:keepLines w:val="0"/>
              <w:rPr>
                <w:lang w:eastAsia="en-AU"/>
              </w:rPr>
            </w:pPr>
            <w:r w:rsidRPr="001C28F5">
              <w:rPr>
                <w:lang w:eastAsia="en-AU"/>
              </w:rPr>
              <w:t>1-33% (up to one third)</w:t>
            </w:r>
          </w:p>
        </w:tc>
        <w:tc>
          <w:tcPr>
            <w:tcW w:w="966" w:type="dxa"/>
          </w:tcPr>
          <w:p w14:paraId="1A58D0FD"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5C562BD0" w14:textId="77777777" w:rsidR="00F95AF6" w:rsidRPr="001C28F5" w:rsidRDefault="00F95AF6" w:rsidP="009746A6">
            <w:pPr>
              <w:pStyle w:val="Tablebodytext"/>
              <w:keepNext w:val="0"/>
              <w:keepLines w:val="0"/>
              <w:rPr>
                <w:lang w:eastAsia="en-AU"/>
              </w:rPr>
            </w:pPr>
          </w:p>
        </w:tc>
        <w:tc>
          <w:tcPr>
            <w:tcW w:w="995" w:type="dxa"/>
            <w:vMerge/>
          </w:tcPr>
          <w:p w14:paraId="70DBA35A" w14:textId="77777777" w:rsidR="00F95AF6" w:rsidRPr="001C28F5" w:rsidRDefault="00F95AF6" w:rsidP="009746A6">
            <w:pPr>
              <w:pStyle w:val="Tablebodytext"/>
              <w:keepNext w:val="0"/>
              <w:keepLines w:val="0"/>
              <w:rPr>
                <w:lang w:eastAsia="en-AU"/>
              </w:rPr>
            </w:pPr>
          </w:p>
        </w:tc>
      </w:tr>
      <w:tr w:rsidR="00F95AF6" w:rsidRPr="001C28F5" w14:paraId="09A29464" w14:textId="77777777" w:rsidTr="001371EB">
        <w:trPr>
          <w:trHeight w:val="320"/>
        </w:trPr>
        <w:tc>
          <w:tcPr>
            <w:tcW w:w="2037" w:type="dxa"/>
            <w:vMerge/>
          </w:tcPr>
          <w:p w14:paraId="3EA7E247" w14:textId="77777777" w:rsidR="00F95AF6" w:rsidRPr="001C28F5" w:rsidRDefault="00F95AF6" w:rsidP="009746A6">
            <w:pPr>
              <w:pStyle w:val="Tablebodytext"/>
              <w:keepNext w:val="0"/>
              <w:keepLines w:val="0"/>
              <w:rPr>
                <w:lang w:eastAsia="en-AU"/>
              </w:rPr>
            </w:pPr>
          </w:p>
        </w:tc>
        <w:tc>
          <w:tcPr>
            <w:tcW w:w="1082" w:type="dxa"/>
            <w:vMerge/>
          </w:tcPr>
          <w:p w14:paraId="49A086C6" w14:textId="77777777" w:rsidR="00F95AF6" w:rsidRPr="001C28F5" w:rsidRDefault="00F95AF6" w:rsidP="009746A6">
            <w:pPr>
              <w:pStyle w:val="Tablebodytext"/>
              <w:keepNext w:val="0"/>
              <w:keepLines w:val="0"/>
              <w:rPr>
                <w:lang w:eastAsia="en-AU"/>
              </w:rPr>
            </w:pPr>
          </w:p>
        </w:tc>
        <w:tc>
          <w:tcPr>
            <w:tcW w:w="992" w:type="dxa"/>
          </w:tcPr>
          <w:p w14:paraId="2E5F30A0"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14D923AC" w14:textId="77777777" w:rsidR="00F95AF6" w:rsidRPr="001C28F5" w:rsidRDefault="00F95AF6" w:rsidP="009746A6">
            <w:pPr>
              <w:pStyle w:val="Tablebodytext"/>
              <w:keepNext w:val="0"/>
              <w:keepLines w:val="0"/>
              <w:rPr>
                <w:lang w:eastAsia="en-AU"/>
              </w:rPr>
            </w:pPr>
            <w:r w:rsidRPr="001C28F5">
              <w:rPr>
                <w:lang w:eastAsia="en-AU"/>
              </w:rPr>
              <w:t>34-66% (up to two thirds)</w:t>
            </w:r>
          </w:p>
        </w:tc>
        <w:tc>
          <w:tcPr>
            <w:tcW w:w="966" w:type="dxa"/>
          </w:tcPr>
          <w:p w14:paraId="693A4424"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7B54FDEE" w14:textId="77777777" w:rsidR="00F95AF6" w:rsidRPr="001C28F5" w:rsidRDefault="00F95AF6" w:rsidP="009746A6">
            <w:pPr>
              <w:pStyle w:val="Tablebodytext"/>
              <w:keepNext w:val="0"/>
              <w:keepLines w:val="0"/>
              <w:rPr>
                <w:lang w:eastAsia="en-AU"/>
              </w:rPr>
            </w:pPr>
          </w:p>
        </w:tc>
        <w:tc>
          <w:tcPr>
            <w:tcW w:w="995" w:type="dxa"/>
            <w:vMerge/>
          </w:tcPr>
          <w:p w14:paraId="069E8009" w14:textId="77777777" w:rsidR="00F95AF6" w:rsidRPr="001C28F5" w:rsidRDefault="00F95AF6" w:rsidP="009746A6">
            <w:pPr>
              <w:pStyle w:val="Tablebodytext"/>
              <w:keepNext w:val="0"/>
              <w:keepLines w:val="0"/>
              <w:rPr>
                <w:lang w:eastAsia="en-AU"/>
              </w:rPr>
            </w:pPr>
          </w:p>
        </w:tc>
      </w:tr>
      <w:tr w:rsidR="00F95AF6" w:rsidRPr="001C28F5" w14:paraId="6870FFEC" w14:textId="77777777" w:rsidTr="001371EB">
        <w:trPr>
          <w:trHeight w:val="320"/>
        </w:trPr>
        <w:tc>
          <w:tcPr>
            <w:tcW w:w="2037" w:type="dxa"/>
            <w:vMerge/>
          </w:tcPr>
          <w:p w14:paraId="3D237FDE" w14:textId="77777777" w:rsidR="00F95AF6" w:rsidRPr="001C28F5" w:rsidRDefault="00F95AF6" w:rsidP="009746A6">
            <w:pPr>
              <w:pStyle w:val="Tablebodytext"/>
              <w:keepNext w:val="0"/>
              <w:keepLines w:val="0"/>
              <w:rPr>
                <w:lang w:eastAsia="en-AU"/>
              </w:rPr>
            </w:pPr>
          </w:p>
        </w:tc>
        <w:tc>
          <w:tcPr>
            <w:tcW w:w="1082" w:type="dxa"/>
            <w:vMerge/>
          </w:tcPr>
          <w:p w14:paraId="15ED42B0" w14:textId="77777777" w:rsidR="00F95AF6" w:rsidRPr="001C28F5" w:rsidRDefault="00F95AF6" w:rsidP="009746A6">
            <w:pPr>
              <w:pStyle w:val="Tablebodytext"/>
              <w:keepNext w:val="0"/>
              <w:keepLines w:val="0"/>
              <w:rPr>
                <w:lang w:eastAsia="en-AU"/>
              </w:rPr>
            </w:pPr>
          </w:p>
        </w:tc>
        <w:tc>
          <w:tcPr>
            <w:tcW w:w="992" w:type="dxa"/>
          </w:tcPr>
          <w:p w14:paraId="4A242803"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681FDF44" w14:textId="77777777" w:rsidR="00F95AF6" w:rsidRPr="001C28F5" w:rsidRDefault="00F95AF6" w:rsidP="009746A6">
            <w:pPr>
              <w:pStyle w:val="Tablebodytext"/>
              <w:keepNext w:val="0"/>
              <w:keepLines w:val="0"/>
              <w:rPr>
                <w:lang w:eastAsia="en-AU"/>
              </w:rPr>
            </w:pPr>
            <w:r w:rsidRPr="001C28F5">
              <w:rPr>
                <w:lang w:eastAsia="en-AU"/>
              </w:rPr>
              <w:t xml:space="preserve">67-99% (more than two thirds to almost all) </w:t>
            </w:r>
          </w:p>
        </w:tc>
        <w:tc>
          <w:tcPr>
            <w:tcW w:w="966" w:type="dxa"/>
          </w:tcPr>
          <w:p w14:paraId="29C52E4A" w14:textId="77777777" w:rsidR="00F95AF6" w:rsidRPr="001C28F5" w:rsidRDefault="00F95AF6" w:rsidP="009746A6">
            <w:pPr>
              <w:pStyle w:val="Tablebodytext"/>
              <w:keepNext w:val="0"/>
              <w:keepLines w:val="0"/>
              <w:rPr>
                <w:lang w:eastAsia="en-AU"/>
              </w:rPr>
            </w:pPr>
            <w:r w:rsidRPr="001C28F5">
              <w:rPr>
                <w:lang w:eastAsia="en-AU"/>
              </w:rPr>
              <w:t>3/4</w:t>
            </w:r>
          </w:p>
        </w:tc>
        <w:tc>
          <w:tcPr>
            <w:tcW w:w="1043" w:type="dxa"/>
            <w:vMerge/>
          </w:tcPr>
          <w:p w14:paraId="0C8D86A8" w14:textId="77777777" w:rsidR="00F95AF6" w:rsidRPr="001C28F5" w:rsidRDefault="00F95AF6" w:rsidP="009746A6">
            <w:pPr>
              <w:pStyle w:val="Tablebodytext"/>
              <w:keepNext w:val="0"/>
              <w:keepLines w:val="0"/>
              <w:rPr>
                <w:lang w:eastAsia="en-AU"/>
              </w:rPr>
            </w:pPr>
          </w:p>
        </w:tc>
        <w:tc>
          <w:tcPr>
            <w:tcW w:w="995" w:type="dxa"/>
            <w:vMerge/>
          </w:tcPr>
          <w:p w14:paraId="2C73903B" w14:textId="77777777" w:rsidR="00F95AF6" w:rsidRPr="001C28F5" w:rsidRDefault="00F95AF6" w:rsidP="009746A6">
            <w:pPr>
              <w:pStyle w:val="Tablebodytext"/>
              <w:keepNext w:val="0"/>
              <w:keepLines w:val="0"/>
              <w:rPr>
                <w:lang w:eastAsia="en-AU"/>
              </w:rPr>
            </w:pPr>
          </w:p>
        </w:tc>
      </w:tr>
      <w:tr w:rsidR="00F95AF6" w:rsidRPr="001C28F5" w14:paraId="2AFD793D" w14:textId="77777777" w:rsidTr="001371EB">
        <w:trPr>
          <w:trHeight w:val="320"/>
        </w:trPr>
        <w:tc>
          <w:tcPr>
            <w:tcW w:w="2037" w:type="dxa"/>
            <w:vMerge/>
          </w:tcPr>
          <w:p w14:paraId="5216EE6E" w14:textId="77777777" w:rsidR="00F95AF6" w:rsidRPr="001C28F5" w:rsidRDefault="00F95AF6" w:rsidP="009746A6">
            <w:pPr>
              <w:pStyle w:val="Tablebodytext"/>
              <w:keepNext w:val="0"/>
              <w:keepLines w:val="0"/>
              <w:rPr>
                <w:lang w:eastAsia="en-AU"/>
              </w:rPr>
            </w:pPr>
          </w:p>
        </w:tc>
        <w:tc>
          <w:tcPr>
            <w:tcW w:w="1082" w:type="dxa"/>
            <w:vMerge/>
          </w:tcPr>
          <w:p w14:paraId="54C5C8CD" w14:textId="77777777" w:rsidR="00F95AF6" w:rsidRPr="001C28F5" w:rsidRDefault="00F95AF6" w:rsidP="009746A6">
            <w:pPr>
              <w:pStyle w:val="Tablebodytext"/>
              <w:keepNext w:val="0"/>
              <w:keepLines w:val="0"/>
              <w:rPr>
                <w:lang w:eastAsia="en-AU"/>
              </w:rPr>
            </w:pPr>
          </w:p>
        </w:tc>
        <w:tc>
          <w:tcPr>
            <w:tcW w:w="992" w:type="dxa"/>
          </w:tcPr>
          <w:p w14:paraId="42B54E51"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408A5E34" w14:textId="77777777" w:rsidR="00F95AF6" w:rsidRPr="001C28F5" w:rsidRDefault="00F95AF6" w:rsidP="009746A6">
            <w:pPr>
              <w:pStyle w:val="Tablebodytext"/>
              <w:keepNext w:val="0"/>
              <w:keepLines w:val="0"/>
              <w:rPr>
                <w:lang w:eastAsia="en-AU"/>
              </w:rPr>
            </w:pPr>
            <w:r w:rsidRPr="001C28F5">
              <w:rPr>
                <w:lang w:eastAsia="en-AU"/>
              </w:rPr>
              <w:t>100% (all)</w:t>
            </w:r>
          </w:p>
        </w:tc>
        <w:tc>
          <w:tcPr>
            <w:tcW w:w="966" w:type="dxa"/>
          </w:tcPr>
          <w:p w14:paraId="174CD67F"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79CD854C" w14:textId="77777777" w:rsidR="00F95AF6" w:rsidRPr="001C28F5" w:rsidRDefault="00F95AF6" w:rsidP="009746A6">
            <w:pPr>
              <w:pStyle w:val="Tablebodytext"/>
              <w:keepNext w:val="0"/>
              <w:keepLines w:val="0"/>
              <w:rPr>
                <w:lang w:eastAsia="en-AU"/>
              </w:rPr>
            </w:pPr>
          </w:p>
        </w:tc>
        <w:tc>
          <w:tcPr>
            <w:tcW w:w="995" w:type="dxa"/>
            <w:vMerge/>
          </w:tcPr>
          <w:p w14:paraId="5C7FB988" w14:textId="77777777" w:rsidR="00F95AF6" w:rsidRPr="001C28F5" w:rsidRDefault="00F95AF6" w:rsidP="009746A6">
            <w:pPr>
              <w:pStyle w:val="Tablebodytext"/>
              <w:keepNext w:val="0"/>
              <w:keepLines w:val="0"/>
              <w:rPr>
                <w:lang w:eastAsia="en-AU"/>
              </w:rPr>
            </w:pPr>
          </w:p>
        </w:tc>
      </w:tr>
      <w:tr w:rsidR="00F95AF6" w:rsidRPr="001C28F5" w14:paraId="54E034FF" w14:textId="77777777" w:rsidTr="001371EB">
        <w:trPr>
          <w:trHeight w:val="240"/>
        </w:trPr>
        <w:tc>
          <w:tcPr>
            <w:tcW w:w="2037" w:type="dxa"/>
            <w:vMerge w:val="restart"/>
          </w:tcPr>
          <w:p w14:paraId="5920E30A" w14:textId="77777777" w:rsidR="00F95AF6" w:rsidRPr="001C28F5" w:rsidRDefault="00F95AF6" w:rsidP="009746A6">
            <w:pPr>
              <w:pStyle w:val="Tablebodytext"/>
              <w:keepNext w:val="0"/>
              <w:keepLines w:val="0"/>
              <w:rPr>
                <w:lang w:eastAsia="en-AU"/>
              </w:rPr>
            </w:pPr>
            <w:r w:rsidRPr="001C28F5">
              <w:rPr>
                <w:lang w:eastAsia="en-AU"/>
              </w:rPr>
              <w:lastRenderedPageBreak/>
              <w:t>15.2 What percentage of non-managers and managers at this business received performance bonuses?</w:t>
            </w:r>
          </w:p>
          <w:p w14:paraId="5DB2D437" w14:textId="77777777" w:rsidR="00F95AF6" w:rsidRPr="001C28F5" w:rsidRDefault="00F95AF6" w:rsidP="009746A6">
            <w:pPr>
              <w:pStyle w:val="Tablebodytext"/>
              <w:keepNext w:val="0"/>
              <w:keepLines w:val="0"/>
              <w:rPr>
                <w:lang w:eastAsia="en-AU"/>
              </w:rPr>
            </w:pPr>
          </w:p>
        </w:tc>
        <w:tc>
          <w:tcPr>
            <w:tcW w:w="1082" w:type="dxa"/>
            <w:vMerge w:val="restart"/>
          </w:tcPr>
          <w:p w14:paraId="30843D2A" w14:textId="77777777" w:rsidR="00F95AF6" w:rsidRPr="0064751A" w:rsidRDefault="00F95AF6" w:rsidP="009746A6">
            <w:pPr>
              <w:pStyle w:val="Tablebodytext"/>
              <w:keepNext w:val="0"/>
              <w:keepLines w:val="0"/>
              <w:rPr>
                <w:lang w:eastAsia="en-AU"/>
              </w:rPr>
            </w:pPr>
            <w:r w:rsidRPr="0064751A">
              <w:rPr>
                <w:lang w:eastAsia="en-AU"/>
              </w:rPr>
              <w:t>Scaled</w:t>
            </w:r>
          </w:p>
          <w:p w14:paraId="5C2B3F69" w14:textId="77777777" w:rsidR="00F95AF6" w:rsidRPr="001C28F5" w:rsidRDefault="00F95AF6" w:rsidP="009746A6">
            <w:pPr>
              <w:pStyle w:val="Tablebodytext"/>
              <w:keepNext w:val="0"/>
              <w:keepLines w:val="0"/>
              <w:rPr>
                <w:lang w:eastAsia="en-AU"/>
              </w:rPr>
            </w:pPr>
          </w:p>
        </w:tc>
        <w:tc>
          <w:tcPr>
            <w:tcW w:w="992" w:type="dxa"/>
          </w:tcPr>
          <w:p w14:paraId="022C801B"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003B40F0" w14:textId="77777777" w:rsidR="00F95AF6" w:rsidRPr="001C28F5" w:rsidRDefault="00F95AF6" w:rsidP="009746A6">
            <w:pPr>
              <w:pStyle w:val="Tablebodytext"/>
              <w:keepNext w:val="0"/>
              <w:keepLines w:val="0"/>
              <w:rPr>
                <w:lang w:eastAsia="en-AU"/>
              </w:rPr>
            </w:pPr>
            <w:r w:rsidRPr="001C28F5">
              <w:rPr>
                <w:lang w:eastAsia="en-AU"/>
              </w:rPr>
              <w:t>No performance bonus paid</w:t>
            </w:r>
          </w:p>
        </w:tc>
        <w:tc>
          <w:tcPr>
            <w:tcW w:w="966" w:type="dxa"/>
          </w:tcPr>
          <w:p w14:paraId="7C36E258"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609652C8"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01F2A63D" w14:textId="77777777" w:rsidR="00F95AF6" w:rsidRPr="001C28F5" w:rsidRDefault="00F95AF6" w:rsidP="009746A6">
            <w:pPr>
              <w:pStyle w:val="Tablebodytext"/>
              <w:keepNext w:val="0"/>
              <w:keepLines w:val="0"/>
              <w:rPr>
                <w:lang w:eastAsia="en-AU"/>
              </w:rPr>
            </w:pPr>
            <w:r w:rsidRPr="001C28F5">
              <w:rPr>
                <w:lang w:eastAsia="en-AU"/>
              </w:rPr>
              <w:t>0.770</w:t>
            </w:r>
          </w:p>
        </w:tc>
      </w:tr>
      <w:tr w:rsidR="00F95AF6" w:rsidRPr="001C28F5" w14:paraId="4F4B05DF" w14:textId="77777777" w:rsidTr="001371EB">
        <w:trPr>
          <w:trHeight w:val="320"/>
        </w:trPr>
        <w:tc>
          <w:tcPr>
            <w:tcW w:w="2037" w:type="dxa"/>
            <w:vMerge/>
          </w:tcPr>
          <w:p w14:paraId="385DF561" w14:textId="77777777" w:rsidR="00F95AF6" w:rsidRPr="001C28F5" w:rsidRDefault="00F95AF6" w:rsidP="009746A6">
            <w:pPr>
              <w:pStyle w:val="Tablebodytext"/>
              <w:keepNext w:val="0"/>
              <w:keepLines w:val="0"/>
              <w:rPr>
                <w:lang w:eastAsia="en-AU"/>
              </w:rPr>
            </w:pPr>
          </w:p>
        </w:tc>
        <w:tc>
          <w:tcPr>
            <w:tcW w:w="1082" w:type="dxa"/>
            <w:vMerge/>
          </w:tcPr>
          <w:p w14:paraId="079B5372" w14:textId="77777777" w:rsidR="00F95AF6" w:rsidRPr="001C28F5" w:rsidRDefault="00F95AF6" w:rsidP="009746A6">
            <w:pPr>
              <w:pStyle w:val="Tablebodytext"/>
              <w:keepNext w:val="0"/>
              <w:keepLines w:val="0"/>
              <w:rPr>
                <w:lang w:eastAsia="en-AU"/>
              </w:rPr>
            </w:pPr>
          </w:p>
        </w:tc>
        <w:tc>
          <w:tcPr>
            <w:tcW w:w="992" w:type="dxa"/>
          </w:tcPr>
          <w:p w14:paraId="6CDD01A5"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759510D9" w14:textId="77777777" w:rsidR="00F95AF6" w:rsidRPr="001C28F5" w:rsidRDefault="00F95AF6" w:rsidP="009746A6">
            <w:pPr>
              <w:pStyle w:val="Tablebodytext"/>
              <w:keepNext w:val="0"/>
              <w:keepLines w:val="0"/>
              <w:rPr>
                <w:lang w:eastAsia="en-AU"/>
              </w:rPr>
            </w:pPr>
            <w:r w:rsidRPr="001C28F5">
              <w:rPr>
                <w:lang w:eastAsia="en-AU"/>
              </w:rPr>
              <w:t>1-33% (up to one third)</w:t>
            </w:r>
          </w:p>
        </w:tc>
        <w:tc>
          <w:tcPr>
            <w:tcW w:w="966" w:type="dxa"/>
          </w:tcPr>
          <w:p w14:paraId="72B4430C"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087D2B0F" w14:textId="77777777" w:rsidR="00F95AF6" w:rsidRPr="001C28F5" w:rsidRDefault="00F95AF6" w:rsidP="009746A6">
            <w:pPr>
              <w:pStyle w:val="Tablebodytext"/>
              <w:keepNext w:val="0"/>
              <w:keepLines w:val="0"/>
              <w:rPr>
                <w:lang w:eastAsia="en-AU"/>
              </w:rPr>
            </w:pPr>
          </w:p>
        </w:tc>
        <w:tc>
          <w:tcPr>
            <w:tcW w:w="995" w:type="dxa"/>
            <w:vMerge/>
          </w:tcPr>
          <w:p w14:paraId="44E99020" w14:textId="77777777" w:rsidR="00F95AF6" w:rsidRPr="001C28F5" w:rsidRDefault="00F95AF6" w:rsidP="009746A6">
            <w:pPr>
              <w:pStyle w:val="Tablebodytext"/>
              <w:keepNext w:val="0"/>
              <w:keepLines w:val="0"/>
              <w:rPr>
                <w:lang w:eastAsia="en-AU"/>
              </w:rPr>
            </w:pPr>
          </w:p>
        </w:tc>
      </w:tr>
      <w:tr w:rsidR="00F95AF6" w:rsidRPr="001C28F5" w14:paraId="22232211" w14:textId="77777777" w:rsidTr="001371EB">
        <w:trPr>
          <w:trHeight w:val="320"/>
        </w:trPr>
        <w:tc>
          <w:tcPr>
            <w:tcW w:w="2037" w:type="dxa"/>
            <w:vMerge/>
          </w:tcPr>
          <w:p w14:paraId="0C2D2B95" w14:textId="77777777" w:rsidR="00F95AF6" w:rsidRPr="001C28F5" w:rsidRDefault="00F95AF6" w:rsidP="009746A6">
            <w:pPr>
              <w:pStyle w:val="Tablebodytext"/>
              <w:keepNext w:val="0"/>
              <w:keepLines w:val="0"/>
              <w:rPr>
                <w:lang w:eastAsia="en-AU"/>
              </w:rPr>
            </w:pPr>
          </w:p>
        </w:tc>
        <w:tc>
          <w:tcPr>
            <w:tcW w:w="1082" w:type="dxa"/>
            <w:vMerge/>
          </w:tcPr>
          <w:p w14:paraId="3BEDB85D" w14:textId="77777777" w:rsidR="00F95AF6" w:rsidRPr="001C28F5" w:rsidRDefault="00F95AF6" w:rsidP="009746A6">
            <w:pPr>
              <w:pStyle w:val="Tablebodytext"/>
              <w:keepNext w:val="0"/>
              <w:keepLines w:val="0"/>
              <w:rPr>
                <w:lang w:eastAsia="en-AU"/>
              </w:rPr>
            </w:pPr>
          </w:p>
        </w:tc>
        <w:tc>
          <w:tcPr>
            <w:tcW w:w="992" w:type="dxa"/>
          </w:tcPr>
          <w:p w14:paraId="29C69B55"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4341D3A9" w14:textId="77777777" w:rsidR="00F95AF6" w:rsidRPr="001C28F5" w:rsidRDefault="00F95AF6" w:rsidP="009746A6">
            <w:pPr>
              <w:pStyle w:val="Tablebodytext"/>
              <w:keepNext w:val="0"/>
              <w:keepLines w:val="0"/>
              <w:rPr>
                <w:lang w:eastAsia="en-AU"/>
              </w:rPr>
            </w:pPr>
            <w:r w:rsidRPr="001C28F5">
              <w:rPr>
                <w:lang w:eastAsia="en-AU"/>
              </w:rPr>
              <w:t>34-66% (up to two thirds)</w:t>
            </w:r>
          </w:p>
        </w:tc>
        <w:tc>
          <w:tcPr>
            <w:tcW w:w="966" w:type="dxa"/>
          </w:tcPr>
          <w:p w14:paraId="4F61D4AF"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772912B1" w14:textId="77777777" w:rsidR="00F95AF6" w:rsidRPr="001C28F5" w:rsidRDefault="00F95AF6" w:rsidP="009746A6">
            <w:pPr>
              <w:pStyle w:val="Tablebodytext"/>
              <w:keepNext w:val="0"/>
              <w:keepLines w:val="0"/>
              <w:rPr>
                <w:lang w:eastAsia="en-AU"/>
              </w:rPr>
            </w:pPr>
          </w:p>
        </w:tc>
        <w:tc>
          <w:tcPr>
            <w:tcW w:w="995" w:type="dxa"/>
            <w:vMerge/>
          </w:tcPr>
          <w:p w14:paraId="7DBEF753" w14:textId="77777777" w:rsidR="00F95AF6" w:rsidRPr="001C28F5" w:rsidRDefault="00F95AF6" w:rsidP="009746A6">
            <w:pPr>
              <w:pStyle w:val="Tablebodytext"/>
              <w:keepNext w:val="0"/>
              <w:keepLines w:val="0"/>
              <w:rPr>
                <w:lang w:eastAsia="en-AU"/>
              </w:rPr>
            </w:pPr>
          </w:p>
        </w:tc>
      </w:tr>
      <w:tr w:rsidR="00F95AF6" w:rsidRPr="001C28F5" w14:paraId="28712EA6" w14:textId="77777777" w:rsidTr="001371EB">
        <w:trPr>
          <w:trHeight w:val="320"/>
        </w:trPr>
        <w:tc>
          <w:tcPr>
            <w:tcW w:w="2037" w:type="dxa"/>
            <w:vMerge/>
          </w:tcPr>
          <w:p w14:paraId="38DEA3D8" w14:textId="77777777" w:rsidR="00F95AF6" w:rsidRPr="001C28F5" w:rsidRDefault="00F95AF6" w:rsidP="009746A6">
            <w:pPr>
              <w:pStyle w:val="Tablebodytext"/>
              <w:keepNext w:val="0"/>
              <w:keepLines w:val="0"/>
              <w:rPr>
                <w:lang w:eastAsia="en-AU"/>
              </w:rPr>
            </w:pPr>
          </w:p>
        </w:tc>
        <w:tc>
          <w:tcPr>
            <w:tcW w:w="1082" w:type="dxa"/>
            <w:vMerge/>
          </w:tcPr>
          <w:p w14:paraId="50405BC0" w14:textId="77777777" w:rsidR="00F95AF6" w:rsidRPr="001C28F5" w:rsidRDefault="00F95AF6" w:rsidP="009746A6">
            <w:pPr>
              <w:pStyle w:val="Tablebodytext"/>
              <w:keepNext w:val="0"/>
              <w:keepLines w:val="0"/>
              <w:rPr>
                <w:lang w:eastAsia="en-AU"/>
              </w:rPr>
            </w:pPr>
          </w:p>
        </w:tc>
        <w:tc>
          <w:tcPr>
            <w:tcW w:w="992" w:type="dxa"/>
          </w:tcPr>
          <w:p w14:paraId="500CBD20"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13C04F71" w14:textId="77777777" w:rsidR="00F95AF6" w:rsidRPr="001C28F5" w:rsidRDefault="00F95AF6" w:rsidP="009746A6">
            <w:pPr>
              <w:pStyle w:val="Tablebodytext"/>
              <w:keepNext w:val="0"/>
              <w:keepLines w:val="0"/>
              <w:rPr>
                <w:lang w:eastAsia="en-AU"/>
              </w:rPr>
            </w:pPr>
            <w:r w:rsidRPr="001C28F5">
              <w:rPr>
                <w:lang w:eastAsia="en-AU"/>
              </w:rPr>
              <w:t xml:space="preserve">67-99% (more than two thirds to almost all) </w:t>
            </w:r>
          </w:p>
        </w:tc>
        <w:tc>
          <w:tcPr>
            <w:tcW w:w="966" w:type="dxa"/>
          </w:tcPr>
          <w:p w14:paraId="53B45B38" w14:textId="77777777" w:rsidR="00F95AF6" w:rsidRPr="001C28F5" w:rsidRDefault="00F95AF6" w:rsidP="009746A6">
            <w:pPr>
              <w:pStyle w:val="Tablebodytext"/>
              <w:keepNext w:val="0"/>
              <w:keepLines w:val="0"/>
              <w:rPr>
                <w:lang w:eastAsia="en-AU"/>
              </w:rPr>
            </w:pPr>
            <w:r w:rsidRPr="001C28F5">
              <w:rPr>
                <w:lang w:eastAsia="en-AU"/>
              </w:rPr>
              <w:t>3/4</w:t>
            </w:r>
          </w:p>
        </w:tc>
        <w:tc>
          <w:tcPr>
            <w:tcW w:w="1043" w:type="dxa"/>
            <w:vMerge/>
          </w:tcPr>
          <w:p w14:paraId="491C63E3" w14:textId="77777777" w:rsidR="00F95AF6" w:rsidRPr="001C28F5" w:rsidRDefault="00F95AF6" w:rsidP="009746A6">
            <w:pPr>
              <w:pStyle w:val="Tablebodytext"/>
              <w:keepNext w:val="0"/>
              <w:keepLines w:val="0"/>
              <w:rPr>
                <w:lang w:eastAsia="en-AU"/>
              </w:rPr>
            </w:pPr>
          </w:p>
        </w:tc>
        <w:tc>
          <w:tcPr>
            <w:tcW w:w="995" w:type="dxa"/>
            <w:vMerge/>
          </w:tcPr>
          <w:p w14:paraId="6130CE8F" w14:textId="77777777" w:rsidR="00F95AF6" w:rsidRPr="001C28F5" w:rsidRDefault="00F95AF6" w:rsidP="009746A6">
            <w:pPr>
              <w:pStyle w:val="Tablebodytext"/>
              <w:keepNext w:val="0"/>
              <w:keepLines w:val="0"/>
              <w:rPr>
                <w:lang w:eastAsia="en-AU"/>
              </w:rPr>
            </w:pPr>
          </w:p>
        </w:tc>
      </w:tr>
      <w:tr w:rsidR="00F95AF6" w:rsidRPr="001C28F5" w14:paraId="0930E8FA" w14:textId="77777777" w:rsidTr="001371EB">
        <w:trPr>
          <w:trHeight w:val="320"/>
        </w:trPr>
        <w:tc>
          <w:tcPr>
            <w:tcW w:w="2037" w:type="dxa"/>
            <w:vMerge/>
          </w:tcPr>
          <w:p w14:paraId="191762F6" w14:textId="77777777" w:rsidR="00F95AF6" w:rsidRPr="001C28F5" w:rsidRDefault="00F95AF6" w:rsidP="009746A6">
            <w:pPr>
              <w:pStyle w:val="Tablebodytext"/>
              <w:keepNext w:val="0"/>
              <w:keepLines w:val="0"/>
              <w:rPr>
                <w:lang w:eastAsia="en-AU"/>
              </w:rPr>
            </w:pPr>
          </w:p>
        </w:tc>
        <w:tc>
          <w:tcPr>
            <w:tcW w:w="1082" w:type="dxa"/>
            <w:vMerge/>
          </w:tcPr>
          <w:p w14:paraId="313C23E0" w14:textId="77777777" w:rsidR="00F95AF6" w:rsidRPr="001C28F5" w:rsidRDefault="00F95AF6" w:rsidP="009746A6">
            <w:pPr>
              <w:pStyle w:val="Tablebodytext"/>
              <w:keepNext w:val="0"/>
              <w:keepLines w:val="0"/>
              <w:rPr>
                <w:lang w:eastAsia="en-AU"/>
              </w:rPr>
            </w:pPr>
          </w:p>
        </w:tc>
        <w:tc>
          <w:tcPr>
            <w:tcW w:w="992" w:type="dxa"/>
          </w:tcPr>
          <w:p w14:paraId="6B391E2A"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094730A4" w14:textId="77777777" w:rsidR="00F95AF6" w:rsidRPr="001C28F5" w:rsidRDefault="00F95AF6" w:rsidP="009746A6">
            <w:pPr>
              <w:pStyle w:val="Tablebodytext"/>
              <w:keepNext w:val="0"/>
              <w:keepLines w:val="0"/>
              <w:rPr>
                <w:lang w:eastAsia="en-AU"/>
              </w:rPr>
            </w:pPr>
            <w:r w:rsidRPr="001C28F5">
              <w:rPr>
                <w:lang w:eastAsia="en-AU"/>
              </w:rPr>
              <w:t>100% (all)</w:t>
            </w:r>
          </w:p>
        </w:tc>
        <w:tc>
          <w:tcPr>
            <w:tcW w:w="966" w:type="dxa"/>
          </w:tcPr>
          <w:p w14:paraId="0B21AEF7"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641F3BA" w14:textId="77777777" w:rsidR="00F95AF6" w:rsidRPr="001C28F5" w:rsidRDefault="00F95AF6" w:rsidP="009746A6">
            <w:pPr>
              <w:pStyle w:val="Tablebodytext"/>
              <w:keepNext w:val="0"/>
              <w:keepLines w:val="0"/>
              <w:rPr>
                <w:lang w:eastAsia="en-AU"/>
              </w:rPr>
            </w:pPr>
          </w:p>
        </w:tc>
        <w:tc>
          <w:tcPr>
            <w:tcW w:w="995" w:type="dxa"/>
            <w:vMerge/>
          </w:tcPr>
          <w:p w14:paraId="4B2FF0AD" w14:textId="77777777" w:rsidR="00F95AF6" w:rsidRPr="001C28F5" w:rsidRDefault="00F95AF6" w:rsidP="009746A6">
            <w:pPr>
              <w:pStyle w:val="Tablebodytext"/>
              <w:keepNext w:val="0"/>
              <w:keepLines w:val="0"/>
              <w:rPr>
                <w:lang w:eastAsia="en-AU"/>
              </w:rPr>
            </w:pPr>
          </w:p>
        </w:tc>
      </w:tr>
      <w:tr w:rsidR="00F95AF6" w:rsidRPr="001C28F5" w14:paraId="457CF165" w14:textId="77777777" w:rsidTr="001371EB">
        <w:trPr>
          <w:trHeight w:val="660"/>
        </w:trPr>
        <w:tc>
          <w:tcPr>
            <w:tcW w:w="2037" w:type="dxa"/>
            <w:vMerge w:val="restart"/>
          </w:tcPr>
          <w:p w14:paraId="34668747" w14:textId="77777777" w:rsidR="00F95AF6" w:rsidRPr="001C28F5" w:rsidRDefault="00F95AF6" w:rsidP="009746A6">
            <w:pPr>
              <w:pStyle w:val="Tablebodytext"/>
              <w:keepNext w:val="0"/>
              <w:keepLines w:val="0"/>
              <w:rPr>
                <w:lang w:eastAsia="en-AU"/>
              </w:rPr>
            </w:pPr>
            <w:r w:rsidRPr="001C28F5">
              <w:rPr>
                <w:lang w:eastAsia="en-AU"/>
              </w:rPr>
              <w:t xml:space="preserve">16.1 What were the primary ways managers and non-managers were promoted at this business? </w:t>
            </w:r>
          </w:p>
          <w:p w14:paraId="5C607B12" w14:textId="77777777" w:rsidR="00F95AF6" w:rsidRPr="001C28F5" w:rsidRDefault="00F95AF6" w:rsidP="009746A6">
            <w:pPr>
              <w:pStyle w:val="Tablebodytext"/>
              <w:keepNext w:val="0"/>
              <w:keepLines w:val="0"/>
              <w:rPr>
                <w:lang w:eastAsia="en-AU"/>
              </w:rPr>
            </w:pPr>
          </w:p>
        </w:tc>
        <w:tc>
          <w:tcPr>
            <w:tcW w:w="1082" w:type="dxa"/>
          </w:tcPr>
          <w:p w14:paraId="7C5E37EE" w14:textId="77777777" w:rsidR="00F95AF6" w:rsidRPr="0064751A" w:rsidRDefault="00F95AF6" w:rsidP="009746A6">
            <w:pPr>
              <w:pStyle w:val="Tablebodytext"/>
              <w:keepNext w:val="0"/>
              <w:keepLines w:val="0"/>
              <w:rPr>
                <w:lang w:eastAsia="en-AU"/>
              </w:rPr>
            </w:pPr>
            <w:r w:rsidRPr="0064751A">
              <w:rPr>
                <w:lang w:eastAsia="en-AU"/>
              </w:rPr>
              <w:t>Scaled</w:t>
            </w:r>
          </w:p>
        </w:tc>
        <w:tc>
          <w:tcPr>
            <w:tcW w:w="992" w:type="dxa"/>
          </w:tcPr>
          <w:p w14:paraId="45948FDC"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6F5FC210" w14:textId="77777777" w:rsidR="00F95AF6" w:rsidRPr="001C28F5" w:rsidRDefault="00F95AF6" w:rsidP="009746A6">
            <w:pPr>
              <w:pStyle w:val="Tablebodytext"/>
              <w:keepNext w:val="0"/>
              <w:keepLines w:val="0"/>
              <w:rPr>
                <w:lang w:eastAsia="en-AU"/>
              </w:rPr>
            </w:pPr>
            <w:r w:rsidRPr="001C28F5">
              <w:rPr>
                <w:lang w:eastAsia="en-AU"/>
              </w:rPr>
              <w:t>Promotions were based solely on performance and ability</w:t>
            </w:r>
          </w:p>
        </w:tc>
        <w:tc>
          <w:tcPr>
            <w:tcW w:w="966" w:type="dxa"/>
          </w:tcPr>
          <w:p w14:paraId="47A4C32B"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val="restart"/>
          </w:tcPr>
          <w:p w14:paraId="16E01D11"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2EC7E3DA" w14:textId="77777777" w:rsidR="00F95AF6" w:rsidRPr="001C28F5" w:rsidRDefault="00F95AF6" w:rsidP="009746A6">
            <w:pPr>
              <w:pStyle w:val="Tablebodytext"/>
              <w:keepNext w:val="0"/>
              <w:keepLines w:val="0"/>
              <w:rPr>
                <w:lang w:eastAsia="en-AU"/>
              </w:rPr>
            </w:pPr>
            <w:r w:rsidRPr="001C28F5">
              <w:rPr>
                <w:lang w:eastAsia="en-AU"/>
              </w:rPr>
              <w:t>0.335</w:t>
            </w:r>
          </w:p>
        </w:tc>
      </w:tr>
      <w:tr w:rsidR="00F95AF6" w:rsidRPr="001C28F5" w14:paraId="48E666CB" w14:textId="77777777" w:rsidTr="001371EB">
        <w:trPr>
          <w:trHeight w:val="440"/>
        </w:trPr>
        <w:tc>
          <w:tcPr>
            <w:tcW w:w="2037" w:type="dxa"/>
            <w:vMerge/>
          </w:tcPr>
          <w:p w14:paraId="6545894E" w14:textId="77777777" w:rsidR="00F95AF6" w:rsidRPr="001C28F5" w:rsidRDefault="00F95AF6" w:rsidP="009746A6">
            <w:pPr>
              <w:pStyle w:val="Tablebodytext"/>
              <w:keepNext w:val="0"/>
              <w:keepLines w:val="0"/>
              <w:rPr>
                <w:lang w:eastAsia="en-AU"/>
              </w:rPr>
            </w:pPr>
          </w:p>
        </w:tc>
        <w:tc>
          <w:tcPr>
            <w:tcW w:w="1082" w:type="dxa"/>
          </w:tcPr>
          <w:p w14:paraId="37B15878" w14:textId="77777777" w:rsidR="00F95AF6" w:rsidRPr="001C28F5" w:rsidRDefault="00F95AF6" w:rsidP="009746A6">
            <w:pPr>
              <w:pStyle w:val="Tablebodytext"/>
              <w:keepNext w:val="0"/>
              <w:keepLines w:val="0"/>
              <w:rPr>
                <w:lang w:eastAsia="en-AU"/>
              </w:rPr>
            </w:pPr>
            <w:r w:rsidRPr="001C28F5">
              <w:rPr>
                <w:lang w:eastAsia="en-AU"/>
              </w:rPr>
              <w:t>Scaled</w:t>
            </w:r>
          </w:p>
        </w:tc>
        <w:tc>
          <w:tcPr>
            <w:tcW w:w="992" w:type="dxa"/>
          </w:tcPr>
          <w:p w14:paraId="299BB2FC"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552E3AA6" w14:textId="77777777" w:rsidR="00F95AF6" w:rsidRPr="001C28F5" w:rsidRDefault="00F95AF6" w:rsidP="009746A6">
            <w:pPr>
              <w:pStyle w:val="Tablebodytext"/>
              <w:keepNext w:val="0"/>
              <w:keepLines w:val="0"/>
              <w:rPr>
                <w:lang w:eastAsia="en-AU"/>
              </w:rPr>
            </w:pPr>
            <w:r w:rsidRPr="001C28F5">
              <w:rPr>
                <w:lang w:eastAsia="en-AU"/>
              </w:rPr>
              <w:t>Promotions were based partly on performance and ability and other factors</w:t>
            </w:r>
          </w:p>
        </w:tc>
        <w:tc>
          <w:tcPr>
            <w:tcW w:w="966" w:type="dxa"/>
          </w:tcPr>
          <w:p w14:paraId="698CC89F" w14:textId="77777777" w:rsidR="00F95AF6" w:rsidRPr="001C28F5" w:rsidRDefault="00F95AF6" w:rsidP="009746A6">
            <w:pPr>
              <w:pStyle w:val="Tablebodytext"/>
              <w:keepNext w:val="0"/>
              <w:keepLines w:val="0"/>
              <w:rPr>
                <w:lang w:eastAsia="en-AU"/>
              </w:rPr>
            </w:pPr>
            <w:r w:rsidRPr="001C28F5">
              <w:rPr>
                <w:lang w:eastAsia="en-AU"/>
              </w:rPr>
              <w:t>2/3</w:t>
            </w:r>
          </w:p>
        </w:tc>
        <w:tc>
          <w:tcPr>
            <w:tcW w:w="1043" w:type="dxa"/>
            <w:vMerge/>
          </w:tcPr>
          <w:p w14:paraId="58F95F31" w14:textId="77777777" w:rsidR="00F95AF6" w:rsidRPr="001C28F5" w:rsidRDefault="00F95AF6" w:rsidP="009746A6">
            <w:pPr>
              <w:pStyle w:val="Tablebodytext"/>
              <w:keepNext w:val="0"/>
              <w:keepLines w:val="0"/>
              <w:rPr>
                <w:lang w:eastAsia="en-AU"/>
              </w:rPr>
            </w:pPr>
          </w:p>
        </w:tc>
        <w:tc>
          <w:tcPr>
            <w:tcW w:w="995" w:type="dxa"/>
            <w:vMerge/>
          </w:tcPr>
          <w:p w14:paraId="71C5B610" w14:textId="77777777" w:rsidR="00F95AF6" w:rsidRPr="001C28F5" w:rsidRDefault="00F95AF6" w:rsidP="009746A6">
            <w:pPr>
              <w:pStyle w:val="Tablebodytext"/>
              <w:keepNext w:val="0"/>
              <w:keepLines w:val="0"/>
              <w:rPr>
                <w:lang w:eastAsia="en-AU"/>
              </w:rPr>
            </w:pPr>
          </w:p>
        </w:tc>
      </w:tr>
      <w:tr w:rsidR="00F95AF6" w:rsidRPr="001C28F5" w14:paraId="5554C2B5" w14:textId="77777777" w:rsidTr="001371EB">
        <w:trPr>
          <w:trHeight w:val="440"/>
        </w:trPr>
        <w:tc>
          <w:tcPr>
            <w:tcW w:w="2037" w:type="dxa"/>
            <w:vMerge/>
          </w:tcPr>
          <w:p w14:paraId="4A0251A3" w14:textId="77777777" w:rsidR="00F95AF6" w:rsidRPr="001C28F5" w:rsidRDefault="00F95AF6" w:rsidP="009746A6">
            <w:pPr>
              <w:pStyle w:val="Tablebodytext"/>
              <w:keepNext w:val="0"/>
              <w:keepLines w:val="0"/>
              <w:rPr>
                <w:lang w:eastAsia="en-AU"/>
              </w:rPr>
            </w:pPr>
          </w:p>
        </w:tc>
        <w:tc>
          <w:tcPr>
            <w:tcW w:w="1082" w:type="dxa"/>
          </w:tcPr>
          <w:p w14:paraId="5602B687" w14:textId="77777777" w:rsidR="00F95AF6" w:rsidRPr="001C28F5" w:rsidRDefault="00F95AF6" w:rsidP="009746A6">
            <w:pPr>
              <w:pStyle w:val="Tablebodytext"/>
              <w:keepNext w:val="0"/>
              <w:keepLines w:val="0"/>
              <w:rPr>
                <w:lang w:eastAsia="en-AU"/>
              </w:rPr>
            </w:pPr>
            <w:r w:rsidRPr="001C28F5">
              <w:rPr>
                <w:lang w:eastAsia="en-AU"/>
              </w:rPr>
              <w:t>Scaled</w:t>
            </w:r>
          </w:p>
        </w:tc>
        <w:tc>
          <w:tcPr>
            <w:tcW w:w="992" w:type="dxa"/>
          </w:tcPr>
          <w:p w14:paraId="41212A7E"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3067E842" w14:textId="77777777" w:rsidR="00F95AF6" w:rsidRPr="001C28F5" w:rsidRDefault="00F95AF6" w:rsidP="009746A6">
            <w:pPr>
              <w:pStyle w:val="Tablebodytext"/>
              <w:keepNext w:val="0"/>
              <w:keepLines w:val="0"/>
              <w:rPr>
                <w:lang w:eastAsia="en-AU"/>
              </w:rPr>
            </w:pPr>
            <w:r w:rsidRPr="001C28F5">
              <w:rPr>
                <w:lang w:eastAsia="en-AU"/>
              </w:rPr>
              <w:t>Promotions were based mainly on factors other than performance and ability</w:t>
            </w:r>
          </w:p>
        </w:tc>
        <w:tc>
          <w:tcPr>
            <w:tcW w:w="966" w:type="dxa"/>
          </w:tcPr>
          <w:p w14:paraId="1D460691" w14:textId="77777777" w:rsidR="00F95AF6" w:rsidRPr="001C28F5" w:rsidRDefault="00F95AF6" w:rsidP="009746A6">
            <w:pPr>
              <w:pStyle w:val="Tablebodytext"/>
              <w:keepNext w:val="0"/>
              <w:keepLines w:val="0"/>
              <w:rPr>
                <w:lang w:eastAsia="en-AU"/>
              </w:rPr>
            </w:pPr>
            <w:r w:rsidRPr="001C28F5">
              <w:rPr>
                <w:lang w:eastAsia="en-AU"/>
              </w:rPr>
              <w:t>1/3</w:t>
            </w:r>
          </w:p>
        </w:tc>
        <w:tc>
          <w:tcPr>
            <w:tcW w:w="1043" w:type="dxa"/>
            <w:vMerge/>
          </w:tcPr>
          <w:p w14:paraId="2276B34E" w14:textId="77777777" w:rsidR="00F95AF6" w:rsidRPr="001C28F5" w:rsidRDefault="00F95AF6" w:rsidP="009746A6">
            <w:pPr>
              <w:pStyle w:val="Tablebodytext"/>
              <w:keepNext w:val="0"/>
              <w:keepLines w:val="0"/>
              <w:rPr>
                <w:lang w:eastAsia="en-AU"/>
              </w:rPr>
            </w:pPr>
          </w:p>
        </w:tc>
        <w:tc>
          <w:tcPr>
            <w:tcW w:w="995" w:type="dxa"/>
            <w:vMerge/>
          </w:tcPr>
          <w:p w14:paraId="3EC98DE1" w14:textId="77777777" w:rsidR="00F95AF6" w:rsidRPr="001C28F5" w:rsidRDefault="00F95AF6" w:rsidP="009746A6">
            <w:pPr>
              <w:pStyle w:val="Tablebodytext"/>
              <w:keepNext w:val="0"/>
              <w:keepLines w:val="0"/>
              <w:rPr>
                <w:lang w:eastAsia="en-AU"/>
              </w:rPr>
            </w:pPr>
          </w:p>
        </w:tc>
      </w:tr>
      <w:tr w:rsidR="00F95AF6" w:rsidRPr="001C28F5" w14:paraId="7EA4CABA" w14:textId="77777777" w:rsidTr="001371EB">
        <w:trPr>
          <w:trHeight w:val="320"/>
        </w:trPr>
        <w:tc>
          <w:tcPr>
            <w:tcW w:w="2037" w:type="dxa"/>
            <w:vMerge/>
          </w:tcPr>
          <w:p w14:paraId="2FBE8F05" w14:textId="77777777" w:rsidR="00F95AF6" w:rsidRPr="001C28F5" w:rsidRDefault="00F95AF6" w:rsidP="009746A6">
            <w:pPr>
              <w:pStyle w:val="Tablebodytext"/>
              <w:keepNext w:val="0"/>
              <w:keepLines w:val="0"/>
              <w:rPr>
                <w:lang w:eastAsia="en-AU"/>
              </w:rPr>
            </w:pPr>
          </w:p>
        </w:tc>
        <w:tc>
          <w:tcPr>
            <w:tcW w:w="1082" w:type="dxa"/>
          </w:tcPr>
          <w:p w14:paraId="3C81708F" w14:textId="77777777" w:rsidR="00F95AF6" w:rsidRPr="001C28F5" w:rsidRDefault="00F95AF6" w:rsidP="009746A6">
            <w:pPr>
              <w:pStyle w:val="Tablebodytext"/>
              <w:keepNext w:val="0"/>
              <w:keepLines w:val="0"/>
              <w:rPr>
                <w:lang w:eastAsia="en-AU"/>
              </w:rPr>
            </w:pPr>
            <w:r w:rsidRPr="001C28F5">
              <w:rPr>
                <w:lang w:eastAsia="en-AU"/>
              </w:rPr>
              <w:t>Scaled</w:t>
            </w:r>
          </w:p>
        </w:tc>
        <w:tc>
          <w:tcPr>
            <w:tcW w:w="992" w:type="dxa"/>
          </w:tcPr>
          <w:p w14:paraId="4CC7EB33"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2C96E7C8" w14:textId="77777777" w:rsidR="00F95AF6" w:rsidRPr="001C28F5" w:rsidRDefault="00F95AF6" w:rsidP="009746A6">
            <w:pPr>
              <w:pStyle w:val="Tablebodytext"/>
              <w:keepNext w:val="0"/>
              <w:keepLines w:val="0"/>
              <w:rPr>
                <w:lang w:eastAsia="en-AU"/>
              </w:rPr>
            </w:pPr>
            <w:r w:rsidRPr="001C28F5">
              <w:rPr>
                <w:lang w:eastAsia="en-AU"/>
              </w:rPr>
              <w:t>Staff were not promoted</w:t>
            </w:r>
          </w:p>
        </w:tc>
        <w:tc>
          <w:tcPr>
            <w:tcW w:w="966" w:type="dxa"/>
          </w:tcPr>
          <w:p w14:paraId="3446BED8"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1914407C" w14:textId="77777777" w:rsidR="00F95AF6" w:rsidRPr="001C28F5" w:rsidRDefault="00F95AF6" w:rsidP="009746A6">
            <w:pPr>
              <w:pStyle w:val="Tablebodytext"/>
              <w:keepNext w:val="0"/>
              <w:keepLines w:val="0"/>
              <w:rPr>
                <w:lang w:eastAsia="en-AU"/>
              </w:rPr>
            </w:pPr>
          </w:p>
        </w:tc>
        <w:tc>
          <w:tcPr>
            <w:tcW w:w="995" w:type="dxa"/>
            <w:vMerge/>
          </w:tcPr>
          <w:p w14:paraId="38FA8A9F" w14:textId="77777777" w:rsidR="00F95AF6" w:rsidRPr="001C28F5" w:rsidRDefault="00F95AF6" w:rsidP="009746A6">
            <w:pPr>
              <w:pStyle w:val="Tablebodytext"/>
              <w:keepNext w:val="0"/>
              <w:keepLines w:val="0"/>
              <w:rPr>
                <w:lang w:eastAsia="en-AU"/>
              </w:rPr>
            </w:pPr>
          </w:p>
        </w:tc>
      </w:tr>
      <w:tr w:rsidR="00F95AF6" w:rsidRPr="001C28F5" w14:paraId="405B3B9A" w14:textId="77777777" w:rsidTr="001371EB">
        <w:trPr>
          <w:trHeight w:val="440"/>
        </w:trPr>
        <w:tc>
          <w:tcPr>
            <w:tcW w:w="2037" w:type="dxa"/>
            <w:vMerge w:val="restart"/>
          </w:tcPr>
          <w:p w14:paraId="13024107" w14:textId="77777777" w:rsidR="00F95AF6" w:rsidRPr="001C28F5" w:rsidRDefault="00F95AF6" w:rsidP="009746A6">
            <w:pPr>
              <w:pStyle w:val="Tablebodytext"/>
              <w:keepNext w:val="0"/>
              <w:keepLines w:val="0"/>
              <w:rPr>
                <w:lang w:eastAsia="en-AU"/>
              </w:rPr>
            </w:pPr>
            <w:r w:rsidRPr="001C28F5">
              <w:rPr>
                <w:lang w:eastAsia="en-AU"/>
              </w:rPr>
              <w:t xml:space="preserve">16.2 What were the primary ways managers and non-managers were promoted at this business? </w:t>
            </w:r>
          </w:p>
          <w:p w14:paraId="58855BF8" w14:textId="77777777" w:rsidR="00F95AF6" w:rsidRPr="001C28F5" w:rsidRDefault="00F95AF6" w:rsidP="009746A6">
            <w:pPr>
              <w:pStyle w:val="Tablebodytext"/>
              <w:keepNext w:val="0"/>
              <w:keepLines w:val="0"/>
              <w:rPr>
                <w:lang w:eastAsia="en-AU"/>
              </w:rPr>
            </w:pPr>
          </w:p>
        </w:tc>
        <w:tc>
          <w:tcPr>
            <w:tcW w:w="1082" w:type="dxa"/>
            <w:vMerge w:val="restart"/>
          </w:tcPr>
          <w:p w14:paraId="0F261C4D" w14:textId="77777777" w:rsidR="00F95AF6" w:rsidRPr="0064751A" w:rsidRDefault="00F95AF6" w:rsidP="009746A6">
            <w:pPr>
              <w:pStyle w:val="Tablebodytext"/>
              <w:keepNext w:val="0"/>
              <w:keepLines w:val="0"/>
              <w:rPr>
                <w:lang w:eastAsia="en-AU"/>
              </w:rPr>
            </w:pPr>
            <w:r w:rsidRPr="0064751A">
              <w:rPr>
                <w:lang w:eastAsia="en-AU"/>
              </w:rPr>
              <w:t>Scaled</w:t>
            </w:r>
          </w:p>
          <w:p w14:paraId="44187C55" w14:textId="77777777" w:rsidR="00F95AF6" w:rsidRPr="001C28F5" w:rsidRDefault="00F95AF6" w:rsidP="009746A6">
            <w:pPr>
              <w:pStyle w:val="Tablebodytext"/>
              <w:keepNext w:val="0"/>
              <w:keepLines w:val="0"/>
              <w:rPr>
                <w:lang w:eastAsia="en-AU"/>
              </w:rPr>
            </w:pPr>
          </w:p>
        </w:tc>
        <w:tc>
          <w:tcPr>
            <w:tcW w:w="992" w:type="dxa"/>
          </w:tcPr>
          <w:p w14:paraId="7A6691DB"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4BF67B9D" w14:textId="77777777" w:rsidR="00F95AF6" w:rsidRPr="001C28F5" w:rsidRDefault="00F95AF6" w:rsidP="009746A6">
            <w:pPr>
              <w:pStyle w:val="Tablebodytext"/>
              <w:keepNext w:val="0"/>
              <w:keepLines w:val="0"/>
              <w:rPr>
                <w:lang w:eastAsia="en-AU"/>
              </w:rPr>
            </w:pPr>
            <w:r w:rsidRPr="001C28F5">
              <w:rPr>
                <w:lang w:eastAsia="en-AU"/>
              </w:rPr>
              <w:t>Promotions were based solely on performance and ability</w:t>
            </w:r>
          </w:p>
        </w:tc>
        <w:tc>
          <w:tcPr>
            <w:tcW w:w="966" w:type="dxa"/>
          </w:tcPr>
          <w:p w14:paraId="49F11605"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val="restart"/>
          </w:tcPr>
          <w:p w14:paraId="40E68B71"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67804EC8" w14:textId="77777777" w:rsidR="00F95AF6" w:rsidRPr="001C28F5" w:rsidRDefault="00F95AF6" w:rsidP="009746A6">
            <w:pPr>
              <w:pStyle w:val="Tablebodytext"/>
              <w:keepNext w:val="0"/>
              <w:keepLines w:val="0"/>
              <w:rPr>
                <w:lang w:eastAsia="en-AU"/>
              </w:rPr>
            </w:pPr>
            <w:r w:rsidRPr="001C28F5">
              <w:rPr>
                <w:lang w:eastAsia="en-AU"/>
              </w:rPr>
              <w:t>0.321</w:t>
            </w:r>
          </w:p>
        </w:tc>
      </w:tr>
      <w:tr w:rsidR="00F95AF6" w:rsidRPr="001C28F5" w14:paraId="11D2EB26" w14:textId="77777777" w:rsidTr="001371EB">
        <w:trPr>
          <w:trHeight w:val="440"/>
        </w:trPr>
        <w:tc>
          <w:tcPr>
            <w:tcW w:w="2037" w:type="dxa"/>
            <w:vMerge/>
          </w:tcPr>
          <w:p w14:paraId="070A60D6" w14:textId="77777777" w:rsidR="00F95AF6" w:rsidRPr="001C28F5" w:rsidRDefault="00F95AF6" w:rsidP="009746A6">
            <w:pPr>
              <w:pStyle w:val="Tablebodytext"/>
              <w:keepNext w:val="0"/>
              <w:keepLines w:val="0"/>
              <w:rPr>
                <w:lang w:eastAsia="en-AU"/>
              </w:rPr>
            </w:pPr>
          </w:p>
        </w:tc>
        <w:tc>
          <w:tcPr>
            <w:tcW w:w="1082" w:type="dxa"/>
            <w:vMerge/>
          </w:tcPr>
          <w:p w14:paraId="343195B5" w14:textId="77777777" w:rsidR="00F95AF6" w:rsidRPr="001C28F5" w:rsidRDefault="00F95AF6" w:rsidP="009746A6">
            <w:pPr>
              <w:pStyle w:val="Tablebodytext"/>
              <w:keepNext w:val="0"/>
              <w:keepLines w:val="0"/>
              <w:rPr>
                <w:lang w:eastAsia="en-AU"/>
              </w:rPr>
            </w:pPr>
          </w:p>
        </w:tc>
        <w:tc>
          <w:tcPr>
            <w:tcW w:w="992" w:type="dxa"/>
          </w:tcPr>
          <w:p w14:paraId="6D4921C9"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29A1FE7A" w14:textId="77777777" w:rsidR="00F95AF6" w:rsidRPr="001C28F5" w:rsidRDefault="00F95AF6" w:rsidP="009746A6">
            <w:pPr>
              <w:pStyle w:val="Tablebodytext"/>
              <w:keepNext w:val="0"/>
              <w:keepLines w:val="0"/>
              <w:rPr>
                <w:lang w:eastAsia="en-AU"/>
              </w:rPr>
            </w:pPr>
            <w:r w:rsidRPr="001C28F5">
              <w:rPr>
                <w:lang w:eastAsia="en-AU"/>
              </w:rPr>
              <w:t>Promotions were based partly on performance and ability and other factors</w:t>
            </w:r>
          </w:p>
        </w:tc>
        <w:tc>
          <w:tcPr>
            <w:tcW w:w="966" w:type="dxa"/>
          </w:tcPr>
          <w:p w14:paraId="46AC5BDF" w14:textId="77777777" w:rsidR="00F95AF6" w:rsidRPr="001C28F5" w:rsidRDefault="00F95AF6" w:rsidP="009746A6">
            <w:pPr>
              <w:pStyle w:val="Tablebodytext"/>
              <w:keepNext w:val="0"/>
              <w:keepLines w:val="0"/>
              <w:rPr>
                <w:lang w:eastAsia="en-AU"/>
              </w:rPr>
            </w:pPr>
            <w:r w:rsidRPr="001C28F5">
              <w:rPr>
                <w:lang w:eastAsia="en-AU"/>
              </w:rPr>
              <w:t>2/3</w:t>
            </w:r>
          </w:p>
        </w:tc>
        <w:tc>
          <w:tcPr>
            <w:tcW w:w="1043" w:type="dxa"/>
            <w:vMerge/>
          </w:tcPr>
          <w:p w14:paraId="5D4D53C6" w14:textId="77777777" w:rsidR="00F95AF6" w:rsidRPr="001C28F5" w:rsidRDefault="00F95AF6" w:rsidP="009746A6">
            <w:pPr>
              <w:pStyle w:val="Tablebodytext"/>
              <w:keepNext w:val="0"/>
              <w:keepLines w:val="0"/>
              <w:rPr>
                <w:lang w:eastAsia="en-AU"/>
              </w:rPr>
            </w:pPr>
          </w:p>
        </w:tc>
        <w:tc>
          <w:tcPr>
            <w:tcW w:w="995" w:type="dxa"/>
            <w:vMerge/>
          </w:tcPr>
          <w:p w14:paraId="7A93C3FE" w14:textId="77777777" w:rsidR="00F95AF6" w:rsidRPr="001C28F5" w:rsidRDefault="00F95AF6" w:rsidP="009746A6">
            <w:pPr>
              <w:pStyle w:val="Tablebodytext"/>
              <w:keepNext w:val="0"/>
              <w:keepLines w:val="0"/>
              <w:rPr>
                <w:lang w:eastAsia="en-AU"/>
              </w:rPr>
            </w:pPr>
          </w:p>
        </w:tc>
      </w:tr>
      <w:tr w:rsidR="00F95AF6" w:rsidRPr="001C28F5" w14:paraId="002F4440" w14:textId="77777777" w:rsidTr="001371EB">
        <w:trPr>
          <w:trHeight w:val="440"/>
        </w:trPr>
        <w:tc>
          <w:tcPr>
            <w:tcW w:w="2037" w:type="dxa"/>
            <w:vMerge/>
          </w:tcPr>
          <w:p w14:paraId="6393DEA7" w14:textId="77777777" w:rsidR="00F95AF6" w:rsidRPr="001C28F5" w:rsidRDefault="00F95AF6" w:rsidP="009746A6">
            <w:pPr>
              <w:pStyle w:val="Tablebodytext"/>
              <w:keepNext w:val="0"/>
              <w:keepLines w:val="0"/>
              <w:rPr>
                <w:lang w:eastAsia="en-AU"/>
              </w:rPr>
            </w:pPr>
          </w:p>
        </w:tc>
        <w:tc>
          <w:tcPr>
            <w:tcW w:w="1082" w:type="dxa"/>
            <w:vMerge/>
          </w:tcPr>
          <w:p w14:paraId="3AD1A24E" w14:textId="77777777" w:rsidR="00F95AF6" w:rsidRPr="001C28F5" w:rsidRDefault="00F95AF6" w:rsidP="009746A6">
            <w:pPr>
              <w:pStyle w:val="Tablebodytext"/>
              <w:keepNext w:val="0"/>
              <w:keepLines w:val="0"/>
              <w:rPr>
                <w:lang w:eastAsia="en-AU"/>
              </w:rPr>
            </w:pPr>
          </w:p>
        </w:tc>
        <w:tc>
          <w:tcPr>
            <w:tcW w:w="992" w:type="dxa"/>
          </w:tcPr>
          <w:p w14:paraId="174C6AEC"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69AE9861" w14:textId="77777777" w:rsidR="00F95AF6" w:rsidRPr="001C28F5" w:rsidRDefault="00F95AF6" w:rsidP="009746A6">
            <w:pPr>
              <w:pStyle w:val="Tablebodytext"/>
              <w:keepNext w:val="0"/>
              <w:keepLines w:val="0"/>
              <w:rPr>
                <w:lang w:eastAsia="en-AU"/>
              </w:rPr>
            </w:pPr>
            <w:r w:rsidRPr="001C28F5">
              <w:rPr>
                <w:lang w:eastAsia="en-AU"/>
              </w:rPr>
              <w:t>Promotions were based mainly on factors other than performance and ability</w:t>
            </w:r>
          </w:p>
        </w:tc>
        <w:tc>
          <w:tcPr>
            <w:tcW w:w="966" w:type="dxa"/>
          </w:tcPr>
          <w:p w14:paraId="6A18A75D" w14:textId="77777777" w:rsidR="00F95AF6" w:rsidRPr="001C28F5" w:rsidRDefault="00F95AF6" w:rsidP="009746A6">
            <w:pPr>
              <w:pStyle w:val="Tablebodytext"/>
              <w:keepNext w:val="0"/>
              <w:keepLines w:val="0"/>
              <w:rPr>
                <w:lang w:eastAsia="en-AU"/>
              </w:rPr>
            </w:pPr>
            <w:r w:rsidRPr="001C28F5">
              <w:rPr>
                <w:lang w:eastAsia="en-AU"/>
              </w:rPr>
              <w:t>1/3</w:t>
            </w:r>
          </w:p>
        </w:tc>
        <w:tc>
          <w:tcPr>
            <w:tcW w:w="1043" w:type="dxa"/>
            <w:vMerge/>
          </w:tcPr>
          <w:p w14:paraId="4ED98ABA" w14:textId="77777777" w:rsidR="00F95AF6" w:rsidRPr="001C28F5" w:rsidRDefault="00F95AF6" w:rsidP="009746A6">
            <w:pPr>
              <w:pStyle w:val="Tablebodytext"/>
              <w:keepNext w:val="0"/>
              <w:keepLines w:val="0"/>
              <w:rPr>
                <w:lang w:eastAsia="en-AU"/>
              </w:rPr>
            </w:pPr>
          </w:p>
        </w:tc>
        <w:tc>
          <w:tcPr>
            <w:tcW w:w="995" w:type="dxa"/>
            <w:vMerge/>
          </w:tcPr>
          <w:p w14:paraId="0AABE9A6" w14:textId="77777777" w:rsidR="00F95AF6" w:rsidRPr="001C28F5" w:rsidRDefault="00F95AF6" w:rsidP="009746A6">
            <w:pPr>
              <w:pStyle w:val="Tablebodytext"/>
              <w:keepNext w:val="0"/>
              <w:keepLines w:val="0"/>
              <w:rPr>
                <w:lang w:eastAsia="en-AU"/>
              </w:rPr>
            </w:pPr>
          </w:p>
        </w:tc>
      </w:tr>
      <w:tr w:rsidR="00F95AF6" w:rsidRPr="001C28F5" w14:paraId="23AC295A" w14:textId="77777777" w:rsidTr="001371EB">
        <w:trPr>
          <w:trHeight w:val="320"/>
        </w:trPr>
        <w:tc>
          <w:tcPr>
            <w:tcW w:w="2037" w:type="dxa"/>
            <w:vMerge/>
          </w:tcPr>
          <w:p w14:paraId="3059EE8B" w14:textId="77777777" w:rsidR="00F95AF6" w:rsidRPr="001C28F5" w:rsidRDefault="00F95AF6" w:rsidP="009746A6">
            <w:pPr>
              <w:pStyle w:val="Tablebodytext"/>
              <w:keepNext w:val="0"/>
              <w:keepLines w:val="0"/>
              <w:rPr>
                <w:lang w:eastAsia="en-AU"/>
              </w:rPr>
            </w:pPr>
          </w:p>
        </w:tc>
        <w:tc>
          <w:tcPr>
            <w:tcW w:w="1082" w:type="dxa"/>
            <w:vMerge/>
          </w:tcPr>
          <w:p w14:paraId="0521132F" w14:textId="77777777" w:rsidR="00F95AF6" w:rsidRPr="001C28F5" w:rsidRDefault="00F95AF6" w:rsidP="009746A6">
            <w:pPr>
              <w:pStyle w:val="Tablebodytext"/>
              <w:keepNext w:val="0"/>
              <w:keepLines w:val="0"/>
              <w:rPr>
                <w:lang w:eastAsia="en-AU"/>
              </w:rPr>
            </w:pPr>
          </w:p>
        </w:tc>
        <w:tc>
          <w:tcPr>
            <w:tcW w:w="992" w:type="dxa"/>
          </w:tcPr>
          <w:p w14:paraId="60E994EA"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7C02C09A" w14:textId="77777777" w:rsidR="00F95AF6" w:rsidRPr="001C28F5" w:rsidRDefault="00F95AF6" w:rsidP="009746A6">
            <w:pPr>
              <w:pStyle w:val="Tablebodytext"/>
              <w:keepNext w:val="0"/>
              <w:keepLines w:val="0"/>
              <w:rPr>
                <w:lang w:eastAsia="en-AU"/>
              </w:rPr>
            </w:pPr>
            <w:r w:rsidRPr="001C28F5">
              <w:rPr>
                <w:lang w:eastAsia="en-AU"/>
              </w:rPr>
              <w:t>Staff were not promoted</w:t>
            </w:r>
          </w:p>
        </w:tc>
        <w:tc>
          <w:tcPr>
            <w:tcW w:w="966" w:type="dxa"/>
          </w:tcPr>
          <w:p w14:paraId="10A3CDDB"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771D1269" w14:textId="77777777" w:rsidR="00F95AF6" w:rsidRPr="001C28F5" w:rsidRDefault="00F95AF6" w:rsidP="009746A6">
            <w:pPr>
              <w:pStyle w:val="Tablebodytext"/>
              <w:keepNext w:val="0"/>
              <w:keepLines w:val="0"/>
              <w:rPr>
                <w:lang w:eastAsia="en-AU"/>
              </w:rPr>
            </w:pPr>
          </w:p>
        </w:tc>
        <w:tc>
          <w:tcPr>
            <w:tcW w:w="995" w:type="dxa"/>
            <w:vMerge/>
          </w:tcPr>
          <w:p w14:paraId="31584DC4" w14:textId="77777777" w:rsidR="00F95AF6" w:rsidRPr="001C28F5" w:rsidRDefault="00F95AF6" w:rsidP="009746A6">
            <w:pPr>
              <w:pStyle w:val="Tablebodytext"/>
              <w:keepNext w:val="0"/>
              <w:keepLines w:val="0"/>
              <w:rPr>
                <w:lang w:eastAsia="en-AU"/>
              </w:rPr>
            </w:pPr>
          </w:p>
        </w:tc>
      </w:tr>
      <w:tr w:rsidR="00F95AF6" w:rsidRPr="001C28F5" w14:paraId="4207EDA3" w14:textId="77777777" w:rsidTr="001371EB">
        <w:trPr>
          <w:trHeight w:val="300"/>
        </w:trPr>
        <w:tc>
          <w:tcPr>
            <w:tcW w:w="2037" w:type="dxa"/>
            <w:vMerge w:val="restart"/>
          </w:tcPr>
          <w:p w14:paraId="1EBB30AC" w14:textId="77777777" w:rsidR="00F95AF6" w:rsidRPr="001C28F5" w:rsidRDefault="00F95AF6" w:rsidP="009746A6">
            <w:pPr>
              <w:pStyle w:val="Tablebodytext"/>
              <w:keepNext w:val="0"/>
              <w:keepLines w:val="0"/>
              <w:rPr>
                <w:lang w:eastAsia="en-AU"/>
              </w:rPr>
            </w:pPr>
            <w:r w:rsidRPr="001C28F5">
              <w:rPr>
                <w:lang w:eastAsia="en-AU"/>
              </w:rPr>
              <w:t xml:space="preserve">17.1 When under-performance was identified, were managers or non-managers demoted or dismissed? </w:t>
            </w:r>
          </w:p>
          <w:p w14:paraId="0E46FB32" w14:textId="77777777" w:rsidR="00F95AF6" w:rsidRPr="001C28F5" w:rsidRDefault="00F95AF6" w:rsidP="009746A6">
            <w:pPr>
              <w:pStyle w:val="Tablebodytext"/>
              <w:keepNext w:val="0"/>
              <w:keepLines w:val="0"/>
              <w:rPr>
                <w:lang w:eastAsia="en-AU"/>
              </w:rPr>
            </w:pPr>
          </w:p>
        </w:tc>
        <w:tc>
          <w:tcPr>
            <w:tcW w:w="1082" w:type="dxa"/>
            <w:vMerge w:val="restart"/>
          </w:tcPr>
          <w:p w14:paraId="541F764B" w14:textId="77777777" w:rsidR="00F95AF6" w:rsidRPr="0064751A" w:rsidRDefault="00F95AF6" w:rsidP="009746A6">
            <w:pPr>
              <w:pStyle w:val="Tablebodytext"/>
              <w:keepNext w:val="0"/>
              <w:keepLines w:val="0"/>
              <w:rPr>
                <w:lang w:eastAsia="en-AU"/>
              </w:rPr>
            </w:pPr>
            <w:r w:rsidRPr="0064751A">
              <w:rPr>
                <w:lang w:eastAsia="en-AU"/>
              </w:rPr>
              <w:t>Scaled</w:t>
            </w:r>
          </w:p>
          <w:p w14:paraId="5609FFE0" w14:textId="77777777" w:rsidR="00F95AF6" w:rsidRPr="001C28F5" w:rsidRDefault="00F95AF6" w:rsidP="009746A6">
            <w:pPr>
              <w:pStyle w:val="Tablebodytext"/>
              <w:keepNext w:val="0"/>
              <w:keepLines w:val="0"/>
              <w:rPr>
                <w:lang w:eastAsia="en-AU"/>
              </w:rPr>
            </w:pPr>
          </w:p>
        </w:tc>
        <w:tc>
          <w:tcPr>
            <w:tcW w:w="992" w:type="dxa"/>
          </w:tcPr>
          <w:p w14:paraId="58AA0C0A"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0E9CC968" w14:textId="77777777" w:rsidR="00F95AF6" w:rsidRPr="001C28F5" w:rsidRDefault="00F95AF6" w:rsidP="009746A6">
            <w:pPr>
              <w:pStyle w:val="Tablebodytext"/>
              <w:keepNext w:val="0"/>
              <w:keepLines w:val="0"/>
              <w:rPr>
                <w:lang w:eastAsia="en-AU"/>
              </w:rPr>
            </w:pPr>
            <w:r w:rsidRPr="001C28F5">
              <w:rPr>
                <w:lang w:eastAsia="en-AU"/>
              </w:rPr>
              <w:t xml:space="preserve">Yes within 6 months </w:t>
            </w:r>
          </w:p>
        </w:tc>
        <w:tc>
          <w:tcPr>
            <w:tcW w:w="966" w:type="dxa"/>
          </w:tcPr>
          <w:p w14:paraId="2FE7523B"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val="restart"/>
          </w:tcPr>
          <w:p w14:paraId="584A64CB"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3909A4E6" w14:textId="77777777" w:rsidR="00F95AF6" w:rsidRPr="001C28F5" w:rsidRDefault="00F95AF6" w:rsidP="009746A6">
            <w:pPr>
              <w:pStyle w:val="Tablebodytext"/>
              <w:keepNext w:val="0"/>
              <w:keepLines w:val="0"/>
              <w:rPr>
                <w:lang w:eastAsia="en-AU"/>
              </w:rPr>
            </w:pPr>
            <w:r w:rsidRPr="001C28F5">
              <w:rPr>
                <w:lang w:eastAsia="en-AU"/>
              </w:rPr>
              <w:t>0.192</w:t>
            </w:r>
          </w:p>
        </w:tc>
      </w:tr>
      <w:tr w:rsidR="00F95AF6" w:rsidRPr="001C28F5" w14:paraId="1199DE94" w14:textId="77777777" w:rsidTr="001371EB">
        <w:trPr>
          <w:trHeight w:val="320"/>
        </w:trPr>
        <w:tc>
          <w:tcPr>
            <w:tcW w:w="2037" w:type="dxa"/>
            <w:vMerge/>
          </w:tcPr>
          <w:p w14:paraId="45345723" w14:textId="77777777" w:rsidR="00F95AF6" w:rsidRPr="001C28F5" w:rsidRDefault="00F95AF6" w:rsidP="009746A6">
            <w:pPr>
              <w:pStyle w:val="Tablebodytext"/>
              <w:keepNext w:val="0"/>
              <w:keepLines w:val="0"/>
              <w:rPr>
                <w:lang w:eastAsia="en-AU"/>
              </w:rPr>
            </w:pPr>
          </w:p>
        </w:tc>
        <w:tc>
          <w:tcPr>
            <w:tcW w:w="1082" w:type="dxa"/>
            <w:vMerge/>
          </w:tcPr>
          <w:p w14:paraId="03FFBA27" w14:textId="77777777" w:rsidR="00F95AF6" w:rsidRPr="001C28F5" w:rsidRDefault="00F95AF6" w:rsidP="009746A6">
            <w:pPr>
              <w:pStyle w:val="Tablebodytext"/>
              <w:keepNext w:val="0"/>
              <w:keepLines w:val="0"/>
              <w:rPr>
                <w:lang w:eastAsia="en-AU"/>
              </w:rPr>
            </w:pPr>
          </w:p>
        </w:tc>
        <w:tc>
          <w:tcPr>
            <w:tcW w:w="992" w:type="dxa"/>
          </w:tcPr>
          <w:p w14:paraId="049514E2"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664EC3BE" w14:textId="77777777" w:rsidR="00F95AF6" w:rsidRPr="001C28F5" w:rsidRDefault="00F95AF6" w:rsidP="009746A6">
            <w:pPr>
              <w:pStyle w:val="Tablebodytext"/>
              <w:keepNext w:val="0"/>
              <w:keepLines w:val="0"/>
              <w:rPr>
                <w:lang w:eastAsia="en-AU"/>
              </w:rPr>
            </w:pPr>
            <w:r w:rsidRPr="001C28F5">
              <w:rPr>
                <w:lang w:eastAsia="en-AU"/>
              </w:rPr>
              <w:t xml:space="preserve">Yes after 6 months </w:t>
            </w:r>
          </w:p>
        </w:tc>
        <w:tc>
          <w:tcPr>
            <w:tcW w:w="966" w:type="dxa"/>
          </w:tcPr>
          <w:p w14:paraId="76B83F37"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155E101A" w14:textId="77777777" w:rsidR="00F95AF6" w:rsidRPr="001C28F5" w:rsidRDefault="00F95AF6" w:rsidP="009746A6">
            <w:pPr>
              <w:pStyle w:val="Tablebodytext"/>
              <w:keepNext w:val="0"/>
              <w:keepLines w:val="0"/>
              <w:rPr>
                <w:lang w:eastAsia="en-AU"/>
              </w:rPr>
            </w:pPr>
          </w:p>
        </w:tc>
        <w:tc>
          <w:tcPr>
            <w:tcW w:w="995" w:type="dxa"/>
            <w:vMerge/>
          </w:tcPr>
          <w:p w14:paraId="549C774E" w14:textId="77777777" w:rsidR="00F95AF6" w:rsidRPr="001C28F5" w:rsidRDefault="00F95AF6" w:rsidP="009746A6">
            <w:pPr>
              <w:pStyle w:val="Tablebodytext"/>
              <w:keepNext w:val="0"/>
              <w:keepLines w:val="0"/>
              <w:rPr>
                <w:lang w:eastAsia="en-AU"/>
              </w:rPr>
            </w:pPr>
          </w:p>
        </w:tc>
      </w:tr>
      <w:tr w:rsidR="00F95AF6" w:rsidRPr="001C28F5" w14:paraId="00C70B31" w14:textId="77777777" w:rsidTr="001371EB">
        <w:trPr>
          <w:trHeight w:val="320"/>
        </w:trPr>
        <w:tc>
          <w:tcPr>
            <w:tcW w:w="2037" w:type="dxa"/>
            <w:vMerge/>
          </w:tcPr>
          <w:p w14:paraId="56FC952D" w14:textId="77777777" w:rsidR="00F95AF6" w:rsidRPr="001C28F5" w:rsidRDefault="00F95AF6" w:rsidP="009746A6">
            <w:pPr>
              <w:pStyle w:val="Tablebodytext"/>
              <w:keepNext w:val="0"/>
              <w:keepLines w:val="0"/>
              <w:rPr>
                <w:lang w:eastAsia="en-AU"/>
              </w:rPr>
            </w:pPr>
          </w:p>
        </w:tc>
        <w:tc>
          <w:tcPr>
            <w:tcW w:w="1082" w:type="dxa"/>
            <w:vMerge/>
          </w:tcPr>
          <w:p w14:paraId="32F3CF24" w14:textId="77777777" w:rsidR="00F95AF6" w:rsidRPr="001C28F5" w:rsidRDefault="00F95AF6" w:rsidP="009746A6">
            <w:pPr>
              <w:pStyle w:val="Tablebodytext"/>
              <w:keepNext w:val="0"/>
              <w:keepLines w:val="0"/>
              <w:rPr>
                <w:lang w:eastAsia="en-AU"/>
              </w:rPr>
            </w:pPr>
          </w:p>
        </w:tc>
        <w:tc>
          <w:tcPr>
            <w:tcW w:w="992" w:type="dxa"/>
          </w:tcPr>
          <w:p w14:paraId="4E5E7237"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18509587" w14:textId="77777777" w:rsidR="00F95AF6" w:rsidRPr="001C28F5" w:rsidRDefault="00F95AF6" w:rsidP="009746A6">
            <w:pPr>
              <w:pStyle w:val="Tablebodytext"/>
              <w:keepNext w:val="0"/>
              <w:keepLines w:val="0"/>
              <w:rPr>
                <w:lang w:eastAsia="en-AU"/>
              </w:rPr>
            </w:pPr>
            <w:r w:rsidRPr="001C28F5">
              <w:rPr>
                <w:lang w:eastAsia="en-AU"/>
              </w:rPr>
              <w:t>No, not demoted or dismissed</w:t>
            </w:r>
          </w:p>
        </w:tc>
        <w:tc>
          <w:tcPr>
            <w:tcW w:w="966" w:type="dxa"/>
          </w:tcPr>
          <w:p w14:paraId="668524F2"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1CE74E01" w14:textId="77777777" w:rsidR="00F95AF6" w:rsidRPr="001C28F5" w:rsidRDefault="00F95AF6" w:rsidP="009746A6">
            <w:pPr>
              <w:pStyle w:val="Tablebodytext"/>
              <w:keepNext w:val="0"/>
              <w:keepLines w:val="0"/>
              <w:rPr>
                <w:lang w:eastAsia="en-AU"/>
              </w:rPr>
            </w:pPr>
          </w:p>
        </w:tc>
        <w:tc>
          <w:tcPr>
            <w:tcW w:w="995" w:type="dxa"/>
            <w:vMerge/>
          </w:tcPr>
          <w:p w14:paraId="70A83A07" w14:textId="77777777" w:rsidR="00F95AF6" w:rsidRPr="001C28F5" w:rsidRDefault="00F95AF6" w:rsidP="009746A6">
            <w:pPr>
              <w:pStyle w:val="Tablebodytext"/>
              <w:keepNext w:val="0"/>
              <w:keepLines w:val="0"/>
              <w:rPr>
                <w:lang w:eastAsia="en-AU"/>
              </w:rPr>
            </w:pPr>
          </w:p>
        </w:tc>
      </w:tr>
      <w:tr w:rsidR="00F95AF6" w:rsidRPr="001C28F5" w14:paraId="0B8A92C1" w14:textId="77777777" w:rsidTr="001371EB">
        <w:trPr>
          <w:trHeight w:val="320"/>
        </w:trPr>
        <w:tc>
          <w:tcPr>
            <w:tcW w:w="2037" w:type="dxa"/>
            <w:vMerge/>
          </w:tcPr>
          <w:p w14:paraId="6F0518F6" w14:textId="77777777" w:rsidR="00F95AF6" w:rsidRPr="001C28F5" w:rsidRDefault="00F95AF6" w:rsidP="009746A6">
            <w:pPr>
              <w:pStyle w:val="Tablebodytext"/>
              <w:keepNext w:val="0"/>
              <w:keepLines w:val="0"/>
              <w:rPr>
                <w:lang w:eastAsia="en-AU"/>
              </w:rPr>
            </w:pPr>
          </w:p>
        </w:tc>
        <w:tc>
          <w:tcPr>
            <w:tcW w:w="1082" w:type="dxa"/>
            <w:vMerge/>
          </w:tcPr>
          <w:p w14:paraId="319B7E1F" w14:textId="77777777" w:rsidR="00F95AF6" w:rsidRPr="001C28F5" w:rsidRDefault="00F95AF6" w:rsidP="009746A6">
            <w:pPr>
              <w:pStyle w:val="Tablebodytext"/>
              <w:keepNext w:val="0"/>
              <w:keepLines w:val="0"/>
              <w:rPr>
                <w:lang w:eastAsia="en-AU"/>
              </w:rPr>
            </w:pPr>
          </w:p>
        </w:tc>
        <w:tc>
          <w:tcPr>
            <w:tcW w:w="992" w:type="dxa"/>
          </w:tcPr>
          <w:p w14:paraId="354227BB"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45FAFAD0" w14:textId="77777777" w:rsidR="00F95AF6" w:rsidRPr="001C28F5" w:rsidRDefault="00F95AF6" w:rsidP="009746A6">
            <w:pPr>
              <w:pStyle w:val="Tablebodytext"/>
              <w:keepNext w:val="0"/>
              <w:keepLines w:val="0"/>
              <w:rPr>
                <w:lang w:eastAsia="en-AU"/>
              </w:rPr>
            </w:pPr>
            <w:r w:rsidRPr="001C28F5">
              <w:rPr>
                <w:lang w:eastAsia="en-AU"/>
              </w:rPr>
              <w:t xml:space="preserve">No under-performance identified </w:t>
            </w:r>
          </w:p>
        </w:tc>
        <w:tc>
          <w:tcPr>
            <w:tcW w:w="966" w:type="dxa"/>
          </w:tcPr>
          <w:p w14:paraId="4874DB26"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460815A0" w14:textId="77777777" w:rsidR="00F95AF6" w:rsidRPr="001C28F5" w:rsidRDefault="00F95AF6" w:rsidP="009746A6">
            <w:pPr>
              <w:pStyle w:val="Tablebodytext"/>
              <w:keepNext w:val="0"/>
              <w:keepLines w:val="0"/>
              <w:rPr>
                <w:lang w:eastAsia="en-AU"/>
              </w:rPr>
            </w:pPr>
          </w:p>
        </w:tc>
        <w:tc>
          <w:tcPr>
            <w:tcW w:w="995" w:type="dxa"/>
            <w:vMerge/>
          </w:tcPr>
          <w:p w14:paraId="3F326647" w14:textId="77777777" w:rsidR="00F95AF6" w:rsidRPr="001C28F5" w:rsidRDefault="00F95AF6" w:rsidP="009746A6">
            <w:pPr>
              <w:pStyle w:val="Tablebodytext"/>
              <w:keepNext w:val="0"/>
              <w:keepLines w:val="0"/>
              <w:rPr>
                <w:lang w:eastAsia="en-AU"/>
              </w:rPr>
            </w:pPr>
          </w:p>
        </w:tc>
      </w:tr>
      <w:tr w:rsidR="00F95AF6" w:rsidRPr="001C28F5" w14:paraId="58541E05" w14:textId="77777777" w:rsidTr="001371EB">
        <w:trPr>
          <w:trHeight w:val="320"/>
        </w:trPr>
        <w:tc>
          <w:tcPr>
            <w:tcW w:w="2037" w:type="dxa"/>
            <w:vMerge w:val="restart"/>
          </w:tcPr>
          <w:p w14:paraId="5E2CAB3C" w14:textId="77777777" w:rsidR="00F95AF6" w:rsidRPr="001C28F5" w:rsidRDefault="00F95AF6" w:rsidP="009746A6">
            <w:pPr>
              <w:pStyle w:val="Tablebodytext"/>
              <w:keepNext w:val="0"/>
              <w:keepLines w:val="0"/>
              <w:rPr>
                <w:lang w:eastAsia="en-AU"/>
              </w:rPr>
            </w:pPr>
            <w:r w:rsidRPr="001C28F5">
              <w:rPr>
                <w:lang w:eastAsia="en-AU"/>
              </w:rPr>
              <w:t xml:space="preserve">17.2 When under-performance was identified, were managers or non-managers demoted or dismissed? </w:t>
            </w:r>
          </w:p>
          <w:p w14:paraId="72B214AE" w14:textId="77777777" w:rsidR="00F95AF6" w:rsidRPr="001C28F5" w:rsidRDefault="00F95AF6" w:rsidP="009746A6">
            <w:pPr>
              <w:pStyle w:val="Tablebodytext"/>
              <w:keepNext w:val="0"/>
              <w:keepLines w:val="0"/>
              <w:rPr>
                <w:lang w:eastAsia="en-AU"/>
              </w:rPr>
            </w:pPr>
          </w:p>
        </w:tc>
        <w:tc>
          <w:tcPr>
            <w:tcW w:w="1082" w:type="dxa"/>
            <w:vMerge w:val="restart"/>
          </w:tcPr>
          <w:p w14:paraId="34D04907" w14:textId="77777777" w:rsidR="00F95AF6" w:rsidRPr="0064751A" w:rsidRDefault="00F95AF6" w:rsidP="009746A6">
            <w:pPr>
              <w:pStyle w:val="Tablebodytext"/>
              <w:keepNext w:val="0"/>
              <w:keepLines w:val="0"/>
              <w:rPr>
                <w:lang w:eastAsia="en-AU"/>
              </w:rPr>
            </w:pPr>
            <w:r w:rsidRPr="0064751A">
              <w:rPr>
                <w:lang w:eastAsia="en-AU"/>
              </w:rPr>
              <w:t>Scaled</w:t>
            </w:r>
          </w:p>
          <w:p w14:paraId="358E6816" w14:textId="77777777" w:rsidR="00F95AF6" w:rsidRPr="001C28F5" w:rsidRDefault="00F95AF6" w:rsidP="009746A6">
            <w:pPr>
              <w:pStyle w:val="Tablebodytext"/>
              <w:keepNext w:val="0"/>
              <w:keepLines w:val="0"/>
              <w:rPr>
                <w:lang w:eastAsia="en-AU"/>
              </w:rPr>
            </w:pPr>
          </w:p>
        </w:tc>
        <w:tc>
          <w:tcPr>
            <w:tcW w:w="992" w:type="dxa"/>
          </w:tcPr>
          <w:p w14:paraId="333BE5F7" w14:textId="77777777" w:rsidR="00F95AF6" w:rsidRPr="001C28F5" w:rsidRDefault="00F95AF6" w:rsidP="009746A6">
            <w:pPr>
              <w:pStyle w:val="Tablebodytext"/>
              <w:keepNext w:val="0"/>
              <w:keepLines w:val="0"/>
              <w:rPr>
                <w:lang w:eastAsia="en-AU"/>
              </w:rPr>
            </w:pPr>
            <w:r w:rsidRPr="001C28F5">
              <w:rPr>
                <w:lang w:eastAsia="en-AU"/>
              </w:rPr>
              <w:lastRenderedPageBreak/>
              <w:t>a</w:t>
            </w:r>
          </w:p>
        </w:tc>
        <w:tc>
          <w:tcPr>
            <w:tcW w:w="2485" w:type="dxa"/>
          </w:tcPr>
          <w:p w14:paraId="1BF203A2" w14:textId="77777777" w:rsidR="00F95AF6" w:rsidRPr="001C28F5" w:rsidRDefault="00F95AF6" w:rsidP="009746A6">
            <w:pPr>
              <w:pStyle w:val="Tablebodytext"/>
              <w:keepNext w:val="0"/>
              <w:keepLines w:val="0"/>
              <w:rPr>
                <w:lang w:eastAsia="en-AU"/>
              </w:rPr>
            </w:pPr>
            <w:r w:rsidRPr="001C28F5">
              <w:rPr>
                <w:lang w:eastAsia="en-AU"/>
              </w:rPr>
              <w:t xml:space="preserve">Yes within 6 months </w:t>
            </w:r>
          </w:p>
        </w:tc>
        <w:tc>
          <w:tcPr>
            <w:tcW w:w="966" w:type="dxa"/>
          </w:tcPr>
          <w:p w14:paraId="2E821B98"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val="restart"/>
          </w:tcPr>
          <w:p w14:paraId="50696378"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7619D6D8" w14:textId="77777777" w:rsidR="00F95AF6" w:rsidRPr="001C28F5" w:rsidRDefault="00F95AF6" w:rsidP="009746A6">
            <w:pPr>
              <w:pStyle w:val="Tablebodytext"/>
              <w:keepNext w:val="0"/>
              <w:keepLines w:val="0"/>
              <w:rPr>
                <w:lang w:eastAsia="en-AU"/>
              </w:rPr>
            </w:pPr>
            <w:r w:rsidRPr="001C28F5">
              <w:rPr>
                <w:lang w:eastAsia="en-AU"/>
              </w:rPr>
              <w:t>0.133</w:t>
            </w:r>
          </w:p>
        </w:tc>
      </w:tr>
      <w:tr w:rsidR="00F95AF6" w:rsidRPr="001C28F5" w14:paraId="4085C1E1" w14:textId="77777777" w:rsidTr="001371EB">
        <w:trPr>
          <w:trHeight w:val="320"/>
        </w:trPr>
        <w:tc>
          <w:tcPr>
            <w:tcW w:w="2037" w:type="dxa"/>
            <w:vMerge/>
          </w:tcPr>
          <w:p w14:paraId="2E1081E8" w14:textId="77777777" w:rsidR="00F95AF6" w:rsidRPr="001C28F5" w:rsidRDefault="00F95AF6" w:rsidP="009746A6">
            <w:pPr>
              <w:pStyle w:val="Tablebodytext"/>
              <w:keepNext w:val="0"/>
              <w:keepLines w:val="0"/>
              <w:rPr>
                <w:lang w:eastAsia="en-AU"/>
              </w:rPr>
            </w:pPr>
          </w:p>
        </w:tc>
        <w:tc>
          <w:tcPr>
            <w:tcW w:w="1082" w:type="dxa"/>
            <w:vMerge/>
          </w:tcPr>
          <w:p w14:paraId="4A545DD3" w14:textId="77777777" w:rsidR="00F95AF6" w:rsidRPr="001C28F5" w:rsidRDefault="00F95AF6" w:rsidP="009746A6">
            <w:pPr>
              <w:pStyle w:val="Tablebodytext"/>
              <w:keepNext w:val="0"/>
              <w:keepLines w:val="0"/>
              <w:rPr>
                <w:lang w:eastAsia="en-AU"/>
              </w:rPr>
            </w:pPr>
          </w:p>
        </w:tc>
        <w:tc>
          <w:tcPr>
            <w:tcW w:w="992" w:type="dxa"/>
          </w:tcPr>
          <w:p w14:paraId="21A03881"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1AA45FF8" w14:textId="77777777" w:rsidR="00F95AF6" w:rsidRPr="001C28F5" w:rsidRDefault="00F95AF6" w:rsidP="009746A6">
            <w:pPr>
              <w:pStyle w:val="Tablebodytext"/>
              <w:keepNext w:val="0"/>
              <w:keepLines w:val="0"/>
              <w:rPr>
                <w:lang w:eastAsia="en-AU"/>
              </w:rPr>
            </w:pPr>
            <w:r w:rsidRPr="001C28F5">
              <w:rPr>
                <w:lang w:eastAsia="en-AU"/>
              </w:rPr>
              <w:t xml:space="preserve">Yes after 6 months </w:t>
            </w:r>
          </w:p>
        </w:tc>
        <w:tc>
          <w:tcPr>
            <w:tcW w:w="966" w:type="dxa"/>
          </w:tcPr>
          <w:p w14:paraId="2F025BED"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088D5ABC" w14:textId="77777777" w:rsidR="00F95AF6" w:rsidRPr="001C28F5" w:rsidRDefault="00F95AF6" w:rsidP="009746A6">
            <w:pPr>
              <w:pStyle w:val="Tablebodytext"/>
              <w:keepNext w:val="0"/>
              <w:keepLines w:val="0"/>
              <w:rPr>
                <w:lang w:eastAsia="en-AU"/>
              </w:rPr>
            </w:pPr>
          </w:p>
        </w:tc>
        <w:tc>
          <w:tcPr>
            <w:tcW w:w="995" w:type="dxa"/>
            <w:vMerge/>
          </w:tcPr>
          <w:p w14:paraId="31DE8449" w14:textId="77777777" w:rsidR="00F95AF6" w:rsidRPr="001C28F5" w:rsidRDefault="00F95AF6" w:rsidP="009746A6">
            <w:pPr>
              <w:pStyle w:val="Tablebodytext"/>
              <w:keepNext w:val="0"/>
              <w:keepLines w:val="0"/>
              <w:rPr>
                <w:lang w:eastAsia="en-AU"/>
              </w:rPr>
            </w:pPr>
          </w:p>
        </w:tc>
      </w:tr>
      <w:tr w:rsidR="00F95AF6" w:rsidRPr="001C28F5" w14:paraId="1415B6AD" w14:textId="77777777" w:rsidTr="001371EB">
        <w:trPr>
          <w:trHeight w:val="320"/>
        </w:trPr>
        <w:tc>
          <w:tcPr>
            <w:tcW w:w="2037" w:type="dxa"/>
            <w:vMerge/>
          </w:tcPr>
          <w:p w14:paraId="666BBB03" w14:textId="77777777" w:rsidR="00F95AF6" w:rsidRPr="001C28F5" w:rsidRDefault="00F95AF6" w:rsidP="009746A6">
            <w:pPr>
              <w:pStyle w:val="Tablebodytext"/>
              <w:keepNext w:val="0"/>
              <w:keepLines w:val="0"/>
              <w:rPr>
                <w:lang w:eastAsia="en-AU"/>
              </w:rPr>
            </w:pPr>
          </w:p>
        </w:tc>
        <w:tc>
          <w:tcPr>
            <w:tcW w:w="1082" w:type="dxa"/>
            <w:vMerge/>
          </w:tcPr>
          <w:p w14:paraId="4DF25FF8" w14:textId="77777777" w:rsidR="00F95AF6" w:rsidRPr="001C28F5" w:rsidRDefault="00F95AF6" w:rsidP="009746A6">
            <w:pPr>
              <w:pStyle w:val="Tablebodytext"/>
              <w:keepNext w:val="0"/>
              <w:keepLines w:val="0"/>
              <w:rPr>
                <w:lang w:eastAsia="en-AU"/>
              </w:rPr>
            </w:pPr>
          </w:p>
        </w:tc>
        <w:tc>
          <w:tcPr>
            <w:tcW w:w="992" w:type="dxa"/>
          </w:tcPr>
          <w:p w14:paraId="66588CED"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6E234626" w14:textId="77777777" w:rsidR="00F95AF6" w:rsidRPr="001C28F5" w:rsidRDefault="00F95AF6" w:rsidP="009746A6">
            <w:pPr>
              <w:pStyle w:val="Tablebodytext"/>
              <w:keepNext w:val="0"/>
              <w:keepLines w:val="0"/>
              <w:rPr>
                <w:lang w:eastAsia="en-AU"/>
              </w:rPr>
            </w:pPr>
            <w:r w:rsidRPr="001C28F5">
              <w:rPr>
                <w:lang w:eastAsia="en-AU"/>
              </w:rPr>
              <w:t>No, not demoted or dismissed</w:t>
            </w:r>
          </w:p>
        </w:tc>
        <w:tc>
          <w:tcPr>
            <w:tcW w:w="966" w:type="dxa"/>
          </w:tcPr>
          <w:p w14:paraId="5A4708C7"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7228A690" w14:textId="77777777" w:rsidR="00F95AF6" w:rsidRPr="001C28F5" w:rsidRDefault="00F95AF6" w:rsidP="009746A6">
            <w:pPr>
              <w:pStyle w:val="Tablebodytext"/>
              <w:keepNext w:val="0"/>
              <w:keepLines w:val="0"/>
              <w:rPr>
                <w:lang w:eastAsia="en-AU"/>
              </w:rPr>
            </w:pPr>
          </w:p>
        </w:tc>
        <w:tc>
          <w:tcPr>
            <w:tcW w:w="995" w:type="dxa"/>
            <w:vMerge/>
          </w:tcPr>
          <w:p w14:paraId="1C8ACE36" w14:textId="77777777" w:rsidR="00F95AF6" w:rsidRPr="001C28F5" w:rsidRDefault="00F95AF6" w:rsidP="009746A6">
            <w:pPr>
              <w:pStyle w:val="Tablebodytext"/>
              <w:keepNext w:val="0"/>
              <w:keepLines w:val="0"/>
              <w:rPr>
                <w:lang w:eastAsia="en-AU"/>
              </w:rPr>
            </w:pPr>
          </w:p>
        </w:tc>
      </w:tr>
      <w:tr w:rsidR="00F95AF6" w:rsidRPr="001C28F5" w14:paraId="216BDA4B" w14:textId="77777777" w:rsidTr="001371EB">
        <w:trPr>
          <w:trHeight w:val="320"/>
        </w:trPr>
        <w:tc>
          <w:tcPr>
            <w:tcW w:w="2037" w:type="dxa"/>
            <w:vMerge/>
          </w:tcPr>
          <w:p w14:paraId="200DC226" w14:textId="77777777" w:rsidR="00F95AF6" w:rsidRPr="001C28F5" w:rsidRDefault="00F95AF6" w:rsidP="009746A6">
            <w:pPr>
              <w:pStyle w:val="Tablebodytext"/>
              <w:keepNext w:val="0"/>
              <w:keepLines w:val="0"/>
              <w:rPr>
                <w:lang w:eastAsia="en-AU"/>
              </w:rPr>
            </w:pPr>
          </w:p>
        </w:tc>
        <w:tc>
          <w:tcPr>
            <w:tcW w:w="1082" w:type="dxa"/>
            <w:vMerge/>
          </w:tcPr>
          <w:p w14:paraId="4ADDE13A" w14:textId="77777777" w:rsidR="00F95AF6" w:rsidRPr="001C28F5" w:rsidRDefault="00F95AF6" w:rsidP="009746A6">
            <w:pPr>
              <w:pStyle w:val="Tablebodytext"/>
              <w:keepNext w:val="0"/>
              <w:keepLines w:val="0"/>
              <w:rPr>
                <w:lang w:eastAsia="en-AU"/>
              </w:rPr>
            </w:pPr>
          </w:p>
        </w:tc>
        <w:tc>
          <w:tcPr>
            <w:tcW w:w="992" w:type="dxa"/>
          </w:tcPr>
          <w:p w14:paraId="3D165B77"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1DBFC591" w14:textId="77777777" w:rsidR="00F95AF6" w:rsidRPr="001C28F5" w:rsidRDefault="00F95AF6" w:rsidP="009746A6">
            <w:pPr>
              <w:pStyle w:val="Tablebodytext"/>
              <w:keepNext w:val="0"/>
              <w:keepLines w:val="0"/>
              <w:rPr>
                <w:lang w:eastAsia="en-AU"/>
              </w:rPr>
            </w:pPr>
            <w:r w:rsidRPr="001C28F5">
              <w:rPr>
                <w:lang w:eastAsia="en-AU"/>
              </w:rPr>
              <w:t xml:space="preserve">No under-performance identified </w:t>
            </w:r>
          </w:p>
        </w:tc>
        <w:tc>
          <w:tcPr>
            <w:tcW w:w="966" w:type="dxa"/>
          </w:tcPr>
          <w:p w14:paraId="610AFD47"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7DA37012" w14:textId="77777777" w:rsidR="00F95AF6" w:rsidRPr="001C28F5" w:rsidRDefault="00F95AF6" w:rsidP="009746A6">
            <w:pPr>
              <w:pStyle w:val="Tablebodytext"/>
              <w:keepNext w:val="0"/>
              <w:keepLines w:val="0"/>
              <w:rPr>
                <w:lang w:eastAsia="en-AU"/>
              </w:rPr>
            </w:pPr>
          </w:p>
        </w:tc>
        <w:tc>
          <w:tcPr>
            <w:tcW w:w="995" w:type="dxa"/>
            <w:vMerge/>
          </w:tcPr>
          <w:p w14:paraId="020F563C" w14:textId="77777777" w:rsidR="00F95AF6" w:rsidRPr="001C28F5" w:rsidRDefault="00F95AF6" w:rsidP="009746A6">
            <w:pPr>
              <w:pStyle w:val="Tablebodytext"/>
              <w:keepNext w:val="0"/>
              <w:keepLines w:val="0"/>
              <w:rPr>
                <w:lang w:eastAsia="en-AU"/>
              </w:rPr>
            </w:pPr>
          </w:p>
        </w:tc>
      </w:tr>
      <w:tr w:rsidR="00F95AF6" w:rsidRPr="001C28F5" w14:paraId="7F79D1FF" w14:textId="77777777" w:rsidTr="001371EB">
        <w:trPr>
          <w:trHeight w:val="260"/>
        </w:trPr>
        <w:tc>
          <w:tcPr>
            <w:tcW w:w="2037" w:type="dxa"/>
            <w:vMerge w:val="restart"/>
          </w:tcPr>
          <w:p w14:paraId="41A24651" w14:textId="77777777" w:rsidR="00F95AF6" w:rsidRPr="001C28F5" w:rsidRDefault="00F95AF6" w:rsidP="009746A6">
            <w:pPr>
              <w:pStyle w:val="Tablebodytext"/>
              <w:keepNext w:val="0"/>
              <w:keepLines w:val="0"/>
              <w:rPr>
                <w:lang w:eastAsia="en-AU"/>
              </w:rPr>
            </w:pPr>
            <w:r w:rsidRPr="001C28F5">
              <w:rPr>
                <w:lang w:eastAsia="en-AU"/>
              </w:rPr>
              <w:t xml:space="preserve">18. During the year ended 30 June 2016, who or what determined the type of data to collect in decision making at this business? </w:t>
            </w:r>
          </w:p>
          <w:p w14:paraId="09705E75" w14:textId="77777777" w:rsidR="00F95AF6" w:rsidRPr="001C28F5" w:rsidRDefault="00F95AF6" w:rsidP="009746A6">
            <w:pPr>
              <w:pStyle w:val="Tablebodytext"/>
              <w:keepNext w:val="0"/>
              <w:keepLines w:val="0"/>
              <w:rPr>
                <w:lang w:eastAsia="en-AU"/>
              </w:rPr>
            </w:pPr>
          </w:p>
        </w:tc>
        <w:tc>
          <w:tcPr>
            <w:tcW w:w="1082" w:type="dxa"/>
            <w:vMerge w:val="restart"/>
          </w:tcPr>
          <w:p w14:paraId="36E4577E" w14:textId="77777777" w:rsidR="00F95AF6" w:rsidRPr="0064751A" w:rsidRDefault="00F95AF6" w:rsidP="009746A6">
            <w:pPr>
              <w:pStyle w:val="Tablebodytext"/>
              <w:keepNext w:val="0"/>
              <w:keepLines w:val="0"/>
              <w:rPr>
                <w:lang w:eastAsia="en-AU"/>
              </w:rPr>
            </w:pPr>
            <w:r w:rsidRPr="0064751A">
              <w:rPr>
                <w:lang w:eastAsia="en-AU"/>
              </w:rPr>
              <w:t>List</w:t>
            </w:r>
          </w:p>
          <w:p w14:paraId="70FD3DF5" w14:textId="77777777" w:rsidR="00F95AF6" w:rsidRPr="001C28F5" w:rsidRDefault="00F95AF6" w:rsidP="009746A6">
            <w:pPr>
              <w:pStyle w:val="Tablebodytext"/>
              <w:keepNext w:val="0"/>
              <w:keepLines w:val="0"/>
              <w:rPr>
                <w:lang w:eastAsia="en-AU"/>
              </w:rPr>
            </w:pPr>
          </w:p>
        </w:tc>
        <w:tc>
          <w:tcPr>
            <w:tcW w:w="992" w:type="dxa"/>
          </w:tcPr>
          <w:p w14:paraId="3E3EE141"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0D546132" w14:textId="77777777" w:rsidR="00F95AF6" w:rsidRPr="001C28F5" w:rsidRDefault="00F95AF6" w:rsidP="009746A6">
            <w:pPr>
              <w:pStyle w:val="Tablebodytext"/>
              <w:keepNext w:val="0"/>
              <w:keepLines w:val="0"/>
              <w:rPr>
                <w:lang w:eastAsia="en-AU"/>
              </w:rPr>
            </w:pPr>
            <w:r w:rsidRPr="001C28F5">
              <w:rPr>
                <w:lang w:eastAsia="en-AU"/>
              </w:rPr>
              <w:t xml:space="preserve">Managers at this business </w:t>
            </w:r>
          </w:p>
        </w:tc>
        <w:tc>
          <w:tcPr>
            <w:tcW w:w="966" w:type="dxa"/>
          </w:tcPr>
          <w:p w14:paraId="792161D3" w14:textId="77777777" w:rsidR="00F95AF6" w:rsidRPr="001C28F5" w:rsidRDefault="00F95AF6" w:rsidP="009746A6">
            <w:pPr>
              <w:pStyle w:val="Tablebodytext"/>
              <w:keepNext w:val="0"/>
              <w:keepLines w:val="0"/>
              <w:rPr>
                <w:lang w:eastAsia="en-AU"/>
              </w:rPr>
            </w:pPr>
            <w:r w:rsidRPr="001C28F5">
              <w:rPr>
                <w:lang w:eastAsia="en-AU"/>
              </w:rPr>
              <w:t>1/6</w:t>
            </w:r>
          </w:p>
        </w:tc>
        <w:tc>
          <w:tcPr>
            <w:tcW w:w="1043" w:type="dxa"/>
            <w:vMerge w:val="restart"/>
          </w:tcPr>
          <w:p w14:paraId="10B2D15E"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3716C469" w14:textId="77777777" w:rsidR="00F95AF6" w:rsidRPr="001C28F5" w:rsidRDefault="00F95AF6" w:rsidP="009746A6">
            <w:pPr>
              <w:pStyle w:val="Tablebodytext"/>
              <w:keepNext w:val="0"/>
              <w:keepLines w:val="0"/>
              <w:rPr>
                <w:lang w:eastAsia="en-AU"/>
              </w:rPr>
            </w:pPr>
            <w:r w:rsidRPr="001C28F5">
              <w:rPr>
                <w:lang w:eastAsia="en-AU"/>
              </w:rPr>
              <w:t>0.227</w:t>
            </w:r>
          </w:p>
        </w:tc>
      </w:tr>
      <w:tr w:rsidR="00F95AF6" w:rsidRPr="001C28F5" w14:paraId="0AFA7B57" w14:textId="77777777" w:rsidTr="001371EB">
        <w:trPr>
          <w:trHeight w:val="440"/>
        </w:trPr>
        <w:tc>
          <w:tcPr>
            <w:tcW w:w="2037" w:type="dxa"/>
            <w:vMerge/>
          </w:tcPr>
          <w:p w14:paraId="7F7A2C61" w14:textId="77777777" w:rsidR="00F95AF6" w:rsidRPr="001C28F5" w:rsidRDefault="00F95AF6" w:rsidP="009746A6">
            <w:pPr>
              <w:pStyle w:val="Tablebodytext"/>
              <w:keepNext w:val="0"/>
              <w:keepLines w:val="0"/>
              <w:rPr>
                <w:lang w:eastAsia="en-AU"/>
              </w:rPr>
            </w:pPr>
          </w:p>
        </w:tc>
        <w:tc>
          <w:tcPr>
            <w:tcW w:w="1082" w:type="dxa"/>
            <w:vMerge/>
          </w:tcPr>
          <w:p w14:paraId="0D05721D" w14:textId="77777777" w:rsidR="00F95AF6" w:rsidRPr="001C28F5" w:rsidRDefault="00F95AF6" w:rsidP="009746A6">
            <w:pPr>
              <w:pStyle w:val="Tablebodytext"/>
              <w:keepNext w:val="0"/>
              <w:keepLines w:val="0"/>
              <w:rPr>
                <w:lang w:eastAsia="en-AU"/>
              </w:rPr>
            </w:pPr>
          </w:p>
        </w:tc>
        <w:tc>
          <w:tcPr>
            <w:tcW w:w="992" w:type="dxa"/>
          </w:tcPr>
          <w:p w14:paraId="24F7732A"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4409E7AD" w14:textId="77777777" w:rsidR="00F95AF6" w:rsidRPr="001C28F5" w:rsidRDefault="00F95AF6" w:rsidP="009746A6">
            <w:pPr>
              <w:pStyle w:val="Tablebodytext"/>
              <w:keepNext w:val="0"/>
              <w:keepLines w:val="0"/>
              <w:rPr>
                <w:lang w:eastAsia="en-AU"/>
              </w:rPr>
            </w:pPr>
            <w:r w:rsidRPr="001C28F5">
              <w:rPr>
                <w:lang w:eastAsia="en-AU"/>
              </w:rPr>
              <w:t xml:space="preserve">Managers at another business/entity owned by the same company </w:t>
            </w:r>
          </w:p>
        </w:tc>
        <w:tc>
          <w:tcPr>
            <w:tcW w:w="966" w:type="dxa"/>
          </w:tcPr>
          <w:p w14:paraId="4B09B462" w14:textId="77777777" w:rsidR="00F95AF6" w:rsidRPr="001C28F5" w:rsidRDefault="00F95AF6" w:rsidP="009746A6">
            <w:pPr>
              <w:pStyle w:val="Tablebodytext"/>
              <w:keepNext w:val="0"/>
              <w:keepLines w:val="0"/>
              <w:rPr>
                <w:lang w:eastAsia="en-AU"/>
              </w:rPr>
            </w:pPr>
            <w:r w:rsidRPr="001C28F5">
              <w:rPr>
                <w:lang w:eastAsia="en-AU"/>
              </w:rPr>
              <w:t>1/6</w:t>
            </w:r>
          </w:p>
        </w:tc>
        <w:tc>
          <w:tcPr>
            <w:tcW w:w="1043" w:type="dxa"/>
            <w:vMerge/>
          </w:tcPr>
          <w:p w14:paraId="4E59F9F4" w14:textId="77777777" w:rsidR="00F95AF6" w:rsidRPr="001C28F5" w:rsidRDefault="00F95AF6" w:rsidP="009746A6">
            <w:pPr>
              <w:pStyle w:val="Tablebodytext"/>
              <w:keepNext w:val="0"/>
              <w:keepLines w:val="0"/>
              <w:rPr>
                <w:lang w:eastAsia="en-AU"/>
              </w:rPr>
            </w:pPr>
          </w:p>
        </w:tc>
        <w:tc>
          <w:tcPr>
            <w:tcW w:w="995" w:type="dxa"/>
            <w:vMerge/>
          </w:tcPr>
          <w:p w14:paraId="6CD6E41F" w14:textId="77777777" w:rsidR="00F95AF6" w:rsidRPr="001C28F5" w:rsidRDefault="00F95AF6" w:rsidP="009746A6">
            <w:pPr>
              <w:pStyle w:val="Tablebodytext"/>
              <w:keepNext w:val="0"/>
              <w:keepLines w:val="0"/>
              <w:rPr>
                <w:lang w:eastAsia="en-AU"/>
              </w:rPr>
            </w:pPr>
          </w:p>
        </w:tc>
      </w:tr>
      <w:tr w:rsidR="00F95AF6" w:rsidRPr="001C28F5" w14:paraId="307F0136" w14:textId="77777777" w:rsidTr="001371EB">
        <w:trPr>
          <w:trHeight w:val="320"/>
        </w:trPr>
        <w:tc>
          <w:tcPr>
            <w:tcW w:w="2037" w:type="dxa"/>
            <w:vMerge/>
          </w:tcPr>
          <w:p w14:paraId="465A78AB" w14:textId="77777777" w:rsidR="00F95AF6" w:rsidRPr="001C28F5" w:rsidRDefault="00F95AF6" w:rsidP="009746A6">
            <w:pPr>
              <w:pStyle w:val="Tablebodytext"/>
              <w:keepNext w:val="0"/>
              <w:keepLines w:val="0"/>
              <w:rPr>
                <w:lang w:eastAsia="en-AU"/>
              </w:rPr>
            </w:pPr>
          </w:p>
        </w:tc>
        <w:tc>
          <w:tcPr>
            <w:tcW w:w="1082" w:type="dxa"/>
            <w:vMerge/>
          </w:tcPr>
          <w:p w14:paraId="17D41D94" w14:textId="77777777" w:rsidR="00F95AF6" w:rsidRPr="001C28F5" w:rsidRDefault="00F95AF6" w:rsidP="009746A6">
            <w:pPr>
              <w:pStyle w:val="Tablebodytext"/>
              <w:keepNext w:val="0"/>
              <w:keepLines w:val="0"/>
              <w:rPr>
                <w:lang w:eastAsia="en-AU"/>
              </w:rPr>
            </w:pPr>
          </w:p>
        </w:tc>
        <w:tc>
          <w:tcPr>
            <w:tcW w:w="992" w:type="dxa"/>
          </w:tcPr>
          <w:p w14:paraId="3F7F67FE"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15C56214" w14:textId="77777777" w:rsidR="00F95AF6" w:rsidRPr="001C28F5" w:rsidRDefault="00F95AF6" w:rsidP="009746A6">
            <w:pPr>
              <w:pStyle w:val="Tablebodytext"/>
              <w:keepNext w:val="0"/>
              <w:keepLines w:val="0"/>
              <w:rPr>
                <w:lang w:eastAsia="en-AU"/>
              </w:rPr>
            </w:pPr>
            <w:r w:rsidRPr="001C28F5">
              <w:rPr>
                <w:lang w:eastAsia="en-AU"/>
              </w:rPr>
              <w:t xml:space="preserve">Employees/non-managers </w:t>
            </w:r>
          </w:p>
        </w:tc>
        <w:tc>
          <w:tcPr>
            <w:tcW w:w="966" w:type="dxa"/>
          </w:tcPr>
          <w:p w14:paraId="505054D5" w14:textId="77777777" w:rsidR="00F95AF6" w:rsidRPr="001C28F5" w:rsidRDefault="00F95AF6" w:rsidP="009746A6">
            <w:pPr>
              <w:pStyle w:val="Tablebodytext"/>
              <w:keepNext w:val="0"/>
              <w:keepLines w:val="0"/>
              <w:rPr>
                <w:lang w:eastAsia="en-AU"/>
              </w:rPr>
            </w:pPr>
            <w:r w:rsidRPr="001C28F5">
              <w:rPr>
                <w:lang w:eastAsia="en-AU"/>
              </w:rPr>
              <w:t>1/6</w:t>
            </w:r>
          </w:p>
        </w:tc>
        <w:tc>
          <w:tcPr>
            <w:tcW w:w="1043" w:type="dxa"/>
            <w:vMerge/>
          </w:tcPr>
          <w:p w14:paraId="34D358BB" w14:textId="77777777" w:rsidR="00F95AF6" w:rsidRPr="001C28F5" w:rsidRDefault="00F95AF6" w:rsidP="009746A6">
            <w:pPr>
              <w:pStyle w:val="Tablebodytext"/>
              <w:keepNext w:val="0"/>
              <w:keepLines w:val="0"/>
              <w:rPr>
                <w:lang w:eastAsia="en-AU"/>
              </w:rPr>
            </w:pPr>
          </w:p>
        </w:tc>
        <w:tc>
          <w:tcPr>
            <w:tcW w:w="995" w:type="dxa"/>
            <w:vMerge/>
          </w:tcPr>
          <w:p w14:paraId="2AFFC03F" w14:textId="77777777" w:rsidR="00F95AF6" w:rsidRPr="001C28F5" w:rsidRDefault="00F95AF6" w:rsidP="009746A6">
            <w:pPr>
              <w:pStyle w:val="Tablebodytext"/>
              <w:keepNext w:val="0"/>
              <w:keepLines w:val="0"/>
              <w:rPr>
                <w:lang w:eastAsia="en-AU"/>
              </w:rPr>
            </w:pPr>
          </w:p>
        </w:tc>
      </w:tr>
      <w:tr w:rsidR="00F95AF6" w:rsidRPr="001C28F5" w14:paraId="49917314" w14:textId="77777777" w:rsidTr="001371EB">
        <w:trPr>
          <w:trHeight w:val="320"/>
        </w:trPr>
        <w:tc>
          <w:tcPr>
            <w:tcW w:w="2037" w:type="dxa"/>
            <w:vMerge/>
          </w:tcPr>
          <w:p w14:paraId="135E43AB" w14:textId="77777777" w:rsidR="00F95AF6" w:rsidRPr="001C28F5" w:rsidRDefault="00F95AF6" w:rsidP="009746A6">
            <w:pPr>
              <w:pStyle w:val="Tablebodytext"/>
              <w:keepNext w:val="0"/>
              <w:keepLines w:val="0"/>
              <w:rPr>
                <w:lang w:eastAsia="en-AU"/>
              </w:rPr>
            </w:pPr>
          </w:p>
        </w:tc>
        <w:tc>
          <w:tcPr>
            <w:tcW w:w="1082" w:type="dxa"/>
            <w:vMerge/>
          </w:tcPr>
          <w:p w14:paraId="2256C2CD" w14:textId="77777777" w:rsidR="00F95AF6" w:rsidRPr="001C28F5" w:rsidRDefault="00F95AF6" w:rsidP="009746A6">
            <w:pPr>
              <w:pStyle w:val="Tablebodytext"/>
              <w:keepNext w:val="0"/>
              <w:keepLines w:val="0"/>
              <w:rPr>
                <w:lang w:eastAsia="en-AU"/>
              </w:rPr>
            </w:pPr>
          </w:p>
        </w:tc>
        <w:tc>
          <w:tcPr>
            <w:tcW w:w="992" w:type="dxa"/>
          </w:tcPr>
          <w:p w14:paraId="757BF77B"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2FD20EB0" w14:textId="77777777" w:rsidR="00F95AF6" w:rsidRPr="001C28F5" w:rsidRDefault="00F95AF6" w:rsidP="009746A6">
            <w:pPr>
              <w:pStyle w:val="Tablebodytext"/>
              <w:keepNext w:val="0"/>
              <w:keepLines w:val="0"/>
              <w:rPr>
                <w:lang w:eastAsia="en-AU"/>
              </w:rPr>
            </w:pPr>
            <w:r w:rsidRPr="001C28F5">
              <w:rPr>
                <w:lang w:eastAsia="en-AU"/>
              </w:rPr>
              <w:t xml:space="preserve">Customers </w:t>
            </w:r>
          </w:p>
        </w:tc>
        <w:tc>
          <w:tcPr>
            <w:tcW w:w="966" w:type="dxa"/>
          </w:tcPr>
          <w:p w14:paraId="288A4A15" w14:textId="77777777" w:rsidR="00F95AF6" w:rsidRPr="001C28F5" w:rsidRDefault="00F95AF6" w:rsidP="009746A6">
            <w:pPr>
              <w:pStyle w:val="Tablebodytext"/>
              <w:keepNext w:val="0"/>
              <w:keepLines w:val="0"/>
              <w:rPr>
                <w:lang w:eastAsia="en-AU"/>
              </w:rPr>
            </w:pPr>
            <w:r w:rsidRPr="001C28F5">
              <w:rPr>
                <w:lang w:eastAsia="en-AU"/>
              </w:rPr>
              <w:t>1/6</w:t>
            </w:r>
          </w:p>
        </w:tc>
        <w:tc>
          <w:tcPr>
            <w:tcW w:w="1043" w:type="dxa"/>
            <w:vMerge/>
          </w:tcPr>
          <w:p w14:paraId="5C48E0CB" w14:textId="77777777" w:rsidR="00F95AF6" w:rsidRPr="001C28F5" w:rsidRDefault="00F95AF6" w:rsidP="009746A6">
            <w:pPr>
              <w:pStyle w:val="Tablebodytext"/>
              <w:keepNext w:val="0"/>
              <w:keepLines w:val="0"/>
              <w:rPr>
                <w:lang w:eastAsia="en-AU"/>
              </w:rPr>
            </w:pPr>
          </w:p>
        </w:tc>
        <w:tc>
          <w:tcPr>
            <w:tcW w:w="995" w:type="dxa"/>
            <w:vMerge/>
          </w:tcPr>
          <w:p w14:paraId="72E4AB6D" w14:textId="77777777" w:rsidR="00F95AF6" w:rsidRPr="001C28F5" w:rsidRDefault="00F95AF6" w:rsidP="009746A6">
            <w:pPr>
              <w:pStyle w:val="Tablebodytext"/>
              <w:keepNext w:val="0"/>
              <w:keepLines w:val="0"/>
              <w:rPr>
                <w:lang w:eastAsia="en-AU"/>
              </w:rPr>
            </w:pPr>
          </w:p>
        </w:tc>
      </w:tr>
      <w:tr w:rsidR="00F95AF6" w:rsidRPr="001C28F5" w14:paraId="4263B238" w14:textId="77777777" w:rsidTr="001371EB">
        <w:trPr>
          <w:trHeight w:val="320"/>
        </w:trPr>
        <w:tc>
          <w:tcPr>
            <w:tcW w:w="2037" w:type="dxa"/>
            <w:vMerge/>
          </w:tcPr>
          <w:p w14:paraId="6BF8911E" w14:textId="77777777" w:rsidR="00F95AF6" w:rsidRPr="001C28F5" w:rsidRDefault="00F95AF6" w:rsidP="009746A6">
            <w:pPr>
              <w:pStyle w:val="Tablebodytext"/>
              <w:keepNext w:val="0"/>
              <w:keepLines w:val="0"/>
              <w:rPr>
                <w:lang w:eastAsia="en-AU"/>
              </w:rPr>
            </w:pPr>
          </w:p>
        </w:tc>
        <w:tc>
          <w:tcPr>
            <w:tcW w:w="1082" w:type="dxa"/>
            <w:vMerge/>
          </w:tcPr>
          <w:p w14:paraId="39E41759" w14:textId="77777777" w:rsidR="00F95AF6" w:rsidRPr="001C28F5" w:rsidRDefault="00F95AF6" w:rsidP="009746A6">
            <w:pPr>
              <w:pStyle w:val="Tablebodytext"/>
              <w:keepNext w:val="0"/>
              <w:keepLines w:val="0"/>
              <w:rPr>
                <w:lang w:eastAsia="en-AU"/>
              </w:rPr>
            </w:pPr>
          </w:p>
        </w:tc>
        <w:tc>
          <w:tcPr>
            <w:tcW w:w="992" w:type="dxa"/>
          </w:tcPr>
          <w:p w14:paraId="7E607716"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55C58B51" w14:textId="77777777" w:rsidR="00F95AF6" w:rsidRPr="001C28F5" w:rsidRDefault="00F95AF6" w:rsidP="009746A6">
            <w:pPr>
              <w:pStyle w:val="Tablebodytext"/>
              <w:keepNext w:val="0"/>
              <w:keepLines w:val="0"/>
              <w:rPr>
                <w:lang w:eastAsia="en-AU"/>
              </w:rPr>
            </w:pPr>
            <w:r w:rsidRPr="001C28F5">
              <w:rPr>
                <w:lang w:eastAsia="en-AU"/>
              </w:rPr>
              <w:t xml:space="preserve">Government regulation </w:t>
            </w:r>
          </w:p>
        </w:tc>
        <w:tc>
          <w:tcPr>
            <w:tcW w:w="966" w:type="dxa"/>
          </w:tcPr>
          <w:p w14:paraId="167E73E0" w14:textId="77777777" w:rsidR="00F95AF6" w:rsidRPr="001C28F5" w:rsidRDefault="00F95AF6" w:rsidP="009746A6">
            <w:pPr>
              <w:pStyle w:val="Tablebodytext"/>
              <w:keepNext w:val="0"/>
              <w:keepLines w:val="0"/>
              <w:rPr>
                <w:lang w:eastAsia="en-AU"/>
              </w:rPr>
            </w:pPr>
            <w:r w:rsidRPr="001C28F5">
              <w:rPr>
                <w:lang w:eastAsia="en-AU"/>
              </w:rPr>
              <w:t>1/6</w:t>
            </w:r>
          </w:p>
        </w:tc>
        <w:tc>
          <w:tcPr>
            <w:tcW w:w="1043" w:type="dxa"/>
            <w:vMerge/>
          </w:tcPr>
          <w:p w14:paraId="0C301CDD" w14:textId="77777777" w:rsidR="00F95AF6" w:rsidRPr="001C28F5" w:rsidRDefault="00F95AF6" w:rsidP="009746A6">
            <w:pPr>
              <w:pStyle w:val="Tablebodytext"/>
              <w:keepNext w:val="0"/>
              <w:keepLines w:val="0"/>
              <w:rPr>
                <w:lang w:eastAsia="en-AU"/>
              </w:rPr>
            </w:pPr>
          </w:p>
        </w:tc>
        <w:tc>
          <w:tcPr>
            <w:tcW w:w="995" w:type="dxa"/>
            <w:vMerge/>
          </w:tcPr>
          <w:p w14:paraId="2CCFFE83" w14:textId="77777777" w:rsidR="00F95AF6" w:rsidRPr="001C28F5" w:rsidRDefault="00F95AF6" w:rsidP="009746A6">
            <w:pPr>
              <w:pStyle w:val="Tablebodytext"/>
              <w:keepNext w:val="0"/>
              <w:keepLines w:val="0"/>
              <w:rPr>
                <w:lang w:eastAsia="en-AU"/>
              </w:rPr>
            </w:pPr>
          </w:p>
        </w:tc>
      </w:tr>
      <w:tr w:rsidR="00F95AF6" w:rsidRPr="001C28F5" w14:paraId="199001A6" w14:textId="77777777" w:rsidTr="001371EB">
        <w:trPr>
          <w:trHeight w:val="320"/>
        </w:trPr>
        <w:tc>
          <w:tcPr>
            <w:tcW w:w="2037" w:type="dxa"/>
            <w:vMerge/>
          </w:tcPr>
          <w:p w14:paraId="05B8E4E4" w14:textId="77777777" w:rsidR="00F95AF6" w:rsidRPr="001C28F5" w:rsidRDefault="00F95AF6" w:rsidP="009746A6">
            <w:pPr>
              <w:pStyle w:val="Tablebodytext"/>
              <w:keepNext w:val="0"/>
              <w:keepLines w:val="0"/>
              <w:rPr>
                <w:lang w:eastAsia="en-AU"/>
              </w:rPr>
            </w:pPr>
          </w:p>
        </w:tc>
        <w:tc>
          <w:tcPr>
            <w:tcW w:w="1082" w:type="dxa"/>
            <w:vMerge/>
          </w:tcPr>
          <w:p w14:paraId="2131AA70" w14:textId="77777777" w:rsidR="00F95AF6" w:rsidRPr="001C28F5" w:rsidRDefault="00F95AF6" w:rsidP="009746A6">
            <w:pPr>
              <w:pStyle w:val="Tablebodytext"/>
              <w:keepNext w:val="0"/>
              <w:keepLines w:val="0"/>
              <w:rPr>
                <w:lang w:eastAsia="en-AU"/>
              </w:rPr>
            </w:pPr>
          </w:p>
        </w:tc>
        <w:tc>
          <w:tcPr>
            <w:tcW w:w="992" w:type="dxa"/>
          </w:tcPr>
          <w:p w14:paraId="09645997"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69CDB398" w14:textId="77777777" w:rsidR="00F95AF6" w:rsidRPr="001C28F5" w:rsidRDefault="00F95AF6" w:rsidP="009746A6">
            <w:pPr>
              <w:pStyle w:val="Tablebodytext"/>
              <w:keepNext w:val="0"/>
              <w:keepLines w:val="0"/>
              <w:rPr>
                <w:lang w:eastAsia="en-AU"/>
              </w:rPr>
            </w:pPr>
            <w:r w:rsidRPr="001C28F5">
              <w:rPr>
                <w:lang w:eastAsia="en-AU"/>
              </w:rPr>
              <w:t xml:space="preserve">Other (please specify) </w:t>
            </w:r>
          </w:p>
        </w:tc>
        <w:tc>
          <w:tcPr>
            <w:tcW w:w="966" w:type="dxa"/>
          </w:tcPr>
          <w:p w14:paraId="136FC1D6" w14:textId="77777777" w:rsidR="00F95AF6" w:rsidRPr="001C28F5" w:rsidRDefault="00F95AF6" w:rsidP="009746A6">
            <w:pPr>
              <w:pStyle w:val="Tablebodytext"/>
              <w:keepNext w:val="0"/>
              <w:keepLines w:val="0"/>
              <w:rPr>
                <w:lang w:eastAsia="en-AU"/>
              </w:rPr>
            </w:pPr>
            <w:r w:rsidRPr="001C28F5">
              <w:rPr>
                <w:lang w:eastAsia="en-AU"/>
              </w:rPr>
              <w:t>1/6</w:t>
            </w:r>
          </w:p>
        </w:tc>
        <w:tc>
          <w:tcPr>
            <w:tcW w:w="1043" w:type="dxa"/>
            <w:vMerge/>
          </w:tcPr>
          <w:p w14:paraId="416BECA2" w14:textId="77777777" w:rsidR="00F95AF6" w:rsidRPr="001C28F5" w:rsidRDefault="00F95AF6" w:rsidP="009746A6">
            <w:pPr>
              <w:pStyle w:val="Tablebodytext"/>
              <w:keepNext w:val="0"/>
              <w:keepLines w:val="0"/>
              <w:rPr>
                <w:lang w:eastAsia="en-AU"/>
              </w:rPr>
            </w:pPr>
          </w:p>
        </w:tc>
        <w:tc>
          <w:tcPr>
            <w:tcW w:w="995" w:type="dxa"/>
            <w:vMerge/>
          </w:tcPr>
          <w:p w14:paraId="6461DE0A" w14:textId="77777777" w:rsidR="00F95AF6" w:rsidRPr="001C28F5" w:rsidRDefault="00F95AF6" w:rsidP="009746A6">
            <w:pPr>
              <w:pStyle w:val="Tablebodytext"/>
              <w:keepNext w:val="0"/>
              <w:keepLines w:val="0"/>
              <w:rPr>
                <w:lang w:eastAsia="en-AU"/>
              </w:rPr>
            </w:pPr>
          </w:p>
        </w:tc>
      </w:tr>
      <w:tr w:rsidR="00F95AF6" w:rsidRPr="001C28F5" w14:paraId="3BBF8FA9" w14:textId="77777777" w:rsidTr="001371EB">
        <w:trPr>
          <w:trHeight w:val="320"/>
        </w:trPr>
        <w:tc>
          <w:tcPr>
            <w:tcW w:w="2037" w:type="dxa"/>
            <w:vMerge/>
          </w:tcPr>
          <w:p w14:paraId="449BF2E1" w14:textId="77777777" w:rsidR="00F95AF6" w:rsidRPr="001C28F5" w:rsidRDefault="00F95AF6" w:rsidP="009746A6">
            <w:pPr>
              <w:pStyle w:val="Tablebodytext"/>
              <w:keepNext w:val="0"/>
              <w:keepLines w:val="0"/>
              <w:rPr>
                <w:lang w:eastAsia="en-AU"/>
              </w:rPr>
            </w:pPr>
          </w:p>
        </w:tc>
        <w:tc>
          <w:tcPr>
            <w:tcW w:w="1082" w:type="dxa"/>
            <w:vMerge/>
          </w:tcPr>
          <w:p w14:paraId="2DC176B5" w14:textId="77777777" w:rsidR="00F95AF6" w:rsidRPr="001C28F5" w:rsidRDefault="00F95AF6" w:rsidP="009746A6">
            <w:pPr>
              <w:pStyle w:val="Tablebodytext"/>
              <w:keepNext w:val="0"/>
              <w:keepLines w:val="0"/>
              <w:rPr>
                <w:lang w:eastAsia="en-AU"/>
              </w:rPr>
            </w:pPr>
          </w:p>
        </w:tc>
        <w:tc>
          <w:tcPr>
            <w:tcW w:w="992" w:type="dxa"/>
          </w:tcPr>
          <w:p w14:paraId="71F3D6D7"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3285F52F" w14:textId="77777777" w:rsidR="00F95AF6" w:rsidRPr="001C28F5" w:rsidRDefault="00F95AF6" w:rsidP="009746A6">
            <w:pPr>
              <w:pStyle w:val="Tablebodytext"/>
              <w:keepNext w:val="0"/>
              <w:keepLines w:val="0"/>
              <w:rPr>
                <w:lang w:eastAsia="en-AU"/>
              </w:rPr>
            </w:pPr>
            <w:r w:rsidRPr="001C28F5">
              <w:rPr>
                <w:lang w:eastAsia="en-AU"/>
              </w:rPr>
              <w:t xml:space="preserve">None of the above </w:t>
            </w:r>
          </w:p>
        </w:tc>
        <w:tc>
          <w:tcPr>
            <w:tcW w:w="966" w:type="dxa"/>
          </w:tcPr>
          <w:p w14:paraId="581BE84F"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41AC0F8B" w14:textId="77777777" w:rsidR="00F95AF6" w:rsidRPr="001C28F5" w:rsidRDefault="00F95AF6" w:rsidP="009746A6">
            <w:pPr>
              <w:pStyle w:val="Tablebodytext"/>
              <w:keepNext w:val="0"/>
              <w:keepLines w:val="0"/>
              <w:rPr>
                <w:lang w:eastAsia="en-AU"/>
              </w:rPr>
            </w:pPr>
          </w:p>
        </w:tc>
        <w:tc>
          <w:tcPr>
            <w:tcW w:w="995" w:type="dxa"/>
            <w:vMerge/>
          </w:tcPr>
          <w:p w14:paraId="00DD101B" w14:textId="77777777" w:rsidR="00F95AF6" w:rsidRPr="001C28F5" w:rsidRDefault="00F95AF6" w:rsidP="009746A6">
            <w:pPr>
              <w:pStyle w:val="Tablebodytext"/>
              <w:keepNext w:val="0"/>
              <w:keepLines w:val="0"/>
              <w:rPr>
                <w:lang w:eastAsia="en-AU"/>
              </w:rPr>
            </w:pPr>
          </w:p>
        </w:tc>
      </w:tr>
      <w:tr w:rsidR="00F95AF6" w:rsidRPr="001C28F5" w14:paraId="49184EBF" w14:textId="77777777" w:rsidTr="001371EB">
        <w:trPr>
          <w:trHeight w:val="320"/>
        </w:trPr>
        <w:tc>
          <w:tcPr>
            <w:tcW w:w="2037" w:type="dxa"/>
            <w:vMerge w:val="restart"/>
          </w:tcPr>
          <w:p w14:paraId="3EF7148C" w14:textId="77777777" w:rsidR="00F95AF6" w:rsidRPr="001C28F5" w:rsidRDefault="00F95AF6" w:rsidP="009746A6">
            <w:pPr>
              <w:pStyle w:val="Tablebodytext"/>
              <w:keepNext w:val="0"/>
              <w:keepLines w:val="0"/>
              <w:rPr>
                <w:lang w:eastAsia="en-AU"/>
              </w:rPr>
            </w:pPr>
            <w:r w:rsidRPr="001C28F5">
              <w:rPr>
                <w:lang w:eastAsia="en-AU"/>
              </w:rPr>
              <w:t xml:space="preserve">19.1 How frequently were each of the following sources of data used in decision making at this business? </w:t>
            </w:r>
          </w:p>
          <w:p w14:paraId="27DC0F1C" w14:textId="77777777" w:rsidR="00F95AF6" w:rsidRPr="001C28F5" w:rsidRDefault="00F95AF6" w:rsidP="009746A6">
            <w:pPr>
              <w:pStyle w:val="Tablebodytext"/>
              <w:keepNext w:val="0"/>
              <w:keepLines w:val="0"/>
              <w:rPr>
                <w:lang w:eastAsia="en-AU"/>
              </w:rPr>
            </w:pPr>
          </w:p>
        </w:tc>
        <w:tc>
          <w:tcPr>
            <w:tcW w:w="1082" w:type="dxa"/>
            <w:vMerge w:val="restart"/>
          </w:tcPr>
          <w:p w14:paraId="403C6D41" w14:textId="77777777" w:rsidR="00F95AF6" w:rsidRPr="001C28F5" w:rsidRDefault="00F95AF6" w:rsidP="009746A6">
            <w:pPr>
              <w:pStyle w:val="Tablebodytext"/>
              <w:keepNext w:val="0"/>
              <w:keepLines w:val="0"/>
              <w:rPr>
                <w:lang w:eastAsia="en-AU"/>
              </w:rPr>
            </w:pPr>
            <w:r w:rsidRPr="0064751A">
              <w:rPr>
                <w:lang w:eastAsia="en-AU"/>
              </w:rPr>
              <w:t>List scaled</w:t>
            </w:r>
          </w:p>
          <w:p w14:paraId="69382669" w14:textId="77777777" w:rsidR="00F95AF6" w:rsidRPr="001C28F5" w:rsidRDefault="00F95AF6" w:rsidP="009746A6">
            <w:pPr>
              <w:pStyle w:val="Tablebodytext"/>
              <w:keepNext w:val="0"/>
              <w:keepLines w:val="0"/>
              <w:rPr>
                <w:lang w:eastAsia="en-AU"/>
              </w:rPr>
            </w:pPr>
          </w:p>
        </w:tc>
        <w:tc>
          <w:tcPr>
            <w:tcW w:w="992" w:type="dxa"/>
          </w:tcPr>
          <w:p w14:paraId="2A267525"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2068CE9B" w14:textId="77777777" w:rsidR="00F95AF6" w:rsidRPr="001C28F5" w:rsidRDefault="00F95AF6" w:rsidP="009746A6">
            <w:pPr>
              <w:pStyle w:val="Tablebodytext"/>
              <w:keepNext w:val="0"/>
              <w:keepLines w:val="0"/>
              <w:rPr>
                <w:lang w:eastAsia="en-AU"/>
              </w:rPr>
            </w:pPr>
            <w:r w:rsidRPr="001C28F5">
              <w:rPr>
                <w:lang w:eastAsia="en-AU"/>
              </w:rPr>
              <w:t>Performance data - Not at all</w:t>
            </w:r>
          </w:p>
        </w:tc>
        <w:tc>
          <w:tcPr>
            <w:tcW w:w="966" w:type="dxa"/>
          </w:tcPr>
          <w:p w14:paraId="6FCAD2B1"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5301CDF4"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0746FB03" w14:textId="77777777" w:rsidR="00F95AF6" w:rsidRPr="001C28F5" w:rsidRDefault="00F95AF6" w:rsidP="009746A6">
            <w:pPr>
              <w:pStyle w:val="Tablebodytext"/>
              <w:keepNext w:val="0"/>
              <w:keepLines w:val="0"/>
              <w:rPr>
                <w:lang w:eastAsia="en-AU"/>
              </w:rPr>
            </w:pPr>
            <w:r w:rsidRPr="001C28F5">
              <w:rPr>
                <w:lang w:eastAsia="en-AU"/>
              </w:rPr>
              <w:t>0.510</w:t>
            </w:r>
          </w:p>
        </w:tc>
      </w:tr>
      <w:tr w:rsidR="00F95AF6" w:rsidRPr="001C28F5" w14:paraId="13EE3D04" w14:textId="77777777" w:rsidTr="001371EB">
        <w:trPr>
          <w:trHeight w:val="320"/>
        </w:trPr>
        <w:tc>
          <w:tcPr>
            <w:tcW w:w="2037" w:type="dxa"/>
            <w:vMerge/>
          </w:tcPr>
          <w:p w14:paraId="4491D91E" w14:textId="77777777" w:rsidR="00F95AF6" w:rsidRPr="001C28F5" w:rsidRDefault="00F95AF6" w:rsidP="009746A6">
            <w:pPr>
              <w:pStyle w:val="Tablebodytext"/>
              <w:keepNext w:val="0"/>
              <w:keepLines w:val="0"/>
              <w:rPr>
                <w:lang w:eastAsia="en-AU"/>
              </w:rPr>
            </w:pPr>
          </w:p>
        </w:tc>
        <w:tc>
          <w:tcPr>
            <w:tcW w:w="1082" w:type="dxa"/>
            <w:vMerge/>
          </w:tcPr>
          <w:p w14:paraId="2A4324AC" w14:textId="77777777" w:rsidR="00F95AF6" w:rsidRPr="001C28F5" w:rsidRDefault="00F95AF6" w:rsidP="009746A6">
            <w:pPr>
              <w:pStyle w:val="Tablebodytext"/>
              <w:keepNext w:val="0"/>
              <w:keepLines w:val="0"/>
              <w:rPr>
                <w:lang w:eastAsia="en-AU"/>
              </w:rPr>
            </w:pPr>
          </w:p>
        </w:tc>
        <w:tc>
          <w:tcPr>
            <w:tcW w:w="992" w:type="dxa"/>
          </w:tcPr>
          <w:p w14:paraId="6CE2ACFA"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4F12F27F" w14:textId="77777777" w:rsidR="00F95AF6" w:rsidRPr="001C28F5" w:rsidRDefault="00F95AF6" w:rsidP="009746A6">
            <w:pPr>
              <w:pStyle w:val="Tablebodytext"/>
              <w:keepNext w:val="0"/>
              <w:keepLines w:val="0"/>
              <w:rPr>
                <w:lang w:eastAsia="en-AU"/>
              </w:rPr>
            </w:pPr>
            <w:r w:rsidRPr="001C28F5">
              <w:rPr>
                <w:lang w:eastAsia="en-AU"/>
              </w:rPr>
              <w:t>Performance data - Daily</w:t>
            </w:r>
          </w:p>
        </w:tc>
        <w:tc>
          <w:tcPr>
            <w:tcW w:w="966" w:type="dxa"/>
          </w:tcPr>
          <w:p w14:paraId="24EDDFC2"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54ADE559" w14:textId="77777777" w:rsidR="00F95AF6" w:rsidRPr="001C28F5" w:rsidRDefault="00F95AF6" w:rsidP="009746A6">
            <w:pPr>
              <w:pStyle w:val="Tablebodytext"/>
              <w:keepNext w:val="0"/>
              <w:keepLines w:val="0"/>
              <w:rPr>
                <w:lang w:eastAsia="en-AU"/>
              </w:rPr>
            </w:pPr>
          </w:p>
        </w:tc>
        <w:tc>
          <w:tcPr>
            <w:tcW w:w="995" w:type="dxa"/>
            <w:vMerge/>
          </w:tcPr>
          <w:p w14:paraId="2E44794D" w14:textId="77777777" w:rsidR="00F95AF6" w:rsidRPr="001C28F5" w:rsidRDefault="00F95AF6" w:rsidP="009746A6">
            <w:pPr>
              <w:pStyle w:val="Tablebodytext"/>
              <w:keepNext w:val="0"/>
              <w:keepLines w:val="0"/>
              <w:rPr>
                <w:lang w:eastAsia="en-AU"/>
              </w:rPr>
            </w:pPr>
          </w:p>
        </w:tc>
      </w:tr>
      <w:tr w:rsidR="00F95AF6" w:rsidRPr="001C28F5" w14:paraId="5A2FEF9C" w14:textId="77777777" w:rsidTr="001371EB">
        <w:trPr>
          <w:trHeight w:val="320"/>
        </w:trPr>
        <w:tc>
          <w:tcPr>
            <w:tcW w:w="2037" w:type="dxa"/>
            <w:vMerge/>
          </w:tcPr>
          <w:p w14:paraId="35A78537" w14:textId="77777777" w:rsidR="00F95AF6" w:rsidRPr="001C28F5" w:rsidRDefault="00F95AF6" w:rsidP="009746A6">
            <w:pPr>
              <w:pStyle w:val="Tablebodytext"/>
              <w:keepNext w:val="0"/>
              <w:keepLines w:val="0"/>
              <w:rPr>
                <w:lang w:eastAsia="en-AU"/>
              </w:rPr>
            </w:pPr>
          </w:p>
        </w:tc>
        <w:tc>
          <w:tcPr>
            <w:tcW w:w="1082" w:type="dxa"/>
            <w:vMerge/>
          </w:tcPr>
          <w:p w14:paraId="76AE62BF" w14:textId="77777777" w:rsidR="00F95AF6" w:rsidRPr="001C28F5" w:rsidRDefault="00F95AF6" w:rsidP="009746A6">
            <w:pPr>
              <w:pStyle w:val="Tablebodytext"/>
              <w:keepNext w:val="0"/>
              <w:keepLines w:val="0"/>
              <w:rPr>
                <w:lang w:eastAsia="en-AU"/>
              </w:rPr>
            </w:pPr>
          </w:p>
        </w:tc>
        <w:tc>
          <w:tcPr>
            <w:tcW w:w="992" w:type="dxa"/>
          </w:tcPr>
          <w:p w14:paraId="1B0F3C70"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328E62B0" w14:textId="77777777" w:rsidR="00F95AF6" w:rsidRPr="001C28F5" w:rsidRDefault="00F95AF6" w:rsidP="009746A6">
            <w:pPr>
              <w:pStyle w:val="Tablebodytext"/>
              <w:keepNext w:val="0"/>
              <w:keepLines w:val="0"/>
              <w:rPr>
                <w:lang w:eastAsia="en-AU"/>
              </w:rPr>
            </w:pPr>
            <w:r w:rsidRPr="001C28F5">
              <w:rPr>
                <w:lang w:eastAsia="en-AU"/>
              </w:rPr>
              <w:t>Performance data - Weekly</w:t>
            </w:r>
          </w:p>
        </w:tc>
        <w:tc>
          <w:tcPr>
            <w:tcW w:w="966" w:type="dxa"/>
          </w:tcPr>
          <w:p w14:paraId="1B6CD727"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3986A525" w14:textId="77777777" w:rsidR="00F95AF6" w:rsidRPr="001C28F5" w:rsidRDefault="00F95AF6" w:rsidP="009746A6">
            <w:pPr>
              <w:pStyle w:val="Tablebodytext"/>
              <w:keepNext w:val="0"/>
              <w:keepLines w:val="0"/>
              <w:rPr>
                <w:lang w:eastAsia="en-AU"/>
              </w:rPr>
            </w:pPr>
          </w:p>
        </w:tc>
        <w:tc>
          <w:tcPr>
            <w:tcW w:w="995" w:type="dxa"/>
            <w:vMerge/>
          </w:tcPr>
          <w:p w14:paraId="7D7A5C32" w14:textId="77777777" w:rsidR="00F95AF6" w:rsidRPr="001C28F5" w:rsidRDefault="00F95AF6" w:rsidP="009746A6">
            <w:pPr>
              <w:pStyle w:val="Tablebodytext"/>
              <w:keepNext w:val="0"/>
              <w:keepLines w:val="0"/>
              <w:rPr>
                <w:lang w:eastAsia="en-AU"/>
              </w:rPr>
            </w:pPr>
          </w:p>
        </w:tc>
      </w:tr>
      <w:tr w:rsidR="00F95AF6" w:rsidRPr="001C28F5" w14:paraId="6BA99CB7" w14:textId="77777777" w:rsidTr="001371EB">
        <w:trPr>
          <w:trHeight w:val="320"/>
        </w:trPr>
        <w:tc>
          <w:tcPr>
            <w:tcW w:w="2037" w:type="dxa"/>
            <w:vMerge/>
          </w:tcPr>
          <w:p w14:paraId="7C0820D7" w14:textId="77777777" w:rsidR="00F95AF6" w:rsidRPr="001C28F5" w:rsidRDefault="00F95AF6" w:rsidP="009746A6">
            <w:pPr>
              <w:pStyle w:val="Tablebodytext"/>
              <w:keepNext w:val="0"/>
              <w:keepLines w:val="0"/>
              <w:rPr>
                <w:lang w:eastAsia="en-AU"/>
              </w:rPr>
            </w:pPr>
          </w:p>
        </w:tc>
        <w:tc>
          <w:tcPr>
            <w:tcW w:w="1082" w:type="dxa"/>
            <w:vMerge/>
          </w:tcPr>
          <w:p w14:paraId="5EE0CAE5" w14:textId="77777777" w:rsidR="00F95AF6" w:rsidRPr="001C28F5" w:rsidRDefault="00F95AF6" w:rsidP="009746A6">
            <w:pPr>
              <w:pStyle w:val="Tablebodytext"/>
              <w:keepNext w:val="0"/>
              <w:keepLines w:val="0"/>
              <w:rPr>
                <w:lang w:eastAsia="en-AU"/>
              </w:rPr>
            </w:pPr>
          </w:p>
        </w:tc>
        <w:tc>
          <w:tcPr>
            <w:tcW w:w="992" w:type="dxa"/>
          </w:tcPr>
          <w:p w14:paraId="70D49785"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26C5AB79" w14:textId="77777777" w:rsidR="00F95AF6" w:rsidRPr="001C28F5" w:rsidRDefault="00F95AF6" w:rsidP="009746A6">
            <w:pPr>
              <w:pStyle w:val="Tablebodytext"/>
              <w:keepNext w:val="0"/>
              <w:keepLines w:val="0"/>
              <w:rPr>
                <w:lang w:eastAsia="en-AU"/>
              </w:rPr>
            </w:pPr>
            <w:r w:rsidRPr="001C28F5">
              <w:rPr>
                <w:lang w:eastAsia="en-AU"/>
              </w:rPr>
              <w:t>Performance data - Monthly</w:t>
            </w:r>
          </w:p>
        </w:tc>
        <w:tc>
          <w:tcPr>
            <w:tcW w:w="966" w:type="dxa"/>
          </w:tcPr>
          <w:p w14:paraId="08501900"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03DBD8E4" w14:textId="77777777" w:rsidR="00F95AF6" w:rsidRPr="001C28F5" w:rsidRDefault="00F95AF6" w:rsidP="009746A6">
            <w:pPr>
              <w:pStyle w:val="Tablebodytext"/>
              <w:keepNext w:val="0"/>
              <w:keepLines w:val="0"/>
              <w:rPr>
                <w:lang w:eastAsia="en-AU"/>
              </w:rPr>
            </w:pPr>
          </w:p>
        </w:tc>
        <w:tc>
          <w:tcPr>
            <w:tcW w:w="995" w:type="dxa"/>
            <w:vMerge/>
          </w:tcPr>
          <w:p w14:paraId="241C45AC" w14:textId="77777777" w:rsidR="00F95AF6" w:rsidRPr="001C28F5" w:rsidRDefault="00F95AF6" w:rsidP="009746A6">
            <w:pPr>
              <w:pStyle w:val="Tablebodytext"/>
              <w:keepNext w:val="0"/>
              <w:keepLines w:val="0"/>
              <w:rPr>
                <w:lang w:eastAsia="en-AU"/>
              </w:rPr>
            </w:pPr>
          </w:p>
        </w:tc>
      </w:tr>
      <w:tr w:rsidR="00F95AF6" w:rsidRPr="001C28F5" w14:paraId="5389173F" w14:textId="77777777" w:rsidTr="001371EB">
        <w:trPr>
          <w:trHeight w:val="320"/>
        </w:trPr>
        <w:tc>
          <w:tcPr>
            <w:tcW w:w="2037" w:type="dxa"/>
            <w:vMerge/>
          </w:tcPr>
          <w:p w14:paraId="64EE1263" w14:textId="77777777" w:rsidR="00F95AF6" w:rsidRPr="001C28F5" w:rsidRDefault="00F95AF6" w:rsidP="009746A6">
            <w:pPr>
              <w:pStyle w:val="Tablebodytext"/>
              <w:keepNext w:val="0"/>
              <w:keepLines w:val="0"/>
              <w:rPr>
                <w:lang w:eastAsia="en-AU"/>
              </w:rPr>
            </w:pPr>
          </w:p>
        </w:tc>
        <w:tc>
          <w:tcPr>
            <w:tcW w:w="1082" w:type="dxa"/>
            <w:vMerge/>
          </w:tcPr>
          <w:p w14:paraId="1C444E30" w14:textId="77777777" w:rsidR="00F95AF6" w:rsidRPr="001C28F5" w:rsidRDefault="00F95AF6" w:rsidP="009746A6">
            <w:pPr>
              <w:pStyle w:val="Tablebodytext"/>
              <w:keepNext w:val="0"/>
              <w:keepLines w:val="0"/>
              <w:rPr>
                <w:lang w:eastAsia="en-AU"/>
              </w:rPr>
            </w:pPr>
          </w:p>
        </w:tc>
        <w:tc>
          <w:tcPr>
            <w:tcW w:w="992" w:type="dxa"/>
          </w:tcPr>
          <w:p w14:paraId="03784256"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379587E1" w14:textId="77777777" w:rsidR="00F95AF6" w:rsidRPr="001C28F5" w:rsidRDefault="00F95AF6" w:rsidP="009746A6">
            <w:pPr>
              <w:pStyle w:val="Tablebodytext"/>
              <w:keepNext w:val="0"/>
              <w:keepLines w:val="0"/>
              <w:rPr>
                <w:lang w:eastAsia="en-AU"/>
              </w:rPr>
            </w:pPr>
            <w:r w:rsidRPr="001C28F5">
              <w:rPr>
                <w:lang w:eastAsia="en-AU"/>
              </w:rPr>
              <w:t>Performance data - Quarterly</w:t>
            </w:r>
          </w:p>
        </w:tc>
        <w:tc>
          <w:tcPr>
            <w:tcW w:w="966" w:type="dxa"/>
          </w:tcPr>
          <w:p w14:paraId="7E8A83C6"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2EE363F" w14:textId="77777777" w:rsidR="00F95AF6" w:rsidRPr="001C28F5" w:rsidRDefault="00F95AF6" w:rsidP="009746A6">
            <w:pPr>
              <w:pStyle w:val="Tablebodytext"/>
              <w:keepNext w:val="0"/>
              <w:keepLines w:val="0"/>
              <w:rPr>
                <w:lang w:eastAsia="en-AU"/>
              </w:rPr>
            </w:pPr>
          </w:p>
        </w:tc>
        <w:tc>
          <w:tcPr>
            <w:tcW w:w="995" w:type="dxa"/>
            <w:vMerge/>
          </w:tcPr>
          <w:p w14:paraId="27A3D758" w14:textId="77777777" w:rsidR="00F95AF6" w:rsidRPr="001C28F5" w:rsidRDefault="00F95AF6" w:rsidP="009746A6">
            <w:pPr>
              <w:pStyle w:val="Tablebodytext"/>
              <w:keepNext w:val="0"/>
              <w:keepLines w:val="0"/>
              <w:rPr>
                <w:lang w:eastAsia="en-AU"/>
              </w:rPr>
            </w:pPr>
          </w:p>
        </w:tc>
      </w:tr>
      <w:tr w:rsidR="00F95AF6" w:rsidRPr="001C28F5" w14:paraId="51A21933" w14:textId="77777777" w:rsidTr="001371EB">
        <w:trPr>
          <w:trHeight w:val="320"/>
        </w:trPr>
        <w:tc>
          <w:tcPr>
            <w:tcW w:w="2037" w:type="dxa"/>
            <w:vMerge/>
          </w:tcPr>
          <w:p w14:paraId="4D4DA247" w14:textId="77777777" w:rsidR="00F95AF6" w:rsidRPr="001C28F5" w:rsidRDefault="00F95AF6" w:rsidP="009746A6">
            <w:pPr>
              <w:pStyle w:val="Tablebodytext"/>
              <w:keepNext w:val="0"/>
              <w:keepLines w:val="0"/>
              <w:rPr>
                <w:lang w:eastAsia="en-AU"/>
              </w:rPr>
            </w:pPr>
          </w:p>
        </w:tc>
        <w:tc>
          <w:tcPr>
            <w:tcW w:w="1082" w:type="dxa"/>
            <w:vMerge/>
          </w:tcPr>
          <w:p w14:paraId="36576831" w14:textId="77777777" w:rsidR="00F95AF6" w:rsidRPr="001C28F5" w:rsidRDefault="00F95AF6" w:rsidP="009746A6">
            <w:pPr>
              <w:pStyle w:val="Tablebodytext"/>
              <w:keepNext w:val="0"/>
              <w:keepLines w:val="0"/>
              <w:rPr>
                <w:lang w:eastAsia="en-AU"/>
              </w:rPr>
            </w:pPr>
          </w:p>
        </w:tc>
        <w:tc>
          <w:tcPr>
            <w:tcW w:w="992" w:type="dxa"/>
          </w:tcPr>
          <w:p w14:paraId="5244F6F1"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3AC25EE8" w14:textId="77777777" w:rsidR="00F95AF6" w:rsidRPr="001C28F5" w:rsidRDefault="00F95AF6" w:rsidP="009746A6">
            <w:pPr>
              <w:pStyle w:val="Tablebodytext"/>
              <w:keepNext w:val="0"/>
              <w:keepLines w:val="0"/>
              <w:rPr>
                <w:lang w:eastAsia="en-AU"/>
              </w:rPr>
            </w:pPr>
            <w:r w:rsidRPr="001C28F5">
              <w:rPr>
                <w:lang w:eastAsia="en-AU"/>
              </w:rPr>
              <w:t>Performance data - Annually</w:t>
            </w:r>
          </w:p>
        </w:tc>
        <w:tc>
          <w:tcPr>
            <w:tcW w:w="966" w:type="dxa"/>
          </w:tcPr>
          <w:p w14:paraId="4DBFBE93"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4FFEF481" w14:textId="77777777" w:rsidR="00F95AF6" w:rsidRPr="001C28F5" w:rsidRDefault="00F95AF6" w:rsidP="009746A6">
            <w:pPr>
              <w:pStyle w:val="Tablebodytext"/>
              <w:keepNext w:val="0"/>
              <w:keepLines w:val="0"/>
              <w:rPr>
                <w:lang w:eastAsia="en-AU"/>
              </w:rPr>
            </w:pPr>
          </w:p>
        </w:tc>
        <w:tc>
          <w:tcPr>
            <w:tcW w:w="995" w:type="dxa"/>
            <w:vMerge/>
          </w:tcPr>
          <w:p w14:paraId="02F6D04F" w14:textId="77777777" w:rsidR="00F95AF6" w:rsidRPr="001C28F5" w:rsidRDefault="00F95AF6" w:rsidP="009746A6">
            <w:pPr>
              <w:pStyle w:val="Tablebodytext"/>
              <w:keepNext w:val="0"/>
              <w:keepLines w:val="0"/>
              <w:rPr>
                <w:lang w:eastAsia="en-AU"/>
              </w:rPr>
            </w:pPr>
          </w:p>
        </w:tc>
      </w:tr>
      <w:tr w:rsidR="00F95AF6" w:rsidRPr="001C28F5" w14:paraId="74E5D6A4" w14:textId="77777777" w:rsidTr="001371EB">
        <w:trPr>
          <w:trHeight w:val="320"/>
        </w:trPr>
        <w:tc>
          <w:tcPr>
            <w:tcW w:w="2037" w:type="dxa"/>
            <w:vMerge/>
          </w:tcPr>
          <w:p w14:paraId="52ADA3B4" w14:textId="77777777" w:rsidR="00F95AF6" w:rsidRPr="001C28F5" w:rsidRDefault="00F95AF6" w:rsidP="009746A6">
            <w:pPr>
              <w:pStyle w:val="Tablebodytext"/>
              <w:keepNext w:val="0"/>
              <w:keepLines w:val="0"/>
              <w:rPr>
                <w:lang w:eastAsia="en-AU"/>
              </w:rPr>
            </w:pPr>
          </w:p>
        </w:tc>
        <w:tc>
          <w:tcPr>
            <w:tcW w:w="1082" w:type="dxa"/>
            <w:vMerge/>
          </w:tcPr>
          <w:p w14:paraId="6A6E09A1" w14:textId="77777777" w:rsidR="00F95AF6" w:rsidRPr="001C28F5" w:rsidRDefault="00F95AF6" w:rsidP="009746A6">
            <w:pPr>
              <w:pStyle w:val="Tablebodytext"/>
              <w:keepNext w:val="0"/>
              <w:keepLines w:val="0"/>
              <w:rPr>
                <w:lang w:eastAsia="en-AU"/>
              </w:rPr>
            </w:pPr>
          </w:p>
        </w:tc>
        <w:tc>
          <w:tcPr>
            <w:tcW w:w="992" w:type="dxa"/>
          </w:tcPr>
          <w:p w14:paraId="1A744C25"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7A99D512" w14:textId="77777777" w:rsidR="00F95AF6" w:rsidRPr="001C28F5" w:rsidRDefault="00F95AF6" w:rsidP="009746A6">
            <w:pPr>
              <w:pStyle w:val="Tablebodytext"/>
              <w:keepNext w:val="0"/>
              <w:keepLines w:val="0"/>
              <w:rPr>
                <w:lang w:eastAsia="en-AU"/>
              </w:rPr>
            </w:pPr>
            <w:r w:rsidRPr="001C28F5">
              <w:rPr>
                <w:lang w:eastAsia="en-AU"/>
              </w:rPr>
              <w:t>Performance data - Ad hoc</w:t>
            </w:r>
          </w:p>
        </w:tc>
        <w:tc>
          <w:tcPr>
            <w:tcW w:w="966" w:type="dxa"/>
          </w:tcPr>
          <w:p w14:paraId="7A900521"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0221AAEB" w14:textId="77777777" w:rsidR="00F95AF6" w:rsidRPr="001C28F5" w:rsidRDefault="00F95AF6" w:rsidP="009746A6">
            <w:pPr>
              <w:pStyle w:val="Tablebodytext"/>
              <w:keepNext w:val="0"/>
              <w:keepLines w:val="0"/>
              <w:rPr>
                <w:lang w:eastAsia="en-AU"/>
              </w:rPr>
            </w:pPr>
          </w:p>
        </w:tc>
        <w:tc>
          <w:tcPr>
            <w:tcW w:w="995" w:type="dxa"/>
            <w:vMerge/>
          </w:tcPr>
          <w:p w14:paraId="60A6AA73" w14:textId="77777777" w:rsidR="00F95AF6" w:rsidRPr="001C28F5" w:rsidRDefault="00F95AF6" w:rsidP="009746A6">
            <w:pPr>
              <w:pStyle w:val="Tablebodytext"/>
              <w:keepNext w:val="0"/>
              <w:keepLines w:val="0"/>
              <w:rPr>
                <w:lang w:eastAsia="en-AU"/>
              </w:rPr>
            </w:pPr>
          </w:p>
        </w:tc>
      </w:tr>
      <w:tr w:rsidR="00F95AF6" w:rsidRPr="001C28F5" w14:paraId="755E6582" w14:textId="77777777" w:rsidTr="001371EB">
        <w:trPr>
          <w:trHeight w:val="260"/>
        </w:trPr>
        <w:tc>
          <w:tcPr>
            <w:tcW w:w="2037" w:type="dxa"/>
            <w:vMerge w:val="restart"/>
          </w:tcPr>
          <w:p w14:paraId="306852C1" w14:textId="77777777" w:rsidR="00F95AF6" w:rsidRPr="001C28F5" w:rsidRDefault="00F95AF6" w:rsidP="009746A6">
            <w:pPr>
              <w:pStyle w:val="Tablebodytext"/>
              <w:keepNext w:val="0"/>
              <w:keepLines w:val="0"/>
              <w:rPr>
                <w:lang w:eastAsia="en-AU"/>
              </w:rPr>
            </w:pPr>
            <w:r w:rsidRPr="001C28F5">
              <w:rPr>
                <w:lang w:eastAsia="en-AU"/>
              </w:rPr>
              <w:t xml:space="preserve">19.2 How frequently were each of the following sources of data used in decision making at this business? </w:t>
            </w:r>
          </w:p>
          <w:p w14:paraId="2D3B95A6" w14:textId="77777777" w:rsidR="00F95AF6" w:rsidRPr="001C28F5" w:rsidRDefault="00F95AF6" w:rsidP="009746A6">
            <w:pPr>
              <w:pStyle w:val="Tablebodytext"/>
              <w:keepNext w:val="0"/>
              <w:keepLines w:val="0"/>
              <w:rPr>
                <w:lang w:eastAsia="en-AU"/>
              </w:rPr>
            </w:pPr>
          </w:p>
        </w:tc>
        <w:tc>
          <w:tcPr>
            <w:tcW w:w="1082" w:type="dxa"/>
            <w:vMerge w:val="restart"/>
          </w:tcPr>
          <w:p w14:paraId="61E8CB7B" w14:textId="77777777" w:rsidR="00F95AF6" w:rsidRPr="0064751A" w:rsidRDefault="00F95AF6" w:rsidP="009746A6">
            <w:pPr>
              <w:pStyle w:val="Tablebodytext"/>
              <w:keepNext w:val="0"/>
              <w:keepLines w:val="0"/>
              <w:rPr>
                <w:lang w:eastAsia="en-AU"/>
              </w:rPr>
            </w:pPr>
            <w:r w:rsidRPr="0064751A">
              <w:rPr>
                <w:lang w:eastAsia="en-AU"/>
              </w:rPr>
              <w:t>List scaled</w:t>
            </w:r>
          </w:p>
          <w:p w14:paraId="3AD32725" w14:textId="77777777" w:rsidR="00F95AF6" w:rsidRPr="001C28F5" w:rsidRDefault="00F95AF6" w:rsidP="009746A6">
            <w:pPr>
              <w:pStyle w:val="Tablebodytext"/>
              <w:keepNext w:val="0"/>
              <w:keepLines w:val="0"/>
              <w:rPr>
                <w:lang w:eastAsia="en-AU"/>
              </w:rPr>
            </w:pPr>
          </w:p>
        </w:tc>
        <w:tc>
          <w:tcPr>
            <w:tcW w:w="992" w:type="dxa"/>
          </w:tcPr>
          <w:p w14:paraId="51917AC6"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551FF0F2" w14:textId="77777777" w:rsidR="00F95AF6" w:rsidRPr="001C28F5" w:rsidRDefault="00F95AF6" w:rsidP="009746A6">
            <w:pPr>
              <w:pStyle w:val="Tablebodytext"/>
              <w:keepNext w:val="0"/>
              <w:keepLines w:val="0"/>
              <w:rPr>
                <w:lang w:eastAsia="en-AU"/>
              </w:rPr>
            </w:pPr>
            <w:r w:rsidRPr="001C28F5">
              <w:rPr>
                <w:lang w:eastAsia="en-AU"/>
              </w:rPr>
              <w:t>Feedback from managers - Not at all</w:t>
            </w:r>
          </w:p>
        </w:tc>
        <w:tc>
          <w:tcPr>
            <w:tcW w:w="966" w:type="dxa"/>
          </w:tcPr>
          <w:p w14:paraId="456B46C9"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3F8762D0"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47E69E94" w14:textId="77777777" w:rsidR="00F95AF6" w:rsidRPr="001C28F5" w:rsidRDefault="00F95AF6" w:rsidP="009746A6">
            <w:pPr>
              <w:pStyle w:val="Tablebodytext"/>
              <w:keepNext w:val="0"/>
              <w:keepLines w:val="0"/>
              <w:rPr>
                <w:lang w:eastAsia="en-AU"/>
              </w:rPr>
            </w:pPr>
            <w:r w:rsidRPr="001C28F5">
              <w:rPr>
                <w:lang w:eastAsia="en-AU"/>
              </w:rPr>
              <w:t>0.651</w:t>
            </w:r>
          </w:p>
        </w:tc>
      </w:tr>
      <w:tr w:rsidR="00F95AF6" w:rsidRPr="001C28F5" w14:paraId="0705B7CA" w14:textId="77777777" w:rsidTr="001371EB">
        <w:trPr>
          <w:trHeight w:val="320"/>
        </w:trPr>
        <w:tc>
          <w:tcPr>
            <w:tcW w:w="2037" w:type="dxa"/>
            <w:vMerge/>
          </w:tcPr>
          <w:p w14:paraId="416932F3" w14:textId="77777777" w:rsidR="00F95AF6" w:rsidRPr="001C28F5" w:rsidRDefault="00F95AF6" w:rsidP="009746A6">
            <w:pPr>
              <w:pStyle w:val="Tablebodytext"/>
              <w:keepNext w:val="0"/>
              <w:keepLines w:val="0"/>
              <w:rPr>
                <w:lang w:eastAsia="en-AU"/>
              </w:rPr>
            </w:pPr>
          </w:p>
        </w:tc>
        <w:tc>
          <w:tcPr>
            <w:tcW w:w="1082" w:type="dxa"/>
            <w:vMerge/>
          </w:tcPr>
          <w:p w14:paraId="7BD45E87" w14:textId="77777777" w:rsidR="00F95AF6" w:rsidRPr="001C28F5" w:rsidRDefault="00F95AF6" w:rsidP="009746A6">
            <w:pPr>
              <w:pStyle w:val="Tablebodytext"/>
              <w:keepNext w:val="0"/>
              <w:keepLines w:val="0"/>
              <w:rPr>
                <w:lang w:eastAsia="en-AU"/>
              </w:rPr>
            </w:pPr>
          </w:p>
        </w:tc>
        <w:tc>
          <w:tcPr>
            <w:tcW w:w="992" w:type="dxa"/>
          </w:tcPr>
          <w:p w14:paraId="1D3B6179"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0A171F53" w14:textId="77777777" w:rsidR="00F95AF6" w:rsidRPr="001C28F5" w:rsidRDefault="00F95AF6" w:rsidP="009746A6">
            <w:pPr>
              <w:pStyle w:val="Tablebodytext"/>
              <w:keepNext w:val="0"/>
              <w:keepLines w:val="0"/>
              <w:rPr>
                <w:lang w:eastAsia="en-AU"/>
              </w:rPr>
            </w:pPr>
            <w:r w:rsidRPr="001C28F5">
              <w:rPr>
                <w:lang w:eastAsia="en-AU"/>
              </w:rPr>
              <w:t>Feedback from managers - Daily</w:t>
            </w:r>
          </w:p>
        </w:tc>
        <w:tc>
          <w:tcPr>
            <w:tcW w:w="966" w:type="dxa"/>
          </w:tcPr>
          <w:p w14:paraId="341967C1"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4DAE1E38" w14:textId="77777777" w:rsidR="00F95AF6" w:rsidRPr="001C28F5" w:rsidRDefault="00F95AF6" w:rsidP="009746A6">
            <w:pPr>
              <w:pStyle w:val="Tablebodytext"/>
              <w:keepNext w:val="0"/>
              <w:keepLines w:val="0"/>
              <w:rPr>
                <w:lang w:eastAsia="en-AU"/>
              </w:rPr>
            </w:pPr>
          </w:p>
        </w:tc>
        <w:tc>
          <w:tcPr>
            <w:tcW w:w="995" w:type="dxa"/>
            <w:vMerge/>
          </w:tcPr>
          <w:p w14:paraId="2BCA32A5" w14:textId="77777777" w:rsidR="00F95AF6" w:rsidRPr="001C28F5" w:rsidRDefault="00F95AF6" w:rsidP="009746A6">
            <w:pPr>
              <w:pStyle w:val="Tablebodytext"/>
              <w:keepNext w:val="0"/>
              <w:keepLines w:val="0"/>
              <w:rPr>
                <w:lang w:eastAsia="en-AU"/>
              </w:rPr>
            </w:pPr>
          </w:p>
        </w:tc>
      </w:tr>
      <w:tr w:rsidR="00F95AF6" w:rsidRPr="001C28F5" w14:paraId="5DEC2E67" w14:textId="77777777" w:rsidTr="001371EB">
        <w:trPr>
          <w:trHeight w:val="320"/>
        </w:trPr>
        <w:tc>
          <w:tcPr>
            <w:tcW w:w="2037" w:type="dxa"/>
            <w:vMerge/>
          </w:tcPr>
          <w:p w14:paraId="01687DAE" w14:textId="77777777" w:rsidR="00F95AF6" w:rsidRPr="001C28F5" w:rsidRDefault="00F95AF6" w:rsidP="009746A6">
            <w:pPr>
              <w:pStyle w:val="Tablebodytext"/>
              <w:keepNext w:val="0"/>
              <w:keepLines w:val="0"/>
              <w:rPr>
                <w:lang w:eastAsia="en-AU"/>
              </w:rPr>
            </w:pPr>
          </w:p>
        </w:tc>
        <w:tc>
          <w:tcPr>
            <w:tcW w:w="1082" w:type="dxa"/>
            <w:vMerge/>
          </w:tcPr>
          <w:p w14:paraId="20AA1FA7" w14:textId="77777777" w:rsidR="00F95AF6" w:rsidRPr="001C28F5" w:rsidRDefault="00F95AF6" w:rsidP="009746A6">
            <w:pPr>
              <w:pStyle w:val="Tablebodytext"/>
              <w:keepNext w:val="0"/>
              <w:keepLines w:val="0"/>
              <w:rPr>
                <w:lang w:eastAsia="en-AU"/>
              </w:rPr>
            </w:pPr>
          </w:p>
        </w:tc>
        <w:tc>
          <w:tcPr>
            <w:tcW w:w="992" w:type="dxa"/>
          </w:tcPr>
          <w:p w14:paraId="398D2049"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761C74F5" w14:textId="77777777" w:rsidR="00F95AF6" w:rsidRPr="001C28F5" w:rsidRDefault="00F95AF6" w:rsidP="009746A6">
            <w:pPr>
              <w:pStyle w:val="Tablebodytext"/>
              <w:keepNext w:val="0"/>
              <w:keepLines w:val="0"/>
              <w:rPr>
                <w:lang w:eastAsia="en-AU"/>
              </w:rPr>
            </w:pPr>
            <w:r w:rsidRPr="001C28F5">
              <w:rPr>
                <w:lang w:eastAsia="en-AU"/>
              </w:rPr>
              <w:t>Feedback from managers - Weekly</w:t>
            </w:r>
          </w:p>
        </w:tc>
        <w:tc>
          <w:tcPr>
            <w:tcW w:w="966" w:type="dxa"/>
          </w:tcPr>
          <w:p w14:paraId="3CBFDAD5"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73AF2B9" w14:textId="77777777" w:rsidR="00F95AF6" w:rsidRPr="001C28F5" w:rsidRDefault="00F95AF6" w:rsidP="009746A6">
            <w:pPr>
              <w:pStyle w:val="Tablebodytext"/>
              <w:keepNext w:val="0"/>
              <w:keepLines w:val="0"/>
              <w:rPr>
                <w:lang w:eastAsia="en-AU"/>
              </w:rPr>
            </w:pPr>
          </w:p>
        </w:tc>
        <w:tc>
          <w:tcPr>
            <w:tcW w:w="995" w:type="dxa"/>
            <w:vMerge/>
          </w:tcPr>
          <w:p w14:paraId="1B7E78C7" w14:textId="77777777" w:rsidR="00F95AF6" w:rsidRPr="001C28F5" w:rsidRDefault="00F95AF6" w:rsidP="009746A6">
            <w:pPr>
              <w:pStyle w:val="Tablebodytext"/>
              <w:keepNext w:val="0"/>
              <w:keepLines w:val="0"/>
              <w:rPr>
                <w:lang w:eastAsia="en-AU"/>
              </w:rPr>
            </w:pPr>
          </w:p>
        </w:tc>
      </w:tr>
      <w:tr w:rsidR="00F95AF6" w:rsidRPr="001C28F5" w14:paraId="0DB3FC71" w14:textId="77777777" w:rsidTr="001371EB">
        <w:trPr>
          <w:trHeight w:val="320"/>
        </w:trPr>
        <w:tc>
          <w:tcPr>
            <w:tcW w:w="2037" w:type="dxa"/>
            <w:vMerge/>
          </w:tcPr>
          <w:p w14:paraId="48BD0387" w14:textId="77777777" w:rsidR="00F95AF6" w:rsidRPr="001C28F5" w:rsidRDefault="00F95AF6" w:rsidP="009746A6">
            <w:pPr>
              <w:pStyle w:val="Tablebodytext"/>
              <w:keepNext w:val="0"/>
              <w:keepLines w:val="0"/>
              <w:rPr>
                <w:lang w:eastAsia="en-AU"/>
              </w:rPr>
            </w:pPr>
          </w:p>
        </w:tc>
        <w:tc>
          <w:tcPr>
            <w:tcW w:w="1082" w:type="dxa"/>
            <w:vMerge/>
          </w:tcPr>
          <w:p w14:paraId="163D3148" w14:textId="77777777" w:rsidR="00F95AF6" w:rsidRPr="001C28F5" w:rsidRDefault="00F95AF6" w:rsidP="009746A6">
            <w:pPr>
              <w:pStyle w:val="Tablebodytext"/>
              <w:keepNext w:val="0"/>
              <w:keepLines w:val="0"/>
              <w:rPr>
                <w:lang w:eastAsia="en-AU"/>
              </w:rPr>
            </w:pPr>
          </w:p>
        </w:tc>
        <w:tc>
          <w:tcPr>
            <w:tcW w:w="992" w:type="dxa"/>
          </w:tcPr>
          <w:p w14:paraId="44984576"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20ADA373" w14:textId="77777777" w:rsidR="00F95AF6" w:rsidRPr="001C28F5" w:rsidRDefault="00F95AF6" w:rsidP="009746A6">
            <w:pPr>
              <w:pStyle w:val="Tablebodytext"/>
              <w:keepNext w:val="0"/>
              <w:keepLines w:val="0"/>
              <w:rPr>
                <w:lang w:eastAsia="en-AU"/>
              </w:rPr>
            </w:pPr>
            <w:r w:rsidRPr="001C28F5">
              <w:rPr>
                <w:lang w:eastAsia="en-AU"/>
              </w:rPr>
              <w:t>Feedback from managers - Monthly</w:t>
            </w:r>
          </w:p>
        </w:tc>
        <w:tc>
          <w:tcPr>
            <w:tcW w:w="966" w:type="dxa"/>
          </w:tcPr>
          <w:p w14:paraId="4064359D"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5F69A2C6" w14:textId="77777777" w:rsidR="00F95AF6" w:rsidRPr="001C28F5" w:rsidRDefault="00F95AF6" w:rsidP="009746A6">
            <w:pPr>
              <w:pStyle w:val="Tablebodytext"/>
              <w:keepNext w:val="0"/>
              <w:keepLines w:val="0"/>
              <w:rPr>
                <w:lang w:eastAsia="en-AU"/>
              </w:rPr>
            </w:pPr>
          </w:p>
        </w:tc>
        <w:tc>
          <w:tcPr>
            <w:tcW w:w="995" w:type="dxa"/>
            <w:vMerge/>
          </w:tcPr>
          <w:p w14:paraId="72965E7E" w14:textId="77777777" w:rsidR="00F95AF6" w:rsidRPr="001C28F5" w:rsidRDefault="00F95AF6" w:rsidP="009746A6">
            <w:pPr>
              <w:pStyle w:val="Tablebodytext"/>
              <w:keepNext w:val="0"/>
              <w:keepLines w:val="0"/>
              <w:rPr>
                <w:lang w:eastAsia="en-AU"/>
              </w:rPr>
            </w:pPr>
          </w:p>
        </w:tc>
      </w:tr>
      <w:tr w:rsidR="00F95AF6" w:rsidRPr="001C28F5" w14:paraId="1DFE67F0" w14:textId="77777777" w:rsidTr="001371EB">
        <w:trPr>
          <w:trHeight w:val="320"/>
        </w:trPr>
        <w:tc>
          <w:tcPr>
            <w:tcW w:w="2037" w:type="dxa"/>
            <w:vMerge/>
          </w:tcPr>
          <w:p w14:paraId="4CE8277C" w14:textId="77777777" w:rsidR="00F95AF6" w:rsidRPr="001C28F5" w:rsidRDefault="00F95AF6" w:rsidP="009746A6">
            <w:pPr>
              <w:pStyle w:val="Tablebodytext"/>
              <w:keepNext w:val="0"/>
              <w:keepLines w:val="0"/>
              <w:rPr>
                <w:lang w:eastAsia="en-AU"/>
              </w:rPr>
            </w:pPr>
          </w:p>
        </w:tc>
        <w:tc>
          <w:tcPr>
            <w:tcW w:w="1082" w:type="dxa"/>
            <w:vMerge/>
          </w:tcPr>
          <w:p w14:paraId="013F8EE0" w14:textId="77777777" w:rsidR="00F95AF6" w:rsidRPr="001C28F5" w:rsidRDefault="00F95AF6" w:rsidP="009746A6">
            <w:pPr>
              <w:pStyle w:val="Tablebodytext"/>
              <w:keepNext w:val="0"/>
              <w:keepLines w:val="0"/>
              <w:rPr>
                <w:lang w:eastAsia="en-AU"/>
              </w:rPr>
            </w:pPr>
          </w:p>
        </w:tc>
        <w:tc>
          <w:tcPr>
            <w:tcW w:w="992" w:type="dxa"/>
          </w:tcPr>
          <w:p w14:paraId="7E58DE25"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324F292E" w14:textId="77777777" w:rsidR="00F95AF6" w:rsidRPr="001C28F5" w:rsidRDefault="00F95AF6" w:rsidP="009746A6">
            <w:pPr>
              <w:pStyle w:val="Tablebodytext"/>
              <w:keepNext w:val="0"/>
              <w:keepLines w:val="0"/>
              <w:rPr>
                <w:lang w:eastAsia="en-AU"/>
              </w:rPr>
            </w:pPr>
            <w:r w:rsidRPr="001C28F5">
              <w:rPr>
                <w:lang w:eastAsia="en-AU"/>
              </w:rPr>
              <w:t>Feedback from managers - Quarterly</w:t>
            </w:r>
          </w:p>
        </w:tc>
        <w:tc>
          <w:tcPr>
            <w:tcW w:w="966" w:type="dxa"/>
          </w:tcPr>
          <w:p w14:paraId="21EB92C5"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656A46DD" w14:textId="77777777" w:rsidR="00F95AF6" w:rsidRPr="001C28F5" w:rsidRDefault="00F95AF6" w:rsidP="009746A6">
            <w:pPr>
              <w:pStyle w:val="Tablebodytext"/>
              <w:keepNext w:val="0"/>
              <w:keepLines w:val="0"/>
              <w:rPr>
                <w:lang w:eastAsia="en-AU"/>
              </w:rPr>
            </w:pPr>
          </w:p>
        </w:tc>
        <w:tc>
          <w:tcPr>
            <w:tcW w:w="995" w:type="dxa"/>
            <w:vMerge/>
          </w:tcPr>
          <w:p w14:paraId="392D6813" w14:textId="77777777" w:rsidR="00F95AF6" w:rsidRPr="001C28F5" w:rsidRDefault="00F95AF6" w:rsidP="009746A6">
            <w:pPr>
              <w:pStyle w:val="Tablebodytext"/>
              <w:keepNext w:val="0"/>
              <w:keepLines w:val="0"/>
              <w:rPr>
                <w:lang w:eastAsia="en-AU"/>
              </w:rPr>
            </w:pPr>
          </w:p>
        </w:tc>
      </w:tr>
      <w:tr w:rsidR="00F95AF6" w:rsidRPr="001C28F5" w14:paraId="543FCE08" w14:textId="77777777" w:rsidTr="001371EB">
        <w:trPr>
          <w:trHeight w:val="320"/>
        </w:trPr>
        <w:tc>
          <w:tcPr>
            <w:tcW w:w="2037" w:type="dxa"/>
            <w:vMerge/>
          </w:tcPr>
          <w:p w14:paraId="43E61D28" w14:textId="77777777" w:rsidR="00F95AF6" w:rsidRPr="001C28F5" w:rsidRDefault="00F95AF6" w:rsidP="009746A6">
            <w:pPr>
              <w:pStyle w:val="Tablebodytext"/>
              <w:keepNext w:val="0"/>
              <w:keepLines w:val="0"/>
              <w:rPr>
                <w:lang w:eastAsia="en-AU"/>
              </w:rPr>
            </w:pPr>
          </w:p>
        </w:tc>
        <w:tc>
          <w:tcPr>
            <w:tcW w:w="1082" w:type="dxa"/>
            <w:vMerge/>
          </w:tcPr>
          <w:p w14:paraId="6DF95F7F" w14:textId="77777777" w:rsidR="00F95AF6" w:rsidRPr="001C28F5" w:rsidRDefault="00F95AF6" w:rsidP="009746A6">
            <w:pPr>
              <w:pStyle w:val="Tablebodytext"/>
              <w:keepNext w:val="0"/>
              <w:keepLines w:val="0"/>
              <w:rPr>
                <w:lang w:eastAsia="en-AU"/>
              </w:rPr>
            </w:pPr>
          </w:p>
        </w:tc>
        <w:tc>
          <w:tcPr>
            <w:tcW w:w="992" w:type="dxa"/>
          </w:tcPr>
          <w:p w14:paraId="12D16E6B"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0785CC47" w14:textId="77777777" w:rsidR="00F95AF6" w:rsidRPr="001C28F5" w:rsidRDefault="00F95AF6" w:rsidP="009746A6">
            <w:pPr>
              <w:pStyle w:val="Tablebodytext"/>
              <w:keepNext w:val="0"/>
              <w:keepLines w:val="0"/>
              <w:rPr>
                <w:lang w:eastAsia="en-AU"/>
              </w:rPr>
            </w:pPr>
            <w:r w:rsidRPr="001C28F5">
              <w:rPr>
                <w:lang w:eastAsia="en-AU"/>
              </w:rPr>
              <w:t>Feedback from managers - Annually</w:t>
            </w:r>
          </w:p>
        </w:tc>
        <w:tc>
          <w:tcPr>
            <w:tcW w:w="966" w:type="dxa"/>
          </w:tcPr>
          <w:p w14:paraId="32FA6542"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4B0B67EC" w14:textId="77777777" w:rsidR="00F95AF6" w:rsidRPr="001C28F5" w:rsidRDefault="00F95AF6" w:rsidP="009746A6">
            <w:pPr>
              <w:pStyle w:val="Tablebodytext"/>
              <w:keepNext w:val="0"/>
              <w:keepLines w:val="0"/>
              <w:rPr>
                <w:lang w:eastAsia="en-AU"/>
              </w:rPr>
            </w:pPr>
          </w:p>
        </w:tc>
        <w:tc>
          <w:tcPr>
            <w:tcW w:w="995" w:type="dxa"/>
            <w:vMerge/>
          </w:tcPr>
          <w:p w14:paraId="0F9EA580" w14:textId="77777777" w:rsidR="00F95AF6" w:rsidRPr="001C28F5" w:rsidRDefault="00F95AF6" w:rsidP="009746A6">
            <w:pPr>
              <w:pStyle w:val="Tablebodytext"/>
              <w:keepNext w:val="0"/>
              <w:keepLines w:val="0"/>
              <w:rPr>
                <w:lang w:eastAsia="en-AU"/>
              </w:rPr>
            </w:pPr>
          </w:p>
        </w:tc>
      </w:tr>
      <w:tr w:rsidR="00F95AF6" w:rsidRPr="001C28F5" w14:paraId="286CB39B" w14:textId="77777777" w:rsidTr="001371EB">
        <w:trPr>
          <w:trHeight w:val="320"/>
        </w:trPr>
        <w:tc>
          <w:tcPr>
            <w:tcW w:w="2037" w:type="dxa"/>
            <w:vMerge/>
          </w:tcPr>
          <w:p w14:paraId="2ECFDB07" w14:textId="77777777" w:rsidR="00F95AF6" w:rsidRPr="001C28F5" w:rsidRDefault="00F95AF6" w:rsidP="009746A6">
            <w:pPr>
              <w:pStyle w:val="Tablebodytext"/>
              <w:keepNext w:val="0"/>
              <w:keepLines w:val="0"/>
              <w:rPr>
                <w:lang w:eastAsia="en-AU"/>
              </w:rPr>
            </w:pPr>
          </w:p>
        </w:tc>
        <w:tc>
          <w:tcPr>
            <w:tcW w:w="1082" w:type="dxa"/>
            <w:vMerge/>
          </w:tcPr>
          <w:p w14:paraId="77127860" w14:textId="77777777" w:rsidR="00F95AF6" w:rsidRPr="001C28F5" w:rsidRDefault="00F95AF6" w:rsidP="009746A6">
            <w:pPr>
              <w:pStyle w:val="Tablebodytext"/>
              <w:keepNext w:val="0"/>
              <w:keepLines w:val="0"/>
              <w:rPr>
                <w:lang w:eastAsia="en-AU"/>
              </w:rPr>
            </w:pPr>
          </w:p>
        </w:tc>
        <w:tc>
          <w:tcPr>
            <w:tcW w:w="992" w:type="dxa"/>
          </w:tcPr>
          <w:p w14:paraId="1AA0FD1A"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2D1A9C99" w14:textId="77777777" w:rsidR="00F95AF6" w:rsidRPr="001C28F5" w:rsidRDefault="00F95AF6" w:rsidP="009746A6">
            <w:pPr>
              <w:pStyle w:val="Tablebodytext"/>
              <w:keepNext w:val="0"/>
              <w:keepLines w:val="0"/>
              <w:rPr>
                <w:lang w:eastAsia="en-AU"/>
              </w:rPr>
            </w:pPr>
            <w:r w:rsidRPr="001C28F5">
              <w:rPr>
                <w:lang w:eastAsia="en-AU"/>
              </w:rPr>
              <w:t>Feedback from managers - Ad hoc</w:t>
            </w:r>
          </w:p>
        </w:tc>
        <w:tc>
          <w:tcPr>
            <w:tcW w:w="966" w:type="dxa"/>
          </w:tcPr>
          <w:p w14:paraId="70F65E5D"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368F0C3F" w14:textId="77777777" w:rsidR="00F95AF6" w:rsidRPr="001C28F5" w:rsidRDefault="00F95AF6" w:rsidP="009746A6">
            <w:pPr>
              <w:pStyle w:val="Tablebodytext"/>
              <w:keepNext w:val="0"/>
              <w:keepLines w:val="0"/>
              <w:rPr>
                <w:lang w:eastAsia="en-AU"/>
              </w:rPr>
            </w:pPr>
          </w:p>
        </w:tc>
        <w:tc>
          <w:tcPr>
            <w:tcW w:w="995" w:type="dxa"/>
            <w:vMerge/>
          </w:tcPr>
          <w:p w14:paraId="28D5AD79" w14:textId="77777777" w:rsidR="00F95AF6" w:rsidRPr="001C28F5" w:rsidRDefault="00F95AF6" w:rsidP="009746A6">
            <w:pPr>
              <w:pStyle w:val="Tablebodytext"/>
              <w:keepNext w:val="0"/>
              <w:keepLines w:val="0"/>
              <w:rPr>
                <w:lang w:eastAsia="en-AU"/>
              </w:rPr>
            </w:pPr>
          </w:p>
        </w:tc>
      </w:tr>
      <w:tr w:rsidR="00F95AF6" w:rsidRPr="001C28F5" w14:paraId="2CAE4A60" w14:textId="77777777" w:rsidTr="001371EB">
        <w:trPr>
          <w:trHeight w:val="260"/>
        </w:trPr>
        <w:tc>
          <w:tcPr>
            <w:tcW w:w="2037" w:type="dxa"/>
            <w:vMerge w:val="restart"/>
          </w:tcPr>
          <w:p w14:paraId="6D330112" w14:textId="77777777" w:rsidR="00F95AF6" w:rsidRPr="001C28F5" w:rsidRDefault="00F95AF6" w:rsidP="009746A6">
            <w:pPr>
              <w:pStyle w:val="Tablebodytext"/>
              <w:keepNext w:val="0"/>
              <w:keepLines w:val="0"/>
              <w:rPr>
                <w:lang w:eastAsia="en-AU"/>
              </w:rPr>
            </w:pPr>
            <w:r w:rsidRPr="001C28F5">
              <w:rPr>
                <w:lang w:eastAsia="en-AU"/>
              </w:rPr>
              <w:t xml:space="preserve">19.3 How frequently were each of the following sources of data used in decision making at this business? </w:t>
            </w:r>
          </w:p>
          <w:p w14:paraId="58BCFF7B" w14:textId="77777777" w:rsidR="00F95AF6" w:rsidRPr="001C28F5" w:rsidRDefault="00F95AF6" w:rsidP="009746A6">
            <w:pPr>
              <w:pStyle w:val="Tablebodytext"/>
              <w:keepNext w:val="0"/>
              <w:keepLines w:val="0"/>
              <w:rPr>
                <w:lang w:eastAsia="en-AU"/>
              </w:rPr>
            </w:pPr>
          </w:p>
        </w:tc>
        <w:tc>
          <w:tcPr>
            <w:tcW w:w="1082" w:type="dxa"/>
            <w:vMerge w:val="restart"/>
          </w:tcPr>
          <w:p w14:paraId="65A1F9E8" w14:textId="77777777" w:rsidR="00F95AF6" w:rsidRPr="0064751A" w:rsidRDefault="00F95AF6" w:rsidP="009746A6">
            <w:pPr>
              <w:pStyle w:val="Tablebodytext"/>
              <w:keepNext w:val="0"/>
              <w:keepLines w:val="0"/>
              <w:rPr>
                <w:lang w:eastAsia="en-AU"/>
              </w:rPr>
            </w:pPr>
            <w:r w:rsidRPr="0064751A">
              <w:rPr>
                <w:lang w:eastAsia="en-AU"/>
              </w:rPr>
              <w:t>List scaled</w:t>
            </w:r>
          </w:p>
          <w:p w14:paraId="11FD2C86" w14:textId="77777777" w:rsidR="00F95AF6" w:rsidRPr="001C28F5" w:rsidRDefault="00F95AF6" w:rsidP="009746A6">
            <w:pPr>
              <w:pStyle w:val="Tablebodytext"/>
              <w:keepNext w:val="0"/>
              <w:keepLines w:val="0"/>
              <w:rPr>
                <w:lang w:eastAsia="en-AU"/>
              </w:rPr>
            </w:pPr>
          </w:p>
        </w:tc>
        <w:tc>
          <w:tcPr>
            <w:tcW w:w="992" w:type="dxa"/>
          </w:tcPr>
          <w:p w14:paraId="38A1D218"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3305AC26" w14:textId="77777777" w:rsidR="00F95AF6" w:rsidRPr="001C28F5" w:rsidRDefault="00F95AF6" w:rsidP="009746A6">
            <w:pPr>
              <w:pStyle w:val="Tablebodytext"/>
              <w:keepNext w:val="0"/>
              <w:keepLines w:val="0"/>
              <w:rPr>
                <w:lang w:eastAsia="en-AU"/>
              </w:rPr>
            </w:pPr>
            <w:r w:rsidRPr="001C28F5">
              <w:rPr>
                <w:lang w:eastAsia="en-AU"/>
              </w:rPr>
              <w:t>Feedback from employees/non-managers - Not at all</w:t>
            </w:r>
          </w:p>
        </w:tc>
        <w:tc>
          <w:tcPr>
            <w:tcW w:w="966" w:type="dxa"/>
          </w:tcPr>
          <w:p w14:paraId="7BAA07F1"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44FF9619"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1C2E0624" w14:textId="77777777" w:rsidR="00F95AF6" w:rsidRPr="001C28F5" w:rsidRDefault="00F95AF6" w:rsidP="009746A6">
            <w:pPr>
              <w:pStyle w:val="Tablebodytext"/>
              <w:keepNext w:val="0"/>
              <w:keepLines w:val="0"/>
              <w:rPr>
                <w:lang w:eastAsia="en-AU"/>
              </w:rPr>
            </w:pPr>
            <w:r w:rsidRPr="001C28F5">
              <w:rPr>
                <w:lang w:eastAsia="en-AU"/>
              </w:rPr>
              <w:t>0.636</w:t>
            </w:r>
          </w:p>
        </w:tc>
      </w:tr>
      <w:tr w:rsidR="00F95AF6" w:rsidRPr="001C28F5" w14:paraId="0A3A6692" w14:textId="77777777" w:rsidTr="001371EB">
        <w:trPr>
          <w:trHeight w:val="320"/>
        </w:trPr>
        <w:tc>
          <w:tcPr>
            <w:tcW w:w="2037" w:type="dxa"/>
            <w:vMerge/>
          </w:tcPr>
          <w:p w14:paraId="356820AA" w14:textId="77777777" w:rsidR="00F95AF6" w:rsidRPr="001C28F5" w:rsidRDefault="00F95AF6" w:rsidP="009746A6">
            <w:pPr>
              <w:pStyle w:val="Tablebodytext"/>
              <w:keepNext w:val="0"/>
              <w:keepLines w:val="0"/>
              <w:rPr>
                <w:lang w:eastAsia="en-AU"/>
              </w:rPr>
            </w:pPr>
          </w:p>
        </w:tc>
        <w:tc>
          <w:tcPr>
            <w:tcW w:w="1082" w:type="dxa"/>
            <w:vMerge/>
          </w:tcPr>
          <w:p w14:paraId="76B9E0C9" w14:textId="77777777" w:rsidR="00F95AF6" w:rsidRPr="001C28F5" w:rsidRDefault="00F95AF6" w:rsidP="009746A6">
            <w:pPr>
              <w:pStyle w:val="Tablebodytext"/>
              <w:keepNext w:val="0"/>
              <w:keepLines w:val="0"/>
              <w:rPr>
                <w:lang w:eastAsia="en-AU"/>
              </w:rPr>
            </w:pPr>
          </w:p>
        </w:tc>
        <w:tc>
          <w:tcPr>
            <w:tcW w:w="992" w:type="dxa"/>
          </w:tcPr>
          <w:p w14:paraId="53F186B7"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73C9F285" w14:textId="77777777" w:rsidR="00F95AF6" w:rsidRPr="001C28F5" w:rsidRDefault="00F95AF6" w:rsidP="009746A6">
            <w:pPr>
              <w:pStyle w:val="Tablebodytext"/>
              <w:keepNext w:val="0"/>
              <w:keepLines w:val="0"/>
              <w:rPr>
                <w:lang w:eastAsia="en-AU"/>
              </w:rPr>
            </w:pPr>
            <w:r w:rsidRPr="001C28F5">
              <w:rPr>
                <w:lang w:eastAsia="en-AU"/>
              </w:rPr>
              <w:t>Feedback from employees/non-managers - Daily</w:t>
            </w:r>
          </w:p>
        </w:tc>
        <w:tc>
          <w:tcPr>
            <w:tcW w:w="966" w:type="dxa"/>
          </w:tcPr>
          <w:p w14:paraId="2569C291"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6559FE07" w14:textId="77777777" w:rsidR="00F95AF6" w:rsidRPr="001C28F5" w:rsidRDefault="00F95AF6" w:rsidP="009746A6">
            <w:pPr>
              <w:pStyle w:val="Tablebodytext"/>
              <w:keepNext w:val="0"/>
              <w:keepLines w:val="0"/>
              <w:rPr>
                <w:lang w:eastAsia="en-AU"/>
              </w:rPr>
            </w:pPr>
          </w:p>
        </w:tc>
        <w:tc>
          <w:tcPr>
            <w:tcW w:w="995" w:type="dxa"/>
            <w:vMerge/>
          </w:tcPr>
          <w:p w14:paraId="48734C14" w14:textId="77777777" w:rsidR="00F95AF6" w:rsidRPr="001C28F5" w:rsidRDefault="00F95AF6" w:rsidP="009746A6">
            <w:pPr>
              <w:pStyle w:val="Tablebodytext"/>
              <w:keepNext w:val="0"/>
              <w:keepLines w:val="0"/>
              <w:rPr>
                <w:lang w:eastAsia="en-AU"/>
              </w:rPr>
            </w:pPr>
          </w:p>
        </w:tc>
      </w:tr>
      <w:tr w:rsidR="00F95AF6" w:rsidRPr="001C28F5" w14:paraId="0398F0F1" w14:textId="77777777" w:rsidTr="001371EB">
        <w:trPr>
          <w:trHeight w:val="440"/>
        </w:trPr>
        <w:tc>
          <w:tcPr>
            <w:tcW w:w="2037" w:type="dxa"/>
            <w:vMerge/>
          </w:tcPr>
          <w:p w14:paraId="7D7DB791" w14:textId="77777777" w:rsidR="00F95AF6" w:rsidRPr="001C28F5" w:rsidRDefault="00F95AF6" w:rsidP="009746A6">
            <w:pPr>
              <w:pStyle w:val="Tablebodytext"/>
              <w:keepNext w:val="0"/>
              <w:keepLines w:val="0"/>
              <w:rPr>
                <w:lang w:eastAsia="en-AU"/>
              </w:rPr>
            </w:pPr>
          </w:p>
        </w:tc>
        <w:tc>
          <w:tcPr>
            <w:tcW w:w="1082" w:type="dxa"/>
            <w:vMerge/>
          </w:tcPr>
          <w:p w14:paraId="5AF82F48" w14:textId="77777777" w:rsidR="00F95AF6" w:rsidRPr="001C28F5" w:rsidRDefault="00F95AF6" w:rsidP="009746A6">
            <w:pPr>
              <w:pStyle w:val="Tablebodytext"/>
              <w:keepNext w:val="0"/>
              <w:keepLines w:val="0"/>
              <w:rPr>
                <w:lang w:eastAsia="en-AU"/>
              </w:rPr>
            </w:pPr>
          </w:p>
        </w:tc>
        <w:tc>
          <w:tcPr>
            <w:tcW w:w="992" w:type="dxa"/>
          </w:tcPr>
          <w:p w14:paraId="7E3AD5DD"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322B7107" w14:textId="77777777" w:rsidR="00F95AF6" w:rsidRPr="001C28F5" w:rsidRDefault="00F95AF6" w:rsidP="009746A6">
            <w:pPr>
              <w:pStyle w:val="Tablebodytext"/>
              <w:keepNext w:val="0"/>
              <w:keepLines w:val="0"/>
              <w:rPr>
                <w:lang w:eastAsia="en-AU"/>
              </w:rPr>
            </w:pPr>
            <w:r w:rsidRPr="001C28F5">
              <w:rPr>
                <w:lang w:eastAsia="en-AU"/>
              </w:rPr>
              <w:t>Feedback from employees/non-managers - Weekly</w:t>
            </w:r>
          </w:p>
        </w:tc>
        <w:tc>
          <w:tcPr>
            <w:tcW w:w="966" w:type="dxa"/>
          </w:tcPr>
          <w:p w14:paraId="479BE931"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434DD9DD" w14:textId="77777777" w:rsidR="00F95AF6" w:rsidRPr="001C28F5" w:rsidRDefault="00F95AF6" w:rsidP="009746A6">
            <w:pPr>
              <w:pStyle w:val="Tablebodytext"/>
              <w:keepNext w:val="0"/>
              <w:keepLines w:val="0"/>
              <w:rPr>
                <w:lang w:eastAsia="en-AU"/>
              </w:rPr>
            </w:pPr>
          </w:p>
        </w:tc>
        <w:tc>
          <w:tcPr>
            <w:tcW w:w="995" w:type="dxa"/>
            <w:vMerge/>
          </w:tcPr>
          <w:p w14:paraId="1CABBDB1" w14:textId="77777777" w:rsidR="00F95AF6" w:rsidRPr="001C28F5" w:rsidRDefault="00F95AF6" w:rsidP="009746A6">
            <w:pPr>
              <w:pStyle w:val="Tablebodytext"/>
              <w:keepNext w:val="0"/>
              <w:keepLines w:val="0"/>
              <w:rPr>
                <w:lang w:eastAsia="en-AU"/>
              </w:rPr>
            </w:pPr>
          </w:p>
        </w:tc>
      </w:tr>
      <w:tr w:rsidR="00F95AF6" w:rsidRPr="001C28F5" w14:paraId="1D4DF35F" w14:textId="77777777" w:rsidTr="001371EB">
        <w:trPr>
          <w:trHeight w:val="440"/>
        </w:trPr>
        <w:tc>
          <w:tcPr>
            <w:tcW w:w="2037" w:type="dxa"/>
            <w:vMerge/>
          </w:tcPr>
          <w:p w14:paraId="1D600586" w14:textId="77777777" w:rsidR="00F95AF6" w:rsidRPr="001C28F5" w:rsidRDefault="00F95AF6" w:rsidP="009746A6">
            <w:pPr>
              <w:pStyle w:val="Tablebodytext"/>
              <w:keepNext w:val="0"/>
              <w:keepLines w:val="0"/>
              <w:rPr>
                <w:lang w:eastAsia="en-AU"/>
              </w:rPr>
            </w:pPr>
          </w:p>
        </w:tc>
        <w:tc>
          <w:tcPr>
            <w:tcW w:w="1082" w:type="dxa"/>
            <w:vMerge/>
          </w:tcPr>
          <w:p w14:paraId="07C0B376" w14:textId="77777777" w:rsidR="00F95AF6" w:rsidRPr="001C28F5" w:rsidRDefault="00F95AF6" w:rsidP="009746A6">
            <w:pPr>
              <w:pStyle w:val="Tablebodytext"/>
              <w:keepNext w:val="0"/>
              <w:keepLines w:val="0"/>
              <w:rPr>
                <w:lang w:eastAsia="en-AU"/>
              </w:rPr>
            </w:pPr>
          </w:p>
        </w:tc>
        <w:tc>
          <w:tcPr>
            <w:tcW w:w="992" w:type="dxa"/>
          </w:tcPr>
          <w:p w14:paraId="06B157D0"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5C8284E7" w14:textId="77777777" w:rsidR="00F95AF6" w:rsidRPr="001C28F5" w:rsidRDefault="00F95AF6" w:rsidP="009746A6">
            <w:pPr>
              <w:pStyle w:val="Tablebodytext"/>
              <w:keepNext w:val="0"/>
              <w:keepLines w:val="0"/>
              <w:rPr>
                <w:lang w:eastAsia="en-AU"/>
              </w:rPr>
            </w:pPr>
            <w:r w:rsidRPr="001C28F5">
              <w:rPr>
                <w:lang w:eastAsia="en-AU"/>
              </w:rPr>
              <w:t>Feedback from employees/non-managers - Monthly</w:t>
            </w:r>
          </w:p>
        </w:tc>
        <w:tc>
          <w:tcPr>
            <w:tcW w:w="966" w:type="dxa"/>
          </w:tcPr>
          <w:p w14:paraId="1631708E"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01B7BAE0" w14:textId="77777777" w:rsidR="00F95AF6" w:rsidRPr="001C28F5" w:rsidRDefault="00F95AF6" w:rsidP="009746A6">
            <w:pPr>
              <w:pStyle w:val="Tablebodytext"/>
              <w:keepNext w:val="0"/>
              <w:keepLines w:val="0"/>
              <w:rPr>
                <w:lang w:eastAsia="en-AU"/>
              </w:rPr>
            </w:pPr>
          </w:p>
        </w:tc>
        <w:tc>
          <w:tcPr>
            <w:tcW w:w="995" w:type="dxa"/>
            <w:vMerge/>
          </w:tcPr>
          <w:p w14:paraId="0088DB33" w14:textId="77777777" w:rsidR="00F95AF6" w:rsidRPr="001C28F5" w:rsidRDefault="00F95AF6" w:rsidP="009746A6">
            <w:pPr>
              <w:pStyle w:val="Tablebodytext"/>
              <w:keepNext w:val="0"/>
              <w:keepLines w:val="0"/>
              <w:rPr>
                <w:lang w:eastAsia="en-AU"/>
              </w:rPr>
            </w:pPr>
          </w:p>
        </w:tc>
      </w:tr>
      <w:tr w:rsidR="00F95AF6" w:rsidRPr="001C28F5" w14:paraId="180E2817" w14:textId="77777777" w:rsidTr="001371EB">
        <w:trPr>
          <w:trHeight w:val="440"/>
        </w:trPr>
        <w:tc>
          <w:tcPr>
            <w:tcW w:w="2037" w:type="dxa"/>
            <w:vMerge/>
          </w:tcPr>
          <w:p w14:paraId="527E44B1" w14:textId="77777777" w:rsidR="00F95AF6" w:rsidRPr="001C28F5" w:rsidRDefault="00F95AF6" w:rsidP="009746A6">
            <w:pPr>
              <w:pStyle w:val="Tablebodytext"/>
              <w:keepNext w:val="0"/>
              <w:keepLines w:val="0"/>
              <w:rPr>
                <w:lang w:eastAsia="en-AU"/>
              </w:rPr>
            </w:pPr>
          </w:p>
        </w:tc>
        <w:tc>
          <w:tcPr>
            <w:tcW w:w="1082" w:type="dxa"/>
            <w:vMerge/>
          </w:tcPr>
          <w:p w14:paraId="511E2868" w14:textId="77777777" w:rsidR="00F95AF6" w:rsidRPr="001C28F5" w:rsidRDefault="00F95AF6" w:rsidP="009746A6">
            <w:pPr>
              <w:pStyle w:val="Tablebodytext"/>
              <w:keepNext w:val="0"/>
              <w:keepLines w:val="0"/>
              <w:rPr>
                <w:lang w:eastAsia="en-AU"/>
              </w:rPr>
            </w:pPr>
          </w:p>
        </w:tc>
        <w:tc>
          <w:tcPr>
            <w:tcW w:w="992" w:type="dxa"/>
          </w:tcPr>
          <w:p w14:paraId="0D0107BC"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7B9264A0" w14:textId="77777777" w:rsidR="00F95AF6" w:rsidRPr="001C28F5" w:rsidRDefault="00F95AF6" w:rsidP="009746A6">
            <w:pPr>
              <w:pStyle w:val="Tablebodytext"/>
              <w:keepNext w:val="0"/>
              <w:keepLines w:val="0"/>
              <w:rPr>
                <w:lang w:eastAsia="en-AU"/>
              </w:rPr>
            </w:pPr>
            <w:r w:rsidRPr="001C28F5">
              <w:rPr>
                <w:lang w:eastAsia="en-AU"/>
              </w:rPr>
              <w:t>Feedback from employees/non-managers - Quarterly</w:t>
            </w:r>
          </w:p>
        </w:tc>
        <w:tc>
          <w:tcPr>
            <w:tcW w:w="966" w:type="dxa"/>
          </w:tcPr>
          <w:p w14:paraId="3A2B4A35"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9CAA54D" w14:textId="77777777" w:rsidR="00F95AF6" w:rsidRPr="001C28F5" w:rsidRDefault="00F95AF6" w:rsidP="009746A6">
            <w:pPr>
              <w:pStyle w:val="Tablebodytext"/>
              <w:keepNext w:val="0"/>
              <w:keepLines w:val="0"/>
              <w:rPr>
                <w:lang w:eastAsia="en-AU"/>
              </w:rPr>
            </w:pPr>
          </w:p>
        </w:tc>
        <w:tc>
          <w:tcPr>
            <w:tcW w:w="995" w:type="dxa"/>
            <w:vMerge/>
          </w:tcPr>
          <w:p w14:paraId="5E3450D7" w14:textId="77777777" w:rsidR="00F95AF6" w:rsidRPr="001C28F5" w:rsidRDefault="00F95AF6" w:rsidP="009746A6">
            <w:pPr>
              <w:pStyle w:val="Tablebodytext"/>
              <w:keepNext w:val="0"/>
              <w:keepLines w:val="0"/>
              <w:rPr>
                <w:lang w:eastAsia="en-AU"/>
              </w:rPr>
            </w:pPr>
          </w:p>
        </w:tc>
      </w:tr>
      <w:tr w:rsidR="00F95AF6" w:rsidRPr="001C28F5" w14:paraId="1B2295D7" w14:textId="77777777" w:rsidTr="001371EB">
        <w:trPr>
          <w:trHeight w:val="440"/>
        </w:trPr>
        <w:tc>
          <w:tcPr>
            <w:tcW w:w="2037" w:type="dxa"/>
            <w:vMerge/>
          </w:tcPr>
          <w:p w14:paraId="7224C7FA" w14:textId="77777777" w:rsidR="00F95AF6" w:rsidRPr="001C28F5" w:rsidRDefault="00F95AF6" w:rsidP="009746A6">
            <w:pPr>
              <w:pStyle w:val="Tablebodytext"/>
              <w:keepNext w:val="0"/>
              <w:keepLines w:val="0"/>
              <w:rPr>
                <w:lang w:eastAsia="en-AU"/>
              </w:rPr>
            </w:pPr>
          </w:p>
        </w:tc>
        <w:tc>
          <w:tcPr>
            <w:tcW w:w="1082" w:type="dxa"/>
            <w:vMerge/>
          </w:tcPr>
          <w:p w14:paraId="0818C8EB" w14:textId="77777777" w:rsidR="00F95AF6" w:rsidRPr="001C28F5" w:rsidRDefault="00F95AF6" w:rsidP="009746A6">
            <w:pPr>
              <w:pStyle w:val="Tablebodytext"/>
              <w:keepNext w:val="0"/>
              <w:keepLines w:val="0"/>
              <w:rPr>
                <w:lang w:eastAsia="en-AU"/>
              </w:rPr>
            </w:pPr>
          </w:p>
        </w:tc>
        <w:tc>
          <w:tcPr>
            <w:tcW w:w="992" w:type="dxa"/>
          </w:tcPr>
          <w:p w14:paraId="39E0A607"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7A4E3F65" w14:textId="77777777" w:rsidR="00F95AF6" w:rsidRPr="001C28F5" w:rsidRDefault="00F95AF6" w:rsidP="009746A6">
            <w:pPr>
              <w:pStyle w:val="Tablebodytext"/>
              <w:keepNext w:val="0"/>
              <w:keepLines w:val="0"/>
              <w:rPr>
                <w:lang w:eastAsia="en-AU"/>
              </w:rPr>
            </w:pPr>
            <w:r w:rsidRPr="001C28F5">
              <w:rPr>
                <w:lang w:eastAsia="en-AU"/>
              </w:rPr>
              <w:t>Feedback from employees/non-managers - Annually</w:t>
            </w:r>
          </w:p>
        </w:tc>
        <w:tc>
          <w:tcPr>
            <w:tcW w:w="966" w:type="dxa"/>
          </w:tcPr>
          <w:p w14:paraId="26E2F244"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6B74D5D2" w14:textId="77777777" w:rsidR="00F95AF6" w:rsidRPr="001C28F5" w:rsidRDefault="00F95AF6" w:rsidP="009746A6">
            <w:pPr>
              <w:pStyle w:val="Tablebodytext"/>
              <w:keepNext w:val="0"/>
              <w:keepLines w:val="0"/>
              <w:rPr>
                <w:lang w:eastAsia="en-AU"/>
              </w:rPr>
            </w:pPr>
          </w:p>
        </w:tc>
        <w:tc>
          <w:tcPr>
            <w:tcW w:w="995" w:type="dxa"/>
            <w:vMerge/>
          </w:tcPr>
          <w:p w14:paraId="7C3BBF30" w14:textId="77777777" w:rsidR="00F95AF6" w:rsidRPr="001C28F5" w:rsidRDefault="00F95AF6" w:rsidP="009746A6">
            <w:pPr>
              <w:pStyle w:val="Tablebodytext"/>
              <w:keepNext w:val="0"/>
              <w:keepLines w:val="0"/>
              <w:rPr>
                <w:lang w:eastAsia="en-AU"/>
              </w:rPr>
            </w:pPr>
          </w:p>
        </w:tc>
      </w:tr>
      <w:tr w:rsidR="00F95AF6" w:rsidRPr="001C28F5" w14:paraId="0616A942" w14:textId="77777777" w:rsidTr="001371EB">
        <w:trPr>
          <w:trHeight w:val="440"/>
        </w:trPr>
        <w:tc>
          <w:tcPr>
            <w:tcW w:w="2037" w:type="dxa"/>
            <w:vMerge/>
          </w:tcPr>
          <w:p w14:paraId="18DB2742" w14:textId="77777777" w:rsidR="00F95AF6" w:rsidRPr="001C28F5" w:rsidRDefault="00F95AF6" w:rsidP="009746A6">
            <w:pPr>
              <w:pStyle w:val="Tablebodytext"/>
              <w:keepNext w:val="0"/>
              <w:keepLines w:val="0"/>
              <w:rPr>
                <w:lang w:eastAsia="en-AU"/>
              </w:rPr>
            </w:pPr>
          </w:p>
        </w:tc>
        <w:tc>
          <w:tcPr>
            <w:tcW w:w="1082" w:type="dxa"/>
            <w:vMerge/>
          </w:tcPr>
          <w:p w14:paraId="2A7DD3C3" w14:textId="77777777" w:rsidR="00F95AF6" w:rsidRPr="001C28F5" w:rsidRDefault="00F95AF6" w:rsidP="009746A6">
            <w:pPr>
              <w:pStyle w:val="Tablebodytext"/>
              <w:keepNext w:val="0"/>
              <w:keepLines w:val="0"/>
              <w:rPr>
                <w:lang w:eastAsia="en-AU"/>
              </w:rPr>
            </w:pPr>
          </w:p>
        </w:tc>
        <w:tc>
          <w:tcPr>
            <w:tcW w:w="992" w:type="dxa"/>
          </w:tcPr>
          <w:p w14:paraId="3831AFF0"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65376AB1" w14:textId="77777777" w:rsidR="00F95AF6" w:rsidRPr="001C28F5" w:rsidRDefault="00F95AF6" w:rsidP="009746A6">
            <w:pPr>
              <w:pStyle w:val="Tablebodytext"/>
              <w:keepNext w:val="0"/>
              <w:keepLines w:val="0"/>
              <w:rPr>
                <w:lang w:eastAsia="en-AU"/>
              </w:rPr>
            </w:pPr>
            <w:r w:rsidRPr="001C28F5">
              <w:rPr>
                <w:lang w:eastAsia="en-AU"/>
              </w:rPr>
              <w:t>Feedback from employees/non-managers - Ad hoc</w:t>
            </w:r>
          </w:p>
        </w:tc>
        <w:tc>
          <w:tcPr>
            <w:tcW w:w="966" w:type="dxa"/>
          </w:tcPr>
          <w:p w14:paraId="1A0506B5"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4DDF11A3" w14:textId="77777777" w:rsidR="00F95AF6" w:rsidRPr="001C28F5" w:rsidRDefault="00F95AF6" w:rsidP="009746A6">
            <w:pPr>
              <w:pStyle w:val="Tablebodytext"/>
              <w:keepNext w:val="0"/>
              <w:keepLines w:val="0"/>
              <w:rPr>
                <w:lang w:eastAsia="en-AU"/>
              </w:rPr>
            </w:pPr>
          </w:p>
        </w:tc>
        <w:tc>
          <w:tcPr>
            <w:tcW w:w="995" w:type="dxa"/>
            <w:vMerge/>
          </w:tcPr>
          <w:p w14:paraId="01B489CA" w14:textId="77777777" w:rsidR="00F95AF6" w:rsidRPr="001C28F5" w:rsidRDefault="00F95AF6" w:rsidP="009746A6">
            <w:pPr>
              <w:pStyle w:val="Tablebodytext"/>
              <w:keepNext w:val="0"/>
              <w:keepLines w:val="0"/>
              <w:rPr>
                <w:lang w:eastAsia="en-AU"/>
              </w:rPr>
            </w:pPr>
          </w:p>
        </w:tc>
      </w:tr>
      <w:tr w:rsidR="00F95AF6" w:rsidRPr="001C28F5" w14:paraId="30BB3419" w14:textId="77777777" w:rsidTr="001371EB">
        <w:trPr>
          <w:trHeight w:val="380"/>
        </w:trPr>
        <w:tc>
          <w:tcPr>
            <w:tcW w:w="2037" w:type="dxa"/>
            <w:vMerge w:val="restart"/>
          </w:tcPr>
          <w:p w14:paraId="2E67F629" w14:textId="77777777" w:rsidR="00F95AF6" w:rsidRPr="001C28F5" w:rsidRDefault="00F95AF6" w:rsidP="009746A6">
            <w:pPr>
              <w:pStyle w:val="Tablebodytext"/>
              <w:keepNext w:val="0"/>
              <w:keepLines w:val="0"/>
              <w:rPr>
                <w:lang w:eastAsia="en-AU"/>
              </w:rPr>
            </w:pPr>
            <w:r w:rsidRPr="001C28F5">
              <w:rPr>
                <w:lang w:eastAsia="en-AU"/>
              </w:rPr>
              <w:t xml:space="preserve">19.4 How frequently were each of the following sources of data used in decision making at this business? </w:t>
            </w:r>
          </w:p>
          <w:p w14:paraId="655B61AB" w14:textId="77777777" w:rsidR="00F95AF6" w:rsidRPr="001C28F5" w:rsidRDefault="00F95AF6" w:rsidP="009746A6">
            <w:pPr>
              <w:pStyle w:val="Tablebodytext"/>
              <w:keepNext w:val="0"/>
              <w:keepLines w:val="0"/>
              <w:rPr>
                <w:lang w:eastAsia="en-AU"/>
              </w:rPr>
            </w:pPr>
          </w:p>
        </w:tc>
        <w:tc>
          <w:tcPr>
            <w:tcW w:w="1082" w:type="dxa"/>
            <w:vMerge w:val="restart"/>
          </w:tcPr>
          <w:p w14:paraId="7DBEC575" w14:textId="77777777" w:rsidR="00F95AF6" w:rsidRPr="0064751A" w:rsidRDefault="00F95AF6" w:rsidP="009746A6">
            <w:pPr>
              <w:pStyle w:val="Tablebodytext"/>
              <w:keepNext w:val="0"/>
              <w:keepLines w:val="0"/>
              <w:rPr>
                <w:lang w:eastAsia="en-AU"/>
              </w:rPr>
            </w:pPr>
            <w:r w:rsidRPr="0064751A">
              <w:rPr>
                <w:lang w:eastAsia="en-AU"/>
              </w:rPr>
              <w:t>List scaled</w:t>
            </w:r>
          </w:p>
          <w:p w14:paraId="1AAA040E" w14:textId="77777777" w:rsidR="00F95AF6" w:rsidRPr="001C28F5" w:rsidRDefault="00F95AF6" w:rsidP="009746A6">
            <w:pPr>
              <w:pStyle w:val="Tablebodytext"/>
              <w:keepNext w:val="0"/>
              <w:keepLines w:val="0"/>
              <w:rPr>
                <w:lang w:eastAsia="en-AU"/>
              </w:rPr>
            </w:pPr>
          </w:p>
        </w:tc>
        <w:tc>
          <w:tcPr>
            <w:tcW w:w="992" w:type="dxa"/>
          </w:tcPr>
          <w:p w14:paraId="076A4BF4"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13F09254" w14:textId="77777777" w:rsidR="00F95AF6" w:rsidRPr="001C28F5" w:rsidRDefault="00F95AF6" w:rsidP="009746A6">
            <w:pPr>
              <w:pStyle w:val="Tablebodytext"/>
              <w:keepNext w:val="0"/>
              <w:keepLines w:val="0"/>
              <w:rPr>
                <w:lang w:eastAsia="en-AU"/>
              </w:rPr>
            </w:pPr>
            <w:r w:rsidRPr="001C28F5">
              <w:rPr>
                <w:lang w:eastAsia="en-AU"/>
              </w:rPr>
              <w:t>Information from external sources - Not at all</w:t>
            </w:r>
          </w:p>
        </w:tc>
        <w:tc>
          <w:tcPr>
            <w:tcW w:w="966" w:type="dxa"/>
          </w:tcPr>
          <w:p w14:paraId="0F2A6D52"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69B09D3B"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378CD459" w14:textId="77777777" w:rsidR="00F95AF6" w:rsidRPr="001C28F5" w:rsidRDefault="00F95AF6" w:rsidP="009746A6">
            <w:pPr>
              <w:pStyle w:val="Tablebodytext"/>
              <w:keepNext w:val="0"/>
              <w:keepLines w:val="0"/>
              <w:rPr>
                <w:lang w:eastAsia="en-AU"/>
              </w:rPr>
            </w:pPr>
            <w:r w:rsidRPr="001C28F5">
              <w:rPr>
                <w:lang w:eastAsia="en-AU"/>
              </w:rPr>
              <w:t>0.628</w:t>
            </w:r>
          </w:p>
        </w:tc>
      </w:tr>
      <w:tr w:rsidR="00F95AF6" w:rsidRPr="001C28F5" w14:paraId="55013830" w14:textId="77777777" w:rsidTr="001371EB">
        <w:trPr>
          <w:trHeight w:val="320"/>
        </w:trPr>
        <w:tc>
          <w:tcPr>
            <w:tcW w:w="2037" w:type="dxa"/>
            <w:vMerge/>
          </w:tcPr>
          <w:p w14:paraId="18CA6DCA" w14:textId="77777777" w:rsidR="00F95AF6" w:rsidRPr="001C28F5" w:rsidRDefault="00F95AF6" w:rsidP="009746A6">
            <w:pPr>
              <w:pStyle w:val="Tablebodytext"/>
              <w:keepNext w:val="0"/>
              <w:keepLines w:val="0"/>
              <w:rPr>
                <w:lang w:eastAsia="en-AU"/>
              </w:rPr>
            </w:pPr>
          </w:p>
        </w:tc>
        <w:tc>
          <w:tcPr>
            <w:tcW w:w="1082" w:type="dxa"/>
            <w:vMerge/>
          </w:tcPr>
          <w:p w14:paraId="28E29588" w14:textId="77777777" w:rsidR="00F95AF6" w:rsidRPr="001C28F5" w:rsidRDefault="00F95AF6" w:rsidP="009746A6">
            <w:pPr>
              <w:pStyle w:val="Tablebodytext"/>
              <w:keepNext w:val="0"/>
              <w:keepLines w:val="0"/>
              <w:rPr>
                <w:lang w:eastAsia="en-AU"/>
              </w:rPr>
            </w:pPr>
          </w:p>
        </w:tc>
        <w:tc>
          <w:tcPr>
            <w:tcW w:w="992" w:type="dxa"/>
          </w:tcPr>
          <w:p w14:paraId="178F5042"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7006C340" w14:textId="77777777" w:rsidR="00F95AF6" w:rsidRPr="001C28F5" w:rsidRDefault="00F95AF6" w:rsidP="009746A6">
            <w:pPr>
              <w:pStyle w:val="Tablebodytext"/>
              <w:keepNext w:val="0"/>
              <w:keepLines w:val="0"/>
              <w:rPr>
                <w:lang w:eastAsia="en-AU"/>
              </w:rPr>
            </w:pPr>
            <w:r w:rsidRPr="001C28F5">
              <w:rPr>
                <w:lang w:eastAsia="en-AU"/>
              </w:rPr>
              <w:t>Information from external sources - Daily</w:t>
            </w:r>
          </w:p>
        </w:tc>
        <w:tc>
          <w:tcPr>
            <w:tcW w:w="966" w:type="dxa"/>
          </w:tcPr>
          <w:p w14:paraId="4E7D4ED5"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38462077" w14:textId="77777777" w:rsidR="00F95AF6" w:rsidRPr="001C28F5" w:rsidRDefault="00F95AF6" w:rsidP="009746A6">
            <w:pPr>
              <w:pStyle w:val="Tablebodytext"/>
              <w:keepNext w:val="0"/>
              <w:keepLines w:val="0"/>
              <w:rPr>
                <w:lang w:eastAsia="en-AU"/>
              </w:rPr>
            </w:pPr>
          </w:p>
        </w:tc>
        <w:tc>
          <w:tcPr>
            <w:tcW w:w="995" w:type="dxa"/>
            <w:vMerge/>
          </w:tcPr>
          <w:p w14:paraId="75583BF6" w14:textId="77777777" w:rsidR="00F95AF6" w:rsidRPr="001C28F5" w:rsidRDefault="00F95AF6" w:rsidP="009746A6">
            <w:pPr>
              <w:pStyle w:val="Tablebodytext"/>
              <w:keepNext w:val="0"/>
              <w:keepLines w:val="0"/>
              <w:rPr>
                <w:lang w:eastAsia="en-AU"/>
              </w:rPr>
            </w:pPr>
          </w:p>
        </w:tc>
      </w:tr>
      <w:tr w:rsidR="00F95AF6" w:rsidRPr="001C28F5" w14:paraId="3194A029" w14:textId="77777777" w:rsidTr="001371EB">
        <w:trPr>
          <w:trHeight w:val="320"/>
        </w:trPr>
        <w:tc>
          <w:tcPr>
            <w:tcW w:w="2037" w:type="dxa"/>
            <w:vMerge/>
          </w:tcPr>
          <w:p w14:paraId="2AD571F7" w14:textId="77777777" w:rsidR="00F95AF6" w:rsidRPr="001C28F5" w:rsidRDefault="00F95AF6" w:rsidP="009746A6">
            <w:pPr>
              <w:pStyle w:val="Tablebodytext"/>
              <w:keepNext w:val="0"/>
              <w:keepLines w:val="0"/>
              <w:rPr>
                <w:lang w:eastAsia="en-AU"/>
              </w:rPr>
            </w:pPr>
          </w:p>
        </w:tc>
        <w:tc>
          <w:tcPr>
            <w:tcW w:w="1082" w:type="dxa"/>
            <w:vMerge/>
          </w:tcPr>
          <w:p w14:paraId="5981D31E" w14:textId="77777777" w:rsidR="00F95AF6" w:rsidRPr="001C28F5" w:rsidRDefault="00F95AF6" w:rsidP="009746A6">
            <w:pPr>
              <w:pStyle w:val="Tablebodytext"/>
              <w:keepNext w:val="0"/>
              <w:keepLines w:val="0"/>
              <w:rPr>
                <w:lang w:eastAsia="en-AU"/>
              </w:rPr>
            </w:pPr>
          </w:p>
        </w:tc>
        <w:tc>
          <w:tcPr>
            <w:tcW w:w="992" w:type="dxa"/>
          </w:tcPr>
          <w:p w14:paraId="648CFD30"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0FDA0BBB" w14:textId="77777777" w:rsidR="00F95AF6" w:rsidRPr="001C28F5" w:rsidRDefault="00F95AF6" w:rsidP="009746A6">
            <w:pPr>
              <w:pStyle w:val="Tablebodytext"/>
              <w:keepNext w:val="0"/>
              <w:keepLines w:val="0"/>
              <w:rPr>
                <w:lang w:eastAsia="en-AU"/>
              </w:rPr>
            </w:pPr>
            <w:r w:rsidRPr="001C28F5">
              <w:rPr>
                <w:lang w:eastAsia="en-AU"/>
              </w:rPr>
              <w:t>Information from external sources - Weekly</w:t>
            </w:r>
          </w:p>
        </w:tc>
        <w:tc>
          <w:tcPr>
            <w:tcW w:w="966" w:type="dxa"/>
          </w:tcPr>
          <w:p w14:paraId="3B00D0FD"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95E3B66" w14:textId="77777777" w:rsidR="00F95AF6" w:rsidRPr="001C28F5" w:rsidRDefault="00F95AF6" w:rsidP="009746A6">
            <w:pPr>
              <w:pStyle w:val="Tablebodytext"/>
              <w:keepNext w:val="0"/>
              <w:keepLines w:val="0"/>
              <w:rPr>
                <w:lang w:eastAsia="en-AU"/>
              </w:rPr>
            </w:pPr>
          </w:p>
        </w:tc>
        <w:tc>
          <w:tcPr>
            <w:tcW w:w="995" w:type="dxa"/>
            <w:vMerge/>
          </w:tcPr>
          <w:p w14:paraId="1F198875" w14:textId="77777777" w:rsidR="00F95AF6" w:rsidRPr="001C28F5" w:rsidRDefault="00F95AF6" w:rsidP="009746A6">
            <w:pPr>
              <w:pStyle w:val="Tablebodytext"/>
              <w:keepNext w:val="0"/>
              <w:keepLines w:val="0"/>
              <w:rPr>
                <w:lang w:eastAsia="en-AU"/>
              </w:rPr>
            </w:pPr>
          </w:p>
        </w:tc>
      </w:tr>
      <w:tr w:rsidR="00F95AF6" w:rsidRPr="001C28F5" w14:paraId="13A2E5AB" w14:textId="77777777" w:rsidTr="001371EB">
        <w:trPr>
          <w:trHeight w:val="320"/>
        </w:trPr>
        <w:tc>
          <w:tcPr>
            <w:tcW w:w="2037" w:type="dxa"/>
            <w:vMerge/>
          </w:tcPr>
          <w:p w14:paraId="2DD10C74" w14:textId="77777777" w:rsidR="00F95AF6" w:rsidRPr="001C28F5" w:rsidRDefault="00F95AF6" w:rsidP="009746A6">
            <w:pPr>
              <w:pStyle w:val="Tablebodytext"/>
              <w:keepNext w:val="0"/>
              <w:keepLines w:val="0"/>
              <w:rPr>
                <w:lang w:eastAsia="en-AU"/>
              </w:rPr>
            </w:pPr>
          </w:p>
        </w:tc>
        <w:tc>
          <w:tcPr>
            <w:tcW w:w="1082" w:type="dxa"/>
            <w:vMerge/>
          </w:tcPr>
          <w:p w14:paraId="47D78386" w14:textId="77777777" w:rsidR="00F95AF6" w:rsidRPr="001C28F5" w:rsidRDefault="00F95AF6" w:rsidP="009746A6">
            <w:pPr>
              <w:pStyle w:val="Tablebodytext"/>
              <w:keepNext w:val="0"/>
              <w:keepLines w:val="0"/>
              <w:rPr>
                <w:lang w:eastAsia="en-AU"/>
              </w:rPr>
            </w:pPr>
          </w:p>
        </w:tc>
        <w:tc>
          <w:tcPr>
            <w:tcW w:w="992" w:type="dxa"/>
          </w:tcPr>
          <w:p w14:paraId="31DD8D2A"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1B7D43CD" w14:textId="77777777" w:rsidR="00F95AF6" w:rsidRPr="001C28F5" w:rsidRDefault="00F95AF6" w:rsidP="009746A6">
            <w:pPr>
              <w:pStyle w:val="Tablebodytext"/>
              <w:keepNext w:val="0"/>
              <w:keepLines w:val="0"/>
              <w:rPr>
                <w:lang w:eastAsia="en-AU"/>
              </w:rPr>
            </w:pPr>
            <w:r w:rsidRPr="001C28F5">
              <w:rPr>
                <w:lang w:eastAsia="en-AU"/>
              </w:rPr>
              <w:t>Information from external sources - Monthly</w:t>
            </w:r>
          </w:p>
        </w:tc>
        <w:tc>
          <w:tcPr>
            <w:tcW w:w="966" w:type="dxa"/>
          </w:tcPr>
          <w:p w14:paraId="2F9EC426"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78D7B3E0" w14:textId="77777777" w:rsidR="00F95AF6" w:rsidRPr="001C28F5" w:rsidRDefault="00F95AF6" w:rsidP="009746A6">
            <w:pPr>
              <w:pStyle w:val="Tablebodytext"/>
              <w:keepNext w:val="0"/>
              <w:keepLines w:val="0"/>
              <w:rPr>
                <w:lang w:eastAsia="en-AU"/>
              </w:rPr>
            </w:pPr>
          </w:p>
        </w:tc>
        <w:tc>
          <w:tcPr>
            <w:tcW w:w="995" w:type="dxa"/>
            <w:vMerge/>
          </w:tcPr>
          <w:p w14:paraId="061CA2EC" w14:textId="77777777" w:rsidR="00F95AF6" w:rsidRPr="001C28F5" w:rsidRDefault="00F95AF6" w:rsidP="009746A6">
            <w:pPr>
              <w:pStyle w:val="Tablebodytext"/>
              <w:keepNext w:val="0"/>
              <w:keepLines w:val="0"/>
              <w:rPr>
                <w:lang w:eastAsia="en-AU"/>
              </w:rPr>
            </w:pPr>
          </w:p>
        </w:tc>
      </w:tr>
      <w:tr w:rsidR="00F95AF6" w:rsidRPr="001C28F5" w14:paraId="51E0B7A8" w14:textId="77777777" w:rsidTr="001371EB">
        <w:trPr>
          <w:trHeight w:val="320"/>
        </w:trPr>
        <w:tc>
          <w:tcPr>
            <w:tcW w:w="2037" w:type="dxa"/>
            <w:vMerge/>
          </w:tcPr>
          <w:p w14:paraId="6B5191DB" w14:textId="77777777" w:rsidR="00F95AF6" w:rsidRPr="001C28F5" w:rsidRDefault="00F95AF6" w:rsidP="009746A6">
            <w:pPr>
              <w:pStyle w:val="Tablebodytext"/>
              <w:keepNext w:val="0"/>
              <w:keepLines w:val="0"/>
              <w:rPr>
                <w:lang w:eastAsia="en-AU"/>
              </w:rPr>
            </w:pPr>
          </w:p>
        </w:tc>
        <w:tc>
          <w:tcPr>
            <w:tcW w:w="1082" w:type="dxa"/>
            <w:vMerge/>
          </w:tcPr>
          <w:p w14:paraId="33557C5D" w14:textId="77777777" w:rsidR="00F95AF6" w:rsidRPr="001C28F5" w:rsidRDefault="00F95AF6" w:rsidP="009746A6">
            <w:pPr>
              <w:pStyle w:val="Tablebodytext"/>
              <w:keepNext w:val="0"/>
              <w:keepLines w:val="0"/>
              <w:rPr>
                <w:lang w:eastAsia="en-AU"/>
              </w:rPr>
            </w:pPr>
          </w:p>
        </w:tc>
        <w:tc>
          <w:tcPr>
            <w:tcW w:w="992" w:type="dxa"/>
          </w:tcPr>
          <w:p w14:paraId="7190D4B9"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5C3DAE59" w14:textId="77777777" w:rsidR="00F95AF6" w:rsidRPr="001C28F5" w:rsidRDefault="00F95AF6" w:rsidP="009746A6">
            <w:pPr>
              <w:pStyle w:val="Tablebodytext"/>
              <w:keepNext w:val="0"/>
              <w:keepLines w:val="0"/>
              <w:rPr>
                <w:lang w:eastAsia="en-AU"/>
              </w:rPr>
            </w:pPr>
            <w:r w:rsidRPr="001C28F5">
              <w:rPr>
                <w:lang w:eastAsia="en-AU"/>
              </w:rPr>
              <w:t>Information from external sources - Quarterly</w:t>
            </w:r>
          </w:p>
        </w:tc>
        <w:tc>
          <w:tcPr>
            <w:tcW w:w="966" w:type="dxa"/>
          </w:tcPr>
          <w:p w14:paraId="455670F6"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0386509" w14:textId="77777777" w:rsidR="00F95AF6" w:rsidRPr="001C28F5" w:rsidRDefault="00F95AF6" w:rsidP="009746A6">
            <w:pPr>
              <w:pStyle w:val="Tablebodytext"/>
              <w:keepNext w:val="0"/>
              <w:keepLines w:val="0"/>
              <w:rPr>
                <w:lang w:eastAsia="en-AU"/>
              </w:rPr>
            </w:pPr>
          </w:p>
        </w:tc>
        <w:tc>
          <w:tcPr>
            <w:tcW w:w="995" w:type="dxa"/>
            <w:vMerge/>
          </w:tcPr>
          <w:p w14:paraId="2E88D1AD" w14:textId="77777777" w:rsidR="00F95AF6" w:rsidRPr="001C28F5" w:rsidRDefault="00F95AF6" w:rsidP="009746A6">
            <w:pPr>
              <w:pStyle w:val="Tablebodytext"/>
              <w:keepNext w:val="0"/>
              <w:keepLines w:val="0"/>
              <w:rPr>
                <w:lang w:eastAsia="en-AU"/>
              </w:rPr>
            </w:pPr>
          </w:p>
        </w:tc>
      </w:tr>
      <w:tr w:rsidR="00F95AF6" w:rsidRPr="001C28F5" w14:paraId="57699923" w14:textId="77777777" w:rsidTr="001371EB">
        <w:trPr>
          <w:trHeight w:val="320"/>
        </w:trPr>
        <w:tc>
          <w:tcPr>
            <w:tcW w:w="2037" w:type="dxa"/>
            <w:vMerge/>
          </w:tcPr>
          <w:p w14:paraId="34F291C2" w14:textId="77777777" w:rsidR="00F95AF6" w:rsidRPr="001C28F5" w:rsidRDefault="00F95AF6" w:rsidP="009746A6">
            <w:pPr>
              <w:pStyle w:val="Tablebodytext"/>
              <w:keepNext w:val="0"/>
              <w:keepLines w:val="0"/>
              <w:rPr>
                <w:lang w:eastAsia="en-AU"/>
              </w:rPr>
            </w:pPr>
          </w:p>
        </w:tc>
        <w:tc>
          <w:tcPr>
            <w:tcW w:w="1082" w:type="dxa"/>
            <w:vMerge/>
          </w:tcPr>
          <w:p w14:paraId="58CE7E44" w14:textId="77777777" w:rsidR="00F95AF6" w:rsidRPr="001C28F5" w:rsidRDefault="00F95AF6" w:rsidP="009746A6">
            <w:pPr>
              <w:pStyle w:val="Tablebodytext"/>
              <w:keepNext w:val="0"/>
              <w:keepLines w:val="0"/>
              <w:rPr>
                <w:lang w:eastAsia="en-AU"/>
              </w:rPr>
            </w:pPr>
          </w:p>
        </w:tc>
        <w:tc>
          <w:tcPr>
            <w:tcW w:w="992" w:type="dxa"/>
          </w:tcPr>
          <w:p w14:paraId="04CED8CA"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0E5F67F2" w14:textId="77777777" w:rsidR="00F95AF6" w:rsidRPr="001C28F5" w:rsidRDefault="00F95AF6" w:rsidP="009746A6">
            <w:pPr>
              <w:pStyle w:val="Tablebodytext"/>
              <w:keepNext w:val="0"/>
              <w:keepLines w:val="0"/>
              <w:rPr>
                <w:lang w:eastAsia="en-AU"/>
              </w:rPr>
            </w:pPr>
            <w:r w:rsidRPr="001C28F5">
              <w:rPr>
                <w:lang w:eastAsia="en-AU"/>
              </w:rPr>
              <w:t>Information from external sources - Annually</w:t>
            </w:r>
          </w:p>
        </w:tc>
        <w:tc>
          <w:tcPr>
            <w:tcW w:w="966" w:type="dxa"/>
          </w:tcPr>
          <w:p w14:paraId="7D2368FB"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527F5C9E" w14:textId="77777777" w:rsidR="00F95AF6" w:rsidRPr="001C28F5" w:rsidRDefault="00F95AF6" w:rsidP="009746A6">
            <w:pPr>
              <w:pStyle w:val="Tablebodytext"/>
              <w:keepNext w:val="0"/>
              <w:keepLines w:val="0"/>
              <w:rPr>
                <w:lang w:eastAsia="en-AU"/>
              </w:rPr>
            </w:pPr>
          </w:p>
        </w:tc>
        <w:tc>
          <w:tcPr>
            <w:tcW w:w="995" w:type="dxa"/>
            <w:vMerge/>
          </w:tcPr>
          <w:p w14:paraId="7B1107EA" w14:textId="77777777" w:rsidR="00F95AF6" w:rsidRPr="001C28F5" w:rsidRDefault="00F95AF6" w:rsidP="009746A6">
            <w:pPr>
              <w:pStyle w:val="Tablebodytext"/>
              <w:keepNext w:val="0"/>
              <w:keepLines w:val="0"/>
              <w:rPr>
                <w:lang w:eastAsia="en-AU"/>
              </w:rPr>
            </w:pPr>
          </w:p>
        </w:tc>
      </w:tr>
      <w:tr w:rsidR="00F95AF6" w:rsidRPr="001C28F5" w14:paraId="0B481E86" w14:textId="77777777" w:rsidTr="001371EB">
        <w:trPr>
          <w:trHeight w:val="320"/>
        </w:trPr>
        <w:tc>
          <w:tcPr>
            <w:tcW w:w="2037" w:type="dxa"/>
            <w:vMerge/>
          </w:tcPr>
          <w:p w14:paraId="0924BABF" w14:textId="77777777" w:rsidR="00F95AF6" w:rsidRPr="001C28F5" w:rsidRDefault="00F95AF6" w:rsidP="009746A6">
            <w:pPr>
              <w:pStyle w:val="Tablebodytext"/>
              <w:keepNext w:val="0"/>
              <w:keepLines w:val="0"/>
              <w:rPr>
                <w:lang w:eastAsia="en-AU"/>
              </w:rPr>
            </w:pPr>
          </w:p>
        </w:tc>
        <w:tc>
          <w:tcPr>
            <w:tcW w:w="1082" w:type="dxa"/>
            <w:vMerge/>
          </w:tcPr>
          <w:p w14:paraId="611CDB7F" w14:textId="77777777" w:rsidR="00F95AF6" w:rsidRPr="001C28F5" w:rsidRDefault="00F95AF6" w:rsidP="009746A6">
            <w:pPr>
              <w:pStyle w:val="Tablebodytext"/>
              <w:keepNext w:val="0"/>
              <w:keepLines w:val="0"/>
              <w:rPr>
                <w:lang w:eastAsia="en-AU"/>
              </w:rPr>
            </w:pPr>
          </w:p>
        </w:tc>
        <w:tc>
          <w:tcPr>
            <w:tcW w:w="992" w:type="dxa"/>
          </w:tcPr>
          <w:p w14:paraId="2B1D7420"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23FCB310" w14:textId="77777777" w:rsidR="00F95AF6" w:rsidRPr="001C28F5" w:rsidRDefault="00F95AF6" w:rsidP="009746A6">
            <w:pPr>
              <w:pStyle w:val="Tablebodytext"/>
              <w:keepNext w:val="0"/>
              <w:keepLines w:val="0"/>
              <w:rPr>
                <w:lang w:eastAsia="en-AU"/>
              </w:rPr>
            </w:pPr>
            <w:r w:rsidRPr="001C28F5">
              <w:rPr>
                <w:lang w:eastAsia="en-AU"/>
              </w:rPr>
              <w:t>Information from external sources - Ad hoc</w:t>
            </w:r>
          </w:p>
        </w:tc>
        <w:tc>
          <w:tcPr>
            <w:tcW w:w="966" w:type="dxa"/>
          </w:tcPr>
          <w:p w14:paraId="306E3292"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0E96E901" w14:textId="77777777" w:rsidR="00F95AF6" w:rsidRPr="001C28F5" w:rsidRDefault="00F95AF6" w:rsidP="009746A6">
            <w:pPr>
              <w:pStyle w:val="Tablebodytext"/>
              <w:keepNext w:val="0"/>
              <w:keepLines w:val="0"/>
              <w:rPr>
                <w:lang w:eastAsia="en-AU"/>
              </w:rPr>
            </w:pPr>
          </w:p>
        </w:tc>
        <w:tc>
          <w:tcPr>
            <w:tcW w:w="995" w:type="dxa"/>
            <w:vMerge/>
          </w:tcPr>
          <w:p w14:paraId="4E75764C" w14:textId="77777777" w:rsidR="00F95AF6" w:rsidRPr="001C28F5" w:rsidRDefault="00F95AF6" w:rsidP="009746A6">
            <w:pPr>
              <w:pStyle w:val="Tablebodytext"/>
              <w:keepNext w:val="0"/>
              <w:keepLines w:val="0"/>
              <w:rPr>
                <w:lang w:eastAsia="en-AU"/>
              </w:rPr>
            </w:pPr>
          </w:p>
        </w:tc>
      </w:tr>
      <w:tr w:rsidR="00F95AF6" w:rsidRPr="001C28F5" w14:paraId="260C6126" w14:textId="77777777" w:rsidTr="001371EB">
        <w:trPr>
          <w:trHeight w:val="280"/>
        </w:trPr>
        <w:tc>
          <w:tcPr>
            <w:tcW w:w="2037" w:type="dxa"/>
            <w:vMerge w:val="restart"/>
          </w:tcPr>
          <w:p w14:paraId="68C7B725" w14:textId="77777777" w:rsidR="00F95AF6" w:rsidRPr="001C28F5" w:rsidRDefault="00F95AF6" w:rsidP="009746A6">
            <w:pPr>
              <w:pStyle w:val="Tablebodytext"/>
              <w:keepNext w:val="0"/>
              <w:keepLines w:val="0"/>
              <w:rPr>
                <w:lang w:eastAsia="en-AU"/>
              </w:rPr>
            </w:pPr>
            <w:r w:rsidRPr="001C28F5">
              <w:rPr>
                <w:lang w:eastAsia="en-AU"/>
              </w:rPr>
              <w:t xml:space="preserve">20.1 How frequently were each of the following activities influenced by data analysis at this business? </w:t>
            </w:r>
          </w:p>
          <w:p w14:paraId="50C9F6AF" w14:textId="77777777" w:rsidR="00F95AF6" w:rsidRPr="001C28F5" w:rsidRDefault="00F95AF6" w:rsidP="009746A6">
            <w:pPr>
              <w:pStyle w:val="Tablebodytext"/>
              <w:keepNext w:val="0"/>
              <w:keepLines w:val="0"/>
              <w:rPr>
                <w:lang w:eastAsia="en-AU"/>
              </w:rPr>
            </w:pPr>
          </w:p>
        </w:tc>
        <w:tc>
          <w:tcPr>
            <w:tcW w:w="1082" w:type="dxa"/>
            <w:vMerge w:val="restart"/>
          </w:tcPr>
          <w:p w14:paraId="6F097528" w14:textId="77777777" w:rsidR="00F95AF6" w:rsidRPr="0064751A" w:rsidRDefault="00F95AF6" w:rsidP="009746A6">
            <w:pPr>
              <w:pStyle w:val="Tablebodytext"/>
              <w:keepNext w:val="0"/>
              <w:keepLines w:val="0"/>
              <w:rPr>
                <w:lang w:eastAsia="en-AU"/>
              </w:rPr>
            </w:pPr>
            <w:r w:rsidRPr="0064751A">
              <w:rPr>
                <w:lang w:eastAsia="en-AU"/>
              </w:rPr>
              <w:t>List scaled</w:t>
            </w:r>
          </w:p>
          <w:p w14:paraId="58E07AB6" w14:textId="77777777" w:rsidR="00F95AF6" w:rsidRPr="001C28F5" w:rsidRDefault="00F95AF6" w:rsidP="009746A6">
            <w:pPr>
              <w:pStyle w:val="Tablebodytext"/>
              <w:keepNext w:val="0"/>
              <w:keepLines w:val="0"/>
              <w:rPr>
                <w:lang w:eastAsia="en-AU"/>
              </w:rPr>
            </w:pPr>
          </w:p>
        </w:tc>
        <w:tc>
          <w:tcPr>
            <w:tcW w:w="992" w:type="dxa"/>
          </w:tcPr>
          <w:p w14:paraId="36D089A2"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793CECCE" w14:textId="77777777" w:rsidR="00F95AF6" w:rsidRPr="001C28F5" w:rsidRDefault="00F95AF6" w:rsidP="009746A6">
            <w:pPr>
              <w:pStyle w:val="Tablebodytext"/>
              <w:keepNext w:val="0"/>
              <w:keepLines w:val="0"/>
              <w:rPr>
                <w:lang w:eastAsia="en-AU"/>
              </w:rPr>
            </w:pPr>
            <w:r w:rsidRPr="001C28F5">
              <w:rPr>
                <w:lang w:eastAsia="en-AU"/>
              </w:rPr>
              <w:t>Design of new goods or services - Not at all</w:t>
            </w:r>
          </w:p>
        </w:tc>
        <w:tc>
          <w:tcPr>
            <w:tcW w:w="966" w:type="dxa"/>
          </w:tcPr>
          <w:p w14:paraId="31559CB0"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3C68DD89" w14:textId="77777777" w:rsidR="00F95AF6" w:rsidRPr="001C28F5" w:rsidRDefault="00F95AF6" w:rsidP="009746A6">
            <w:pPr>
              <w:pStyle w:val="Tablebodytext"/>
              <w:keepNext w:val="0"/>
              <w:keepLines w:val="0"/>
              <w:rPr>
                <w:lang w:eastAsia="en-AU"/>
              </w:rPr>
            </w:pPr>
            <w:r w:rsidRPr="001C28F5">
              <w:rPr>
                <w:lang w:eastAsia="en-AU"/>
              </w:rPr>
              <w:t>Monitoring</w:t>
            </w:r>
          </w:p>
        </w:tc>
        <w:tc>
          <w:tcPr>
            <w:tcW w:w="995" w:type="dxa"/>
            <w:vMerge w:val="restart"/>
          </w:tcPr>
          <w:p w14:paraId="1E07A331" w14:textId="77777777" w:rsidR="00F95AF6" w:rsidRPr="001C28F5" w:rsidRDefault="00F95AF6" w:rsidP="009746A6">
            <w:pPr>
              <w:pStyle w:val="Tablebodytext"/>
              <w:keepNext w:val="0"/>
              <w:keepLines w:val="0"/>
              <w:rPr>
                <w:lang w:eastAsia="en-AU"/>
              </w:rPr>
            </w:pPr>
            <w:r w:rsidRPr="001C28F5">
              <w:rPr>
                <w:lang w:eastAsia="en-AU"/>
              </w:rPr>
              <w:t>0.513</w:t>
            </w:r>
          </w:p>
        </w:tc>
      </w:tr>
      <w:tr w:rsidR="00F95AF6" w:rsidRPr="001C28F5" w14:paraId="10298010" w14:textId="77777777" w:rsidTr="001371EB">
        <w:trPr>
          <w:trHeight w:val="320"/>
        </w:trPr>
        <w:tc>
          <w:tcPr>
            <w:tcW w:w="2037" w:type="dxa"/>
            <w:vMerge/>
          </w:tcPr>
          <w:p w14:paraId="43F7BA2F" w14:textId="77777777" w:rsidR="00F95AF6" w:rsidRPr="001C28F5" w:rsidRDefault="00F95AF6" w:rsidP="009746A6">
            <w:pPr>
              <w:pStyle w:val="Tablebodytext"/>
              <w:keepNext w:val="0"/>
              <w:keepLines w:val="0"/>
              <w:rPr>
                <w:lang w:eastAsia="en-AU"/>
              </w:rPr>
            </w:pPr>
          </w:p>
        </w:tc>
        <w:tc>
          <w:tcPr>
            <w:tcW w:w="1082" w:type="dxa"/>
            <w:vMerge/>
          </w:tcPr>
          <w:p w14:paraId="11AE6C94" w14:textId="77777777" w:rsidR="00F95AF6" w:rsidRPr="001C28F5" w:rsidRDefault="00F95AF6" w:rsidP="009746A6">
            <w:pPr>
              <w:pStyle w:val="Tablebodytext"/>
              <w:keepNext w:val="0"/>
              <w:keepLines w:val="0"/>
              <w:rPr>
                <w:lang w:eastAsia="en-AU"/>
              </w:rPr>
            </w:pPr>
          </w:p>
        </w:tc>
        <w:tc>
          <w:tcPr>
            <w:tcW w:w="992" w:type="dxa"/>
          </w:tcPr>
          <w:p w14:paraId="6B881286"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5E3B97B0" w14:textId="77777777" w:rsidR="00F95AF6" w:rsidRPr="001C28F5" w:rsidRDefault="00F95AF6" w:rsidP="009746A6">
            <w:pPr>
              <w:pStyle w:val="Tablebodytext"/>
              <w:keepNext w:val="0"/>
              <w:keepLines w:val="0"/>
              <w:rPr>
                <w:lang w:eastAsia="en-AU"/>
              </w:rPr>
            </w:pPr>
            <w:r w:rsidRPr="001C28F5">
              <w:rPr>
                <w:lang w:eastAsia="en-AU"/>
              </w:rPr>
              <w:t>Design of new goods or services - Daily</w:t>
            </w:r>
          </w:p>
        </w:tc>
        <w:tc>
          <w:tcPr>
            <w:tcW w:w="966" w:type="dxa"/>
          </w:tcPr>
          <w:p w14:paraId="2F372244"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712A50AF" w14:textId="77777777" w:rsidR="00F95AF6" w:rsidRPr="001C28F5" w:rsidRDefault="00F95AF6" w:rsidP="009746A6">
            <w:pPr>
              <w:pStyle w:val="Tablebodytext"/>
              <w:keepNext w:val="0"/>
              <w:keepLines w:val="0"/>
              <w:rPr>
                <w:lang w:eastAsia="en-AU"/>
              </w:rPr>
            </w:pPr>
          </w:p>
        </w:tc>
        <w:tc>
          <w:tcPr>
            <w:tcW w:w="995" w:type="dxa"/>
            <w:vMerge/>
          </w:tcPr>
          <w:p w14:paraId="7F663C70" w14:textId="77777777" w:rsidR="00F95AF6" w:rsidRPr="001C28F5" w:rsidRDefault="00F95AF6" w:rsidP="009746A6">
            <w:pPr>
              <w:pStyle w:val="Tablebodytext"/>
              <w:keepNext w:val="0"/>
              <w:keepLines w:val="0"/>
              <w:rPr>
                <w:lang w:eastAsia="en-AU"/>
              </w:rPr>
            </w:pPr>
          </w:p>
        </w:tc>
      </w:tr>
      <w:tr w:rsidR="00F95AF6" w:rsidRPr="001C28F5" w14:paraId="57C81731" w14:textId="77777777" w:rsidTr="001371EB">
        <w:trPr>
          <w:trHeight w:val="320"/>
        </w:trPr>
        <w:tc>
          <w:tcPr>
            <w:tcW w:w="2037" w:type="dxa"/>
            <w:vMerge/>
          </w:tcPr>
          <w:p w14:paraId="2322A488" w14:textId="77777777" w:rsidR="00F95AF6" w:rsidRPr="001C28F5" w:rsidRDefault="00F95AF6" w:rsidP="009746A6">
            <w:pPr>
              <w:pStyle w:val="Tablebodytext"/>
              <w:keepNext w:val="0"/>
              <w:keepLines w:val="0"/>
              <w:rPr>
                <w:lang w:eastAsia="en-AU"/>
              </w:rPr>
            </w:pPr>
          </w:p>
        </w:tc>
        <w:tc>
          <w:tcPr>
            <w:tcW w:w="1082" w:type="dxa"/>
            <w:vMerge/>
          </w:tcPr>
          <w:p w14:paraId="030EAA29" w14:textId="77777777" w:rsidR="00F95AF6" w:rsidRPr="001C28F5" w:rsidRDefault="00F95AF6" w:rsidP="009746A6">
            <w:pPr>
              <w:pStyle w:val="Tablebodytext"/>
              <w:keepNext w:val="0"/>
              <w:keepLines w:val="0"/>
              <w:rPr>
                <w:lang w:eastAsia="en-AU"/>
              </w:rPr>
            </w:pPr>
          </w:p>
        </w:tc>
        <w:tc>
          <w:tcPr>
            <w:tcW w:w="992" w:type="dxa"/>
          </w:tcPr>
          <w:p w14:paraId="64A29593"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4C510876" w14:textId="77777777" w:rsidR="00F95AF6" w:rsidRPr="001C28F5" w:rsidRDefault="00F95AF6" w:rsidP="009746A6">
            <w:pPr>
              <w:pStyle w:val="Tablebodytext"/>
              <w:keepNext w:val="0"/>
              <w:keepLines w:val="0"/>
              <w:rPr>
                <w:lang w:eastAsia="en-AU"/>
              </w:rPr>
            </w:pPr>
            <w:r w:rsidRPr="001C28F5">
              <w:rPr>
                <w:lang w:eastAsia="en-AU"/>
              </w:rPr>
              <w:t>Design of new goods or services - Weekly</w:t>
            </w:r>
          </w:p>
        </w:tc>
        <w:tc>
          <w:tcPr>
            <w:tcW w:w="966" w:type="dxa"/>
          </w:tcPr>
          <w:p w14:paraId="5BBE8276"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369FE2C7" w14:textId="77777777" w:rsidR="00F95AF6" w:rsidRPr="001C28F5" w:rsidRDefault="00F95AF6" w:rsidP="009746A6">
            <w:pPr>
              <w:pStyle w:val="Tablebodytext"/>
              <w:keepNext w:val="0"/>
              <w:keepLines w:val="0"/>
              <w:rPr>
                <w:lang w:eastAsia="en-AU"/>
              </w:rPr>
            </w:pPr>
          </w:p>
        </w:tc>
        <w:tc>
          <w:tcPr>
            <w:tcW w:w="995" w:type="dxa"/>
            <w:vMerge/>
          </w:tcPr>
          <w:p w14:paraId="2ECBB413" w14:textId="77777777" w:rsidR="00F95AF6" w:rsidRPr="001C28F5" w:rsidRDefault="00F95AF6" w:rsidP="009746A6">
            <w:pPr>
              <w:pStyle w:val="Tablebodytext"/>
              <w:keepNext w:val="0"/>
              <w:keepLines w:val="0"/>
              <w:rPr>
                <w:lang w:eastAsia="en-AU"/>
              </w:rPr>
            </w:pPr>
          </w:p>
        </w:tc>
      </w:tr>
      <w:tr w:rsidR="00F95AF6" w:rsidRPr="001C28F5" w14:paraId="724FA4A5" w14:textId="77777777" w:rsidTr="001371EB">
        <w:trPr>
          <w:trHeight w:val="320"/>
        </w:trPr>
        <w:tc>
          <w:tcPr>
            <w:tcW w:w="2037" w:type="dxa"/>
            <w:vMerge/>
          </w:tcPr>
          <w:p w14:paraId="322E87EC" w14:textId="77777777" w:rsidR="00F95AF6" w:rsidRPr="001C28F5" w:rsidRDefault="00F95AF6" w:rsidP="009746A6">
            <w:pPr>
              <w:pStyle w:val="Tablebodytext"/>
              <w:keepNext w:val="0"/>
              <w:keepLines w:val="0"/>
              <w:rPr>
                <w:lang w:eastAsia="en-AU"/>
              </w:rPr>
            </w:pPr>
          </w:p>
        </w:tc>
        <w:tc>
          <w:tcPr>
            <w:tcW w:w="1082" w:type="dxa"/>
            <w:vMerge/>
          </w:tcPr>
          <w:p w14:paraId="3E212966" w14:textId="77777777" w:rsidR="00F95AF6" w:rsidRPr="001C28F5" w:rsidRDefault="00F95AF6" w:rsidP="009746A6">
            <w:pPr>
              <w:pStyle w:val="Tablebodytext"/>
              <w:keepNext w:val="0"/>
              <w:keepLines w:val="0"/>
              <w:rPr>
                <w:lang w:eastAsia="en-AU"/>
              </w:rPr>
            </w:pPr>
          </w:p>
        </w:tc>
        <w:tc>
          <w:tcPr>
            <w:tcW w:w="992" w:type="dxa"/>
          </w:tcPr>
          <w:p w14:paraId="193DFE88"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7A5A5E07" w14:textId="77777777" w:rsidR="00F95AF6" w:rsidRPr="001C28F5" w:rsidRDefault="00F95AF6" w:rsidP="009746A6">
            <w:pPr>
              <w:pStyle w:val="Tablebodytext"/>
              <w:keepNext w:val="0"/>
              <w:keepLines w:val="0"/>
              <w:rPr>
                <w:lang w:eastAsia="en-AU"/>
              </w:rPr>
            </w:pPr>
            <w:r w:rsidRPr="001C28F5">
              <w:rPr>
                <w:lang w:eastAsia="en-AU"/>
              </w:rPr>
              <w:t>Design of new goods or services - Monthly</w:t>
            </w:r>
          </w:p>
        </w:tc>
        <w:tc>
          <w:tcPr>
            <w:tcW w:w="966" w:type="dxa"/>
          </w:tcPr>
          <w:p w14:paraId="77D61C57"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6C0A21BA" w14:textId="77777777" w:rsidR="00F95AF6" w:rsidRPr="001C28F5" w:rsidRDefault="00F95AF6" w:rsidP="009746A6">
            <w:pPr>
              <w:pStyle w:val="Tablebodytext"/>
              <w:keepNext w:val="0"/>
              <w:keepLines w:val="0"/>
              <w:rPr>
                <w:lang w:eastAsia="en-AU"/>
              </w:rPr>
            </w:pPr>
          </w:p>
        </w:tc>
        <w:tc>
          <w:tcPr>
            <w:tcW w:w="995" w:type="dxa"/>
            <w:vMerge/>
          </w:tcPr>
          <w:p w14:paraId="5BBCBA9B" w14:textId="77777777" w:rsidR="00F95AF6" w:rsidRPr="001C28F5" w:rsidRDefault="00F95AF6" w:rsidP="009746A6">
            <w:pPr>
              <w:pStyle w:val="Tablebodytext"/>
              <w:keepNext w:val="0"/>
              <w:keepLines w:val="0"/>
              <w:rPr>
                <w:lang w:eastAsia="en-AU"/>
              </w:rPr>
            </w:pPr>
          </w:p>
        </w:tc>
      </w:tr>
      <w:tr w:rsidR="00F95AF6" w:rsidRPr="001C28F5" w14:paraId="4176F8F3" w14:textId="77777777" w:rsidTr="001371EB">
        <w:trPr>
          <w:trHeight w:val="320"/>
        </w:trPr>
        <w:tc>
          <w:tcPr>
            <w:tcW w:w="2037" w:type="dxa"/>
            <w:vMerge/>
          </w:tcPr>
          <w:p w14:paraId="746C540F" w14:textId="77777777" w:rsidR="00F95AF6" w:rsidRPr="001C28F5" w:rsidRDefault="00F95AF6" w:rsidP="009746A6">
            <w:pPr>
              <w:pStyle w:val="Tablebodytext"/>
              <w:keepNext w:val="0"/>
              <w:keepLines w:val="0"/>
              <w:rPr>
                <w:lang w:eastAsia="en-AU"/>
              </w:rPr>
            </w:pPr>
          </w:p>
        </w:tc>
        <w:tc>
          <w:tcPr>
            <w:tcW w:w="1082" w:type="dxa"/>
            <w:vMerge/>
          </w:tcPr>
          <w:p w14:paraId="7AE1C90B" w14:textId="77777777" w:rsidR="00F95AF6" w:rsidRPr="001C28F5" w:rsidRDefault="00F95AF6" w:rsidP="009746A6">
            <w:pPr>
              <w:pStyle w:val="Tablebodytext"/>
              <w:keepNext w:val="0"/>
              <w:keepLines w:val="0"/>
              <w:rPr>
                <w:lang w:eastAsia="en-AU"/>
              </w:rPr>
            </w:pPr>
          </w:p>
        </w:tc>
        <w:tc>
          <w:tcPr>
            <w:tcW w:w="992" w:type="dxa"/>
          </w:tcPr>
          <w:p w14:paraId="42EAA61A"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3EF31E12" w14:textId="77777777" w:rsidR="00F95AF6" w:rsidRPr="001C28F5" w:rsidRDefault="00F95AF6" w:rsidP="009746A6">
            <w:pPr>
              <w:pStyle w:val="Tablebodytext"/>
              <w:keepNext w:val="0"/>
              <w:keepLines w:val="0"/>
              <w:rPr>
                <w:lang w:eastAsia="en-AU"/>
              </w:rPr>
            </w:pPr>
            <w:r w:rsidRPr="001C28F5">
              <w:rPr>
                <w:lang w:eastAsia="en-AU"/>
              </w:rPr>
              <w:t>Design of new goods or services - Quarterly</w:t>
            </w:r>
          </w:p>
        </w:tc>
        <w:tc>
          <w:tcPr>
            <w:tcW w:w="966" w:type="dxa"/>
          </w:tcPr>
          <w:p w14:paraId="0FD55E3A"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078C87B4" w14:textId="77777777" w:rsidR="00F95AF6" w:rsidRPr="001C28F5" w:rsidRDefault="00F95AF6" w:rsidP="009746A6">
            <w:pPr>
              <w:pStyle w:val="Tablebodytext"/>
              <w:keepNext w:val="0"/>
              <w:keepLines w:val="0"/>
              <w:rPr>
                <w:lang w:eastAsia="en-AU"/>
              </w:rPr>
            </w:pPr>
          </w:p>
        </w:tc>
        <w:tc>
          <w:tcPr>
            <w:tcW w:w="995" w:type="dxa"/>
            <w:vMerge/>
          </w:tcPr>
          <w:p w14:paraId="353EB372" w14:textId="77777777" w:rsidR="00F95AF6" w:rsidRPr="001C28F5" w:rsidRDefault="00F95AF6" w:rsidP="009746A6">
            <w:pPr>
              <w:pStyle w:val="Tablebodytext"/>
              <w:keepNext w:val="0"/>
              <w:keepLines w:val="0"/>
              <w:rPr>
                <w:lang w:eastAsia="en-AU"/>
              </w:rPr>
            </w:pPr>
          </w:p>
        </w:tc>
      </w:tr>
      <w:tr w:rsidR="00F95AF6" w:rsidRPr="001C28F5" w14:paraId="624BCC06" w14:textId="77777777" w:rsidTr="001371EB">
        <w:trPr>
          <w:trHeight w:val="320"/>
        </w:trPr>
        <w:tc>
          <w:tcPr>
            <w:tcW w:w="2037" w:type="dxa"/>
            <w:vMerge/>
          </w:tcPr>
          <w:p w14:paraId="0C3968A2" w14:textId="77777777" w:rsidR="00F95AF6" w:rsidRPr="001C28F5" w:rsidRDefault="00F95AF6" w:rsidP="009746A6">
            <w:pPr>
              <w:pStyle w:val="Tablebodytext"/>
              <w:keepNext w:val="0"/>
              <w:keepLines w:val="0"/>
              <w:rPr>
                <w:lang w:eastAsia="en-AU"/>
              </w:rPr>
            </w:pPr>
          </w:p>
        </w:tc>
        <w:tc>
          <w:tcPr>
            <w:tcW w:w="1082" w:type="dxa"/>
            <w:vMerge/>
          </w:tcPr>
          <w:p w14:paraId="116FC6FA" w14:textId="77777777" w:rsidR="00F95AF6" w:rsidRPr="001C28F5" w:rsidRDefault="00F95AF6" w:rsidP="009746A6">
            <w:pPr>
              <w:pStyle w:val="Tablebodytext"/>
              <w:keepNext w:val="0"/>
              <w:keepLines w:val="0"/>
              <w:rPr>
                <w:lang w:eastAsia="en-AU"/>
              </w:rPr>
            </w:pPr>
          </w:p>
        </w:tc>
        <w:tc>
          <w:tcPr>
            <w:tcW w:w="992" w:type="dxa"/>
          </w:tcPr>
          <w:p w14:paraId="08311A2C"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5EC5CA0C" w14:textId="77777777" w:rsidR="00F95AF6" w:rsidRPr="001C28F5" w:rsidRDefault="00F95AF6" w:rsidP="009746A6">
            <w:pPr>
              <w:pStyle w:val="Tablebodytext"/>
              <w:keepNext w:val="0"/>
              <w:keepLines w:val="0"/>
              <w:rPr>
                <w:lang w:eastAsia="en-AU"/>
              </w:rPr>
            </w:pPr>
            <w:r w:rsidRPr="001C28F5">
              <w:rPr>
                <w:lang w:eastAsia="en-AU"/>
              </w:rPr>
              <w:t>Design of new goods or services - Annually</w:t>
            </w:r>
          </w:p>
        </w:tc>
        <w:tc>
          <w:tcPr>
            <w:tcW w:w="966" w:type="dxa"/>
          </w:tcPr>
          <w:p w14:paraId="64E513CF"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4335EA27" w14:textId="77777777" w:rsidR="00F95AF6" w:rsidRPr="001C28F5" w:rsidRDefault="00F95AF6" w:rsidP="009746A6">
            <w:pPr>
              <w:pStyle w:val="Tablebodytext"/>
              <w:keepNext w:val="0"/>
              <w:keepLines w:val="0"/>
              <w:rPr>
                <w:lang w:eastAsia="en-AU"/>
              </w:rPr>
            </w:pPr>
          </w:p>
        </w:tc>
        <w:tc>
          <w:tcPr>
            <w:tcW w:w="995" w:type="dxa"/>
            <w:vMerge/>
          </w:tcPr>
          <w:p w14:paraId="0664C0F9" w14:textId="77777777" w:rsidR="00F95AF6" w:rsidRPr="001C28F5" w:rsidRDefault="00F95AF6" w:rsidP="009746A6">
            <w:pPr>
              <w:pStyle w:val="Tablebodytext"/>
              <w:keepNext w:val="0"/>
              <w:keepLines w:val="0"/>
              <w:rPr>
                <w:lang w:eastAsia="en-AU"/>
              </w:rPr>
            </w:pPr>
          </w:p>
        </w:tc>
      </w:tr>
      <w:tr w:rsidR="00F95AF6" w:rsidRPr="001C28F5" w14:paraId="034A97E7" w14:textId="77777777" w:rsidTr="001371EB">
        <w:trPr>
          <w:trHeight w:val="320"/>
        </w:trPr>
        <w:tc>
          <w:tcPr>
            <w:tcW w:w="2037" w:type="dxa"/>
            <w:vMerge/>
          </w:tcPr>
          <w:p w14:paraId="10DEEB88" w14:textId="77777777" w:rsidR="00F95AF6" w:rsidRPr="001C28F5" w:rsidRDefault="00F95AF6" w:rsidP="009746A6">
            <w:pPr>
              <w:pStyle w:val="Tablebodytext"/>
              <w:keepNext w:val="0"/>
              <w:keepLines w:val="0"/>
              <w:rPr>
                <w:lang w:eastAsia="en-AU"/>
              </w:rPr>
            </w:pPr>
          </w:p>
        </w:tc>
        <w:tc>
          <w:tcPr>
            <w:tcW w:w="1082" w:type="dxa"/>
            <w:vMerge/>
          </w:tcPr>
          <w:p w14:paraId="52FE82B8" w14:textId="77777777" w:rsidR="00F95AF6" w:rsidRPr="001C28F5" w:rsidRDefault="00F95AF6" w:rsidP="009746A6">
            <w:pPr>
              <w:pStyle w:val="Tablebodytext"/>
              <w:keepNext w:val="0"/>
              <w:keepLines w:val="0"/>
              <w:rPr>
                <w:lang w:eastAsia="en-AU"/>
              </w:rPr>
            </w:pPr>
          </w:p>
        </w:tc>
        <w:tc>
          <w:tcPr>
            <w:tcW w:w="992" w:type="dxa"/>
          </w:tcPr>
          <w:p w14:paraId="08E99D2C"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053F49AD" w14:textId="77777777" w:rsidR="00F95AF6" w:rsidRPr="001C28F5" w:rsidRDefault="00F95AF6" w:rsidP="009746A6">
            <w:pPr>
              <w:pStyle w:val="Tablebodytext"/>
              <w:keepNext w:val="0"/>
              <w:keepLines w:val="0"/>
              <w:rPr>
                <w:lang w:eastAsia="en-AU"/>
              </w:rPr>
            </w:pPr>
            <w:r w:rsidRPr="001C28F5">
              <w:rPr>
                <w:lang w:eastAsia="en-AU"/>
              </w:rPr>
              <w:t>Design of new goods or services - Ad hoc</w:t>
            </w:r>
          </w:p>
        </w:tc>
        <w:tc>
          <w:tcPr>
            <w:tcW w:w="966" w:type="dxa"/>
          </w:tcPr>
          <w:p w14:paraId="67FA1729"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00576B45" w14:textId="77777777" w:rsidR="00F95AF6" w:rsidRPr="001C28F5" w:rsidRDefault="00F95AF6" w:rsidP="009746A6">
            <w:pPr>
              <w:pStyle w:val="Tablebodytext"/>
              <w:keepNext w:val="0"/>
              <w:keepLines w:val="0"/>
              <w:rPr>
                <w:lang w:eastAsia="en-AU"/>
              </w:rPr>
            </w:pPr>
          </w:p>
        </w:tc>
        <w:tc>
          <w:tcPr>
            <w:tcW w:w="995" w:type="dxa"/>
            <w:vMerge/>
          </w:tcPr>
          <w:p w14:paraId="34BAF4B5" w14:textId="77777777" w:rsidR="00F95AF6" w:rsidRPr="001C28F5" w:rsidRDefault="00F95AF6" w:rsidP="009746A6">
            <w:pPr>
              <w:pStyle w:val="Tablebodytext"/>
              <w:keepNext w:val="0"/>
              <w:keepLines w:val="0"/>
              <w:rPr>
                <w:lang w:eastAsia="en-AU"/>
              </w:rPr>
            </w:pPr>
          </w:p>
        </w:tc>
      </w:tr>
      <w:tr w:rsidR="00F95AF6" w:rsidRPr="001C28F5" w14:paraId="1A490A33" w14:textId="77777777" w:rsidTr="001371EB">
        <w:trPr>
          <w:trHeight w:val="280"/>
        </w:trPr>
        <w:tc>
          <w:tcPr>
            <w:tcW w:w="2037" w:type="dxa"/>
            <w:vMerge w:val="restart"/>
          </w:tcPr>
          <w:p w14:paraId="5FB23A1B" w14:textId="77777777" w:rsidR="00F95AF6" w:rsidRPr="001C28F5" w:rsidRDefault="00F95AF6" w:rsidP="009746A6">
            <w:pPr>
              <w:pStyle w:val="Tablebodytext"/>
              <w:keepNext w:val="0"/>
              <w:keepLines w:val="0"/>
              <w:rPr>
                <w:lang w:eastAsia="en-AU"/>
              </w:rPr>
            </w:pPr>
            <w:r w:rsidRPr="001C28F5">
              <w:rPr>
                <w:lang w:eastAsia="en-AU"/>
              </w:rPr>
              <w:t xml:space="preserve">20.2 How frequently were each of the following activities influenced by data analysis at this business? </w:t>
            </w:r>
          </w:p>
          <w:p w14:paraId="536BF8B3" w14:textId="77777777" w:rsidR="00F95AF6" w:rsidRPr="001C28F5" w:rsidRDefault="00F95AF6" w:rsidP="009746A6">
            <w:pPr>
              <w:pStyle w:val="Tablebodytext"/>
              <w:keepNext w:val="0"/>
              <w:keepLines w:val="0"/>
              <w:rPr>
                <w:lang w:eastAsia="en-AU"/>
              </w:rPr>
            </w:pPr>
          </w:p>
        </w:tc>
        <w:tc>
          <w:tcPr>
            <w:tcW w:w="1082" w:type="dxa"/>
            <w:vMerge w:val="restart"/>
          </w:tcPr>
          <w:p w14:paraId="7030C22B" w14:textId="77777777" w:rsidR="00F95AF6" w:rsidRPr="0064751A" w:rsidRDefault="00F95AF6" w:rsidP="009746A6">
            <w:pPr>
              <w:pStyle w:val="Tablebodytext"/>
              <w:keepNext w:val="0"/>
              <w:keepLines w:val="0"/>
              <w:rPr>
                <w:lang w:eastAsia="en-AU"/>
              </w:rPr>
            </w:pPr>
            <w:r w:rsidRPr="0064751A">
              <w:rPr>
                <w:lang w:eastAsia="en-AU"/>
              </w:rPr>
              <w:t>List scaled</w:t>
            </w:r>
          </w:p>
          <w:p w14:paraId="1995CEFB" w14:textId="77777777" w:rsidR="00F95AF6" w:rsidRPr="001C28F5" w:rsidRDefault="00F95AF6" w:rsidP="009746A6">
            <w:pPr>
              <w:pStyle w:val="Tablebodytext"/>
              <w:keepNext w:val="0"/>
              <w:keepLines w:val="0"/>
              <w:rPr>
                <w:lang w:eastAsia="en-AU"/>
              </w:rPr>
            </w:pPr>
          </w:p>
        </w:tc>
        <w:tc>
          <w:tcPr>
            <w:tcW w:w="992" w:type="dxa"/>
          </w:tcPr>
          <w:p w14:paraId="23322144"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5532FC60" w14:textId="77777777" w:rsidR="00F95AF6" w:rsidRPr="001C28F5" w:rsidRDefault="00F95AF6" w:rsidP="009746A6">
            <w:pPr>
              <w:pStyle w:val="Tablebodytext"/>
              <w:keepNext w:val="0"/>
              <w:keepLines w:val="0"/>
              <w:rPr>
                <w:lang w:eastAsia="en-AU"/>
              </w:rPr>
            </w:pPr>
            <w:r w:rsidRPr="001C28F5">
              <w:rPr>
                <w:lang w:eastAsia="en-AU"/>
              </w:rPr>
              <w:t>Demand forecasting - Not at all</w:t>
            </w:r>
          </w:p>
        </w:tc>
        <w:tc>
          <w:tcPr>
            <w:tcW w:w="966" w:type="dxa"/>
          </w:tcPr>
          <w:p w14:paraId="2008E471"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1030764E" w14:textId="77777777" w:rsidR="00F95AF6" w:rsidRPr="001C28F5" w:rsidRDefault="00F95AF6" w:rsidP="009746A6">
            <w:pPr>
              <w:pStyle w:val="Tablebodytext"/>
              <w:keepNext w:val="0"/>
              <w:keepLines w:val="0"/>
              <w:rPr>
                <w:lang w:eastAsia="en-AU"/>
              </w:rPr>
            </w:pPr>
            <w:r w:rsidRPr="001C28F5">
              <w:rPr>
                <w:lang w:eastAsia="en-AU"/>
              </w:rPr>
              <w:t>Monitoring</w:t>
            </w:r>
          </w:p>
        </w:tc>
        <w:tc>
          <w:tcPr>
            <w:tcW w:w="995" w:type="dxa"/>
            <w:vMerge w:val="restart"/>
          </w:tcPr>
          <w:p w14:paraId="2E374B1B" w14:textId="77777777" w:rsidR="00F95AF6" w:rsidRPr="001C28F5" w:rsidRDefault="00F95AF6" w:rsidP="009746A6">
            <w:pPr>
              <w:pStyle w:val="Tablebodytext"/>
              <w:keepNext w:val="0"/>
              <w:keepLines w:val="0"/>
              <w:rPr>
                <w:lang w:eastAsia="en-AU"/>
              </w:rPr>
            </w:pPr>
            <w:r w:rsidRPr="001C28F5">
              <w:rPr>
                <w:lang w:eastAsia="en-AU"/>
              </w:rPr>
              <w:t>0.546</w:t>
            </w:r>
          </w:p>
        </w:tc>
      </w:tr>
      <w:tr w:rsidR="00F95AF6" w:rsidRPr="001C28F5" w14:paraId="4B6DA77F" w14:textId="77777777" w:rsidTr="001371EB">
        <w:trPr>
          <w:trHeight w:val="320"/>
        </w:trPr>
        <w:tc>
          <w:tcPr>
            <w:tcW w:w="2037" w:type="dxa"/>
            <w:vMerge/>
          </w:tcPr>
          <w:p w14:paraId="7F1913A0" w14:textId="77777777" w:rsidR="00F95AF6" w:rsidRPr="001C28F5" w:rsidRDefault="00F95AF6" w:rsidP="009746A6">
            <w:pPr>
              <w:pStyle w:val="Tablebodytext"/>
              <w:keepNext w:val="0"/>
              <w:keepLines w:val="0"/>
              <w:rPr>
                <w:lang w:eastAsia="en-AU"/>
              </w:rPr>
            </w:pPr>
          </w:p>
        </w:tc>
        <w:tc>
          <w:tcPr>
            <w:tcW w:w="1082" w:type="dxa"/>
            <w:vMerge/>
          </w:tcPr>
          <w:p w14:paraId="0012DDCF" w14:textId="77777777" w:rsidR="00F95AF6" w:rsidRPr="001C28F5" w:rsidRDefault="00F95AF6" w:rsidP="009746A6">
            <w:pPr>
              <w:pStyle w:val="Tablebodytext"/>
              <w:keepNext w:val="0"/>
              <w:keepLines w:val="0"/>
              <w:rPr>
                <w:lang w:eastAsia="en-AU"/>
              </w:rPr>
            </w:pPr>
          </w:p>
        </w:tc>
        <w:tc>
          <w:tcPr>
            <w:tcW w:w="992" w:type="dxa"/>
          </w:tcPr>
          <w:p w14:paraId="6ED40B43"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57C10AF7" w14:textId="77777777" w:rsidR="00F95AF6" w:rsidRPr="001C28F5" w:rsidRDefault="00F95AF6" w:rsidP="009746A6">
            <w:pPr>
              <w:pStyle w:val="Tablebodytext"/>
              <w:keepNext w:val="0"/>
              <w:keepLines w:val="0"/>
              <w:rPr>
                <w:lang w:eastAsia="en-AU"/>
              </w:rPr>
            </w:pPr>
            <w:r w:rsidRPr="001C28F5">
              <w:rPr>
                <w:lang w:eastAsia="en-AU"/>
              </w:rPr>
              <w:t>Demand forecasting - Daily</w:t>
            </w:r>
          </w:p>
        </w:tc>
        <w:tc>
          <w:tcPr>
            <w:tcW w:w="966" w:type="dxa"/>
          </w:tcPr>
          <w:p w14:paraId="23CE9680"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47706E23" w14:textId="77777777" w:rsidR="00F95AF6" w:rsidRPr="001C28F5" w:rsidRDefault="00F95AF6" w:rsidP="009746A6">
            <w:pPr>
              <w:pStyle w:val="Tablebodytext"/>
              <w:keepNext w:val="0"/>
              <w:keepLines w:val="0"/>
              <w:rPr>
                <w:lang w:eastAsia="en-AU"/>
              </w:rPr>
            </w:pPr>
          </w:p>
        </w:tc>
        <w:tc>
          <w:tcPr>
            <w:tcW w:w="995" w:type="dxa"/>
            <w:vMerge/>
          </w:tcPr>
          <w:p w14:paraId="3F3E130D" w14:textId="77777777" w:rsidR="00F95AF6" w:rsidRPr="001C28F5" w:rsidRDefault="00F95AF6" w:rsidP="009746A6">
            <w:pPr>
              <w:pStyle w:val="Tablebodytext"/>
              <w:keepNext w:val="0"/>
              <w:keepLines w:val="0"/>
              <w:rPr>
                <w:lang w:eastAsia="en-AU"/>
              </w:rPr>
            </w:pPr>
          </w:p>
        </w:tc>
      </w:tr>
      <w:tr w:rsidR="00F95AF6" w:rsidRPr="001C28F5" w14:paraId="7ECE83E7" w14:textId="77777777" w:rsidTr="001371EB">
        <w:trPr>
          <w:trHeight w:val="320"/>
        </w:trPr>
        <w:tc>
          <w:tcPr>
            <w:tcW w:w="2037" w:type="dxa"/>
            <w:vMerge/>
          </w:tcPr>
          <w:p w14:paraId="48BFA1CE" w14:textId="77777777" w:rsidR="00F95AF6" w:rsidRPr="001C28F5" w:rsidRDefault="00F95AF6" w:rsidP="009746A6">
            <w:pPr>
              <w:pStyle w:val="Tablebodytext"/>
              <w:keepNext w:val="0"/>
              <w:keepLines w:val="0"/>
              <w:rPr>
                <w:lang w:eastAsia="en-AU"/>
              </w:rPr>
            </w:pPr>
          </w:p>
        </w:tc>
        <w:tc>
          <w:tcPr>
            <w:tcW w:w="1082" w:type="dxa"/>
            <w:vMerge/>
          </w:tcPr>
          <w:p w14:paraId="7AAF4089" w14:textId="77777777" w:rsidR="00F95AF6" w:rsidRPr="001C28F5" w:rsidRDefault="00F95AF6" w:rsidP="009746A6">
            <w:pPr>
              <w:pStyle w:val="Tablebodytext"/>
              <w:keepNext w:val="0"/>
              <w:keepLines w:val="0"/>
              <w:rPr>
                <w:lang w:eastAsia="en-AU"/>
              </w:rPr>
            </w:pPr>
          </w:p>
        </w:tc>
        <w:tc>
          <w:tcPr>
            <w:tcW w:w="992" w:type="dxa"/>
          </w:tcPr>
          <w:p w14:paraId="304BCCC5"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66FB64ED" w14:textId="77777777" w:rsidR="00F95AF6" w:rsidRPr="001C28F5" w:rsidRDefault="00F95AF6" w:rsidP="009746A6">
            <w:pPr>
              <w:pStyle w:val="Tablebodytext"/>
              <w:keepNext w:val="0"/>
              <w:keepLines w:val="0"/>
              <w:rPr>
                <w:lang w:eastAsia="en-AU"/>
              </w:rPr>
            </w:pPr>
            <w:r w:rsidRPr="001C28F5">
              <w:rPr>
                <w:lang w:eastAsia="en-AU"/>
              </w:rPr>
              <w:t>Demand forecasting - Weekly</w:t>
            </w:r>
          </w:p>
        </w:tc>
        <w:tc>
          <w:tcPr>
            <w:tcW w:w="966" w:type="dxa"/>
          </w:tcPr>
          <w:p w14:paraId="555BBD40"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3B782255" w14:textId="77777777" w:rsidR="00F95AF6" w:rsidRPr="001C28F5" w:rsidRDefault="00F95AF6" w:rsidP="009746A6">
            <w:pPr>
              <w:pStyle w:val="Tablebodytext"/>
              <w:keepNext w:val="0"/>
              <w:keepLines w:val="0"/>
              <w:rPr>
                <w:lang w:eastAsia="en-AU"/>
              </w:rPr>
            </w:pPr>
          </w:p>
        </w:tc>
        <w:tc>
          <w:tcPr>
            <w:tcW w:w="995" w:type="dxa"/>
            <w:vMerge/>
          </w:tcPr>
          <w:p w14:paraId="0AC9E7CE" w14:textId="77777777" w:rsidR="00F95AF6" w:rsidRPr="001C28F5" w:rsidRDefault="00F95AF6" w:rsidP="009746A6">
            <w:pPr>
              <w:pStyle w:val="Tablebodytext"/>
              <w:keepNext w:val="0"/>
              <w:keepLines w:val="0"/>
              <w:rPr>
                <w:lang w:eastAsia="en-AU"/>
              </w:rPr>
            </w:pPr>
          </w:p>
        </w:tc>
      </w:tr>
      <w:tr w:rsidR="00F95AF6" w:rsidRPr="001C28F5" w14:paraId="7E8B9240" w14:textId="77777777" w:rsidTr="001371EB">
        <w:trPr>
          <w:trHeight w:val="320"/>
        </w:trPr>
        <w:tc>
          <w:tcPr>
            <w:tcW w:w="2037" w:type="dxa"/>
            <w:vMerge/>
          </w:tcPr>
          <w:p w14:paraId="53A72C5A" w14:textId="77777777" w:rsidR="00F95AF6" w:rsidRPr="001C28F5" w:rsidRDefault="00F95AF6" w:rsidP="009746A6">
            <w:pPr>
              <w:pStyle w:val="Tablebodytext"/>
              <w:keepNext w:val="0"/>
              <w:keepLines w:val="0"/>
              <w:rPr>
                <w:lang w:eastAsia="en-AU"/>
              </w:rPr>
            </w:pPr>
          </w:p>
        </w:tc>
        <w:tc>
          <w:tcPr>
            <w:tcW w:w="1082" w:type="dxa"/>
            <w:vMerge/>
          </w:tcPr>
          <w:p w14:paraId="4F5D6737" w14:textId="77777777" w:rsidR="00F95AF6" w:rsidRPr="001C28F5" w:rsidRDefault="00F95AF6" w:rsidP="009746A6">
            <w:pPr>
              <w:pStyle w:val="Tablebodytext"/>
              <w:keepNext w:val="0"/>
              <w:keepLines w:val="0"/>
              <w:rPr>
                <w:lang w:eastAsia="en-AU"/>
              </w:rPr>
            </w:pPr>
          </w:p>
        </w:tc>
        <w:tc>
          <w:tcPr>
            <w:tcW w:w="992" w:type="dxa"/>
          </w:tcPr>
          <w:p w14:paraId="4D4D7FBF"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312AA944" w14:textId="77777777" w:rsidR="00F95AF6" w:rsidRPr="001C28F5" w:rsidRDefault="00F95AF6" w:rsidP="009746A6">
            <w:pPr>
              <w:pStyle w:val="Tablebodytext"/>
              <w:keepNext w:val="0"/>
              <w:keepLines w:val="0"/>
              <w:rPr>
                <w:lang w:eastAsia="en-AU"/>
              </w:rPr>
            </w:pPr>
            <w:r w:rsidRPr="001C28F5">
              <w:rPr>
                <w:lang w:eastAsia="en-AU"/>
              </w:rPr>
              <w:t>Demand forecasting - Monthly</w:t>
            </w:r>
          </w:p>
        </w:tc>
        <w:tc>
          <w:tcPr>
            <w:tcW w:w="966" w:type="dxa"/>
          </w:tcPr>
          <w:p w14:paraId="4CAC583D"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0AC20164" w14:textId="77777777" w:rsidR="00F95AF6" w:rsidRPr="001C28F5" w:rsidRDefault="00F95AF6" w:rsidP="009746A6">
            <w:pPr>
              <w:pStyle w:val="Tablebodytext"/>
              <w:keepNext w:val="0"/>
              <w:keepLines w:val="0"/>
              <w:rPr>
                <w:lang w:eastAsia="en-AU"/>
              </w:rPr>
            </w:pPr>
          </w:p>
        </w:tc>
        <w:tc>
          <w:tcPr>
            <w:tcW w:w="995" w:type="dxa"/>
            <w:vMerge/>
          </w:tcPr>
          <w:p w14:paraId="4FBC1C04" w14:textId="77777777" w:rsidR="00F95AF6" w:rsidRPr="001C28F5" w:rsidRDefault="00F95AF6" w:rsidP="009746A6">
            <w:pPr>
              <w:pStyle w:val="Tablebodytext"/>
              <w:keepNext w:val="0"/>
              <w:keepLines w:val="0"/>
              <w:rPr>
                <w:lang w:eastAsia="en-AU"/>
              </w:rPr>
            </w:pPr>
          </w:p>
        </w:tc>
      </w:tr>
      <w:tr w:rsidR="00F95AF6" w:rsidRPr="001C28F5" w14:paraId="3C7C59F9" w14:textId="77777777" w:rsidTr="001371EB">
        <w:trPr>
          <w:trHeight w:val="320"/>
        </w:trPr>
        <w:tc>
          <w:tcPr>
            <w:tcW w:w="2037" w:type="dxa"/>
            <w:vMerge/>
          </w:tcPr>
          <w:p w14:paraId="4B76A86C" w14:textId="77777777" w:rsidR="00F95AF6" w:rsidRPr="001C28F5" w:rsidRDefault="00F95AF6" w:rsidP="009746A6">
            <w:pPr>
              <w:pStyle w:val="Tablebodytext"/>
              <w:keepNext w:val="0"/>
              <w:keepLines w:val="0"/>
              <w:rPr>
                <w:lang w:eastAsia="en-AU"/>
              </w:rPr>
            </w:pPr>
          </w:p>
        </w:tc>
        <w:tc>
          <w:tcPr>
            <w:tcW w:w="1082" w:type="dxa"/>
            <w:vMerge/>
          </w:tcPr>
          <w:p w14:paraId="222804CA" w14:textId="77777777" w:rsidR="00F95AF6" w:rsidRPr="001C28F5" w:rsidRDefault="00F95AF6" w:rsidP="009746A6">
            <w:pPr>
              <w:pStyle w:val="Tablebodytext"/>
              <w:keepNext w:val="0"/>
              <w:keepLines w:val="0"/>
              <w:rPr>
                <w:lang w:eastAsia="en-AU"/>
              </w:rPr>
            </w:pPr>
          </w:p>
        </w:tc>
        <w:tc>
          <w:tcPr>
            <w:tcW w:w="992" w:type="dxa"/>
          </w:tcPr>
          <w:p w14:paraId="744C6CC8"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32F625B9" w14:textId="77777777" w:rsidR="00F95AF6" w:rsidRPr="001C28F5" w:rsidRDefault="00F95AF6" w:rsidP="009746A6">
            <w:pPr>
              <w:pStyle w:val="Tablebodytext"/>
              <w:keepNext w:val="0"/>
              <w:keepLines w:val="0"/>
              <w:rPr>
                <w:lang w:eastAsia="en-AU"/>
              </w:rPr>
            </w:pPr>
            <w:r w:rsidRPr="001C28F5">
              <w:rPr>
                <w:lang w:eastAsia="en-AU"/>
              </w:rPr>
              <w:t>Demand forecasting - Quarterly</w:t>
            </w:r>
          </w:p>
        </w:tc>
        <w:tc>
          <w:tcPr>
            <w:tcW w:w="966" w:type="dxa"/>
          </w:tcPr>
          <w:p w14:paraId="281207CB"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56C1CB90" w14:textId="77777777" w:rsidR="00F95AF6" w:rsidRPr="001C28F5" w:rsidRDefault="00F95AF6" w:rsidP="009746A6">
            <w:pPr>
              <w:pStyle w:val="Tablebodytext"/>
              <w:keepNext w:val="0"/>
              <w:keepLines w:val="0"/>
              <w:rPr>
                <w:lang w:eastAsia="en-AU"/>
              </w:rPr>
            </w:pPr>
          </w:p>
        </w:tc>
        <w:tc>
          <w:tcPr>
            <w:tcW w:w="995" w:type="dxa"/>
            <w:vMerge/>
          </w:tcPr>
          <w:p w14:paraId="63AB44D4" w14:textId="77777777" w:rsidR="00F95AF6" w:rsidRPr="001C28F5" w:rsidRDefault="00F95AF6" w:rsidP="009746A6">
            <w:pPr>
              <w:pStyle w:val="Tablebodytext"/>
              <w:keepNext w:val="0"/>
              <w:keepLines w:val="0"/>
              <w:rPr>
                <w:lang w:eastAsia="en-AU"/>
              </w:rPr>
            </w:pPr>
          </w:p>
        </w:tc>
      </w:tr>
      <w:tr w:rsidR="00F95AF6" w:rsidRPr="001C28F5" w14:paraId="425E4F18" w14:textId="77777777" w:rsidTr="001371EB">
        <w:trPr>
          <w:trHeight w:val="320"/>
        </w:trPr>
        <w:tc>
          <w:tcPr>
            <w:tcW w:w="2037" w:type="dxa"/>
            <w:vMerge/>
          </w:tcPr>
          <w:p w14:paraId="099480F3" w14:textId="77777777" w:rsidR="00F95AF6" w:rsidRPr="001C28F5" w:rsidRDefault="00F95AF6" w:rsidP="009746A6">
            <w:pPr>
              <w:pStyle w:val="Tablebodytext"/>
              <w:keepNext w:val="0"/>
              <w:keepLines w:val="0"/>
              <w:rPr>
                <w:lang w:eastAsia="en-AU"/>
              </w:rPr>
            </w:pPr>
          </w:p>
        </w:tc>
        <w:tc>
          <w:tcPr>
            <w:tcW w:w="1082" w:type="dxa"/>
            <w:vMerge/>
          </w:tcPr>
          <w:p w14:paraId="21239570" w14:textId="77777777" w:rsidR="00F95AF6" w:rsidRPr="001C28F5" w:rsidRDefault="00F95AF6" w:rsidP="009746A6">
            <w:pPr>
              <w:pStyle w:val="Tablebodytext"/>
              <w:keepNext w:val="0"/>
              <w:keepLines w:val="0"/>
              <w:rPr>
                <w:lang w:eastAsia="en-AU"/>
              </w:rPr>
            </w:pPr>
          </w:p>
        </w:tc>
        <w:tc>
          <w:tcPr>
            <w:tcW w:w="992" w:type="dxa"/>
          </w:tcPr>
          <w:p w14:paraId="6D28B523"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4DB9FC8B" w14:textId="77777777" w:rsidR="00F95AF6" w:rsidRPr="001C28F5" w:rsidRDefault="00F95AF6" w:rsidP="009746A6">
            <w:pPr>
              <w:pStyle w:val="Tablebodytext"/>
              <w:keepNext w:val="0"/>
              <w:keepLines w:val="0"/>
              <w:rPr>
                <w:lang w:eastAsia="en-AU"/>
              </w:rPr>
            </w:pPr>
            <w:r w:rsidRPr="001C28F5">
              <w:rPr>
                <w:lang w:eastAsia="en-AU"/>
              </w:rPr>
              <w:t>Demand forecasting - Annually</w:t>
            </w:r>
          </w:p>
        </w:tc>
        <w:tc>
          <w:tcPr>
            <w:tcW w:w="966" w:type="dxa"/>
          </w:tcPr>
          <w:p w14:paraId="731A5202"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53C91E0C" w14:textId="77777777" w:rsidR="00F95AF6" w:rsidRPr="001C28F5" w:rsidRDefault="00F95AF6" w:rsidP="009746A6">
            <w:pPr>
              <w:pStyle w:val="Tablebodytext"/>
              <w:keepNext w:val="0"/>
              <w:keepLines w:val="0"/>
              <w:rPr>
                <w:lang w:eastAsia="en-AU"/>
              </w:rPr>
            </w:pPr>
          </w:p>
        </w:tc>
        <w:tc>
          <w:tcPr>
            <w:tcW w:w="995" w:type="dxa"/>
            <w:vMerge/>
          </w:tcPr>
          <w:p w14:paraId="65928DFF" w14:textId="77777777" w:rsidR="00F95AF6" w:rsidRPr="001C28F5" w:rsidRDefault="00F95AF6" w:rsidP="009746A6">
            <w:pPr>
              <w:pStyle w:val="Tablebodytext"/>
              <w:keepNext w:val="0"/>
              <w:keepLines w:val="0"/>
              <w:rPr>
                <w:lang w:eastAsia="en-AU"/>
              </w:rPr>
            </w:pPr>
          </w:p>
        </w:tc>
      </w:tr>
      <w:tr w:rsidR="00F95AF6" w:rsidRPr="001C28F5" w14:paraId="2DF73CFD" w14:textId="77777777" w:rsidTr="001371EB">
        <w:trPr>
          <w:trHeight w:val="320"/>
        </w:trPr>
        <w:tc>
          <w:tcPr>
            <w:tcW w:w="2037" w:type="dxa"/>
            <w:vMerge/>
          </w:tcPr>
          <w:p w14:paraId="370D354B" w14:textId="77777777" w:rsidR="00F95AF6" w:rsidRPr="001C28F5" w:rsidRDefault="00F95AF6" w:rsidP="009746A6">
            <w:pPr>
              <w:pStyle w:val="Tablebodytext"/>
              <w:keepNext w:val="0"/>
              <w:keepLines w:val="0"/>
              <w:rPr>
                <w:lang w:eastAsia="en-AU"/>
              </w:rPr>
            </w:pPr>
          </w:p>
        </w:tc>
        <w:tc>
          <w:tcPr>
            <w:tcW w:w="1082" w:type="dxa"/>
            <w:vMerge/>
          </w:tcPr>
          <w:p w14:paraId="10C25577" w14:textId="77777777" w:rsidR="00F95AF6" w:rsidRPr="001C28F5" w:rsidRDefault="00F95AF6" w:rsidP="009746A6">
            <w:pPr>
              <w:pStyle w:val="Tablebodytext"/>
              <w:keepNext w:val="0"/>
              <w:keepLines w:val="0"/>
              <w:rPr>
                <w:lang w:eastAsia="en-AU"/>
              </w:rPr>
            </w:pPr>
          </w:p>
        </w:tc>
        <w:tc>
          <w:tcPr>
            <w:tcW w:w="992" w:type="dxa"/>
          </w:tcPr>
          <w:p w14:paraId="0A557A32"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0C3D79FA" w14:textId="77777777" w:rsidR="00F95AF6" w:rsidRPr="001C28F5" w:rsidRDefault="00F95AF6" w:rsidP="009746A6">
            <w:pPr>
              <w:pStyle w:val="Tablebodytext"/>
              <w:keepNext w:val="0"/>
              <w:keepLines w:val="0"/>
              <w:rPr>
                <w:lang w:eastAsia="en-AU"/>
              </w:rPr>
            </w:pPr>
            <w:r w:rsidRPr="001C28F5">
              <w:rPr>
                <w:lang w:eastAsia="en-AU"/>
              </w:rPr>
              <w:t>Demand forecasting - Ad hoc</w:t>
            </w:r>
          </w:p>
        </w:tc>
        <w:tc>
          <w:tcPr>
            <w:tcW w:w="966" w:type="dxa"/>
          </w:tcPr>
          <w:p w14:paraId="2D7D2CEF"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3631A0BF" w14:textId="77777777" w:rsidR="00F95AF6" w:rsidRPr="001C28F5" w:rsidRDefault="00F95AF6" w:rsidP="009746A6">
            <w:pPr>
              <w:pStyle w:val="Tablebodytext"/>
              <w:keepNext w:val="0"/>
              <w:keepLines w:val="0"/>
              <w:rPr>
                <w:lang w:eastAsia="en-AU"/>
              </w:rPr>
            </w:pPr>
          </w:p>
        </w:tc>
        <w:tc>
          <w:tcPr>
            <w:tcW w:w="995" w:type="dxa"/>
            <w:vMerge/>
          </w:tcPr>
          <w:p w14:paraId="28F083A6" w14:textId="77777777" w:rsidR="00F95AF6" w:rsidRPr="001C28F5" w:rsidRDefault="00F95AF6" w:rsidP="009746A6">
            <w:pPr>
              <w:pStyle w:val="Tablebodytext"/>
              <w:keepNext w:val="0"/>
              <w:keepLines w:val="0"/>
              <w:rPr>
                <w:lang w:eastAsia="en-AU"/>
              </w:rPr>
            </w:pPr>
          </w:p>
        </w:tc>
      </w:tr>
      <w:tr w:rsidR="00F95AF6" w:rsidRPr="001C28F5" w14:paraId="788402FD" w14:textId="77777777" w:rsidTr="001371EB">
        <w:trPr>
          <w:trHeight w:val="260"/>
        </w:trPr>
        <w:tc>
          <w:tcPr>
            <w:tcW w:w="2037" w:type="dxa"/>
            <w:vMerge w:val="restart"/>
          </w:tcPr>
          <w:p w14:paraId="00EB8CE8" w14:textId="77777777" w:rsidR="00F95AF6" w:rsidRPr="001C28F5" w:rsidRDefault="00F95AF6" w:rsidP="009746A6">
            <w:pPr>
              <w:pStyle w:val="Tablebodytext"/>
              <w:keepNext w:val="0"/>
              <w:keepLines w:val="0"/>
              <w:rPr>
                <w:lang w:eastAsia="en-AU"/>
              </w:rPr>
            </w:pPr>
            <w:r w:rsidRPr="001C28F5">
              <w:rPr>
                <w:lang w:eastAsia="en-AU"/>
              </w:rPr>
              <w:lastRenderedPageBreak/>
              <w:t xml:space="preserve">20.3 How frequently were each of the following activities influenced by data analysis at this business? </w:t>
            </w:r>
          </w:p>
          <w:p w14:paraId="67894F56" w14:textId="77777777" w:rsidR="00F95AF6" w:rsidRPr="001C28F5" w:rsidRDefault="00F95AF6" w:rsidP="009746A6">
            <w:pPr>
              <w:pStyle w:val="Tablebodytext"/>
              <w:keepNext w:val="0"/>
              <w:keepLines w:val="0"/>
              <w:rPr>
                <w:lang w:eastAsia="en-AU"/>
              </w:rPr>
            </w:pPr>
          </w:p>
        </w:tc>
        <w:tc>
          <w:tcPr>
            <w:tcW w:w="1082" w:type="dxa"/>
            <w:vMerge w:val="restart"/>
          </w:tcPr>
          <w:p w14:paraId="19B572C8" w14:textId="77777777" w:rsidR="00F95AF6" w:rsidRPr="0064751A" w:rsidRDefault="00F95AF6" w:rsidP="009746A6">
            <w:pPr>
              <w:pStyle w:val="Tablebodytext"/>
              <w:keepNext w:val="0"/>
              <w:keepLines w:val="0"/>
              <w:rPr>
                <w:lang w:eastAsia="en-AU"/>
              </w:rPr>
            </w:pPr>
            <w:r w:rsidRPr="0064751A">
              <w:rPr>
                <w:lang w:eastAsia="en-AU"/>
              </w:rPr>
              <w:t>List scaled</w:t>
            </w:r>
          </w:p>
          <w:p w14:paraId="61012E1B" w14:textId="77777777" w:rsidR="00F95AF6" w:rsidRPr="001C28F5" w:rsidRDefault="00F95AF6" w:rsidP="009746A6">
            <w:pPr>
              <w:pStyle w:val="Tablebodytext"/>
              <w:keepNext w:val="0"/>
              <w:keepLines w:val="0"/>
              <w:rPr>
                <w:lang w:eastAsia="en-AU"/>
              </w:rPr>
            </w:pPr>
          </w:p>
        </w:tc>
        <w:tc>
          <w:tcPr>
            <w:tcW w:w="992" w:type="dxa"/>
          </w:tcPr>
          <w:p w14:paraId="0552BEA5"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52686495" w14:textId="77777777" w:rsidR="00F95AF6" w:rsidRPr="001C28F5" w:rsidRDefault="00F95AF6" w:rsidP="009746A6">
            <w:pPr>
              <w:pStyle w:val="Tablebodytext"/>
              <w:keepNext w:val="0"/>
              <w:keepLines w:val="0"/>
              <w:rPr>
                <w:lang w:eastAsia="en-AU"/>
              </w:rPr>
            </w:pPr>
            <w:r w:rsidRPr="001C28F5">
              <w:rPr>
                <w:lang w:eastAsia="en-AU"/>
              </w:rPr>
              <w:t>Supply chain management - Not at all</w:t>
            </w:r>
          </w:p>
        </w:tc>
        <w:tc>
          <w:tcPr>
            <w:tcW w:w="966" w:type="dxa"/>
          </w:tcPr>
          <w:p w14:paraId="09E77B27"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106C448A" w14:textId="77777777" w:rsidR="00F95AF6" w:rsidRPr="001C28F5" w:rsidRDefault="00F95AF6" w:rsidP="009746A6">
            <w:pPr>
              <w:pStyle w:val="Tablebodytext"/>
              <w:keepNext w:val="0"/>
              <w:keepLines w:val="0"/>
              <w:rPr>
                <w:lang w:eastAsia="en-AU"/>
              </w:rPr>
            </w:pPr>
            <w:r w:rsidRPr="001C28F5">
              <w:rPr>
                <w:lang w:eastAsia="en-AU"/>
              </w:rPr>
              <w:t>Monitoring</w:t>
            </w:r>
          </w:p>
        </w:tc>
        <w:tc>
          <w:tcPr>
            <w:tcW w:w="995" w:type="dxa"/>
            <w:vMerge w:val="restart"/>
          </w:tcPr>
          <w:p w14:paraId="248E0C8B" w14:textId="77777777" w:rsidR="00F95AF6" w:rsidRPr="001C28F5" w:rsidRDefault="00F95AF6" w:rsidP="009746A6">
            <w:pPr>
              <w:pStyle w:val="Tablebodytext"/>
              <w:keepNext w:val="0"/>
              <w:keepLines w:val="0"/>
              <w:rPr>
                <w:lang w:eastAsia="en-AU"/>
              </w:rPr>
            </w:pPr>
            <w:r w:rsidRPr="001C28F5">
              <w:rPr>
                <w:lang w:eastAsia="en-AU"/>
              </w:rPr>
              <w:t>0.457</w:t>
            </w:r>
          </w:p>
        </w:tc>
      </w:tr>
      <w:tr w:rsidR="00F95AF6" w:rsidRPr="001C28F5" w14:paraId="188A1F3B" w14:textId="77777777" w:rsidTr="001371EB">
        <w:trPr>
          <w:trHeight w:val="320"/>
        </w:trPr>
        <w:tc>
          <w:tcPr>
            <w:tcW w:w="2037" w:type="dxa"/>
            <w:vMerge/>
          </w:tcPr>
          <w:p w14:paraId="7B73A396" w14:textId="77777777" w:rsidR="00F95AF6" w:rsidRPr="001C28F5" w:rsidRDefault="00F95AF6" w:rsidP="009746A6">
            <w:pPr>
              <w:pStyle w:val="Tablebodytext"/>
              <w:keepNext w:val="0"/>
              <w:keepLines w:val="0"/>
              <w:rPr>
                <w:lang w:eastAsia="en-AU"/>
              </w:rPr>
            </w:pPr>
          </w:p>
        </w:tc>
        <w:tc>
          <w:tcPr>
            <w:tcW w:w="1082" w:type="dxa"/>
            <w:vMerge/>
          </w:tcPr>
          <w:p w14:paraId="1E579F1D" w14:textId="77777777" w:rsidR="00F95AF6" w:rsidRPr="001C28F5" w:rsidRDefault="00F95AF6" w:rsidP="009746A6">
            <w:pPr>
              <w:pStyle w:val="Tablebodytext"/>
              <w:keepNext w:val="0"/>
              <w:keepLines w:val="0"/>
              <w:rPr>
                <w:lang w:eastAsia="en-AU"/>
              </w:rPr>
            </w:pPr>
          </w:p>
        </w:tc>
        <w:tc>
          <w:tcPr>
            <w:tcW w:w="992" w:type="dxa"/>
          </w:tcPr>
          <w:p w14:paraId="227FEB7C"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2079C69F" w14:textId="77777777" w:rsidR="00F95AF6" w:rsidRPr="001C28F5" w:rsidRDefault="00F95AF6" w:rsidP="009746A6">
            <w:pPr>
              <w:pStyle w:val="Tablebodytext"/>
              <w:keepNext w:val="0"/>
              <w:keepLines w:val="0"/>
              <w:rPr>
                <w:lang w:eastAsia="en-AU"/>
              </w:rPr>
            </w:pPr>
            <w:r w:rsidRPr="001C28F5">
              <w:rPr>
                <w:lang w:eastAsia="en-AU"/>
              </w:rPr>
              <w:t>Supply chain management - Daily</w:t>
            </w:r>
          </w:p>
        </w:tc>
        <w:tc>
          <w:tcPr>
            <w:tcW w:w="966" w:type="dxa"/>
          </w:tcPr>
          <w:p w14:paraId="7AC57BAE"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0526ABB7" w14:textId="77777777" w:rsidR="00F95AF6" w:rsidRPr="001C28F5" w:rsidRDefault="00F95AF6" w:rsidP="009746A6">
            <w:pPr>
              <w:pStyle w:val="Tablebodytext"/>
              <w:keepNext w:val="0"/>
              <w:keepLines w:val="0"/>
              <w:rPr>
                <w:lang w:eastAsia="en-AU"/>
              </w:rPr>
            </w:pPr>
          </w:p>
        </w:tc>
        <w:tc>
          <w:tcPr>
            <w:tcW w:w="995" w:type="dxa"/>
            <w:vMerge/>
          </w:tcPr>
          <w:p w14:paraId="3796355E" w14:textId="77777777" w:rsidR="00F95AF6" w:rsidRPr="001C28F5" w:rsidRDefault="00F95AF6" w:rsidP="009746A6">
            <w:pPr>
              <w:pStyle w:val="Tablebodytext"/>
              <w:keepNext w:val="0"/>
              <w:keepLines w:val="0"/>
              <w:rPr>
                <w:lang w:eastAsia="en-AU"/>
              </w:rPr>
            </w:pPr>
          </w:p>
        </w:tc>
      </w:tr>
      <w:tr w:rsidR="00F95AF6" w:rsidRPr="001C28F5" w14:paraId="081C57E7" w14:textId="77777777" w:rsidTr="001371EB">
        <w:trPr>
          <w:trHeight w:val="320"/>
        </w:trPr>
        <w:tc>
          <w:tcPr>
            <w:tcW w:w="2037" w:type="dxa"/>
            <w:vMerge/>
          </w:tcPr>
          <w:p w14:paraId="05DCEA3C" w14:textId="77777777" w:rsidR="00F95AF6" w:rsidRPr="001C28F5" w:rsidRDefault="00F95AF6" w:rsidP="009746A6">
            <w:pPr>
              <w:pStyle w:val="Tablebodytext"/>
              <w:keepNext w:val="0"/>
              <w:keepLines w:val="0"/>
              <w:rPr>
                <w:lang w:eastAsia="en-AU"/>
              </w:rPr>
            </w:pPr>
          </w:p>
        </w:tc>
        <w:tc>
          <w:tcPr>
            <w:tcW w:w="1082" w:type="dxa"/>
            <w:vMerge/>
          </w:tcPr>
          <w:p w14:paraId="0712C46F" w14:textId="77777777" w:rsidR="00F95AF6" w:rsidRPr="001C28F5" w:rsidRDefault="00F95AF6" w:rsidP="009746A6">
            <w:pPr>
              <w:pStyle w:val="Tablebodytext"/>
              <w:keepNext w:val="0"/>
              <w:keepLines w:val="0"/>
              <w:rPr>
                <w:lang w:eastAsia="en-AU"/>
              </w:rPr>
            </w:pPr>
          </w:p>
        </w:tc>
        <w:tc>
          <w:tcPr>
            <w:tcW w:w="992" w:type="dxa"/>
          </w:tcPr>
          <w:p w14:paraId="7606987C"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7614B5CB" w14:textId="77777777" w:rsidR="00F95AF6" w:rsidRPr="001C28F5" w:rsidRDefault="00F95AF6" w:rsidP="009746A6">
            <w:pPr>
              <w:pStyle w:val="Tablebodytext"/>
              <w:keepNext w:val="0"/>
              <w:keepLines w:val="0"/>
              <w:rPr>
                <w:lang w:eastAsia="en-AU"/>
              </w:rPr>
            </w:pPr>
            <w:r w:rsidRPr="001C28F5">
              <w:rPr>
                <w:lang w:eastAsia="en-AU"/>
              </w:rPr>
              <w:t>Supply chain management - Weekly</w:t>
            </w:r>
          </w:p>
        </w:tc>
        <w:tc>
          <w:tcPr>
            <w:tcW w:w="966" w:type="dxa"/>
          </w:tcPr>
          <w:p w14:paraId="138F2A8E"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76603C29" w14:textId="77777777" w:rsidR="00F95AF6" w:rsidRPr="001C28F5" w:rsidRDefault="00F95AF6" w:rsidP="009746A6">
            <w:pPr>
              <w:pStyle w:val="Tablebodytext"/>
              <w:keepNext w:val="0"/>
              <w:keepLines w:val="0"/>
              <w:rPr>
                <w:lang w:eastAsia="en-AU"/>
              </w:rPr>
            </w:pPr>
          </w:p>
        </w:tc>
        <w:tc>
          <w:tcPr>
            <w:tcW w:w="995" w:type="dxa"/>
            <w:vMerge/>
          </w:tcPr>
          <w:p w14:paraId="64F0E209" w14:textId="77777777" w:rsidR="00F95AF6" w:rsidRPr="001C28F5" w:rsidRDefault="00F95AF6" w:rsidP="009746A6">
            <w:pPr>
              <w:pStyle w:val="Tablebodytext"/>
              <w:keepNext w:val="0"/>
              <w:keepLines w:val="0"/>
              <w:rPr>
                <w:lang w:eastAsia="en-AU"/>
              </w:rPr>
            </w:pPr>
          </w:p>
        </w:tc>
      </w:tr>
      <w:tr w:rsidR="00F95AF6" w:rsidRPr="001C28F5" w14:paraId="4FE425EC" w14:textId="77777777" w:rsidTr="001371EB">
        <w:trPr>
          <w:trHeight w:val="320"/>
        </w:trPr>
        <w:tc>
          <w:tcPr>
            <w:tcW w:w="2037" w:type="dxa"/>
            <w:vMerge/>
          </w:tcPr>
          <w:p w14:paraId="4264EA39" w14:textId="77777777" w:rsidR="00F95AF6" w:rsidRPr="001C28F5" w:rsidRDefault="00F95AF6" w:rsidP="009746A6">
            <w:pPr>
              <w:pStyle w:val="Tablebodytext"/>
              <w:keepNext w:val="0"/>
              <w:keepLines w:val="0"/>
              <w:rPr>
                <w:lang w:eastAsia="en-AU"/>
              </w:rPr>
            </w:pPr>
          </w:p>
        </w:tc>
        <w:tc>
          <w:tcPr>
            <w:tcW w:w="1082" w:type="dxa"/>
            <w:vMerge/>
          </w:tcPr>
          <w:p w14:paraId="347A541D" w14:textId="77777777" w:rsidR="00F95AF6" w:rsidRPr="001C28F5" w:rsidRDefault="00F95AF6" w:rsidP="009746A6">
            <w:pPr>
              <w:pStyle w:val="Tablebodytext"/>
              <w:keepNext w:val="0"/>
              <w:keepLines w:val="0"/>
              <w:rPr>
                <w:lang w:eastAsia="en-AU"/>
              </w:rPr>
            </w:pPr>
          </w:p>
        </w:tc>
        <w:tc>
          <w:tcPr>
            <w:tcW w:w="992" w:type="dxa"/>
          </w:tcPr>
          <w:p w14:paraId="53F9BA58"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2E6EABB2" w14:textId="77777777" w:rsidR="00F95AF6" w:rsidRPr="001C28F5" w:rsidRDefault="00F95AF6" w:rsidP="009746A6">
            <w:pPr>
              <w:pStyle w:val="Tablebodytext"/>
              <w:keepNext w:val="0"/>
              <w:keepLines w:val="0"/>
              <w:rPr>
                <w:lang w:eastAsia="en-AU"/>
              </w:rPr>
            </w:pPr>
            <w:r w:rsidRPr="001C28F5">
              <w:rPr>
                <w:lang w:eastAsia="en-AU"/>
              </w:rPr>
              <w:t>Supply chain management - Monthly</w:t>
            </w:r>
          </w:p>
        </w:tc>
        <w:tc>
          <w:tcPr>
            <w:tcW w:w="966" w:type="dxa"/>
          </w:tcPr>
          <w:p w14:paraId="66BD8A74"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1075663A" w14:textId="77777777" w:rsidR="00F95AF6" w:rsidRPr="001C28F5" w:rsidRDefault="00F95AF6" w:rsidP="009746A6">
            <w:pPr>
              <w:pStyle w:val="Tablebodytext"/>
              <w:keepNext w:val="0"/>
              <w:keepLines w:val="0"/>
              <w:rPr>
                <w:lang w:eastAsia="en-AU"/>
              </w:rPr>
            </w:pPr>
          </w:p>
        </w:tc>
        <w:tc>
          <w:tcPr>
            <w:tcW w:w="995" w:type="dxa"/>
            <w:vMerge/>
          </w:tcPr>
          <w:p w14:paraId="02DF69A2" w14:textId="77777777" w:rsidR="00F95AF6" w:rsidRPr="001C28F5" w:rsidRDefault="00F95AF6" w:rsidP="009746A6">
            <w:pPr>
              <w:pStyle w:val="Tablebodytext"/>
              <w:keepNext w:val="0"/>
              <w:keepLines w:val="0"/>
              <w:rPr>
                <w:lang w:eastAsia="en-AU"/>
              </w:rPr>
            </w:pPr>
          </w:p>
        </w:tc>
      </w:tr>
      <w:tr w:rsidR="00F95AF6" w:rsidRPr="001C28F5" w14:paraId="30F6C5E2" w14:textId="77777777" w:rsidTr="001371EB">
        <w:trPr>
          <w:trHeight w:val="320"/>
        </w:trPr>
        <w:tc>
          <w:tcPr>
            <w:tcW w:w="2037" w:type="dxa"/>
            <w:vMerge/>
          </w:tcPr>
          <w:p w14:paraId="7E8F9FCE" w14:textId="77777777" w:rsidR="00F95AF6" w:rsidRPr="001C28F5" w:rsidRDefault="00F95AF6" w:rsidP="009746A6">
            <w:pPr>
              <w:pStyle w:val="Tablebodytext"/>
              <w:keepNext w:val="0"/>
              <w:keepLines w:val="0"/>
              <w:rPr>
                <w:lang w:eastAsia="en-AU"/>
              </w:rPr>
            </w:pPr>
          </w:p>
        </w:tc>
        <w:tc>
          <w:tcPr>
            <w:tcW w:w="1082" w:type="dxa"/>
            <w:vMerge/>
          </w:tcPr>
          <w:p w14:paraId="66F2A735" w14:textId="77777777" w:rsidR="00F95AF6" w:rsidRPr="001C28F5" w:rsidRDefault="00F95AF6" w:rsidP="009746A6">
            <w:pPr>
              <w:pStyle w:val="Tablebodytext"/>
              <w:keepNext w:val="0"/>
              <w:keepLines w:val="0"/>
              <w:rPr>
                <w:lang w:eastAsia="en-AU"/>
              </w:rPr>
            </w:pPr>
          </w:p>
        </w:tc>
        <w:tc>
          <w:tcPr>
            <w:tcW w:w="992" w:type="dxa"/>
          </w:tcPr>
          <w:p w14:paraId="06058263"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1C67B32F" w14:textId="77777777" w:rsidR="00F95AF6" w:rsidRPr="001C28F5" w:rsidRDefault="00F95AF6" w:rsidP="009746A6">
            <w:pPr>
              <w:pStyle w:val="Tablebodytext"/>
              <w:keepNext w:val="0"/>
              <w:keepLines w:val="0"/>
              <w:rPr>
                <w:lang w:eastAsia="en-AU"/>
              </w:rPr>
            </w:pPr>
            <w:r w:rsidRPr="001C28F5">
              <w:rPr>
                <w:lang w:eastAsia="en-AU"/>
              </w:rPr>
              <w:t>Supply chain management - Quarterly</w:t>
            </w:r>
          </w:p>
        </w:tc>
        <w:tc>
          <w:tcPr>
            <w:tcW w:w="966" w:type="dxa"/>
          </w:tcPr>
          <w:p w14:paraId="5151D3C9"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4B36AB52" w14:textId="77777777" w:rsidR="00F95AF6" w:rsidRPr="001C28F5" w:rsidRDefault="00F95AF6" w:rsidP="009746A6">
            <w:pPr>
              <w:pStyle w:val="Tablebodytext"/>
              <w:keepNext w:val="0"/>
              <w:keepLines w:val="0"/>
              <w:rPr>
                <w:lang w:eastAsia="en-AU"/>
              </w:rPr>
            </w:pPr>
          </w:p>
        </w:tc>
        <w:tc>
          <w:tcPr>
            <w:tcW w:w="995" w:type="dxa"/>
            <w:vMerge/>
          </w:tcPr>
          <w:p w14:paraId="0B5758CF" w14:textId="77777777" w:rsidR="00F95AF6" w:rsidRPr="001C28F5" w:rsidRDefault="00F95AF6" w:rsidP="009746A6">
            <w:pPr>
              <w:pStyle w:val="Tablebodytext"/>
              <w:keepNext w:val="0"/>
              <w:keepLines w:val="0"/>
              <w:rPr>
                <w:lang w:eastAsia="en-AU"/>
              </w:rPr>
            </w:pPr>
          </w:p>
        </w:tc>
      </w:tr>
      <w:tr w:rsidR="00F95AF6" w:rsidRPr="001C28F5" w14:paraId="209D1043" w14:textId="77777777" w:rsidTr="001371EB">
        <w:trPr>
          <w:trHeight w:val="320"/>
        </w:trPr>
        <w:tc>
          <w:tcPr>
            <w:tcW w:w="2037" w:type="dxa"/>
            <w:vMerge/>
          </w:tcPr>
          <w:p w14:paraId="061229ED" w14:textId="77777777" w:rsidR="00F95AF6" w:rsidRPr="001C28F5" w:rsidRDefault="00F95AF6" w:rsidP="009746A6">
            <w:pPr>
              <w:pStyle w:val="Tablebodytext"/>
              <w:keepNext w:val="0"/>
              <w:keepLines w:val="0"/>
              <w:rPr>
                <w:lang w:eastAsia="en-AU"/>
              </w:rPr>
            </w:pPr>
          </w:p>
        </w:tc>
        <w:tc>
          <w:tcPr>
            <w:tcW w:w="1082" w:type="dxa"/>
            <w:vMerge/>
          </w:tcPr>
          <w:p w14:paraId="01DF0CC5" w14:textId="77777777" w:rsidR="00F95AF6" w:rsidRPr="001C28F5" w:rsidRDefault="00F95AF6" w:rsidP="009746A6">
            <w:pPr>
              <w:pStyle w:val="Tablebodytext"/>
              <w:keepNext w:val="0"/>
              <w:keepLines w:val="0"/>
              <w:rPr>
                <w:lang w:eastAsia="en-AU"/>
              </w:rPr>
            </w:pPr>
          </w:p>
        </w:tc>
        <w:tc>
          <w:tcPr>
            <w:tcW w:w="992" w:type="dxa"/>
          </w:tcPr>
          <w:p w14:paraId="64F9805C"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52BE3C5D" w14:textId="77777777" w:rsidR="00F95AF6" w:rsidRPr="001C28F5" w:rsidRDefault="00F95AF6" w:rsidP="009746A6">
            <w:pPr>
              <w:pStyle w:val="Tablebodytext"/>
              <w:keepNext w:val="0"/>
              <w:keepLines w:val="0"/>
              <w:rPr>
                <w:lang w:eastAsia="en-AU"/>
              </w:rPr>
            </w:pPr>
            <w:r w:rsidRPr="001C28F5">
              <w:rPr>
                <w:lang w:eastAsia="en-AU"/>
              </w:rPr>
              <w:t>Supply chain management - Annually</w:t>
            </w:r>
          </w:p>
        </w:tc>
        <w:tc>
          <w:tcPr>
            <w:tcW w:w="966" w:type="dxa"/>
          </w:tcPr>
          <w:p w14:paraId="671E9EB0"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1CBABD27" w14:textId="77777777" w:rsidR="00F95AF6" w:rsidRPr="001C28F5" w:rsidRDefault="00F95AF6" w:rsidP="009746A6">
            <w:pPr>
              <w:pStyle w:val="Tablebodytext"/>
              <w:keepNext w:val="0"/>
              <w:keepLines w:val="0"/>
              <w:rPr>
                <w:lang w:eastAsia="en-AU"/>
              </w:rPr>
            </w:pPr>
          </w:p>
        </w:tc>
        <w:tc>
          <w:tcPr>
            <w:tcW w:w="995" w:type="dxa"/>
            <w:vMerge/>
          </w:tcPr>
          <w:p w14:paraId="42F73445" w14:textId="77777777" w:rsidR="00F95AF6" w:rsidRPr="001C28F5" w:rsidRDefault="00F95AF6" w:rsidP="009746A6">
            <w:pPr>
              <w:pStyle w:val="Tablebodytext"/>
              <w:keepNext w:val="0"/>
              <w:keepLines w:val="0"/>
              <w:rPr>
                <w:lang w:eastAsia="en-AU"/>
              </w:rPr>
            </w:pPr>
          </w:p>
        </w:tc>
      </w:tr>
      <w:tr w:rsidR="00F95AF6" w:rsidRPr="001C28F5" w14:paraId="25734DBF" w14:textId="77777777" w:rsidTr="001371EB">
        <w:trPr>
          <w:trHeight w:val="320"/>
        </w:trPr>
        <w:tc>
          <w:tcPr>
            <w:tcW w:w="2037" w:type="dxa"/>
            <w:vMerge/>
          </w:tcPr>
          <w:p w14:paraId="4485A1F9" w14:textId="77777777" w:rsidR="00F95AF6" w:rsidRPr="001C28F5" w:rsidRDefault="00F95AF6" w:rsidP="009746A6">
            <w:pPr>
              <w:pStyle w:val="Tablebodytext"/>
              <w:keepNext w:val="0"/>
              <w:keepLines w:val="0"/>
              <w:rPr>
                <w:lang w:eastAsia="en-AU"/>
              </w:rPr>
            </w:pPr>
          </w:p>
        </w:tc>
        <w:tc>
          <w:tcPr>
            <w:tcW w:w="1082" w:type="dxa"/>
            <w:vMerge/>
          </w:tcPr>
          <w:p w14:paraId="55A399CF" w14:textId="77777777" w:rsidR="00F95AF6" w:rsidRPr="001C28F5" w:rsidRDefault="00F95AF6" w:rsidP="009746A6">
            <w:pPr>
              <w:pStyle w:val="Tablebodytext"/>
              <w:keepNext w:val="0"/>
              <w:keepLines w:val="0"/>
              <w:rPr>
                <w:lang w:eastAsia="en-AU"/>
              </w:rPr>
            </w:pPr>
          </w:p>
        </w:tc>
        <w:tc>
          <w:tcPr>
            <w:tcW w:w="992" w:type="dxa"/>
          </w:tcPr>
          <w:p w14:paraId="00507790"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2A078F3A" w14:textId="77777777" w:rsidR="00F95AF6" w:rsidRPr="001C28F5" w:rsidRDefault="00F95AF6" w:rsidP="009746A6">
            <w:pPr>
              <w:pStyle w:val="Tablebodytext"/>
              <w:keepNext w:val="0"/>
              <w:keepLines w:val="0"/>
              <w:rPr>
                <w:lang w:eastAsia="en-AU"/>
              </w:rPr>
            </w:pPr>
            <w:r w:rsidRPr="001C28F5">
              <w:rPr>
                <w:lang w:eastAsia="en-AU"/>
              </w:rPr>
              <w:t>Supply chain management - Ad hoc</w:t>
            </w:r>
          </w:p>
        </w:tc>
        <w:tc>
          <w:tcPr>
            <w:tcW w:w="966" w:type="dxa"/>
          </w:tcPr>
          <w:p w14:paraId="7F0E7B96"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69A817B6" w14:textId="77777777" w:rsidR="00F95AF6" w:rsidRPr="001C28F5" w:rsidRDefault="00F95AF6" w:rsidP="009746A6">
            <w:pPr>
              <w:pStyle w:val="Tablebodytext"/>
              <w:keepNext w:val="0"/>
              <w:keepLines w:val="0"/>
              <w:rPr>
                <w:lang w:eastAsia="en-AU"/>
              </w:rPr>
            </w:pPr>
          </w:p>
        </w:tc>
        <w:tc>
          <w:tcPr>
            <w:tcW w:w="995" w:type="dxa"/>
            <w:vMerge/>
          </w:tcPr>
          <w:p w14:paraId="70A28272" w14:textId="77777777" w:rsidR="00F95AF6" w:rsidRPr="001C28F5" w:rsidRDefault="00F95AF6" w:rsidP="009746A6">
            <w:pPr>
              <w:pStyle w:val="Tablebodytext"/>
              <w:keepNext w:val="0"/>
              <w:keepLines w:val="0"/>
              <w:rPr>
                <w:lang w:eastAsia="en-AU"/>
              </w:rPr>
            </w:pPr>
          </w:p>
        </w:tc>
      </w:tr>
      <w:tr w:rsidR="00F95AF6" w:rsidRPr="001C28F5" w14:paraId="5F9E74D8" w14:textId="77777777" w:rsidTr="001371EB">
        <w:trPr>
          <w:trHeight w:val="120"/>
        </w:trPr>
        <w:tc>
          <w:tcPr>
            <w:tcW w:w="2037" w:type="dxa"/>
            <w:vMerge w:val="restart"/>
          </w:tcPr>
          <w:p w14:paraId="537A5574" w14:textId="77777777" w:rsidR="00F95AF6" w:rsidRPr="001C28F5" w:rsidRDefault="00F95AF6" w:rsidP="009746A6">
            <w:pPr>
              <w:pStyle w:val="Tablebodytext"/>
              <w:keepNext w:val="0"/>
              <w:keepLines w:val="0"/>
              <w:rPr>
                <w:lang w:eastAsia="en-AU"/>
              </w:rPr>
            </w:pPr>
            <w:r w:rsidRPr="001C28F5">
              <w:rPr>
                <w:lang w:eastAsia="en-AU"/>
              </w:rPr>
              <w:t xml:space="preserve">20.4 How frequently were each of the following activities influenced by data analysis at this business? </w:t>
            </w:r>
          </w:p>
          <w:p w14:paraId="172D1E68" w14:textId="77777777" w:rsidR="00F95AF6" w:rsidRPr="001C28F5" w:rsidRDefault="00F95AF6" w:rsidP="009746A6">
            <w:pPr>
              <w:pStyle w:val="Tablebodytext"/>
              <w:keepNext w:val="0"/>
              <w:keepLines w:val="0"/>
              <w:rPr>
                <w:lang w:eastAsia="en-AU"/>
              </w:rPr>
            </w:pPr>
          </w:p>
        </w:tc>
        <w:tc>
          <w:tcPr>
            <w:tcW w:w="1082" w:type="dxa"/>
            <w:vMerge w:val="restart"/>
          </w:tcPr>
          <w:p w14:paraId="38F43866" w14:textId="77777777" w:rsidR="00F95AF6" w:rsidRPr="0064751A" w:rsidRDefault="00F95AF6" w:rsidP="009746A6">
            <w:pPr>
              <w:pStyle w:val="Tablebodytext"/>
              <w:keepNext w:val="0"/>
              <w:keepLines w:val="0"/>
              <w:rPr>
                <w:lang w:eastAsia="en-AU"/>
              </w:rPr>
            </w:pPr>
            <w:r w:rsidRPr="0064751A">
              <w:rPr>
                <w:lang w:eastAsia="en-AU"/>
              </w:rPr>
              <w:t>List scaled</w:t>
            </w:r>
          </w:p>
          <w:p w14:paraId="0C2478E0" w14:textId="77777777" w:rsidR="00F95AF6" w:rsidRPr="001C28F5" w:rsidRDefault="00F95AF6" w:rsidP="009746A6">
            <w:pPr>
              <w:pStyle w:val="Tablebodytext"/>
              <w:keepNext w:val="0"/>
              <w:keepLines w:val="0"/>
              <w:rPr>
                <w:lang w:eastAsia="en-AU"/>
              </w:rPr>
            </w:pPr>
          </w:p>
        </w:tc>
        <w:tc>
          <w:tcPr>
            <w:tcW w:w="992" w:type="dxa"/>
          </w:tcPr>
          <w:p w14:paraId="6E3DD85A"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55A1F0A0" w14:textId="77777777" w:rsidR="00F95AF6" w:rsidRPr="001C28F5" w:rsidRDefault="00F95AF6" w:rsidP="009746A6">
            <w:pPr>
              <w:pStyle w:val="Tablebodytext"/>
              <w:keepNext w:val="0"/>
              <w:keepLines w:val="0"/>
              <w:rPr>
                <w:lang w:eastAsia="en-AU"/>
              </w:rPr>
            </w:pPr>
            <w:r w:rsidRPr="001C28F5">
              <w:rPr>
                <w:lang w:eastAsia="en-AU"/>
              </w:rPr>
              <w:t>Environmental management - Not at all</w:t>
            </w:r>
          </w:p>
        </w:tc>
        <w:tc>
          <w:tcPr>
            <w:tcW w:w="966" w:type="dxa"/>
          </w:tcPr>
          <w:p w14:paraId="409914C0"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4BBDCF6F" w14:textId="77777777" w:rsidR="00F95AF6" w:rsidRPr="001C28F5" w:rsidRDefault="00F95AF6" w:rsidP="009746A6">
            <w:pPr>
              <w:pStyle w:val="Tablebodytext"/>
              <w:keepNext w:val="0"/>
              <w:keepLines w:val="0"/>
              <w:rPr>
                <w:lang w:eastAsia="en-AU"/>
              </w:rPr>
            </w:pPr>
            <w:r w:rsidRPr="001C28F5">
              <w:rPr>
                <w:lang w:eastAsia="en-AU"/>
              </w:rPr>
              <w:t>Monitoring</w:t>
            </w:r>
          </w:p>
        </w:tc>
        <w:tc>
          <w:tcPr>
            <w:tcW w:w="995" w:type="dxa"/>
            <w:vMerge w:val="restart"/>
          </w:tcPr>
          <w:p w14:paraId="4BCBAC51" w14:textId="77777777" w:rsidR="00F95AF6" w:rsidRPr="001C28F5" w:rsidRDefault="00F95AF6" w:rsidP="009746A6">
            <w:pPr>
              <w:pStyle w:val="Tablebodytext"/>
              <w:keepNext w:val="0"/>
              <w:keepLines w:val="0"/>
              <w:rPr>
                <w:lang w:eastAsia="en-AU"/>
              </w:rPr>
            </w:pPr>
            <w:r w:rsidRPr="001C28F5">
              <w:rPr>
                <w:lang w:eastAsia="en-AU"/>
              </w:rPr>
              <w:t>0.422</w:t>
            </w:r>
          </w:p>
        </w:tc>
      </w:tr>
      <w:tr w:rsidR="00F95AF6" w:rsidRPr="001C28F5" w14:paraId="0E41721F" w14:textId="77777777" w:rsidTr="001371EB">
        <w:trPr>
          <w:trHeight w:val="320"/>
        </w:trPr>
        <w:tc>
          <w:tcPr>
            <w:tcW w:w="2037" w:type="dxa"/>
            <w:vMerge/>
          </w:tcPr>
          <w:p w14:paraId="5CF55F01" w14:textId="77777777" w:rsidR="00F95AF6" w:rsidRPr="001C28F5" w:rsidRDefault="00F95AF6" w:rsidP="009746A6">
            <w:pPr>
              <w:pStyle w:val="Tablebodytext"/>
              <w:keepNext w:val="0"/>
              <w:keepLines w:val="0"/>
              <w:rPr>
                <w:lang w:eastAsia="en-AU"/>
              </w:rPr>
            </w:pPr>
          </w:p>
        </w:tc>
        <w:tc>
          <w:tcPr>
            <w:tcW w:w="1082" w:type="dxa"/>
            <w:vMerge/>
          </w:tcPr>
          <w:p w14:paraId="4C4A8FB7" w14:textId="77777777" w:rsidR="00F95AF6" w:rsidRPr="001C28F5" w:rsidRDefault="00F95AF6" w:rsidP="009746A6">
            <w:pPr>
              <w:pStyle w:val="Tablebodytext"/>
              <w:keepNext w:val="0"/>
              <w:keepLines w:val="0"/>
              <w:rPr>
                <w:lang w:eastAsia="en-AU"/>
              </w:rPr>
            </w:pPr>
          </w:p>
        </w:tc>
        <w:tc>
          <w:tcPr>
            <w:tcW w:w="992" w:type="dxa"/>
          </w:tcPr>
          <w:p w14:paraId="63783DF7"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16EE0872" w14:textId="77777777" w:rsidR="00F95AF6" w:rsidRPr="001C28F5" w:rsidRDefault="00F95AF6" w:rsidP="009746A6">
            <w:pPr>
              <w:pStyle w:val="Tablebodytext"/>
              <w:keepNext w:val="0"/>
              <w:keepLines w:val="0"/>
              <w:rPr>
                <w:lang w:eastAsia="en-AU"/>
              </w:rPr>
            </w:pPr>
            <w:r w:rsidRPr="001C28F5">
              <w:rPr>
                <w:lang w:eastAsia="en-AU"/>
              </w:rPr>
              <w:t>Environmental management - Daily</w:t>
            </w:r>
          </w:p>
        </w:tc>
        <w:tc>
          <w:tcPr>
            <w:tcW w:w="966" w:type="dxa"/>
          </w:tcPr>
          <w:p w14:paraId="44C6BD7A"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175FD6C7" w14:textId="77777777" w:rsidR="00F95AF6" w:rsidRPr="001C28F5" w:rsidRDefault="00F95AF6" w:rsidP="009746A6">
            <w:pPr>
              <w:pStyle w:val="Tablebodytext"/>
              <w:keepNext w:val="0"/>
              <w:keepLines w:val="0"/>
              <w:rPr>
                <w:lang w:eastAsia="en-AU"/>
              </w:rPr>
            </w:pPr>
          </w:p>
        </w:tc>
        <w:tc>
          <w:tcPr>
            <w:tcW w:w="995" w:type="dxa"/>
            <w:vMerge/>
          </w:tcPr>
          <w:p w14:paraId="52BF4185" w14:textId="77777777" w:rsidR="00F95AF6" w:rsidRPr="001C28F5" w:rsidRDefault="00F95AF6" w:rsidP="009746A6">
            <w:pPr>
              <w:pStyle w:val="Tablebodytext"/>
              <w:keepNext w:val="0"/>
              <w:keepLines w:val="0"/>
              <w:rPr>
                <w:lang w:eastAsia="en-AU"/>
              </w:rPr>
            </w:pPr>
          </w:p>
        </w:tc>
      </w:tr>
      <w:tr w:rsidR="00F95AF6" w:rsidRPr="001C28F5" w14:paraId="1D00F36C" w14:textId="77777777" w:rsidTr="001371EB">
        <w:trPr>
          <w:trHeight w:val="320"/>
        </w:trPr>
        <w:tc>
          <w:tcPr>
            <w:tcW w:w="2037" w:type="dxa"/>
            <w:vMerge/>
          </w:tcPr>
          <w:p w14:paraId="7FC3CAD3" w14:textId="77777777" w:rsidR="00F95AF6" w:rsidRPr="001C28F5" w:rsidRDefault="00F95AF6" w:rsidP="009746A6">
            <w:pPr>
              <w:pStyle w:val="Tablebodytext"/>
              <w:keepNext w:val="0"/>
              <w:keepLines w:val="0"/>
              <w:rPr>
                <w:lang w:eastAsia="en-AU"/>
              </w:rPr>
            </w:pPr>
          </w:p>
        </w:tc>
        <w:tc>
          <w:tcPr>
            <w:tcW w:w="1082" w:type="dxa"/>
            <w:vMerge/>
          </w:tcPr>
          <w:p w14:paraId="1549105E" w14:textId="77777777" w:rsidR="00F95AF6" w:rsidRPr="001C28F5" w:rsidRDefault="00F95AF6" w:rsidP="009746A6">
            <w:pPr>
              <w:pStyle w:val="Tablebodytext"/>
              <w:keepNext w:val="0"/>
              <w:keepLines w:val="0"/>
              <w:rPr>
                <w:lang w:eastAsia="en-AU"/>
              </w:rPr>
            </w:pPr>
          </w:p>
        </w:tc>
        <w:tc>
          <w:tcPr>
            <w:tcW w:w="992" w:type="dxa"/>
          </w:tcPr>
          <w:p w14:paraId="2F05A89C"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072246EF" w14:textId="77777777" w:rsidR="00F95AF6" w:rsidRPr="001C28F5" w:rsidRDefault="00F95AF6" w:rsidP="009746A6">
            <w:pPr>
              <w:pStyle w:val="Tablebodytext"/>
              <w:keepNext w:val="0"/>
              <w:keepLines w:val="0"/>
              <w:rPr>
                <w:lang w:eastAsia="en-AU"/>
              </w:rPr>
            </w:pPr>
            <w:r w:rsidRPr="001C28F5">
              <w:rPr>
                <w:lang w:eastAsia="en-AU"/>
              </w:rPr>
              <w:t>Environmental management - Weekly</w:t>
            </w:r>
          </w:p>
        </w:tc>
        <w:tc>
          <w:tcPr>
            <w:tcW w:w="966" w:type="dxa"/>
          </w:tcPr>
          <w:p w14:paraId="490805A2"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53CCE447" w14:textId="77777777" w:rsidR="00F95AF6" w:rsidRPr="001C28F5" w:rsidRDefault="00F95AF6" w:rsidP="009746A6">
            <w:pPr>
              <w:pStyle w:val="Tablebodytext"/>
              <w:keepNext w:val="0"/>
              <w:keepLines w:val="0"/>
              <w:rPr>
                <w:lang w:eastAsia="en-AU"/>
              </w:rPr>
            </w:pPr>
          </w:p>
        </w:tc>
        <w:tc>
          <w:tcPr>
            <w:tcW w:w="995" w:type="dxa"/>
            <w:vMerge/>
          </w:tcPr>
          <w:p w14:paraId="765E5C1E" w14:textId="77777777" w:rsidR="00F95AF6" w:rsidRPr="001C28F5" w:rsidRDefault="00F95AF6" w:rsidP="009746A6">
            <w:pPr>
              <w:pStyle w:val="Tablebodytext"/>
              <w:keepNext w:val="0"/>
              <w:keepLines w:val="0"/>
              <w:rPr>
                <w:lang w:eastAsia="en-AU"/>
              </w:rPr>
            </w:pPr>
          </w:p>
        </w:tc>
      </w:tr>
      <w:tr w:rsidR="00F95AF6" w:rsidRPr="001C28F5" w14:paraId="68B3F712" w14:textId="77777777" w:rsidTr="001371EB">
        <w:trPr>
          <w:trHeight w:val="320"/>
        </w:trPr>
        <w:tc>
          <w:tcPr>
            <w:tcW w:w="2037" w:type="dxa"/>
            <w:vMerge/>
          </w:tcPr>
          <w:p w14:paraId="488727E9" w14:textId="77777777" w:rsidR="00F95AF6" w:rsidRPr="001C28F5" w:rsidRDefault="00F95AF6" w:rsidP="009746A6">
            <w:pPr>
              <w:pStyle w:val="Tablebodytext"/>
              <w:keepNext w:val="0"/>
              <w:keepLines w:val="0"/>
              <w:rPr>
                <w:lang w:eastAsia="en-AU"/>
              </w:rPr>
            </w:pPr>
          </w:p>
        </w:tc>
        <w:tc>
          <w:tcPr>
            <w:tcW w:w="1082" w:type="dxa"/>
            <w:vMerge/>
          </w:tcPr>
          <w:p w14:paraId="0412FFE6" w14:textId="77777777" w:rsidR="00F95AF6" w:rsidRPr="001C28F5" w:rsidRDefault="00F95AF6" w:rsidP="009746A6">
            <w:pPr>
              <w:pStyle w:val="Tablebodytext"/>
              <w:keepNext w:val="0"/>
              <w:keepLines w:val="0"/>
              <w:rPr>
                <w:lang w:eastAsia="en-AU"/>
              </w:rPr>
            </w:pPr>
          </w:p>
        </w:tc>
        <w:tc>
          <w:tcPr>
            <w:tcW w:w="992" w:type="dxa"/>
          </w:tcPr>
          <w:p w14:paraId="67EFBD65"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7341B749" w14:textId="77777777" w:rsidR="00F95AF6" w:rsidRPr="001C28F5" w:rsidRDefault="00F95AF6" w:rsidP="009746A6">
            <w:pPr>
              <w:pStyle w:val="Tablebodytext"/>
              <w:keepNext w:val="0"/>
              <w:keepLines w:val="0"/>
              <w:rPr>
                <w:lang w:eastAsia="en-AU"/>
              </w:rPr>
            </w:pPr>
            <w:r w:rsidRPr="001C28F5">
              <w:rPr>
                <w:lang w:eastAsia="en-AU"/>
              </w:rPr>
              <w:t>Environmental management - Monthly</w:t>
            </w:r>
          </w:p>
        </w:tc>
        <w:tc>
          <w:tcPr>
            <w:tcW w:w="966" w:type="dxa"/>
          </w:tcPr>
          <w:p w14:paraId="3B21656E"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0B3CF4D2" w14:textId="77777777" w:rsidR="00F95AF6" w:rsidRPr="001C28F5" w:rsidRDefault="00F95AF6" w:rsidP="009746A6">
            <w:pPr>
              <w:pStyle w:val="Tablebodytext"/>
              <w:keepNext w:val="0"/>
              <w:keepLines w:val="0"/>
              <w:rPr>
                <w:lang w:eastAsia="en-AU"/>
              </w:rPr>
            </w:pPr>
          </w:p>
        </w:tc>
        <w:tc>
          <w:tcPr>
            <w:tcW w:w="995" w:type="dxa"/>
            <w:vMerge/>
          </w:tcPr>
          <w:p w14:paraId="3C88D72F" w14:textId="77777777" w:rsidR="00F95AF6" w:rsidRPr="001C28F5" w:rsidRDefault="00F95AF6" w:rsidP="009746A6">
            <w:pPr>
              <w:pStyle w:val="Tablebodytext"/>
              <w:keepNext w:val="0"/>
              <w:keepLines w:val="0"/>
              <w:rPr>
                <w:lang w:eastAsia="en-AU"/>
              </w:rPr>
            </w:pPr>
          </w:p>
        </w:tc>
      </w:tr>
      <w:tr w:rsidR="00F95AF6" w:rsidRPr="001C28F5" w14:paraId="3AB71A51" w14:textId="77777777" w:rsidTr="001371EB">
        <w:trPr>
          <w:trHeight w:val="320"/>
        </w:trPr>
        <w:tc>
          <w:tcPr>
            <w:tcW w:w="2037" w:type="dxa"/>
            <w:vMerge/>
          </w:tcPr>
          <w:p w14:paraId="5B1A54F0" w14:textId="77777777" w:rsidR="00F95AF6" w:rsidRPr="001C28F5" w:rsidRDefault="00F95AF6" w:rsidP="009746A6">
            <w:pPr>
              <w:pStyle w:val="Tablebodytext"/>
              <w:keepNext w:val="0"/>
              <w:keepLines w:val="0"/>
              <w:rPr>
                <w:lang w:eastAsia="en-AU"/>
              </w:rPr>
            </w:pPr>
          </w:p>
        </w:tc>
        <w:tc>
          <w:tcPr>
            <w:tcW w:w="1082" w:type="dxa"/>
            <w:vMerge/>
          </w:tcPr>
          <w:p w14:paraId="1C396E81" w14:textId="77777777" w:rsidR="00F95AF6" w:rsidRPr="001C28F5" w:rsidRDefault="00F95AF6" w:rsidP="009746A6">
            <w:pPr>
              <w:pStyle w:val="Tablebodytext"/>
              <w:keepNext w:val="0"/>
              <w:keepLines w:val="0"/>
              <w:rPr>
                <w:lang w:eastAsia="en-AU"/>
              </w:rPr>
            </w:pPr>
          </w:p>
        </w:tc>
        <w:tc>
          <w:tcPr>
            <w:tcW w:w="992" w:type="dxa"/>
          </w:tcPr>
          <w:p w14:paraId="6251133E"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5B5C1D32" w14:textId="77777777" w:rsidR="00F95AF6" w:rsidRPr="001C28F5" w:rsidRDefault="00F95AF6" w:rsidP="009746A6">
            <w:pPr>
              <w:pStyle w:val="Tablebodytext"/>
              <w:keepNext w:val="0"/>
              <w:keepLines w:val="0"/>
              <w:rPr>
                <w:lang w:eastAsia="en-AU"/>
              </w:rPr>
            </w:pPr>
            <w:r w:rsidRPr="001C28F5">
              <w:rPr>
                <w:lang w:eastAsia="en-AU"/>
              </w:rPr>
              <w:t>Environmental management - Quarterly</w:t>
            </w:r>
          </w:p>
        </w:tc>
        <w:tc>
          <w:tcPr>
            <w:tcW w:w="966" w:type="dxa"/>
          </w:tcPr>
          <w:p w14:paraId="77D8E1AD"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565693DF" w14:textId="77777777" w:rsidR="00F95AF6" w:rsidRPr="001C28F5" w:rsidRDefault="00F95AF6" w:rsidP="009746A6">
            <w:pPr>
              <w:pStyle w:val="Tablebodytext"/>
              <w:keepNext w:val="0"/>
              <w:keepLines w:val="0"/>
              <w:rPr>
                <w:lang w:eastAsia="en-AU"/>
              </w:rPr>
            </w:pPr>
          </w:p>
        </w:tc>
        <w:tc>
          <w:tcPr>
            <w:tcW w:w="995" w:type="dxa"/>
            <w:vMerge/>
          </w:tcPr>
          <w:p w14:paraId="5273ACC0" w14:textId="77777777" w:rsidR="00F95AF6" w:rsidRPr="001C28F5" w:rsidRDefault="00F95AF6" w:rsidP="009746A6">
            <w:pPr>
              <w:pStyle w:val="Tablebodytext"/>
              <w:keepNext w:val="0"/>
              <w:keepLines w:val="0"/>
              <w:rPr>
                <w:lang w:eastAsia="en-AU"/>
              </w:rPr>
            </w:pPr>
          </w:p>
        </w:tc>
      </w:tr>
      <w:tr w:rsidR="00F95AF6" w:rsidRPr="001C28F5" w14:paraId="1CCE43D4" w14:textId="77777777" w:rsidTr="001371EB">
        <w:trPr>
          <w:trHeight w:val="320"/>
        </w:trPr>
        <w:tc>
          <w:tcPr>
            <w:tcW w:w="2037" w:type="dxa"/>
            <w:vMerge/>
          </w:tcPr>
          <w:p w14:paraId="1D7963BA" w14:textId="77777777" w:rsidR="00F95AF6" w:rsidRPr="001C28F5" w:rsidRDefault="00F95AF6" w:rsidP="009746A6">
            <w:pPr>
              <w:pStyle w:val="Tablebodytext"/>
              <w:keepNext w:val="0"/>
              <w:keepLines w:val="0"/>
              <w:rPr>
                <w:lang w:eastAsia="en-AU"/>
              </w:rPr>
            </w:pPr>
          </w:p>
        </w:tc>
        <w:tc>
          <w:tcPr>
            <w:tcW w:w="1082" w:type="dxa"/>
            <w:vMerge/>
          </w:tcPr>
          <w:p w14:paraId="54F3A94A" w14:textId="77777777" w:rsidR="00F95AF6" w:rsidRPr="001C28F5" w:rsidRDefault="00F95AF6" w:rsidP="009746A6">
            <w:pPr>
              <w:pStyle w:val="Tablebodytext"/>
              <w:keepNext w:val="0"/>
              <w:keepLines w:val="0"/>
              <w:rPr>
                <w:lang w:eastAsia="en-AU"/>
              </w:rPr>
            </w:pPr>
          </w:p>
        </w:tc>
        <w:tc>
          <w:tcPr>
            <w:tcW w:w="992" w:type="dxa"/>
          </w:tcPr>
          <w:p w14:paraId="22B26A1B"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319D48B4" w14:textId="77777777" w:rsidR="00F95AF6" w:rsidRPr="001C28F5" w:rsidRDefault="00F95AF6" w:rsidP="009746A6">
            <w:pPr>
              <w:pStyle w:val="Tablebodytext"/>
              <w:keepNext w:val="0"/>
              <w:keepLines w:val="0"/>
              <w:rPr>
                <w:lang w:eastAsia="en-AU"/>
              </w:rPr>
            </w:pPr>
            <w:r w:rsidRPr="001C28F5">
              <w:rPr>
                <w:lang w:eastAsia="en-AU"/>
              </w:rPr>
              <w:t>Environmental management - Annually</w:t>
            </w:r>
          </w:p>
        </w:tc>
        <w:tc>
          <w:tcPr>
            <w:tcW w:w="966" w:type="dxa"/>
          </w:tcPr>
          <w:p w14:paraId="79FAF263"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2B31A75E" w14:textId="77777777" w:rsidR="00F95AF6" w:rsidRPr="001C28F5" w:rsidRDefault="00F95AF6" w:rsidP="009746A6">
            <w:pPr>
              <w:pStyle w:val="Tablebodytext"/>
              <w:keepNext w:val="0"/>
              <w:keepLines w:val="0"/>
              <w:rPr>
                <w:lang w:eastAsia="en-AU"/>
              </w:rPr>
            </w:pPr>
          </w:p>
        </w:tc>
        <w:tc>
          <w:tcPr>
            <w:tcW w:w="995" w:type="dxa"/>
            <w:vMerge/>
          </w:tcPr>
          <w:p w14:paraId="2AEE8E1A" w14:textId="77777777" w:rsidR="00F95AF6" w:rsidRPr="001C28F5" w:rsidRDefault="00F95AF6" w:rsidP="009746A6">
            <w:pPr>
              <w:pStyle w:val="Tablebodytext"/>
              <w:keepNext w:val="0"/>
              <w:keepLines w:val="0"/>
              <w:rPr>
                <w:lang w:eastAsia="en-AU"/>
              </w:rPr>
            </w:pPr>
          </w:p>
        </w:tc>
      </w:tr>
      <w:tr w:rsidR="00F95AF6" w:rsidRPr="001C28F5" w14:paraId="7B38AFCE" w14:textId="77777777" w:rsidTr="001371EB">
        <w:trPr>
          <w:trHeight w:val="320"/>
        </w:trPr>
        <w:tc>
          <w:tcPr>
            <w:tcW w:w="2037" w:type="dxa"/>
            <w:vMerge/>
          </w:tcPr>
          <w:p w14:paraId="300CE153" w14:textId="77777777" w:rsidR="00F95AF6" w:rsidRPr="001C28F5" w:rsidRDefault="00F95AF6" w:rsidP="009746A6">
            <w:pPr>
              <w:pStyle w:val="Tablebodytext"/>
              <w:keepNext w:val="0"/>
              <w:keepLines w:val="0"/>
              <w:rPr>
                <w:lang w:eastAsia="en-AU"/>
              </w:rPr>
            </w:pPr>
          </w:p>
        </w:tc>
        <w:tc>
          <w:tcPr>
            <w:tcW w:w="1082" w:type="dxa"/>
            <w:vMerge/>
          </w:tcPr>
          <w:p w14:paraId="792D07AA" w14:textId="77777777" w:rsidR="00F95AF6" w:rsidRPr="001C28F5" w:rsidRDefault="00F95AF6" w:rsidP="009746A6">
            <w:pPr>
              <w:pStyle w:val="Tablebodytext"/>
              <w:keepNext w:val="0"/>
              <w:keepLines w:val="0"/>
              <w:rPr>
                <w:lang w:eastAsia="en-AU"/>
              </w:rPr>
            </w:pPr>
          </w:p>
        </w:tc>
        <w:tc>
          <w:tcPr>
            <w:tcW w:w="992" w:type="dxa"/>
          </w:tcPr>
          <w:p w14:paraId="4F8BEEC8"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46544965" w14:textId="77777777" w:rsidR="00F95AF6" w:rsidRPr="001C28F5" w:rsidRDefault="00F95AF6" w:rsidP="009746A6">
            <w:pPr>
              <w:pStyle w:val="Tablebodytext"/>
              <w:keepNext w:val="0"/>
              <w:keepLines w:val="0"/>
              <w:rPr>
                <w:lang w:eastAsia="en-AU"/>
              </w:rPr>
            </w:pPr>
            <w:r w:rsidRPr="001C28F5">
              <w:rPr>
                <w:lang w:eastAsia="en-AU"/>
              </w:rPr>
              <w:t>Environmental management - Ad hoc</w:t>
            </w:r>
          </w:p>
        </w:tc>
        <w:tc>
          <w:tcPr>
            <w:tcW w:w="966" w:type="dxa"/>
          </w:tcPr>
          <w:p w14:paraId="2A908042"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04953248" w14:textId="77777777" w:rsidR="00F95AF6" w:rsidRPr="001C28F5" w:rsidRDefault="00F95AF6" w:rsidP="009746A6">
            <w:pPr>
              <w:pStyle w:val="Tablebodytext"/>
              <w:keepNext w:val="0"/>
              <w:keepLines w:val="0"/>
              <w:rPr>
                <w:lang w:eastAsia="en-AU"/>
              </w:rPr>
            </w:pPr>
          </w:p>
        </w:tc>
        <w:tc>
          <w:tcPr>
            <w:tcW w:w="995" w:type="dxa"/>
            <w:vMerge/>
          </w:tcPr>
          <w:p w14:paraId="6AB6A083" w14:textId="77777777" w:rsidR="00F95AF6" w:rsidRPr="001C28F5" w:rsidRDefault="00F95AF6" w:rsidP="009746A6">
            <w:pPr>
              <w:pStyle w:val="Tablebodytext"/>
              <w:keepNext w:val="0"/>
              <w:keepLines w:val="0"/>
              <w:rPr>
                <w:lang w:eastAsia="en-AU"/>
              </w:rPr>
            </w:pPr>
          </w:p>
        </w:tc>
      </w:tr>
      <w:tr w:rsidR="00F95AF6" w:rsidRPr="001C28F5" w14:paraId="4189A600" w14:textId="77777777" w:rsidTr="001371EB">
        <w:trPr>
          <w:trHeight w:val="440"/>
        </w:trPr>
        <w:tc>
          <w:tcPr>
            <w:tcW w:w="2037" w:type="dxa"/>
            <w:vMerge w:val="restart"/>
          </w:tcPr>
          <w:p w14:paraId="48BD7975" w14:textId="77777777" w:rsidR="00F95AF6" w:rsidRPr="001C28F5" w:rsidRDefault="00F95AF6" w:rsidP="009746A6">
            <w:pPr>
              <w:pStyle w:val="Tablebodytext"/>
              <w:keepNext w:val="0"/>
              <w:keepLines w:val="0"/>
              <w:rPr>
                <w:lang w:eastAsia="en-AU"/>
              </w:rPr>
            </w:pPr>
            <w:r w:rsidRPr="001C28F5">
              <w:rPr>
                <w:lang w:eastAsia="en-AU"/>
              </w:rPr>
              <w:t>21. How frequently does this business rely on predictive analysis?</w:t>
            </w:r>
          </w:p>
          <w:p w14:paraId="27E94EA7" w14:textId="77777777" w:rsidR="00F95AF6" w:rsidRPr="001C28F5" w:rsidRDefault="00F95AF6" w:rsidP="009746A6">
            <w:pPr>
              <w:pStyle w:val="Tablebodytext"/>
              <w:keepNext w:val="0"/>
              <w:keepLines w:val="0"/>
              <w:rPr>
                <w:lang w:eastAsia="en-AU"/>
              </w:rPr>
            </w:pPr>
          </w:p>
        </w:tc>
        <w:tc>
          <w:tcPr>
            <w:tcW w:w="1082" w:type="dxa"/>
            <w:vMerge w:val="restart"/>
          </w:tcPr>
          <w:p w14:paraId="3C7B2BA5" w14:textId="77777777" w:rsidR="00F95AF6" w:rsidRPr="001C28F5" w:rsidRDefault="00F95AF6" w:rsidP="009746A6">
            <w:pPr>
              <w:pStyle w:val="Tablebodytext"/>
              <w:keepNext w:val="0"/>
              <w:keepLines w:val="0"/>
              <w:rPr>
                <w:lang w:eastAsia="en-AU"/>
              </w:rPr>
            </w:pPr>
            <w:r w:rsidRPr="0064751A">
              <w:rPr>
                <w:lang w:eastAsia="en-AU"/>
              </w:rPr>
              <w:t>Scale</w:t>
            </w:r>
            <w:r w:rsidRPr="001C28F5">
              <w:rPr>
                <w:lang w:eastAsia="en-AU"/>
              </w:rPr>
              <w:t>d</w:t>
            </w:r>
          </w:p>
          <w:p w14:paraId="5C461DA6" w14:textId="77777777" w:rsidR="00F95AF6" w:rsidRPr="001C28F5" w:rsidRDefault="00F95AF6" w:rsidP="009746A6">
            <w:pPr>
              <w:pStyle w:val="Tablebodytext"/>
              <w:keepNext w:val="0"/>
              <w:keepLines w:val="0"/>
              <w:rPr>
                <w:lang w:eastAsia="en-AU"/>
              </w:rPr>
            </w:pPr>
          </w:p>
        </w:tc>
        <w:tc>
          <w:tcPr>
            <w:tcW w:w="992" w:type="dxa"/>
          </w:tcPr>
          <w:p w14:paraId="08EC58CD"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6E176EBC" w14:textId="77777777" w:rsidR="00F95AF6" w:rsidRPr="001C28F5" w:rsidRDefault="00F95AF6" w:rsidP="009746A6">
            <w:pPr>
              <w:pStyle w:val="Tablebodytext"/>
              <w:keepNext w:val="0"/>
              <w:keepLines w:val="0"/>
              <w:rPr>
                <w:lang w:eastAsia="en-AU"/>
              </w:rPr>
            </w:pPr>
            <w:r w:rsidRPr="001C28F5">
              <w:rPr>
                <w:lang w:eastAsia="en-AU"/>
              </w:rPr>
              <w:t>Daily</w:t>
            </w:r>
          </w:p>
        </w:tc>
        <w:tc>
          <w:tcPr>
            <w:tcW w:w="966" w:type="dxa"/>
          </w:tcPr>
          <w:p w14:paraId="14002054"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val="restart"/>
          </w:tcPr>
          <w:p w14:paraId="63E4FE12" w14:textId="77777777" w:rsidR="00F95AF6" w:rsidRPr="001C28F5" w:rsidRDefault="00F95AF6" w:rsidP="009746A6">
            <w:pPr>
              <w:pStyle w:val="Tablebodytext"/>
              <w:keepNext w:val="0"/>
              <w:keepLines w:val="0"/>
              <w:rPr>
                <w:lang w:eastAsia="en-AU"/>
              </w:rPr>
            </w:pPr>
            <w:r w:rsidRPr="001C28F5">
              <w:rPr>
                <w:lang w:eastAsia="en-AU"/>
              </w:rPr>
              <w:t>Execution</w:t>
            </w:r>
          </w:p>
        </w:tc>
        <w:tc>
          <w:tcPr>
            <w:tcW w:w="995" w:type="dxa"/>
            <w:vMerge w:val="restart"/>
          </w:tcPr>
          <w:p w14:paraId="62F3E449" w14:textId="77777777" w:rsidR="00F95AF6" w:rsidRPr="001C28F5" w:rsidRDefault="00F95AF6" w:rsidP="009746A6">
            <w:pPr>
              <w:pStyle w:val="Tablebodytext"/>
              <w:keepNext w:val="0"/>
              <w:keepLines w:val="0"/>
              <w:rPr>
                <w:lang w:eastAsia="en-AU"/>
              </w:rPr>
            </w:pPr>
            <w:r w:rsidRPr="001C28F5">
              <w:rPr>
                <w:lang w:eastAsia="en-AU"/>
              </w:rPr>
              <w:t>0.364</w:t>
            </w:r>
          </w:p>
        </w:tc>
      </w:tr>
      <w:tr w:rsidR="00F95AF6" w:rsidRPr="001C28F5" w14:paraId="2A376B89" w14:textId="77777777" w:rsidTr="001371EB">
        <w:trPr>
          <w:trHeight w:val="320"/>
        </w:trPr>
        <w:tc>
          <w:tcPr>
            <w:tcW w:w="2037" w:type="dxa"/>
            <w:vMerge/>
          </w:tcPr>
          <w:p w14:paraId="58B233E7" w14:textId="77777777" w:rsidR="00F95AF6" w:rsidRPr="001C28F5" w:rsidRDefault="00F95AF6" w:rsidP="009746A6">
            <w:pPr>
              <w:pStyle w:val="Tablebodytext"/>
              <w:keepNext w:val="0"/>
              <w:keepLines w:val="0"/>
              <w:rPr>
                <w:lang w:eastAsia="en-AU"/>
              </w:rPr>
            </w:pPr>
          </w:p>
        </w:tc>
        <w:tc>
          <w:tcPr>
            <w:tcW w:w="1082" w:type="dxa"/>
            <w:vMerge/>
          </w:tcPr>
          <w:p w14:paraId="477DFFF5" w14:textId="77777777" w:rsidR="00F95AF6" w:rsidRPr="001C28F5" w:rsidRDefault="00F95AF6" w:rsidP="009746A6">
            <w:pPr>
              <w:pStyle w:val="Tablebodytext"/>
              <w:keepNext w:val="0"/>
              <w:keepLines w:val="0"/>
              <w:rPr>
                <w:lang w:eastAsia="en-AU"/>
              </w:rPr>
            </w:pPr>
          </w:p>
        </w:tc>
        <w:tc>
          <w:tcPr>
            <w:tcW w:w="992" w:type="dxa"/>
          </w:tcPr>
          <w:p w14:paraId="47D12814"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3DFB6B72" w14:textId="77777777" w:rsidR="00F95AF6" w:rsidRPr="001C28F5" w:rsidRDefault="00F95AF6" w:rsidP="009746A6">
            <w:pPr>
              <w:pStyle w:val="Tablebodytext"/>
              <w:keepNext w:val="0"/>
              <w:keepLines w:val="0"/>
              <w:rPr>
                <w:lang w:eastAsia="en-AU"/>
              </w:rPr>
            </w:pPr>
            <w:r w:rsidRPr="001C28F5">
              <w:rPr>
                <w:lang w:eastAsia="en-AU"/>
              </w:rPr>
              <w:t>Weekly</w:t>
            </w:r>
          </w:p>
        </w:tc>
        <w:tc>
          <w:tcPr>
            <w:tcW w:w="966" w:type="dxa"/>
          </w:tcPr>
          <w:p w14:paraId="7155C8A1" w14:textId="77777777" w:rsidR="00F95AF6" w:rsidRPr="001C28F5" w:rsidRDefault="00F95AF6" w:rsidP="009746A6">
            <w:pPr>
              <w:pStyle w:val="Tablebodytext"/>
              <w:keepNext w:val="0"/>
              <w:keepLines w:val="0"/>
              <w:rPr>
                <w:lang w:eastAsia="en-AU"/>
              </w:rPr>
            </w:pPr>
            <w:r w:rsidRPr="001C28F5">
              <w:rPr>
                <w:lang w:eastAsia="en-AU"/>
              </w:rPr>
              <w:t>3/4</w:t>
            </w:r>
          </w:p>
        </w:tc>
        <w:tc>
          <w:tcPr>
            <w:tcW w:w="1043" w:type="dxa"/>
            <w:vMerge/>
          </w:tcPr>
          <w:p w14:paraId="02FECEFD" w14:textId="77777777" w:rsidR="00F95AF6" w:rsidRPr="001C28F5" w:rsidRDefault="00F95AF6" w:rsidP="009746A6">
            <w:pPr>
              <w:pStyle w:val="Tablebodytext"/>
              <w:keepNext w:val="0"/>
              <w:keepLines w:val="0"/>
              <w:rPr>
                <w:lang w:eastAsia="en-AU"/>
              </w:rPr>
            </w:pPr>
          </w:p>
        </w:tc>
        <w:tc>
          <w:tcPr>
            <w:tcW w:w="995" w:type="dxa"/>
            <w:vMerge/>
          </w:tcPr>
          <w:p w14:paraId="04577530" w14:textId="77777777" w:rsidR="00F95AF6" w:rsidRPr="001C28F5" w:rsidRDefault="00F95AF6" w:rsidP="009746A6">
            <w:pPr>
              <w:pStyle w:val="Tablebodytext"/>
              <w:keepNext w:val="0"/>
              <w:keepLines w:val="0"/>
              <w:rPr>
                <w:lang w:eastAsia="en-AU"/>
              </w:rPr>
            </w:pPr>
          </w:p>
        </w:tc>
      </w:tr>
      <w:tr w:rsidR="00F95AF6" w:rsidRPr="001C28F5" w14:paraId="7D8E0CE7" w14:textId="77777777" w:rsidTr="001371EB">
        <w:trPr>
          <w:trHeight w:val="320"/>
        </w:trPr>
        <w:tc>
          <w:tcPr>
            <w:tcW w:w="2037" w:type="dxa"/>
            <w:vMerge/>
          </w:tcPr>
          <w:p w14:paraId="2B2540FA" w14:textId="77777777" w:rsidR="00F95AF6" w:rsidRPr="001C28F5" w:rsidRDefault="00F95AF6" w:rsidP="009746A6">
            <w:pPr>
              <w:pStyle w:val="Tablebodytext"/>
              <w:keepNext w:val="0"/>
              <w:keepLines w:val="0"/>
              <w:rPr>
                <w:lang w:eastAsia="en-AU"/>
              </w:rPr>
            </w:pPr>
          </w:p>
        </w:tc>
        <w:tc>
          <w:tcPr>
            <w:tcW w:w="1082" w:type="dxa"/>
            <w:vMerge/>
          </w:tcPr>
          <w:p w14:paraId="4F3A75B9" w14:textId="77777777" w:rsidR="00F95AF6" w:rsidRPr="001C28F5" w:rsidRDefault="00F95AF6" w:rsidP="009746A6">
            <w:pPr>
              <w:pStyle w:val="Tablebodytext"/>
              <w:keepNext w:val="0"/>
              <w:keepLines w:val="0"/>
              <w:rPr>
                <w:lang w:eastAsia="en-AU"/>
              </w:rPr>
            </w:pPr>
          </w:p>
        </w:tc>
        <w:tc>
          <w:tcPr>
            <w:tcW w:w="992" w:type="dxa"/>
          </w:tcPr>
          <w:p w14:paraId="10C31390"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26D232E9" w14:textId="77777777" w:rsidR="00F95AF6" w:rsidRPr="001C28F5" w:rsidRDefault="00F95AF6" w:rsidP="009746A6">
            <w:pPr>
              <w:pStyle w:val="Tablebodytext"/>
              <w:keepNext w:val="0"/>
              <w:keepLines w:val="0"/>
              <w:rPr>
                <w:lang w:eastAsia="en-AU"/>
              </w:rPr>
            </w:pPr>
            <w:r w:rsidRPr="001C28F5">
              <w:rPr>
                <w:lang w:eastAsia="en-AU"/>
              </w:rPr>
              <w:t>Monthly</w:t>
            </w:r>
          </w:p>
        </w:tc>
        <w:tc>
          <w:tcPr>
            <w:tcW w:w="966" w:type="dxa"/>
          </w:tcPr>
          <w:p w14:paraId="68F7E5F1" w14:textId="77777777" w:rsidR="00F95AF6" w:rsidRPr="001C28F5" w:rsidRDefault="00F95AF6" w:rsidP="009746A6">
            <w:pPr>
              <w:pStyle w:val="Tablebodytext"/>
              <w:keepNext w:val="0"/>
              <w:keepLines w:val="0"/>
              <w:rPr>
                <w:lang w:eastAsia="en-AU"/>
              </w:rPr>
            </w:pPr>
            <w:r w:rsidRPr="001C28F5">
              <w:rPr>
                <w:lang w:eastAsia="en-AU"/>
              </w:rPr>
              <w:t>3/4</w:t>
            </w:r>
          </w:p>
        </w:tc>
        <w:tc>
          <w:tcPr>
            <w:tcW w:w="1043" w:type="dxa"/>
            <w:vMerge/>
          </w:tcPr>
          <w:p w14:paraId="093D2B77" w14:textId="77777777" w:rsidR="00F95AF6" w:rsidRPr="001C28F5" w:rsidRDefault="00F95AF6" w:rsidP="009746A6">
            <w:pPr>
              <w:pStyle w:val="Tablebodytext"/>
              <w:keepNext w:val="0"/>
              <w:keepLines w:val="0"/>
              <w:rPr>
                <w:lang w:eastAsia="en-AU"/>
              </w:rPr>
            </w:pPr>
          </w:p>
        </w:tc>
        <w:tc>
          <w:tcPr>
            <w:tcW w:w="995" w:type="dxa"/>
            <w:vMerge/>
          </w:tcPr>
          <w:p w14:paraId="0AB930B4" w14:textId="77777777" w:rsidR="00F95AF6" w:rsidRPr="001C28F5" w:rsidRDefault="00F95AF6" w:rsidP="009746A6">
            <w:pPr>
              <w:pStyle w:val="Tablebodytext"/>
              <w:keepNext w:val="0"/>
              <w:keepLines w:val="0"/>
              <w:rPr>
                <w:lang w:eastAsia="en-AU"/>
              </w:rPr>
            </w:pPr>
          </w:p>
        </w:tc>
      </w:tr>
      <w:tr w:rsidR="00F95AF6" w:rsidRPr="001C28F5" w14:paraId="6DBDC942" w14:textId="77777777" w:rsidTr="001371EB">
        <w:trPr>
          <w:trHeight w:val="320"/>
        </w:trPr>
        <w:tc>
          <w:tcPr>
            <w:tcW w:w="2037" w:type="dxa"/>
            <w:vMerge/>
          </w:tcPr>
          <w:p w14:paraId="4D91FDDE" w14:textId="77777777" w:rsidR="00F95AF6" w:rsidRPr="001C28F5" w:rsidRDefault="00F95AF6" w:rsidP="009746A6">
            <w:pPr>
              <w:pStyle w:val="Tablebodytext"/>
              <w:keepNext w:val="0"/>
              <w:keepLines w:val="0"/>
              <w:rPr>
                <w:lang w:eastAsia="en-AU"/>
              </w:rPr>
            </w:pPr>
          </w:p>
        </w:tc>
        <w:tc>
          <w:tcPr>
            <w:tcW w:w="1082" w:type="dxa"/>
            <w:vMerge/>
          </w:tcPr>
          <w:p w14:paraId="74C5028A" w14:textId="77777777" w:rsidR="00F95AF6" w:rsidRPr="001C28F5" w:rsidRDefault="00F95AF6" w:rsidP="009746A6">
            <w:pPr>
              <w:pStyle w:val="Tablebodytext"/>
              <w:keepNext w:val="0"/>
              <w:keepLines w:val="0"/>
              <w:rPr>
                <w:lang w:eastAsia="en-AU"/>
              </w:rPr>
            </w:pPr>
          </w:p>
        </w:tc>
        <w:tc>
          <w:tcPr>
            <w:tcW w:w="992" w:type="dxa"/>
          </w:tcPr>
          <w:p w14:paraId="44FF609E"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142A6A3D" w14:textId="77777777" w:rsidR="00F95AF6" w:rsidRPr="001C28F5" w:rsidRDefault="00F95AF6" w:rsidP="009746A6">
            <w:pPr>
              <w:pStyle w:val="Tablebodytext"/>
              <w:keepNext w:val="0"/>
              <w:keepLines w:val="0"/>
              <w:rPr>
                <w:lang w:eastAsia="en-AU"/>
              </w:rPr>
            </w:pPr>
            <w:r w:rsidRPr="001C28F5">
              <w:rPr>
                <w:lang w:eastAsia="en-AU"/>
              </w:rPr>
              <w:t>Quarterly</w:t>
            </w:r>
          </w:p>
        </w:tc>
        <w:tc>
          <w:tcPr>
            <w:tcW w:w="966" w:type="dxa"/>
          </w:tcPr>
          <w:p w14:paraId="3A3A5BA9" w14:textId="77777777" w:rsidR="00F95AF6" w:rsidRPr="001C28F5" w:rsidRDefault="00F95AF6" w:rsidP="009746A6">
            <w:pPr>
              <w:pStyle w:val="Tablebodytext"/>
              <w:keepNext w:val="0"/>
              <w:keepLines w:val="0"/>
              <w:rPr>
                <w:lang w:eastAsia="en-AU"/>
              </w:rPr>
            </w:pPr>
            <w:r w:rsidRPr="001C28F5">
              <w:rPr>
                <w:lang w:eastAsia="en-AU"/>
              </w:rPr>
              <w:t>3/4</w:t>
            </w:r>
          </w:p>
        </w:tc>
        <w:tc>
          <w:tcPr>
            <w:tcW w:w="1043" w:type="dxa"/>
            <w:vMerge/>
          </w:tcPr>
          <w:p w14:paraId="6BDB3064" w14:textId="77777777" w:rsidR="00F95AF6" w:rsidRPr="001C28F5" w:rsidRDefault="00F95AF6" w:rsidP="009746A6">
            <w:pPr>
              <w:pStyle w:val="Tablebodytext"/>
              <w:keepNext w:val="0"/>
              <w:keepLines w:val="0"/>
              <w:rPr>
                <w:lang w:eastAsia="en-AU"/>
              </w:rPr>
            </w:pPr>
          </w:p>
        </w:tc>
        <w:tc>
          <w:tcPr>
            <w:tcW w:w="995" w:type="dxa"/>
            <w:vMerge/>
          </w:tcPr>
          <w:p w14:paraId="52DC6FE7" w14:textId="77777777" w:rsidR="00F95AF6" w:rsidRPr="001C28F5" w:rsidRDefault="00F95AF6" w:rsidP="009746A6">
            <w:pPr>
              <w:pStyle w:val="Tablebodytext"/>
              <w:keepNext w:val="0"/>
              <w:keepLines w:val="0"/>
              <w:rPr>
                <w:lang w:eastAsia="en-AU"/>
              </w:rPr>
            </w:pPr>
          </w:p>
        </w:tc>
      </w:tr>
      <w:tr w:rsidR="00F95AF6" w:rsidRPr="001C28F5" w14:paraId="1FD484F0" w14:textId="77777777" w:rsidTr="001371EB">
        <w:trPr>
          <w:trHeight w:val="320"/>
        </w:trPr>
        <w:tc>
          <w:tcPr>
            <w:tcW w:w="2037" w:type="dxa"/>
            <w:vMerge/>
          </w:tcPr>
          <w:p w14:paraId="24DEC8BD" w14:textId="77777777" w:rsidR="00F95AF6" w:rsidRPr="001C28F5" w:rsidRDefault="00F95AF6" w:rsidP="009746A6">
            <w:pPr>
              <w:pStyle w:val="Tablebodytext"/>
              <w:keepNext w:val="0"/>
              <w:keepLines w:val="0"/>
              <w:rPr>
                <w:lang w:eastAsia="en-AU"/>
              </w:rPr>
            </w:pPr>
          </w:p>
        </w:tc>
        <w:tc>
          <w:tcPr>
            <w:tcW w:w="1082" w:type="dxa"/>
            <w:vMerge/>
          </w:tcPr>
          <w:p w14:paraId="11C7B389" w14:textId="77777777" w:rsidR="00F95AF6" w:rsidRPr="001C28F5" w:rsidRDefault="00F95AF6" w:rsidP="009746A6">
            <w:pPr>
              <w:pStyle w:val="Tablebodytext"/>
              <w:keepNext w:val="0"/>
              <w:keepLines w:val="0"/>
              <w:rPr>
                <w:lang w:eastAsia="en-AU"/>
              </w:rPr>
            </w:pPr>
          </w:p>
        </w:tc>
        <w:tc>
          <w:tcPr>
            <w:tcW w:w="992" w:type="dxa"/>
          </w:tcPr>
          <w:p w14:paraId="353F3D14"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5616E57B" w14:textId="77777777" w:rsidR="00F95AF6" w:rsidRPr="001C28F5" w:rsidRDefault="00F95AF6" w:rsidP="009746A6">
            <w:pPr>
              <w:pStyle w:val="Tablebodytext"/>
              <w:keepNext w:val="0"/>
              <w:keepLines w:val="0"/>
              <w:rPr>
                <w:lang w:eastAsia="en-AU"/>
              </w:rPr>
            </w:pPr>
            <w:r w:rsidRPr="001C28F5">
              <w:rPr>
                <w:lang w:eastAsia="en-AU"/>
              </w:rPr>
              <w:t>Annually</w:t>
            </w:r>
          </w:p>
        </w:tc>
        <w:tc>
          <w:tcPr>
            <w:tcW w:w="966" w:type="dxa"/>
          </w:tcPr>
          <w:p w14:paraId="476E88E2" w14:textId="77777777" w:rsidR="00F95AF6" w:rsidRPr="001C28F5" w:rsidRDefault="00F95AF6" w:rsidP="009746A6">
            <w:pPr>
              <w:pStyle w:val="Tablebodytext"/>
              <w:keepNext w:val="0"/>
              <w:keepLines w:val="0"/>
              <w:rPr>
                <w:lang w:eastAsia="en-AU"/>
              </w:rPr>
            </w:pPr>
            <w:r w:rsidRPr="001C28F5">
              <w:rPr>
                <w:lang w:eastAsia="en-AU"/>
              </w:rPr>
              <w:t>2/4</w:t>
            </w:r>
          </w:p>
        </w:tc>
        <w:tc>
          <w:tcPr>
            <w:tcW w:w="1043" w:type="dxa"/>
            <w:vMerge/>
          </w:tcPr>
          <w:p w14:paraId="768620D6" w14:textId="77777777" w:rsidR="00F95AF6" w:rsidRPr="001C28F5" w:rsidRDefault="00F95AF6" w:rsidP="009746A6">
            <w:pPr>
              <w:pStyle w:val="Tablebodytext"/>
              <w:keepNext w:val="0"/>
              <w:keepLines w:val="0"/>
              <w:rPr>
                <w:lang w:eastAsia="en-AU"/>
              </w:rPr>
            </w:pPr>
          </w:p>
        </w:tc>
        <w:tc>
          <w:tcPr>
            <w:tcW w:w="995" w:type="dxa"/>
            <w:vMerge/>
          </w:tcPr>
          <w:p w14:paraId="12A6B0AC" w14:textId="77777777" w:rsidR="00F95AF6" w:rsidRPr="001C28F5" w:rsidRDefault="00F95AF6" w:rsidP="009746A6">
            <w:pPr>
              <w:pStyle w:val="Tablebodytext"/>
              <w:keepNext w:val="0"/>
              <w:keepLines w:val="0"/>
              <w:rPr>
                <w:lang w:eastAsia="en-AU"/>
              </w:rPr>
            </w:pPr>
          </w:p>
        </w:tc>
      </w:tr>
      <w:tr w:rsidR="00F95AF6" w:rsidRPr="001C28F5" w14:paraId="0F321F5B" w14:textId="77777777" w:rsidTr="001371EB">
        <w:trPr>
          <w:trHeight w:val="320"/>
        </w:trPr>
        <w:tc>
          <w:tcPr>
            <w:tcW w:w="2037" w:type="dxa"/>
            <w:vMerge/>
          </w:tcPr>
          <w:p w14:paraId="36FCA57C" w14:textId="77777777" w:rsidR="00F95AF6" w:rsidRPr="001C28F5" w:rsidRDefault="00F95AF6" w:rsidP="009746A6">
            <w:pPr>
              <w:pStyle w:val="Tablebodytext"/>
              <w:keepNext w:val="0"/>
              <w:keepLines w:val="0"/>
              <w:rPr>
                <w:lang w:eastAsia="en-AU"/>
              </w:rPr>
            </w:pPr>
          </w:p>
        </w:tc>
        <w:tc>
          <w:tcPr>
            <w:tcW w:w="1082" w:type="dxa"/>
            <w:vMerge/>
          </w:tcPr>
          <w:p w14:paraId="156545AA" w14:textId="77777777" w:rsidR="00F95AF6" w:rsidRPr="001C28F5" w:rsidRDefault="00F95AF6" w:rsidP="009746A6">
            <w:pPr>
              <w:pStyle w:val="Tablebodytext"/>
              <w:keepNext w:val="0"/>
              <w:keepLines w:val="0"/>
              <w:rPr>
                <w:lang w:eastAsia="en-AU"/>
              </w:rPr>
            </w:pPr>
          </w:p>
        </w:tc>
        <w:tc>
          <w:tcPr>
            <w:tcW w:w="992" w:type="dxa"/>
          </w:tcPr>
          <w:p w14:paraId="692E4666"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2F4FA760" w14:textId="77777777" w:rsidR="00F95AF6" w:rsidRPr="001C28F5" w:rsidRDefault="00F95AF6" w:rsidP="009746A6">
            <w:pPr>
              <w:pStyle w:val="Tablebodytext"/>
              <w:keepNext w:val="0"/>
              <w:keepLines w:val="0"/>
              <w:rPr>
                <w:lang w:eastAsia="en-AU"/>
              </w:rPr>
            </w:pPr>
            <w:r w:rsidRPr="001C28F5">
              <w:rPr>
                <w:lang w:eastAsia="en-AU"/>
              </w:rPr>
              <w:t>Ad hoc</w:t>
            </w:r>
          </w:p>
        </w:tc>
        <w:tc>
          <w:tcPr>
            <w:tcW w:w="966" w:type="dxa"/>
          </w:tcPr>
          <w:p w14:paraId="1DD4CC11" w14:textId="77777777" w:rsidR="00F95AF6" w:rsidRPr="001C28F5" w:rsidRDefault="00F95AF6" w:rsidP="009746A6">
            <w:pPr>
              <w:pStyle w:val="Tablebodytext"/>
              <w:keepNext w:val="0"/>
              <w:keepLines w:val="0"/>
              <w:rPr>
                <w:lang w:eastAsia="en-AU"/>
              </w:rPr>
            </w:pPr>
            <w:r w:rsidRPr="001C28F5">
              <w:rPr>
                <w:lang w:eastAsia="en-AU"/>
              </w:rPr>
              <w:t>1/4</w:t>
            </w:r>
          </w:p>
        </w:tc>
        <w:tc>
          <w:tcPr>
            <w:tcW w:w="1043" w:type="dxa"/>
            <w:vMerge/>
          </w:tcPr>
          <w:p w14:paraId="07A578E1" w14:textId="77777777" w:rsidR="00F95AF6" w:rsidRPr="001C28F5" w:rsidRDefault="00F95AF6" w:rsidP="009746A6">
            <w:pPr>
              <w:pStyle w:val="Tablebodytext"/>
              <w:keepNext w:val="0"/>
              <w:keepLines w:val="0"/>
              <w:rPr>
                <w:lang w:eastAsia="en-AU"/>
              </w:rPr>
            </w:pPr>
          </w:p>
        </w:tc>
        <w:tc>
          <w:tcPr>
            <w:tcW w:w="995" w:type="dxa"/>
            <w:vMerge/>
          </w:tcPr>
          <w:p w14:paraId="721AF4E6" w14:textId="77777777" w:rsidR="00F95AF6" w:rsidRPr="001C28F5" w:rsidRDefault="00F95AF6" w:rsidP="009746A6">
            <w:pPr>
              <w:pStyle w:val="Tablebodytext"/>
              <w:keepNext w:val="0"/>
              <w:keepLines w:val="0"/>
              <w:rPr>
                <w:lang w:eastAsia="en-AU"/>
              </w:rPr>
            </w:pPr>
          </w:p>
        </w:tc>
      </w:tr>
      <w:tr w:rsidR="00F95AF6" w:rsidRPr="001C28F5" w14:paraId="4B8A63E4" w14:textId="77777777" w:rsidTr="001371EB">
        <w:trPr>
          <w:trHeight w:val="320"/>
        </w:trPr>
        <w:tc>
          <w:tcPr>
            <w:tcW w:w="2037" w:type="dxa"/>
            <w:vMerge/>
          </w:tcPr>
          <w:p w14:paraId="10E9AD05" w14:textId="77777777" w:rsidR="00F95AF6" w:rsidRPr="001C28F5" w:rsidRDefault="00F95AF6" w:rsidP="009746A6">
            <w:pPr>
              <w:pStyle w:val="Tablebodytext"/>
              <w:keepNext w:val="0"/>
              <w:keepLines w:val="0"/>
              <w:rPr>
                <w:lang w:eastAsia="en-AU"/>
              </w:rPr>
            </w:pPr>
          </w:p>
        </w:tc>
        <w:tc>
          <w:tcPr>
            <w:tcW w:w="1082" w:type="dxa"/>
            <w:vMerge/>
          </w:tcPr>
          <w:p w14:paraId="6F9F4CD0" w14:textId="77777777" w:rsidR="00F95AF6" w:rsidRPr="001C28F5" w:rsidRDefault="00F95AF6" w:rsidP="009746A6">
            <w:pPr>
              <w:pStyle w:val="Tablebodytext"/>
              <w:keepNext w:val="0"/>
              <w:keepLines w:val="0"/>
              <w:rPr>
                <w:lang w:eastAsia="en-AU"/>
              </w:rPr>
            </w:pPr>
          </w:p>
        </w:tc>
        <w:tc>
          <w:tcPr>
            <w:tcW w:w="992" w:type="dxa"/>
          </w:tcPr>
          <w:p w14:paraId="4D52CA03"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7C1CB811" w14:textId="77777777" w:rsidR="00F95AF6" w:rsidRPr="001C28F5" w:rsidRDefault="00F95AF6" w:rsidP="009746A6">
            <w:pPr>
              <w:pStyle w:val="Tablebodytext"/>
              <w:keepNext w:val="0"/>
              <w:keepLines w:val="0"/>
              <w:rPr>
                <w:lang w:eastAsia="en-AU"/>
              </w:rPr>
            </w:pPr>
            <w:r w:rsidRPr="001C28F5">
              <w:rPr>
                <w:lang w:eastAsia="en-AU"/>
              </w:rPr>
              <w:t>Never</w:t>
            </w:r>
          </w:p>
        </w:tc>
        <w:tc>
          <w:tcPr>
            <w:tcW w:w="966" w:type="dxa"/>
          </w:tcPr>
          <w:p w14:paraId="74CE625A"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2CA01267" w14:textId="77777777" w:rsidR="00F95AF6" w:rsidRPr="001C28F5" w:rsidRDefault="00F95AF6" w:rsidP="009746A6">
            <w:pPr>
              <w:pStyle w:val="Tablebodytext"/>
              <w:keepNext w:val="0"/>
              <w:keepLines w:val="0"/>
              <w:rPr>
                <w:lang w:eastAsia="en-AU"/>
              </w:rPr>
            </w:pPr>
          </w:p>
        </w:tc>
        <w:tc>
          <w:tcPr>
            <w:tcW w:w="995" w:type="dxa"/>
            <w:vMerge/>
          </w:tcPr>
          <w:p w14:paraId="13EECF10" w14:textId="77777777" w:rsidR="00F95AF6" w:rsidRPr="001C28F5" w:rsidRDefault="00F95AF6" w:rsidP="009746A6">
            <w:pPr>
              <w:pStyle w:val="Tablebodytext"/>
              <w:keepNext w:val="0"/>
              <w:keepLines w:val="0"/>
              <w:rPr>
                <w:lang w:eastAsia="en-AU"/>
              </w:rPr>
            </w:pPr>
          </w:p>
        </w:tc>
      </w:tr>
      <w:tr w:rsidR="00F95AF6" w:rsidRPr="001C28F5" w14:paraId="4616FE6F" w14:textId="77777777" w:rsidTr="001371EB">
        <w:trPr>
          <w:trHeight w:val="300"/>
        </w:trPr>
        <w:tc>
          <w:tcPr>
            <w:tcW w:w="2037" w:type="dxa"/>
            <w:vMerge w:val="restart"/>
          </w:tcPr>
          <w:p w14:paraId="1726FBD2" w14:textId="77777777" w:rsidR="00F95AF6" w:rsidRPr="001C28F5" w:rsidRDefault="00F95AF6" w:rsidP="009746A6">
            <w:pPr>
              <w:pStyle w:val="Tablebodytext"/>
              <w:keepNext w:val="0"/>
              <w:keepLines w:val="0"/>
              <w:rPr>
                <w:lang w:eastAsia="en-AU"/>
              </w:rPr>
            </w:pPr>
            <w:r w:rsidRPr="001C28F5">
              <w:rPr>
                <w:lang w:eastAsia="en-AU"/>
              </w:rPr>
              <w:t>29. During the year ended 30 June 2016, did this business have a strategic plan or policy?</w:t>
            </w:r>
          </w:p>
        </w:tc>
        <w:tc>
          <w:tcPr>
            <w:tcW w:w="1082" w:type="dxa"/>
            <w:vMerge w:val="restart"/>
          </w:tcPr>
          <w:p w14:paraId="4D976089" w14:textId="77777777" w:rsidR="00F95AF6" w:rsidRPr="0064751A" w:rsidRDefault="00F95AF6" w:rsidP="009746A6">
            <w:pPr>
              <w:pStyle w:val="Tablebodytext"/>
              <w:keepNext w:val="0"/>
              <w:keepLines w:val="0"/>
              <w:rPr>
                <w:lang w:eastAsia="en-AU"/>
              </w:rPr>
            </w:pPr>
            <w:r w:rsidRPr="0064751A">
              <w:rPr>
                <w:lang w:eastAsia="en-AU"/>
              </w:rPr>
              <w:t>Scaled</w:t>
            </w:r>
          </w:p>
          <w:p w14:paraId="435F38EB" w14:textId="77777777" w:rsidR="00F95AF6" w:rsidRPr="001C28F5" w:rsidRDefault="00F95AF6" w:rsidP="009746A6">
            <w:pPr>
              <w:pStyle w:val="Tablebodytext"/>
              <w:keepNext w:val="0"/>
              <w:keepLines w:val="0"/>
              <w:rPr>
                <w:lang w:eastAsia="en-AU"/>
              </w:rPr>
            </w:pPr>
          </w:p>
        </w:tc>
        <w:tc>
          <w:tcPr>
            <w:tcW w:w="992" w:type="dxa"/>
          </w:tcPr>
          <w:p w14:paraId="37175E59"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168B410B" w14:textId="77777777" w:rsidR="00F95AF6" w:rsidRPr="001C28F5" w:rsidRDefault="00F95AF6" w:rsidP="009746A6">
            <w:pPr>
              <w:pStyle w:val="Tablebodytext"/>
              <w:keepNext w:val="0"/>
              <w:keepLines w:val="0"/>
              <w:rPr>
                <w:lang w:eastAsia="en-AU"/>
              </w:rPr>
            </w:pPr>
            <w:r w:rsidRPr="001C28F5">
              <w:rPr>
                <w:lang w:eastAsia="en-AU"/>
              </w:rPr>
              <w:t xml:space="preserve">No </w:t>
            </w:r>
          </w:p>
        </w:tc>
        <w:tc>
          <w:tcPr>
            <w:tcW w:w="966" w:type="dxa"/>
          </w:tcPr>
          <w:p w14:paraId="774B0C20"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val="restart"/>
          </w:tcPr>
          <w:p w14:paraId="151D0C42" w14:textId="77777777" w:rsidR="00F95AF6" w:rsidRPr="001C28F5" w:rsidRDefault="00F95AF6" w:rsidP="009746A6">
            <w:pPr>
              <w:pStyle w:val="Tablebodytext"/>
              <w:keepNext w:val="0"/>
              <w:keepLines w:val="0"/>
              <w:rPr>
                <w:lang w:eastAsia="en-AU"/>
              </w:rPr>
            </w:pPr>
            <w:r w:rsidRPr="001C28F5">
              <w:rPr>
                <w:lang w:eastAsia="en-AU"/>
              </w:rPr>
              <w:t>Planning</w:t>
            </w:r>
          </w:p>
        </w:tc>
        <w:tc>
          <w:tcPr>
            <w:tcW w:w="995" w:type="dxa"/>
            <w:vMerge w:val="restart"/>
          </w:tcPr>
          <w:p w14:paraId="166BF15B" w14:textId="77777777" w:rsidR="00F95AF6" w:rsidRPr="001C28F5" w:rsidRDefault="00F95AF6" w:rsidP="009746A6">
            <w:pPr>
              <w:pStyle w:val="Tablebodytext"/>
              <w:keepNext w:val="0"/>
              <w:keepLines w:val="0"/>
              <w:rPr>
                <w:lang w:eastAsia="en-AU"/>
              </w:rPr>
            </w:pPr>
            <w:r w:rsidRPr="001C28F5">
              <w:rPr>
                <w:lang w:eastAsia="en-AU"/>
              </w:rPr>
              <w:t>0.428</w:t>
            </w:r>
          </w:p>
        </w:tc>
      </w:tr>
      <w:tr w:rsidR="00F95AF6" w:rsidRPr="001C28F5" w14:paraId="2E52B702" w14:textId="77777777" w:rsidTr="001371EB">
        <w:trPr>
          <w:trHeight w:val="320"/>
        </w:trPr>
        <w:tc>
          <w:tcPr>
            <w:tcW w:w="2037" w:type="dxa"/>
            <w:vMerge/>
          </w:tcPr>
          <w:p w14:paraId="7B2BC203" w14:textId="77777777" w:rsidR="00F95AF6" w:rsidRPr="001C28F5" w:rsidRDefault="00F95AF6" w:rsidP="009746A6">
            <w:pPr>
              <w:pStyle w:val="Tablebodytext"/>
              <w:keepNext w:val="0"/>
              <w:keepLines w:val="0"/>
              <w:rPr>
                <w:lang w:eastAsia="en-AU"/>
              </w:rPr>
            </w:pPr>
          </w:p>
        </w:tc>
        <w:tc>
          <w:tcPr>
            <w:tcW w:w="1082" w:type="dxa"/>
            <w:vMerge/>
          </w:tcPr>
          <w:p w14:paraId="58BED730" w14:textId="77777777" w:rsidR="00F95AF6" w:rsidRPr="001C28F5" w:rsidRDefault="00F95AF6" w:rsidP="009746A6">
            <w:pPr>
              <w:pStyle w:val="Tablebodytext"/>
              <w:keepNext w:val="0"/>
              <w:keepLines w:val="0"/>
              <w:rPr>
                <w:lang w:eastAsia="en-AU"/>
              </w:rPr>
            </w:pPr>
          </w:p>
        </w:tc>
        <w:tc>
          <w:tcPr>
            <w:tcW w:w="992" w:type="dxa"/>
          </w:tcPr>
          <w:p w14:paraId="2C522E12"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67BE3603" w14:textId="77777777" w:rsidR="00F95AF6" w:rsidRPr="001C28F5" w:rsidRDefault="00F95AF6" w:rsidP="009746A6">
            <w:pPr>
              <w:pStyle w:val="Tablebodytext"/>
              <w:keepNext w:val="0"/>
              <w:keepLines w:val="0"/>
              <w:rPr>
                <w:lang w:eastAsia="en-AU"/>
              </w:rPr>
            </w:pPr>
            <w:r w:rsidRPr="001C28F5">
              <w:rPr>
                <w:lang w:eastAsia="en-AU"/>
              </w:rPr>
              <w:t xml:space="preserve">Yes, and described in a written document </w:t>
            </w:r>
          </w:p>
        </w:tc>
        <w:tc>
          <w:tcPr>
            <w:tcW w:w="966" w:type="dxa"/>
          </w:tcPr>
          <w:p w14:paraId="072B0A41" w14:textId="77777777" w:rsidR="00F95AF6" w:rsidRPr="001C28F5" w:rsidRDefault="00F95AF6" w:rsidP="009746A6">
            <w:pPr>
              <w:pStyle w:val="Tablebodytext"/>
              <w:keepNext w:val="0"/>
              <w:keepLines w:val="0"/>
              <w:rPr>
                <w:lang w:eastAsia="en-AU"/>
              </w:rPr>
            </w:pPr>
            <w:r w:rsidRPr="001C28F5">
              <w:rPr>
                <w:lang w:eastAsia="en-AU"/>
              </w:rPr>
              <w:t>1</w:t>
            </w:r>
          </w:p>
        </w:tc>
        <w:tc>
          <w:tcPr>
            <w:tcW w:w="1043" w:type="dxa"/>
            <w:vMerge/>
          </w:tcPr>
          <w:p w14:paraId="19350814" w14:textId="77777777" w:rsidR="00F95AF6" w:rsidRPr="001C28F5" w:rsidRDefault="00F95AF6" w:rsidP="009746A6">
            <w:pPr>
              <w:pStyle w:val="Tablebodytext"/>
              <w:keepNext w:val="0"/>
              <w:keepLines w:val="0"/>
              <w:rPr>
                <w:lang w:eastAsia="en-AU"/>
              </w:rPr>
            </w:pPr>
          </w:p>
        </w:tc>
        <w:tc>
          <w:tcPr>
            <w:tcW w:w="995" w:type="dxa"/>
            <w:vMerge/>
          </w:tcPr>
          <w:p w14:paraId="22839E0A" w14:textId="77777777" w:rsidR="00F95AF6" w:rsidRPr="001C28F5" w:rsidRDefault="00F95AF6" w:rsidP="009746A6">
            <w:pPr>
              <w:pStyle w:val="Tablebodytext"/>
              <w:keepNext w:val="0"/>
              <w:keepLines w:val="0"/>
              <w:rPr>
                <w:lang w:eastAsia="en-AU"/>
              </w:rPr>
            </w:pPr>
          </w:p>
        </w:tc>
      </w:tr>
      <w:tr w:rsidR="00F95AF6" w:rsidRPr="001C28F5" w14:paraId="5F513896" w14:textId="77777777" w:rsidTr="001371EB">
        <w:trPr>
          <w:trHeight w:val="320"/>
        </w:trPr>
        <w:tc>
          <w:tcPr>
            <w:tcW w:w="2037" w:type="dxa"/>
            <w:vMerge/>
          </w:tcPr>
          <w:p w14:paraId="3643853E" w14:textId="77777777" w:rsidR="00F95AF6" w:rsidRPr="001C28F5" w:rsidRDefault="00F95AF6" w:rsidP="009746A6">
            <w:pPr>
              <w:pStyle w:val="Tablebodytext"/>
              <w:keepNext w:val="0"/>
              <w:keepLines w:val="0"/>
              <w:rPr>
                <w:lang w:eastAsia="en-AU"/>
              </w:rPr>
            </w:pPr>
          </w:p>
        </w:tc>
        <w:tc>
          <w:tcPr>
            <w:tcW w:w="1082" w:type="dxa"/>
            <w:vMerge/>
          </w:tcPr>
          <w:p w14:paraId="575B7A3B" w14:textId="77777777" w:rsidR="00F95AF6" w:rsidRPr="001C28F5" w:rsidRDefault="00F95AF6" w:rsidP="009746A6">
            <w:pPr>
              <w:pStyle w:val="Tablebodytext"/>
              <w:keepNext w:val="0"/>
              <w:keepLines w:val="0"/>
              <w:rPr>
                <w:lang w:eastAsia="en-AU"/>
              </w:rPr>
            </w:pPr>
          </w:p>
        </w:tc>
        <w:tc>
          <w:tcPr>
            <w:tcW w:w="992" w:type="dxa"/>
          </w:tcPr>
          <w:p w14:paraId="6B6D1A0C"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538D3EC9" w14:textId="77777777" w:rsidR="00F95AF6" w:rsidRPr="001C28F5" w:rsidRDefault="00F95AF6" w:rsidP="009746A6">
            <w:pPr>
              <w:pStyle w:val="Tablebodytext"/>
              <w:keepNext w:val="0"/>
              <w:keepLines w:val="0"/>
              <w:rPr>
                <w:lang w:eastAsia="en-AU"/>
              </w:rPr>
            </w:pPr>
            <w:r w:rsidRPr="001C28F5">
              <w:rPr>
                <w:lang w:eastAsia="en-AU"/>
              </w:rPr>
              <w:t xml:space="preserve">Yes, but not a written plan or policy </w:t>
            </w:r>
          </w:p>
        </w:tc>
        <w:tc>
          <w:tcPr>
            <w:tcW w:w="966" w:type="dxa"/>
          </w:tcPr>
          <w:p w14:paraId="6CAE8BBE" w14:textId="77777777" w:rsidR="00F95AF6" w:rsidRPr="001C28F5" w:rsidRDefault="00F95AF6" w:rsidP="009746A6">
            <w:pPr>
              <w:pStyle w:val="Tablebodytext"/>
              <w:keepNext w:val="0"/>
              <w:keepLines w:val="0"/>
              <w:rPr>
                <w:lang w:eastAsia="en-AU"/>
              </w:rPr>
            </w:pPr>
            <w:r w:rsidRPr="001C28F5">
              <w:rPr>
                <w:lang w:eastAsia="en-AU"/>
              </w:rPr>
              <w:t>1/2</w:t>
            </w:r>
          </w:p>
        </w:tc>
        <w:tc>
          <w:tcPr>
            <w:tcW w:w="1043" w:type="dxa"/>
            <w:vMerge/>
          </w:tcPr>
          <w:p w14:paraId="7F33F959" w14:textId="77777777" w:rsidR="00F95AF6" w:rsidRPr="001C28F5" w:rsidRDefault="00F95AF6" w:rsidP="009746A6">
            <w:pPr>
              <w:pStyle w:val="Tablebodytext"/>
              <w:keepNext w:val="0"/>
              <w:keepLines w:val="0"/>
              <w:rPr>
                <w:lang w:eastAsia="en-AU"/>
              </w:rPr>
            </w:pPr>
          </w:p>
        </w:tc>
        <w:tc>
          <w:tcPr>
            <w:tcW w:w="995" w:type="dxa"/>
            <w:vMerge/>
          </w:tcPr>
          <w:p w14:paraId="07F1B8F5" w14:textId="77777777" w:rsidR="00F95AF6" w:rsidRPr="001C28F5" w:rsidRDefault="00F95AF6" w:rsidP="009746A6">
            <w:pPr>
              <w:pStyle w:val="Tablebodytext"/>
              <w:keepNext w:val="0"/>
              <w:keepLines w:val="0"/>
              <w:rPr>
                <w:lang w:eastAsia="en-AU"/>
              </w:rPr>
            </w:pPr>
          </w:p>
        </w:tc>
      </w:tr>
      <w:tr w:rsidR="00F95AF6" w:rsidRPr="001C28F5" w14:paraId="46A34B58" w14:textId="77777777" w:rsidTr="001371EB">
        <w:trPr>
          <w:trHeight w:val="660"/>
        </w:trPr>
        <w:tc>
          <w:tcPr>
            <w:tcW w:w="2037" w:type="dxa"/>
            <w:vMerge w:val="restart"/>
          </w:tcPr>
          <w:p w14:paraId="49F4CB6D" w14:textId="77777777" w:rsidR="00F95AF6" w:rsidRPr="001C28F5" w:rsidRDefault="00F95AF6" w:rsidP="009746A6">
            <w:pPr>
              <w:pStyle w:val="Tablebodytext"/>
              <w:keepNext w:val="0"/>
              <w:keepLines w:val="0"/>
              <w:rPr>
                <w:lang w:eastAsia="en-AU"/>
              </w:rPr>
            </w:pPr>
            <w:r w:rsidRPr="001C28F5">
              <w:rPr>
                <w:lang w:eastAsia="en-AU"/>
              </w:rPr>
              <w:t xml:space="preserve">30. Who contributed to developing the content in this business’s strategic plan or policy? </w:t>
            </w:r>
          </w:p>
          <w:p w14:paraId="4F2CF4E1" w14:textId="77777777" w:rsidR="00F95AF6" w:rsidRPr="001C28F5" w:rsidRDefault="00F95AF6" w:rsidP="009746A6">
            <w:pPr>
              <w:pStyle w:val="Tablebodytext"/>
              <w:keepNext w:val="0"/>
              <w:keepLines w:val="0"/>
              <w:rPr>
                <w:lang w:eastAsia="en-AU"/>
              </w:rPr>
            </w:pPr>
          </w:p>
        </w:tc>
        <w:tc>
          <w:tcPr>
            <w:tcW w:w="1082" w:type="dxa"/>
            <w:vMerge w:val="restart"/>
          </w:tcPr>
          <w:p w14:paraId="0ABB453E" w14:textId="77777777" w:rsidR="00F95AF6" w:rsidRPr="0064751A" w:rsidRDefault="00F95AF6" w:rsidP="009746A6">
            <w:pPr>
              <w:pStyle w:val="Tablebodytext"/>
              <w:keepNext w:val="0"/>
              <w:keepLines w:val="0"/>
              <w:rPr>
                <w:lang w:eastAsia="en-AU"/>
              </w:rPr>
            </w:pPr>
            <w:r w:rsidRPr="0064751A">
              <w:rPr>
                <w:lang w:eastAsia="en-AU"/>
              </w:rPr>
              <w:t>List</w:t>
            </w:r>
          </w:p>
          <w:p w14:paraId="4D5C0568" w14:textId="77777777" w:rsidR="00F95AF6" w:rsidRPr="001C28F5" w:rsidRDefault="00F95AF6" w:rsidP="009746A6">
            <w:pPr>
              <w:pStyle w:val="Tablebodytext"/>
              <w:keepNext w:val="0"/>
              <w:keepLines w:val="0"/>
              <w:rPr>
                <w:lang w:eastAsia="en-AU"/>
              </w:rPr>
            </w:pPr>
          </w:p>
        </w:tc>
        <w:tc>
          <w:tcPr>
            <w:tcW w:w="992" w:type="dxa"/>
          </w:tcPr>
          <w:p w14:paraId="5E485539"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17FA61DF" w14:textId="77777777" w:rsidR="00F95AF6" w:rsidRPr="001C28F5" w:rsidRDefault="00F95AF6" w:rsidP="009746A6">
            <w:pPr>
              <w:pStyle w:val="Tablebodytext"/>
              <w:keepNext w:val="0"/>
              <w:keepLines w:val="0"/>
              <w:rPr>
                <w:lang w:eastAsia="en-AU"/>
              </w:rPr>
            </w:pPr>
            <w:r w:rsidRPr="001C28F5">
              <w:rPr>
                <w:lang w:eastAsia="en-AU"/>
              </w:rPr>
              <w:t>Principal manager</w:t>
            </w:r>
          </w:p>
        </w:tc>
        <w:tc>
          <w:tcPr>
            <w:tcW w:w="966" w:type="dxa"/>
          </w:tcPr>
          <w:p w14:paraId="7B896CA5"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val="restart"/>
          </w:tcPr>
          <w:p w14:paraId="6219DE77" w14:textId="77777777" w:rsidR="00F95AF6" w:rsidRPr="001C28F5" w:rsidRDefault="00F95AF6" w:rsidP="009746A6">
            <w:pPr>
              <w:pStyle w:val="Tablebodytext"/>
              <w:keepNext w:val="0"/>
              <w:keepLines w:val="0"/>
              <w:rPr>
                <w:lang w:eastAsia="en-AU"/>
              </w:rPr>
            </w:pPr>
            <w:r w:rsidRPr="001C28F5">
              <w:rPr>
                <w:lang w:eastAsia="en-AU"/>
              </w:rPr>
              <w:t>Planning</w:t>
            </w:r>
          </w:p>
        </w:tc>
        <w:tc>
          <w:tcPr>
            <w:tcW w:w="995" w:type="dxa"/>
            <w:vMerge w:val="restart"/>
          </w:tcPr>
          <w:p w14:paraId="1578640F" w14:textId="77777777" w:rsidR="00F95AF6" w:rsidRPr="001C28F5" w:rsidRDefault="00F95AF6" w:rsidP="009746A6">
            <w:pPr>
              <w:pStyle w:val="Tablebodytext"/>
              <w:keepNext w:val="0"/>
              <w:keepLines w:val="0"/>
              <w:rPr>
                <w:lang w:eastAsia="en-AU"/>
              </w:rPr>
            </w:pPr>
            <w:r w:rsidRPr="001C28F5">
              <w:rPr>
                <w:lang w:eastAsia="en-AU"/>
              </w:rPr>
              <w:t>0.194</w:t>
            </w:r>
          </w:p>
        </w:tc>
      </w:tr>
      <w:tr w:rsidR="00F95AF6" w:rsidRPr="001C28F5" w14:paraId="0D810502" w14:textId="77777777" w:rsidTr="001371EB">
        <w:trPr>
          <w:trHeight w:val="320"/>
        </w:trPr>
        <w:tc>
          <w:tcPr>
            <w:tcW w:w="2037" w:type="dxa"/>
            <w:vMerge/>
          </w:tcPr>
          <w:p w14:paraId="018E5C25" w14:textId="77777777" w:rsidR="00F95AF6" w:rsidRPr="001C28F5" w:rsidRDefault="00F95AF6" w:rsidP="009746A6">
            <w:pPr>
              <w:pStyle w:val="Tablebodytext"/>
              <w:keepNext w:val="0"/>
              <w:keepLines w:val="0"/>
              <w:rPr>
                <w:lang w:eastAsia="en-AU"/>
              </w:rPr>
            </w:pPr>
          </w:p>
        </w:tc>
        <w:tc>
          <w:tcPr>
            <w:tcW w:w="1082" w:type="dxa"/>
            <w:vMerge/>
          </w:tcPr>
          <w:p w14:paraId="4D719D81" w14:textId="77777777" w:rsidR="00F95AF6" w:rsidRPr="001C28F5" w:rsidRDefault="00F95AF6" w:rsidP="009746A6">
            <w:pPr>
              <w:pStyle w:val="Tablebodytext"/>
              <w:keepNext w:val="0"/>
              <w:keepLines w:val="0"/>
              <w:rPr>
                <w:lang w:eastAsia="en-AU"/>
              </w:rPr>
            </w:pPr>
          </w:p>
        </w:tc>
        <w:tc>
          <w:tcPr>
            <w:tcW w:w="992" w:type="dxa"/>
          </w:tcPr>
          <w:p w14:paraId="1AB44232"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105C3F6D" w14:textId="77777777" w:rsidR="00F95AF6" w:rsidRPr="001C28F5" w:rsidRDefault="00F95AF6" w:rsidP="009746A6">
            <w:pPr>
              <w:pStyle w:val="Tablebodytext"/>
              <w:keepNext w:val="0"/>
              <w:keepLines w:val="0"/>
              <w:rPr>
                <w:lang w:eastAsia="en-AU"/>
              </w:rPr>
            </w:pPr>
            <w:r w:rsidRPr="001C28F5">
              <w:rPr>
                <w:lang w:eastAsia="en-AU"/>
              </w:rPr>
              <w:t>Commercial manager</w:t>
            </w:r>
          </w:p>
        </w:tc>
        <w:tc>
          <w:tcPr>
            <w:tcW w:w="966" w:type="dxa"/>
          </w:tcPr>
          <w:p w14:paraId="3DF9E21C"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tcPr>
          <w:p w14:paraId="366417C7" w14:textId="77777777" w:rsidR="00F95AF6" w:rsidRPr="001C28F5" w:rsidRDefault="00F95AF6" w:rsidP="009746A6">
            <w:pPr>
              <w:pStyle w:val="Tablebodytext"/>
              <w:keepNext w:val="0"/>
              <w:keepLines w:val="0"/>
              <w:rPr>
                <w:lang w:eastAsia="en-AU"/>
              </w:rPr>
            </w:pPr>
          </w:p>
        </w:tc>
        <w:tc>
          <w:tcPr>
            <w:tcW w:w="995" w:type="dxa"/>
            <w:vMerge/>
          </w:tcPr>
          <w:p w14:paraId="38F0EB56" w14:textId="77777777" w:rsidR="00F95AF6" w:rsidRPr="001C28F5" w:rsidRDefault="00F95AF6" w:rsidP="009746A6">
            <w:pPr>
              <w:pStyle w:val="Tablebodytext"/>
              <w:keepNext w:val="0"/>
              <w:keepLines w:val="0"/>
              <w:rPr>
                <w:lang w:eastAsia="en-AU"/>
              </w:rPr>
            </w:pPr>
          </w:p>
        </w:tc>
      </w:tr>
      <w:tr w:rsidR="00F95AF6" w:rsidRPr="001C28F5" w14:paraId="5A7A8BC5" w14:textId="77777777" w:rsidTr="001371EB">
        <w:trPr>
          <w:trHeight w:val="320"/>
        </w:trPr>
        <w:tc>
          <w:tcPr>
            <w:tcW w:w="2037" w:type="dxa"/>
            <w:vMerge/>
          </w:tcPr>
          <w:p w14:paraId="29A9CB23" w14:textId="77777777" w:rsidR="00F95AF6" w:rsidRPr="001C28F5" w:rsidRDefault="00F95AF6" w:rsidP="009746A6">
            <w:pPr>
              <w:pStyle w:val="Tablebodytext"/>
              <w:keepNext w:val="0"/>
              <w:keepLines w:val="0"/>
              <w:rPr>
                <w:lang w:eastAsia="en-AU"/>
              </w:rPr>
            </w:pPr>
          </w:p>
        </w:tc>
        <w:tc>
          <w:tcPr>
            <w:tcW w:w="1082" w:type="dxa"/>
            <w:vMerge/>
          </w:tcPr>
          <w:p w14:paraId="71E2B409" w14:textId="77777777" w:rsidR="00F95AF6" w:rsidRPr="001C28F5" w:rsidRDefault="00F95AF6" w:rsidP="009746A6">
            <w:pPr>
              <w:pStyle w:val="Tablebodytext"/>
              <w:keepNext w:val="0"/>
              <w:keepLines w:val="0"/>
              <w:rPr>
                <w:lang w:eastAsia="en-AU"/>
              </w:rPr>
            </w:pPr>
          </w:p>
        </w:tc>
        <w:tc>
          <w:tcPr>
            <w:tcW w:w="992" w:type="dxa"/>
          </w:tcPr>
          <w:p w14:paraId="2121B18F"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24A59132" w14:textId="77777777" w:rsidR="00F95AF6" w:rsidRPr="001C28F5" w:rsidRDefault="00F95AF6" w:rsidP="009746A6">
            <w:pPr>
              <w:pStyle w:val="Tablebodytext"/>
              <w:keepNext w:val="0"/>
              <w:keepLines w:val="0"/>
              <w:rPr>
                <w:lang w:eastAsia="en-AU"/>
              </w:rPr>
            </w:pPr>
            <w:r w:rsidRPr="001C28F5">
              <w:rPr>
                <w:lang w:eastAsia="en-AU"/>
              </w:rPr>
              <w:t>Chief financial officer</w:t>
            </w:r>
          </w:p>
        </w:tc>
        <w:tc>
          <w:tcPr>
            <w:tcW w:w="966" w:type="dxa"/>
          </w:tcPr>
          <w:p w14:paraId="7EBFE142"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tcPr>
          <w:p w14:paraId="2231A6BA" w14:textId="77777777" w:rsidR="00F95AF6" w:rsidRPr="001C28F5" w:rsidRDefault="00F95AF6" w:rsidP="009746A6">
            <w:pPr>
              <w:pStyle w:val="Tablebodytext"/>
              <w:keepNext w:val="0"/>
              <w:keepLines w:val="0"/>
              <w:rPr>
                <w:lang w:eastAsia="en-AU"/>
              </w:rPr>
            </w:pPr>
          </w:p>
        </w:tc>
        <w:tc>
          <w:tcPr>
            <w:tcW w:w="995" w:type="dxa"/>
            <w:vMerge/>
          </w:tcPr>
          <w:p w14:paraId="65D5E9E3" w14:textId="77777777" w:rsidR="00F95AF6" w:rsidRPr="001C28F5" w:rsidRDefault="00F95AF6" w:rsidP="009746A6">
            <w:pPr>
              <w:pStyle w:val="Tablebodytext"/>
              <w:keepNext w:val="0"/>
              <w:keepLines w:val="0"/>
              <w:rPr>
                <w:lang w:eastAsia="en-AU"/>
              </w:rPr>
            </w:pPr>
          </w:p>
        </w:tc>
      </w:tr>
      <w:tr w:rsidR="00F95AF6" w:rsidRPr="001C28F5" w14:paraId="13A16F01" w14:textId="77777777" w:rsidTr="001371EB">
        <w:trPr>
          <w:trHeight w:val="320"/>
        </w:trPr>
        <w:tc>
          <w:tcPr>
            <w:tcW w:w="2037" w:type="dxa"/>
            <w:vMerge/>
          </w:tcPr>
          <w:p w14:paraId="2A50EA65" w14:textId="77777777" w:rsidR="00F95AF6" w:rsidRPr="001C28F5" w:rsidRDefault="00F95AF6" w:rsidP="009746A6">
            <w:pPr>
              <w:pStyle w:val="Tablebodytext"/>
              <w:keepNext w:val="0"/>
              <w:keepLines w:val="0"/>
              <w:rPr>
                <w:lang w:eastAsia="en-AU"/>
              </w:rPr>
            </w:pPr>
          </w:p>
        </w:tc>
        <w:tc>
          <w:tcPr>
            <w:tcW w:w="1082" w:type="dxa"/>
            <w:vMerge/>
          </w:tcPr>
          <w:p w14:paraId="7D3CF8C2" w14:textId="77777777" w:rsidR="00F95AF6" w:rsidRPr="001C28F5" w:rsidRDefault="00F95AF6" w:rsidP="009746A6">
            <w:pPr>
              <w:pStyle w:val="Tablebodytext"/>
              <w:keepNext w:val="0"/>
              <w:keepLines w:val="0"/>
              <w:rPr>
                <w:lang w:eastAsia="en-AU"/>
              </w:rPr>
            </w:pPr>
          </w:p>
        </w:tc>
        <w:tc>
          <w:tcPr>
            <w:tcW w:w="992" w:type="dxa"/>
          </w:tcPr>
          <w:p w14:paraId="2720230A"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16ECF427" w14:textId="77777777" w:rsidR="00F95AF6" w:rsidRPr="001C28F5" w:rsidRDefault="00F95AF6" w:rsidP="009746A6">
            <w:pPr>
              <w:pStyle w:val="Tablebodytext"/>
              <w:keepNext w:val="0"/>
              <w:keepLines w:val="0"/>
              <w:rPr>
                <w:lang w:eastAsia="en-AU"/>
              </w:rPr>
            </w:pPr>
            <w:r w:rsidRPr="001C28F5">
              <w:rPr>
                <w:lang w:eastAsia="en-AU"/>
              </w:rPr>
              <w:t>Production/operations manager</w:t>
            </w:r>
          </w:p>
        </w:tc>
        <w:tc>
          <w:tcPr>
            <w:tcW w:w="966" w:type="dxa"/>
          </w:tcPr>
          <w:p w14:paraId="1B5F3484"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tcPr>
          <w:p w14:paraId="2E6E7635" w14:textId="77777777" w:rsidR="00F95AF6" w:rsidRPr="001C28F5" w:rsidRDefault="00F95AF6" w:rsidP="009746A6">
            <w:pPr>
              <w:pStyle w:val="Tablebodytext"/>
              <w:keepNext w:val="0"/>
              <w:keepLines w:val="0"/>
              <w:rPr>
                <w:lang w:eastAsia="en-AU"/>
              </w:rPr>
            </w:pPr>
          </w:p>
        </w:tc>
        <w:tc>
          <w:tcPr>
            <w:tcW w:w="995" w:type="dxa"/>
            <w:vMerge/>
          </w:tcPr>
          <w:p w14:paraId="5EB9A951" w14:textId="77777777" w:rsidR="00F95AF6" w:rsidRPr="001C28F5" w:rsidRDefault="00F95AF6" w:rsidP="009746A6">
            <w:pPr>
              <w:pStyle w:val="Tablebodytext"/>
              <w:keepNext w:val="0"/>
              <w:keepLines w:val="0"/>
              <w:rPr>
                <w:lang w:eastAsia="en-AU"/>
              </w:rPr>
            </w:pPr>
          </w:p>
        </w:tc>
      </w:tr>
      <w:tr w:rsidR="00F95AF6" w:rsidRPr="001C28F5" w14:paraId="04C78AD3" w14:textId="77777777" w:rsidTr="001371EB">
        <w:trPr>
          <w:trHeight w:val="320"/>
        </w:trPr>
        <w:tc>
          <w:tcPr>
            <w:tcW w:w="2037" w:type="dxa"/>
            <w:vMerge/>
          </w:tcPr>
          <w:p w14:paraId="332C4664" w14:textId="77777777" w:rsidR="00F95AF6" w:rsidRPr="001C28F5" w:rsidRDefault="00F95AF6" w:rsidP="009746A6">
            <w:pPr>
              <w:pStyle w:val="Tablebodytext"/>
              <w:keepNext w:val="0"/>
              <w:keepLines w:val="0"/>
              <w:rPr>
                <w:lang w:eastAsia="en-AU"/>
              </w:rPr>
            </w:pPr>
          </w:p>
        </w:tc>
        <w:tc>
          <w:tcPr>
            <w:tcW w:w="1082" w:type="dxa"/>
            <w:vMerge/>
          </w:tcPr>
          <w:p w14:paraId="449539AD" w14:textId="77777777" w:rsidR="00F95AF6" w:rsidRPr="001C28F5" w:rsidRDefault="00F95AF6" w:rsidP="009746A6">
            <w:pPr>
              <w:pStyle w:val="Tablebodytext"/>
              <w:keepNext w:val="0"/>
              <w:keepLines w:val="0"/>
              <w:rPr>
                <w:lang w:eastAsia="en-AU"/>
              </w:rPr>
            </w:pPr>
          </w:p>
        </w:tc>
        <w:tc>
          <w:tcPr>
            <w:tcW w:w="992" w:type="dxa"/>
          </w:tcPr>
          <w:p w14:paraId="2BD28966"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46EDE8F1" w14:textId="77777777" w:rsidR="00F95AF6" w:rsidRPr="001C28F5" w:rsidRDefault="00F95AF6" w:rsidP="009746A6">
            <w:pPr>
              <w:pStyle w:val="Tablebodytext"/>
              <w:keepNext w:val="0"/>
              <w:keepLines w:val="0"/>
              <w:rPr>
                <w:lang w:eastAsia="en-AU"/>
              </w:rPr>
            </w:pPr>
            <w:r w:rsidRPr="001C28F5">
              <w:rPr>
                <w:lang w:eastAsia="en-AU"/>
              </w:rPr>
              <w:t>Research and development manager</w:t>
            </w:r>
          </w:p>
        </w:tc>
        <w:tc>
          <w:tcPr>
            <w:tcW w:w="966" w:type="dxa"/>
          </w:tcPr>
          <w:p w14:paraId="300E4C0E"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tcPr>
          <w:p w14:paraId="2F887B25" w14:textId="77777777" w:rsidR="00F95AF6" w:rsidRPr="001C28F5" w:rsidRDefault="00F95AF6" w:rsidP="009746A6">
            <w:pPr>
              <w:pStyle w:val="Tablebodytext"/>
              <w:keepNext w:val="0"/>
              <w:keepLines w:val="0"/>
              <w:rPr>
                <w:lang w:eastAsia="en-AU"/>
              </w:rPr>
            </w:pPr>
          </w:p>
        </w:tc>
        <w:tc>
          <w:tcPr>
            <w:tcW w:w="995" w:type="dxa"/>
            <w:vMerge/>
          </w:tcPr>
          <w:p w14:paraId="21E90DEA" w14:textId="77777777" w:rsidR="00F95AF6" w:rsidRPr="001C28F5" w:rsidRDefault="00F95AF6" w:rsidP="009746A6">
            <w:pPr>
              <w:pStyle w:val="Tablebodytext"/>
              <w:keepNext w:val="0"/>
              <w:keepLines w:val="0"/>
              <w:rPr>
                <w:lang w:eastAsia="en-AU"/>
              </w:rPr>
            </w:pPr>
          </w:p>
        </w:tc>
      </w:tr>
      <w:tr w:rsidR="00F95AF6" w:rsidRPr="001C28F5" w14:paraId="0CC1C439" w14:textId="77777777" w:rsidTr="001371EB">
        <w:trPr>
          <w:trHeight w:val="320"/>
        </w:trPr>
        <w:tc>
          <w:tcPr>
            <w:tcW w:w="2037" w:type="dxa"/>
            <w:vMerge/>
          </w:tcPr>
          <w:p w14:paraId="762578B2" w14:textId="77777777" w:rsidR="00F95AF6" w:rsidRPr="001C28F5" w:rsidRDefault="00F95AF6" w:rsidP="009746A6">
            <w:pPr>
              <w:pStyle w:val="Tablebodytext"/>
              <w:keepNext w:val="0"/>
              <w:keepLines w:val="0"/>
              <w:rPr>
                <w:lang w:eastAsia="en-AU"/>
              </w:rPr>
            </w:pPr>
          </w:p>
        </w:tc>
        <w:tc>
          <w:tcPr>
            <w:tcW w:w="1082" w:type="dxa"/>
            <w:vMerge/>
          </w:tcPr>
          <w:p w14:paraId="16943FC6" w14:textId="77777777" w:rsidR="00F95AF6" w:rsidRPr="001C28F5" w:rsidRDefault="00F95AF6" w:rsidP="009746A6">
            <w:pPr>
              <w:pStyle w:val="Tablebodytext"/>
              <w:keepNext w:val="0"/>
              <w:keepLines w:val="0"/>
              <w:rPr>
                <w:lang w:eastAsia="en-AU"/>
              </w:rPr>
            </w:pPr>
          </w:p>
        </w:tc>
        <w:tc>
          <w:tcPr>
            <w:tcW w:w="992" w:type="dxa"/>
          </w:tcPr>
          <w:p w14:paraId="505F5330"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7407447B" w14:textId="77777777" w:rsidR="00F95AF6" w:rsidRPr="001C28F5" w:rsidRDefault="00F95AF6" w:rsidP="009746A6">
            <w:pPr>
              <w:pStyle w:val="Tablebodytext"/>
              <w:keepNext w:val="0"/>
              <w:keepLines w:val="0"/>
              <w:rPr>
                <w:lang w:eastAsia="en-AU"/>
              </w:rPr>
            </w:pPr>
            <w:r w:rsidRPr="001C28F5">
              <w:rPr>
                <w:lang w:eastAsia="en-AU"/>
              </w:rPr>
              <w:t>Sales/marketing manager</w:t>
            </w:r>
          </w:p>
        </w:tc>
        <w:tc>
          <w:tcPr>
            <w:tcW w:w="966" w:type="dxa"/>
          </w:tcPr>
          <w:p w14:paraId="55DB200A"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tcPr>
          <w:p w14:paraId="5268F520" w14:textId="77777777" w:rsidR="00F95AF6" w:rsidRPr="001C28F5" w:rsidRDefault="00F95AF6" w:rsidP="009746A6">
            <w:pPr>
              <w:pStyle w:val="Tablebodytext"/>
              <w:keepNext w:val="0"/>
              <w:keepLines w:val="0"/>
              <w:rPr>
                <w:lang w:eastAsia="en-AU"/>
              </w:rPr>
            </w:pPr>
          </w:p>
        </w:tc>
        <w:tc>
          <w:tcPr>
            <w:tcW w:w="995" w:type="dxa"/>
            <w:vMerge/>
          </w:tcPr>
          <w:p w14:paraId="1F90B022" w14:textId="77777777" w:rsidR="00F95AF6" w:rsidRPr="001C28F5" w:rsidRDefault="00F95AF6" w:rsidP="009746A6">
            <w:pPr>
              <w:pStyle w:val="Tablebodytext"/>
              <w:keepNext w:val="0"/>
              <w:keepLines w:val="0"/>
              <w:rPr>
                <w:lang w:eastAsia="en-AU"/>
              </w:rPr>
            </w:pPr>
          </w:p>
        </w:tc>
      </w:tr>
      <w:tr w:rsidR="00F95AF6" w:rsidRPr="001C28F5" w14:paraId="01D60592" w14:textId="77777777" w:rsidTr="001371EB">
        <w:trPr>
          <w:trHeight w:val="320"/>
        </w:trPr>
        <w:tc>
          <w:tcPr>
            <w:tcW w:w="2037" w:type="dxa"/>
            <w:vMerge/>
          </w:tcPr>
          <w:p w14:paraId="00917735" w14:textId="77777777" w:rsidR="00F95AF6" w:rsidRPr="001C28F5" w:rsidRDefault="00F95AF6" w:rsidP="009746A6">
            <w:pPr>
              <w:pStyle w:val="Tablebodytext"/>
              <w:keepNext w:val="0"/>
              <w:keepLines w:val="0"/>
              <w:rPr>
                <w:lang w:eastAsia="en-AU"/>
              </w:rPr>
            </w:pPr>
          </w:p>
        </w:tc>
        <w:tc>
          <w:tcPr>
            <w:tcW w:w="1082" w:type="dxa"/>
            <w:vMerge/>
          </w:tcPr>
          <w:p w14:paraId="6796DE14" w14:textId="77777777" w:rsidR="00F95AF6" w:rsidRPr="001C28F5" w:rsidRDefault="00F95AF6" w:rsidP="009746A6">
            <w:pPr>
              <w:pStyle w:val="Tablebodytext"/>
              <w:keepNext w:val="0"/>
              <w:keepLines w:val="0"/>
              <w:rPr>
                <w:lang w:eastAsia="en-AU"/>
              </w:rPr>
            </w:pPr>
          </w:p>
        </w:tc>
        <w:tc>
          <w:tcPr>
            <w:tcW w:w="992" w:type="dxa"/>
          </w:tcPr>
          <w:p w14:paraId="21D29D74"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27EF3792" w14:textId="77777777" w:rsidR="00F95AF6" w:rsidRPr="001C28F5" w:rsidRDefault="00F95AF6" w:rsidP="009746A6">
            <w:pPr>
              <w:pStyle w:val="Tablebodytext"/>
              <w:keepNext w:val="0"/>
              <w:keepLines w:val="0"/>
              <w:rPr>
                <w:lang w:eastAsia="en-AU"/>
              </w:rPr>
            </w:pPr>
            <w:r w:rsidRPr="001C28F5">
              <w:rPr>
                <w:lang w:eastAsia="en-AU"/>
              </w:rPr>
              <w:t>Committee, team or board of directors</w:t>
            </w:r>
          </w:p>
        </w:tc>
        <w:tc>
          <w:tcPr>
            <w:tcW w:w="966" w:type="dxa"/>
          </w:tcPr>
          <w:p w14:paraId="1F339A02"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tcPr>
          <w:p w14:paraId="19A7FA86" w14:textId="77777777" w:rsidR="00F95AF6" w:rsidRPr="001C28F5" w:rsidRDefault="00F95AF6" w:rsidP="009746A6">
            <w:pPr>
              <w:pStyle w:val="Tablebodytext"/>
              <w:keepNext w:val="0"/>
              <w:keepLines w:val="0"/>
              <w:rPr>
                <w:lang w:eastAsia="en-AU"/>
              </w:rPr>
            </w:pPr>
          </w:p>
        </w:tc>
        <w:tc>
          <w:tcPr>
            <w:tcW w:w="995" w:type="dxa"/>
            <w:vMerge/>
          </w:tcPr>
          <w:p w14:paraId="5C429835" w14:textId="77777777" w:rsidR="00F95AF6" w:rsidRPr="001C28F5" w:rsidRDefault="00F95AF6" w:rsidP="009746A6">
            <w:pPr>
              <w:pStyle w:val="Tablebodytext"/>
              <w:keepNext w:val="0"/>
              <w:keepLines w:val="0"/>
              <w:rPr>
                <w:lang w:eastAsia="en-AU"/>
              </w:rPr>
            </w:pPr>
          </w:p>
        </w:tc>
      </w:tr>
      <w:tr w:rsidR="00F95AF6" w:rsidRPr="001C28F5" w14:paraId="4EAC98DE" w14:textId="77777777" w:rsidTr="001371EB">
        <w:trPr>
          <w:trHeight w:val="320"/>
        </w:trPr>
        <w:tc>
          <w:tcPr>
            <w:tcW w:w="2037" w:type="dxa"/>
            <w:vMerge/>
          </w:tcPr>
          <w:p w14:paraId="0AA05D20" w14:textId="77777777" w:rsidR="00F95AF6" w:rsidRPr="001C28F5" w:rsidRDefault="00F95AF6" w:rsidP="009746A6">
            <w:pPr>
              <w:pStyle w:val="Tablebodytext"/>
              <w:keepNext w:val="0"/>
              <w:keepLines w:val="0"/>
              <w:rPr>
                <w:lang w:eastAsia="en-AU"/>
              </w:rPr>
            </w:pPr>
          </w:p>
        </w:tc>
        <w:tc>
          <w:tcPr>
            <w:tcW w:w="1082" w:type="dxa"/>
            <w:vMerge/>
          </w:tcPr>
          <w:p w14:paraId="4521591D" w14:textId="77777777" w:rsidR="00F95AF6" w:rsidRPr="001C28F5" w:rsidRDefault="00F95AF6" w:rsidP="009746A6">
            <w:pPr>
              <w:pStyle w:val="Tablebodytext"/>
              <w:keepNext w:val="0"/>
              <w:keepLines w:val="0"/>
              <w:rPr>
                <w:lang w:eastAsia="en-AU"/>
              </w:rPr>
            </w:pPr>
          </w:p>
        </w:tc>
        <w:tc>
          <w:tcPr>
            <w:tcW w:w="992" w:type="dxa"/>
          </w:tcPr>
          <w:p w14:paraId="2B6478C1" w14:textId="77777777" w:rsidR="00F95AF6" w:rsidRPr="001C28F5" w:rsidRDefault="00F95AF6" w:rsidP="009746A6">
            <w:pPr>
              <w:pStyle w:val="Tablebodytext"/>
              <w:keepNext w:val="0"/>
              <w:keepLines w:val="0"/>
              <w:rPr>
                <w:lang w:eastAsia="en-AU"/>
              </w:rPr>
            </w:pPr>
            <w:r w:rsidRPr="001C28F5">
              <w:rPr>
                <w:lang w:eastAsia="en-AU"/>
              </w:rPr>
              <w:t>h</w:t>
            </w:r>
          </w:p>
        </w:tc>
        <w:tc>
          <w:tcPr>
            <w:tcW w:w="2485" w:type="dxa"/>
          </w:tcPr>
          <w:p w14:paraId="48795CC1" w14:textId="77777777" w:rsidR="00F95AF6" w:rsidRPr="001C28F5" w:rsidRDefault="00F95AF6" w:rsidP="009746A6">
            <w:pPr>
              <w:pStyle w:val="Tablebodytext"/>
              <w:keepNext w:val="0"/>
              <w:keepLines w:val="0"/>
              <w:rPr>
                <w:lang w:eastAsia="en-AU"/>
              </w:rPr>
            </w:pPr>
            <w:r w:rsidRPr="001C28F5">
              <w:rPr>
                <w:lang w:eastAsia="en-AU"/>
              </w:rPr>
              <w:t>Other person(s) within the business</w:t>
            </w:r>
          </w:p>
        </w:tc>
        <w:tc>
          <w:tcPr>
            <w:tcW w:w="966" w:type="dxa"/>
          </w:tcPr>
          <w:p w14:paraId="72E82D61"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tcPr>
          <w:p w14:paraId="5021D733" w14:textId="77777777" w:rsidR="00F95AF6" w:rsidRPr="001C28F5" w:rsidRDefault="00F95AF6" w:rsidP="009746A6">
            <w:pPr>
              <w:pStyle w:val="Tablebodytext"/>
              <w:keepNext w:val="0"/>
              <w:keepLines w:val="0"/>
              <w:rPr>
                <w:lang w:eastAsia="en-AU"/>
              </w:rPr>
            </w:pPr>
          </w:p>
        </w:tc>
        <w:tc>
          <w:tcPr>
            <w:tcW w:w="995" w:type="dxa"/>
            <w:vMerge/>
          </w:tcPr>
          <w:p w14:paraId="3D49AE32" w14:textId="77777777" w:rsidR="00F95AF6" w:rsidRPr="001C28F5" w:rsidRDefault="00F95AF6" w:rsidP="009746A6">
            <w:pPr>
              <w:pStyle w:val="Tablebodytext"/>
              <w:keepNext w:val="0"/>
              <w:keepLines w:val="0"/>
              <w:rPr>
                <w:lang w:eastAsia="en-AU"/>
              </w:rPr>
            </w:pPr>
          </w:p>
        </w:tc>
      </w:tr>
      <w:tr w:rsidR="00F95AF6" w:rsidRPr="001C28F5" w14:paraId="50F8EB1B" w14:textId="77777777" w:rsidTr="001371EB">
        <w:trPr>
          <w:trHeight w:val="320"/>
        </w:trPr>
        <w:tc>
          <w:tcPr>
            <w:tcW w:w="2037" w:type="dxa"/>
            <w:vMerge/>
          </w:tcPr>
          <w:p w14:paraId="4E715B48" w14:textId="77777777" w:rsidR="00F95AF6" w:rsidRPr="001C28F5" w:rsidRDefault="00F95AF6" w:rsidP="009746A6">
            <w:pPr>
              <w:pStyle w:val="Tablebodytext"/>
              <w:keepNext w:val="0"/>
              <w:keepLines w:val="0"/>
              <w:rPr>
                <w:lang w:eastAsia="en-AU"/>
              </w:rPr>
            </w:pPr>
          </w:p>
        </w:tc>
        <w:tc>
          <w:tcPr>
            <w:tcW w:w="1082" w:type="dxa"/>
            <w:vMerge/>
          </w:tcPr>
          <w:p w14:paraId="6DC7C2CD" w14:textId="77777777" w:rsidR="00F95AF6" w:rsidRPr="001C28F5" w:rsidRDefault="00F95AF6" w:rsidP="009746A6">
            <w:pPr>
              <w:pStyle w:val="Tablebodytext"/>
              <w:keepNext w:val="0"/>
              <w:keepLines w:val="0"/>
              <w:rPr>
                <w:lang w:eastAsia="en-AU"/>
              </w:rPr>
            </w:pPr>
          </w:p>
        </w:tc>
        <w:tc>
          <w:tcPr>
            <w:tcW w:w="992" w:type="dxa"/>
          </w:tcPr>
          <w:p w14:paraId="23893706" w14:textId="77777777" w:rsidR="00F95AF6" w:rsidRPr="001C28F5" w:rsidRDefault="00F95AF6" w:rsidP="009746A6">
            <w:pPr>
              <w:pStyle w:val="Tablebodytext"/>
              <w:keepNext w:val="0"/>
              <w:keepLines w:val="0"/>
              <w:rPr>
                <w:lang w:eastAsia="en-AU"/>
              </w:rPr>
            </w:pPr>
            <w:r w:rsidRPr="001C28F5">
              <w:rPr>
                <w:lang w:eastAsia="en-AU"/>
              </w:rPr>
              <w:t>i</w:t>
            </w:r>
          </w:p>
        </w:tc>
        <w:tc>
          <w:tcPr>
            <w:tcW w:w="2485" w:type="dxa"/>
          </w:tcPr>
          <w:p w14:paraId="6210A117" w14:textId="77777777" w:rsidR="00F95AF6" w:rsidRPr="001C28F5" w:rsidRDefault="00F95AF6" w:rsidP="009746A6">
            <w:pPr>
              <w:pStyle w:val="Tablebodytext"/>
              <w:keepNext w:val="0"/>
              <w:keepLines w:val="0"/>
              <w:rPr>
                <w:lang w:eastAsia="en-AU"/>
              </w:rPr>
            </w:pPr>
            <w:r w:rsidRPr="001C28F5">
              <w:rPr>
                <w:lang w:eastAsia="en-AU"/>
              </w:rPr>
              <w:t>External consultant</w:t>
            </w:r>
          </w:p>
        </w:tc>
        <w:tc>
          <w:tcPr>
            <w:tcW w:w="966" w:type="dxa"/>
          </w:tcPr>
          <w:p w14:paraId="3300ED3C" w14:textId="77777777" w:rsidR="00F95AF6" w:rsidRPr="001C28F5" w:rsidRDefault="00F95AF6" w:rsidP="009746A6">
            <w:pPr>
              <w:pStyle w:val="Tablebodytext"/>
              <w:keepNext w:val="0"/>
              <w:keepLines w:val="0"/>
              <w:rPr>
                <w:lang w:eastAsia="en-AU"/>
              </w:rPr>
            </w:pPr>
            <w:r w:rsidRPr="001C28F5">
              <w:rPr>
                <w:lang w:eastAsia="en-AU"/>
              </w:rPr>
              <w:t>1/9</w:t>
            </w:r>
          </w:p>
        </w:tc>
        <w:tc>
          <w:tcPr>
            <w:tcW w:w="1043" w:type="dxa"/>
            <w:vMerge/>
          </w:tcPr>
          <w:p w14:paraId="4599F6A1" w14:textId="77777777" w:rsidR="00F95AF6" w:rsidRPr="001C28F5" w:rsidRDefault="00F95AF6" w:rsidP="009746A6">
            <w:pPr>
              <w:pStyle w:val="Tablebodytext"/>
              <w:keepNext w:val="0"/>
              <w:keepLines w:val="0"/>
              <w:rPr>
                <w:lang w:eastAsia="en-AU"/>
              </w:rPr>
            </w:pPr>
          </w:p>
        </w:tc>
        <w:tc>
          <w:tcPr>
            <w:tcW w:w="995" w:type="dxa"/>
            <w:vMerge/>
          </w:tcPr>
          <w:p w14:paraId="3E97648B" w14:textId="77777777" w:rsidR="00F95AF6" w:rsidRPr="001C28F5" w:rsidRDefault="00F95AF6" w:rsidP="009746A6">
            <w:pPr>
              <w:pStyle w:val="Tablebodytext"/>
              <w:keepNext w:val="0"/>
              <w:keepLines w:val="0"/>
              <w:rPr>
                <w:lang w:eastAsia="en-AU"/>
              </w:rPr>
            </w:pPr>
          </w:p>
        </w:tc>
      </w:tr>
      <w:tr w:rsidR="00F95AF6" w:rsidRPr="001C28F5" w14:paraId="30BB4D05" w14:textId="77777777" w:rsidTr="001371EB">
        <w:trPr>
          <w:trHeight w:val="440"/>
        </w:trPr>
        <w:tc>
          <w:tcPr>
            <w:tcW w:w="2037" w:type="dxa"/>
            <w:vMerge w:val="restart"/>
          </w:tcPr>
          <w:p w14:paraId="78605700" w14:textId="77777777" w:rsidR="00F95AF6" w:rsidRPr="001C28F5" w:rsidRDefault="00F95AF6" w:rsidP="009746A6">
            <w:pPr>
              <w:pStyle w:val="Tablebodytext"/>
              <w:keepNext w:val="0"/>
              <w:keepLines w:val="0"/>
              <w:rPr>
                <w:lang w:eastAsia="en-AU"/>
              </w:rPr>
            </w:pPr>
            <w:r w:rsidRPr="001C28F5">
              <w:rPr>
                <w:lang w:eastAsia="en-AU"/>
              </w:rPr>
              <w:t xml:space="preserve">31. What areas were covered in this business’s strategic plan or policy? </w:t>
            </w:r>
          </w:p>
          <w:p w14:paraId="22F6A64B" w14:textId="77777777" w:rsidR="00F95AF6" w:rsidRPr="001C28F5" w:rsidRDefault="00F95AF6" w:rsidP="009746A6">
            <w:pPr>
              <w:pStyle w:val="Tablebodytext"/>
              <w:keepNext w:val="0"/>
              <w:keepLines w:val="0"/>
              <w:rPr>
                <w:lang w:eastAsia="en-AU"/>
              </w:rPr>
            </w:pPr>
          </w:p>
        </w:tc>
        <w:tc>
          <w:tcPr>
            <w:tcW w:w="1082" w:type="dxa"/>
            <w:vMerge w:val="restart"/>
          </w:tcPr>
          <w:p w14:paraId="6B56587F" w14:textId="77777777" w:rsidR="00F95AF6" w:rsidRPr="0064751A" w:rsidRDefault="00F95AF6" w:rsidP="009746A6">
            <w:pPr>
              <w:pStyle w:val="Tablebodytext"/>
              <w:keepNext w:val="0"/>
              <w:keepLines w:val="0"/>
              <w:rPr>
                <w:lang w:eastAsia="en-AU"/>
              </w:rPr>
            </w:pPr>
            <w:r w:rsidRPr="0064751A">
              <w:rPr>
                <w:lang w:eastAsia="en-AU"/>
              </w:rPr>
              <w:t>List</w:t>
            </w:r>
          </w:p>
          <w:p w14:paraId="6A8DE463" w14:textId="77777777" w:rsidR="00F95AF6" w:rsidRPr="001C28F5" w:rsidRDefault="00F95AF6" w:rsidP="009746A6">
            <w:pPr>
              <w:pStyle w:val="Tablebodytext"/>
              <w:keepNext w:val="0"/>
              <w:keepLines w:val="0"/>
              <w:rPr>
                <w:lang w:eastAsia="en-AU"/>
              </w:rPr>
            </w:pPr>
          </w:p>
        </w:tc>
        <w:tc>
          <w:tcPr>
            <w:tcW w:w="992" w:type="dxa"/>
          </w:tcPr>
          <w:p w14:paraId="607FABAA"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1CE982B5" w14:textId="77777777" w:rsidR="00F95AF6" w:rsidRPr="001C28F5" w:rsidRDefault="00F95AF6" w:rsidP="009746A6">
            <w:pPr>
              <w:pStyle w:val="Tablebodytext"/>
              <w:keepNext w:val="0"/>
              <w:keepLines w:val="0"/>
              <w:rPr>
                <w:lang w:eastAsia="en-AU"/>
              </w:rPr>
            </w:pPr>
            <w:r w:rsidRPr="001C28F5">
              <w:rPr>
                <w:lang w:eastAsia="en-AU"/>
              </w:rPr>
              <w:t>Revenue</w:t>
            </w:r>
          </w:p>
        </w:tc>
        <w:tc>
          <w:tcPr>
            <w:tcW w:w="966" w:type="dxa"/>
          </w:tcPr>
          <w:p w14:paraId="45482D73"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val="restart"/>
          </w:tcPr>
          <w:p w14:paraId="7D046A7E" w14:textId="77777777" w:rsidR="00F95AF6" w:rsidRPr="001C28F5" w:rsidRDefault="00F95AF6" w:rsidP="009746A6">
            <w:pPr>
              <w:pStyle w:val="Tablebodytext"/>
              <w:keepNext w:val="0"/>
              <w:keepLines w:val="0"/>
              <w:rPr>
                <w:lang w:eastAsia="en-AU"/>
              </w:rPr>
            </w:pPr>
            <w:r w:rsidRPr="001C28F5">
              <w:rPr>
                <w:lang w:eastAsia="en-AU"/>
              </w:rPr>
              <w:t>Planning</w:t>
            </w:r>
          </w:p>
        </w:tc>
        <w:tc>
          <w:tcPr>
            <w:tcW w:w="995" w:type="dxa"/>
            <w:vMerge w:val="restart"/>
          </w:tcPr>
          <w:p w14:paraId="2D765C2F" w14:textId="77777777" w:rsidR="00F95AF6" w:rsidRPr="001C28F5" w:rsidRDefault="00F95AF6" w:rsidP="009746A6">
            <w:pPr>
              <w:pStyle w:val="Tablebodytext"/>
              <w:keepNext w:val="0"/>
              <w:keepLines w:val="0"/>
              <w:rPr>
                <w:lang w:eastAsia="en-AU"/>
              </w:rPr>
            </w:pPr>
            <w:r w:rsidRPr="001C28F5">
              <w:rPr>
                <w:lang w:eastAsia="en-AU"/>
              </w:rPr>
              <w:t>0.267</w:t>
            </w:r>
          </w:p>
        </w:tc>
      </w:tr>
      <w:tr w:rsidR="00F95AF6" w:rsidRPr="001C28F5" w14:paraId="01263DE3" w14:textId="77777777" w:rsidTr="001371EB">
        <w:trPr>
          <w:trHeight w:val="320"/>
        </w:trPr>
        <w:tc>
          <w:tcPr>
            <w:tcW w:w="2037" w:type="dxa"/>
            <w:vMerge/>
          </w:tcPr>
          <w:p w14:paraId="1C867968" w14:textId="77777777" w:rsidR="00F95AF6" w:rsidRPr="001C28F5" w:rsidRDefault="00F95AF6" w:rsidP="009746A6">
            <w:pPr>
              <w:pStyle w:val="Tablebodytext"/>
              <w:keepNext w:val="0"/>
              <w:keepLines w:val="0"/>
              <w:rPr>
                <w:lang w:eastAsia="en-AU"/>
              </w:rPr>
            </w:pPr>
          </w:p>
        </w:tc>
        <w:tc>
          <w:tcPr>
            <w:tcW w:w="1082" w:type="dxa"/>
            <w:vMerge/>
          </w:tcPr>
          <w:p w14:paraId="6DEC5449" w14:textId="77777777" w:rsidR="00F95AF6" w:rsidRPr="001C28F5" w:rsidRDefault="00F95AF6" w:rsidP="009746A6">
            <w:pPr>
              <w:pStyle w:val="Tablebodytext"/>
              <w:keepNext w:val="0"/>
              <w:keepLines w:val="0"/>
              <w:rPr>
                <w:lang w:eastAsia="en-AU"/>
              </w:rPr>
            </w:pPr>
          </w:p>
        </w:tc>
        <w:tc>
          <w:tcPr>
            <w:tcW w:w="992" w:type="dxa"/>
          </w:tcPr>
          <w:p w14:paraId="1E6A55A1"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7063C48C" w14:textId="77777777" w:rsidR="00F95AF6" w:rsidRPr="001C28F5" w:rsidRDefault="00F95AF6" w:rsidP="009746A6">
            <w:pPr>
              <w:pStyle w:val="Tablebodytext"/>
              <w:keepNext w:val="0"/>
              <w:keepLines w:val="0"/>
              <w:rPr>
                <w:lang w:eastAsia="en-AU"/>
              </w:rPr>
            </w:pPr>
            <w:r w:rsidRPr="001C28F5">
              <w:rPr>
                <w:lang w:eastAsia="en-AU"/>
              </w:rPr>
              <w:t>KPIs</w:t>
            </w:r>
          </w:p>
        </w:tc>
        <w:tc>
          <w:tcPr>
            <w:tcW w:w="966" w:type="dxa"/>
          </w:tcPr>
          <w:p w14:paraId="3E781E81"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21370738" w14:textId="77777777" w:rsidR="00F95AF6" w:rsidRPr="001C28F5" w:rsidRDefault="00F95AF6" w:rsidP="009746A6">
            <w:pPr>
              <w:pStyle w:val="Tablebodytext"/>
              <w:keepNext w:val="0"/>
              <w:keepLines w:val="0"/>
              <w:rPr>
                <w:lang w:eastAsia="en-AU"/>
              </w:rPr>
            </w:pPr>
          </w:p>
        </w:tc>
        <w:tc>
          <w:tcPr>
            <w:tcW w:w="995" w:type="dxa"/>
            <w:vMerge/>
          </w:tcPr>
          <w:p w14:paraId="571CA657" w14:textId="77777777" w:rsidR="00F95AF6" w:rsidRPr="001C28F5" w:rsidRDefault="00F95AF6" w:rsidP="009746A6">
            <w:pPr>
              <w:pStyle w:val="Tablebodytext"/>
              <w:keepNext w:val="0"/>
              <w:keepLines w:val="0"/>
              <w:rPr>
                <w:lang w:eastAsia="en-AU"/>
              </w:rPr>
            </w:pPr>
          </w:p>
        </w:tc>
      </w:tr>
      <w:tr w:rsidR="00F95AF6" w:rsidRPr="001C28F5" w14:paraId="59EAA600" w14:textId="77777777" w:rsidTr="001371EB">
        <w:trPr>
          <w:trHeight w:val="320"/>
        </w:trPr>
        <w:tc>
          <w:tcPr>
            <w:tcW w:w="2037" w:type="dxa"/>
            <w:vMerge/>
          </w:tcPr>
          <w:p w14:paraId="3320DE9E" w14:textId="77777777" w:rsidR="00F95AF6" w:rsidRPr="001C28F5" w:rsidRDefault="00F95AF6" w:rsidP="009746A6">
            <w:pPr>
              <w:pStyle w:val="Tablebodytext"/>
              <w:keepNext w:val="0"/>
              <w:keepLines w:val="0"/>
              <w:rPr>
                <w:lang w:eastAsia="en-AU"/>
              </w:rPr>
            </w:pPr>
          </w:p>
        </w:tc>
        <w:tc>
          <w:tcPr>
            <w:tcW w:w="1082" w:type="dxa"/>
            <w:vMerge/>
          </w:tcPr>
          <w:p w14:paraId="0F09333C" w14:textId="77777777" w:rsidR="00F95AF6" w:rsidRPr="001C28F5" w:rsidRDefault="00F95AF6" w:rsidP="009746A6">
            <w:pPr>
              <w:pStyle w:val="Tablebodytext"/>
              <w:keepNext w:val="0"/>
              <w:keepLines w:val="0"/>
              <w:rPr>
                <w:lang w:eastAsia="en-AU"/>
              </w:rPr>
            </w:pPr>
          </w:p>
        </w:tc>
        <w:tc>
          <w:tcPr>
            <w:tcW w:w="992" w:type="dxa"/>
          </w:tcPr>
          <w:p w14:paraId="6EFF4FFC"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53AC6E2B" w14:textId="77777777" w:rsidR="00F95AF6" w:rsidRPr="001C28F5" w:rsidRDefault="00F95AF6" w:rsidP="009746A6">
            <w:pPr>
              <w:pStyle w:val="Tablebodytext"/>
              <w:keepNext w:val="0"/>
              <w:keepLines w:val="0"/>
              <w:rPr>
                <w:lang w:eastAsia="en-AU"/>
              </w:rPr>
            </w:pPr>
            <w:r w:rsidRPr="001C28F5">
              <w:rPr>
                <w:lang w:eastAsia="en-AU"/>
              </w:rPr>
              <w:t>Marketing, advertising and promotion</w:t>
            </w:r>
          </w:p>
        </w:tc>
        <w:tc>
          <w:tcPr>
            <w:tcW w:w="966" w:type="dxa"/>
          </w:tcPr>
          <w:p w14:paraId="190B5458"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62AF7CF2" w14:textId="77777777" w:rsidR="00F95AF6" w:rsidRPr="001C28F5" w:rsidRDefault="00F95AF6" w:rsidP="009746A6">
            <w:pPr>
              <w:pStyle w:val="Tablebodytext"/>
              <w:keepNext w:val="0"/>
              <w:keepLines w:val="0"/>
              <w:rPr>
                <w:lang w:eastAsia="en-AU"/>
              </w:rPr>
            </w:pPr>
          </w:p>
        </w:tc>
        <w:tc>
          <w:tcPr>
            <w:tcW w:w="995" w:type="dxa"/>
            <w:vMerge/>
          </w:tcPr>
          <w:p w14:paraId="01594CF9" w14:textId="77777777" w:rsidR="00F95AF6" w:rsidRPr="001C28F5" w:rsidRDefault="00F95AF6" w:rsidP="009746A6">
            <w:pPr>
              <w:pStyle w:val="Tablebodytext"/>
              <w:keepNext w:val="0"/>
              <w:keepLines w:val="0"/>
              <w:rPr>
                <w:lang w:eastAsia="en-AU"/>
              </w:rPr>
            </w:pPr>
          </w:p>
        </w:tc>
      </w:tr>
      <w:tr w:rsidR="00F95AF6" w:rsidRPr="001C28F5" w14:paraId="44B9DF31" w14:textId="77777777" w:rsidTr="001371EB">
        <w:trPr>
          <w:trHeight w:val="320"/>
        </w:trPr>
        <w:tc>
          <w:tcPr>
            <w:tcW w:w="2037" w:type="dxa"/>
            <w:vMerge/>
          </w:tcPr>
          <w:p w14:paraId="19EF3B06" w14:textId="77777777" w:rsidR="00F95AF6" w:rsidRPr="001C28F5" w:rsidRDefault="00F95AF6" w:rsidP="009746A6">
            <w:pPr>
              <w:pStyle w:val="Tablebodytext"/>
              <w:keepNext w:val="0"/>
              <w:keepLines w:val="0"/>
              <w:rPr>
                <w:lang w:eastAsia="en-AU"/>
              </w:rPr>
            </w:pPr>
          </w:p>
        </w:tc>
        <w:tc>
          <w:tcPr>
            <w:tcW w:w="1082" w:type="dxa"/>
            <w:vMerge/>
          </w:tcPr>
          <w:p w14:paraId="09B81F23" w14:textId="77777777" w:rsidR="00F95AF6" w:rsidRPr="001C28F5" w:rsidRDefault="00F95AF6" w:rsidP="009746A6">
            <w:pPr>
              <w:pStyle w:val="Tablebodytext"/>
              <w:keepNext w:val="0"/>
              <w:keepLines w:val="0"/>
              <w:rPr>
                <w:lang w:eastAsia="en-AU"/>
              </w:rPr>
            </w:pPr>
          </w:p>
        </w:tc>
        <w:tc>
          <w:tcPr>
            <w:tcW w:w="992" w:type="dxa"/>
          </w:tcPr>
          <w:p w14:paraId="778F3FE7"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4D9377FB" w14:textId="77777777" w:rsidR="00F95AF6" w:rsidRPr="001C28F5" w:rsidRDefault="00F95AF6" w:rsidP="009746A6">
            <w:pPr>
              <w:pStyle w:val="Tablebodytext"/>
              <w:keepNext w:val="0"/>
              <w:keepLines w:val="0"/>
              <w:rPr>
                <w:lang w:eastAsia="en-AU"/>
              </w:rPr>
            </w:pPr>
            <w:r w:rsidRPr="001C28F5">
              <w:rPr>
                <w:lang w:eastAsia="en-AU"/>
              </w:rPr>
              <w:t>Business continuity/contingency</w:t>
            </w:r>
          </w:p>
        </w:tc>
        <w:tc>
          <w:tcPr>
            <w:tcW w:w="966" w:type="dxa"/>
          </w:tcPr>
          <w:p w14:paraId="2D6EA3CA"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088E3A6D" w14:textId="77777777" w:rsidR="00F95AF6" w:rsidRPr="001C28F5" w:rsidRDefault="00F95AF6" w:rsidP="009746A6">
            <w:pPr>
              <w:pStyle w:val="Tablebodytext"/>
              <w:keepNext w:val="0"/>
              <w:keepLines w:val="0"/>
              <w:rPr>
                <w:lang w:eastAsia="en-AU"/>
              </w:rPr>
            </w:pPr>
          </w:p>
        </w:tc>
        <w:tc>
          <w:tcPr>
            <w:tcW w:w="995" w:type="dxa"/>
            <w:vMerge/>
          </w:tcPr>
          <w:p w14:paraId="53642A5C" w14:textId="77777777" w:rsidR="00F95AF6" w:rsidRPr="001C28F5" w:rsidRDefault="00F95AF6" w:rsidP="009746A6">
            <w:pPr>
              <w:pStyle w:val="Tablebodytext"/>
              <w:keepNext w:val="0"/>
              <w:keepLines w:val="0"/>
              <w:rPr>
                <w:lang w:eastAsia="en-AU"/>
              </w:rPr>
            </w:pPr>
          </w:p>
        </w:tc>
      </w:tr>
      <w:tr w:rsidR="00F95AF6" w:rsidRPr="001C28F5" w14:paraId="16432BA3" w14:textId="77777777" w:rsidTr="001371EB">
        <w:trPr>
          <w:trHeight w:val="320"/>
        </w:trPr>
        <w:tc>
          <w:tcPr>
            <w:tcW w:w="2037" w:type="dxa"/>
            <w:vMerge/>
          </w:tcPr>
          <w:p w14:paraId="29B4377D" w14:textId="77777777" w:rsidR="00F95AF6" w:rsidRPr="001C28F5" w:rsidRDefault="00F95AF6" w:rsidP="009746A6">
            <w:pPr>
              <w:pStyle w:val="Tablebodytext"/>
              <w:keepNext w:val="0"/>
              <w:keepLines w:val="0"/>
              <w:rPr>
                <w:lang w:eastAsia="en-AU"/>
              </w:rPr>
            </w:pPr>
          </w:p>
        </w:tc>
        <w:tc>
          <w:tcPr>
            <w:tcW w:w="1082" w:type="dxa"/>
            <w:vMerge/>
          </w:tcPr>
          <w:p w14:paraId="01C18457" w14:textId="77777777" w:rsidR="00F95AF6" w:rsidRPr="001C28F5" w:rsidRDefault="00F95AF6" w:rsidP="009746A6">
            <w:pPr>
              <w:pStyle w:val="Tablebodytext"/>
              <w:keepNext w:val="0"/>
              <w:keepLines w:val="0"/>
              <w:rPr>
                <w:lang w:eastAsia="en-AU"/>
              </w:rPr>
            </w:pPr>
          </w:p>
        </w:tc>
        <w:tc>
          <w:tcPr>
            <w:tcW w:w="992" w:type="dxa"/>
          </w:tcPr>
          <w:p w14:paraId="77FEAD7B"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00524A84" w14:textId="77777777" w:rsidR="00F95AF6" w:rsidRPr="001C28F5" w:rsidRDefault="00F95AF6" w:rsidP="009746A6">
            <w:pPr>
              <w:pStyle w:val="Tablebodytext"/>
              <w:keepNext w:val="0"/>
              <w:keepLines w:val="0"/>
              <w:rPr>
                <w:lang w:eastAsia="en-AU"/>
              </w:rPr>
            </w:pPr>
            <w:r w:rsidRPr="001C28F5">
              <w:rPr>
                <w:lang w:eastAsia="en-AU"/>
              </w:rPr>
              <w:t>Supply chain</w:t>
            </w:r>
          </w:p>
        </w:tc>
        <w:tc>
          <w:tcPr>
            <w:tcW w:w="966" w:type="dxa"/>
          </w:tcPr>
          <w:p w14:paraId="700153B0"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7DF46771" w14:textId="77777777" w:rsidR="00F95AF6" w:rsidRPr="001C28F5" w:rsidRDefault="00F95AF6" w:rsidP="009746A6">
            <w:pPr>
              <w:pStyle w:val="Tablebodytext"/>
              <w:keepNext w:val="0"/>
              <w:keepLines w:val="0"/>
              <w:rPr>
                <w:lang w:eastAsia="en-AU"/>
              </w:rPr>
            </w:pPr>
          </w:p>
        </w:tc>
        <w:tc>
          <w:tcPr>
            <w:tcW w:w="995" w:type="dxa"/>
            <w:vMerge/>
          </w:tcPr>
          <w:p w14:paraId="243166D8" w14:textId="77777777" w:rsidR="00F95AF6" w:rsidRPr="001C28F5" w:rsidRDefault="00F95AF6" w:rsidP="009746A6">
            <w:pPr>
              <w:pStyle w:val="Tablebodytext"/>
              <w:keepNext w:val="0"/>
              <w:keepLines w:val="0"/>
              <w:rPr>
                <w:lang w:eastAsia="en-AU"/>
              </w:rPr>
            </w:pPr>
          </w:p>
        </w:tc>
      </w:tr>
      <w:tr w:rsidR="00F95AF6" w:rsidRPr="001C28F5" w14:paraId="551B9F3D" w14:textId="77777777" w:rsidTr="001371EB">
        <w:trPr>
          <w:trHeight w:val="320"/>
        </w:trPr>
        <w:tc>
          <w:tcPr>
            <w:tcW w:w="2037" w:type="dxa"/>
            <w:vMerge/>
          </w:tcPr>
          <w:p w14:paraId="29EDC46A" w14:textId="77777777" w:rsidR="00F95AF6" w:rsidRPr="001C28F5" w:rsidRDefault="00F95AF6" w:rsidP="009746A6">
            <w:pPr>
              <w:pStyle w:val="Tablebodytext"/>
              <w:keepNext w:val="0"/>
              <w:keepLines w:val="0"/>
              <w:rPr>
                <w:lang w:eastAsia="en-AU"/>
              </w:rPr>
            </w:pPr>
          </w:p>
        </w:tc>
        <w:tc>
          <w:tcPr>
            <w:tcW w:w="1082" w:type="dxa"/>
            <w:vMerge/>
          </w:tcPr>
          <w:p w14:paraId="2194D2D4" w14:textId="77777777" w:rsidR="00F95AF6" w:rsidRPr="001C28F5" w:rsidRDefault="00F95AF6" w:rsidP="009746A6">
            <w:pPr>
              <w:pStyle w:val="Tablebodytext"/>
              <w:keepNext w:val="0"/>
              <w:keepLines w:val="0"/>
              <w:rPr>
                <w:lang w:eastAsia="en-AU"/>
              </w:rPr>
            </w:pPr>
          </w:p>
        </w:tc>
        <w:tc>
          <w:tcPr>
            <w:tcW w:w="992" w:type="dxa"/>
          </w:tcPr>
          <w:p w14:paraId="6568CAF5"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003EFED6" w14:textId="77777777" w:rsidR="00F95AF6" w:rsidRPr="001C28F5" w:rsidRDefault="00F95AF6" w:rsidP="009746A6">
            <w:pPr>
              <w:pStyle w:val="Tablebodytext"/>
              <w:keepNext w:val="0"/>
              <w:keepLines w:val="0"/>
              <w:rPr>
                <w:lang w:eastAsia="en-AU"/>
              </w:rPr>
            </w:pPr>
            <w:r w:rsidRPr="001C28F5">
              <w:rPr>
                <w:lang w:eastAsia="en-AU"/>
              </w:rPr>
              <w:t>Innovation</w:t>
            </w:r>
          </w:p>
        </w:tc>
        <w:tc>
          <w:tcPr>
            <w:tcW w:w="966" w:type="dxa"/>
          </w:tcPr>
          <w:p w14:paraId="0BC30574"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53B4DEF9" w14:textId="77777777" w:rsidR="00F95AF6" w:rsidRPr="001C28F5" w:rsidRDefault="00F95AF6" w:rsidP="009746A6">
            <w:pPr>
              <w:pStyle w:val="Tablebodytext"/>
              <w:keepNext w:val="0"/>
              <w:keepLines w:val="0"/>
              <w:rPr>
                <w:lang w:eastAsia="en-AU"/>
              </w:rPr>
            </w:pPr>
          </w:p>
        </w:tc>
        <w:tc>
          <w:tcPr>
            <w:tcW w:w="995" w:type="dxa"/>
            <w:vMerge/>
          </w:tcPr>
          <w:p w14:paraId="5CDAE8A3" w14:textId="77777777" w:rsidR="00F95AF6" w:rsidRPr="001C28F5" w:rsidRDefault="00F95AF6" w:rsidP="009746A6">
            <w:pPr>
              <w:pStyle w:val="Tablebodytext"/>
              <w:keepNext w:val="0"/>
              <w:keepLines w:val="0"/>
              <w:rPr>
                <w:lang w:eastAsia="en-AU"/>
              </w:rPr>
            </w:pPr>
          </w:p>
        </w:tc>
      </w:tr>
      <w:tr w:rsidR="00F95AF6" w:rsidRPr="001C28F5" w14:paraId="34C5E8DC" w14:textId="77777777" w:rsidTr="001371EB">
        <w:trPr>
          <w:trHeight w:val="320"/>
        </w:trPr>
        <w:tc>
          <w:tcPr>
            <w:tcW w:w="2037" w:type="dxa"/>
            <w:vMerge/>
          </w:tcPr>
          <w:p w14:paraId="1FB8C1D3" w14:textId="77777777" w:rsidR="00F95AF6" w:rsidRPr="001C28F5" w:rsidRDefault="00F95AF6" w:rsidP="009746A6">
            <w:pPr>
              <w:pStyle w:val="Tablebodytext"/>
              <w:keepNext w:val="0"/>
              <w:keepLines w:val="0"/>
              <w:rPr>
                <w:lang w:eastAsia="en-AU"/>
              </w:rPr>
            </w:pPr>
          </w:p>
        </w:tc>
        <w:tc>
          <w:tcPr>
            <w:tcW w:w="1082" w:type="dxa"/>
            <w:vMerge/>
          </w:tcPr>
          <w:p w14:paraId="0DF08D41" w14:textId="77777777" w:rsidR="00F95AF6" w:rsidRPr="001C28F5" w:rsidRDefault="00F95AF6" w:rsidP="009746A6">
            <w:pPr>
              <w:pStyle w:val="Tablebodytext"/>
              <w:keepNext w:val="0"/>
              <w:keepLines w:val="0"/>
              <w:rPr>
                <w:lang w:eastAsia="en-AU"/>
              </w:rPr>
            </w:pPr>
          </w:p>
        </w:tc>
        <w:tc>
          <w:tcPr>
            <w:tcW w:w="992" w:type="dxa"/>
          </w:tcPr>
          <w:p w14:paraId="6067A2AB"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02D872D6" w14:textId="77777777" w:rsidR="00F95AF6" w:rsidRPr="001C28F5" w:rsidRDefault="00F95AF6" w:rsidP="009746A6">
            <w:pPr>
              <w:pStyle w:val="Tablebodytext"/>
              <w:keepNext w:val="0"/>
              <w:keepLines w:val="0"/>
              <w:rPr>
                <w:lang w:eastAsia="en-AU"/>
              </w:rPr>
            </w:pPr>
            <w:r w:rsidRPr="001C28F5">
              <w:rPr>
                <w:lang w:eastAsia="en-AU"/>
              </w:rPr>
              <w:t>Information and communication technology</w:t>
            </w:r>
          </w:p>
        </w:tc>
        <w:tc>
          <w:tcPr>
            <w:tcW w:w="966" w:type="dxa"/>
          </w:tcPr>
          <w:p w14:paraId="44BA20C2"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338781FB" w14:textId="77777777" w:rsidR="00F95AF6" w:rsidRPr="001C28F5" w:rsidRDefault="00F95AF6" w:rsidP="009746A6">
            <w:pPr>
              <w:pStyle w:val="Tablebodytext"/>
              <w:keepNext w:val="0"/>
              <w:keepLines w:val="0"/>
              <w:rPr>
                <w:lang w:eastAsia="en-AU"/>
              </w:rPr>
            </w:pPr>
          </w:p>
        </w:tc>
        <w:tc>
          <w:tcPr>
            <w:tcW w:w="995" w:type="dxa"/>
            <w:vMerge/>
          </w:tcPr>
          <w:p w14:paraId="709239F2" w14:textId="77777777" w:rsidR="00F95AF6" w:rsidRPr="001C28F5" w:rsidRDefault="00F95AF6" w:rsidP="009746A6">
            <w:pPr>
              <w:pStyle w:val="Tablebodytext"/>
              <w:keepNext w:val="0"/>
              <w:keepLines w:val="0"/>
              <w:rPr>
                <w:lang w:eastAsia="en-AU"/>
              </w:rPr>
            </w:pPr>
          </w:p>
        </w:tc>
      </w:tr>
      <w:tr w:rsidR="00F95AF6" w:rsidRPr="001C28F5" w14:paraId="558C5002" w14:textId="77777777" w:rsidTr="001371EB">
        <w:trPr>
          <w:trHeight w:val="320"/>
        </w:trPr>
        <w:tc>
          <w:tcPr>
            <w:tcW w:w="2037" w:type="dxa"/>
            <w:vMerge/>
          </w:tcPr>
          <w:p w14:paraId="278301C9" w14:textId="77777777" w:rsidR="00F95AF6" w:rsidRPr="001C28F5" w:rsidRDefault="00F95AF6" w:rsidP="009746A6">
            <w:pPr>
              <w:pStyle w:val="Tablebodytext"/>
              <w:keepNext w:val="0"/>
              <w:keepLines w:val="0"/>
              <w:rPr>
                <w:lang w:eastAsia="en-AU"/>
              </w:rPr>
            </w:pPr>
          </w:p>
        </w:tc>
        <w:tc>
          <w:tcPr>
            <w:tcW w:w="1082" w:type="dxa"/>
            <w:vMerge/>
          </w:tcPr>
          <w:p w14:paraId="67E848E5" w14:textId="77777777" w:rsidR="00F95AF6" w:rsidRPr="001C28F5" w:rsidRDefault="00F95AF6" w:rsidP="009746A6">
            <w:pPr>
              <w:pStyle w:val="Tablebodytext"/>
              <w:keepNext w:val="0"/>
              <w:keepLines w:val="0"/>
              <w:rPr>
                <w:lang w:eastAsia="en-AU"/>
              </w:rPr>
            </w:pPr>
          </w:p>
        </w:tc>
        <w:tc>
          <w:tcPr>
            <w:tcW w:w="992" w:type="dxa"/>
          </w:tcPr>
          <w:p w14:paraId="554160F7" w14:textId="77777777" w:rsidR="00F95AF6" w:rsidRPr="001C28F5" w:rsidRDefault="00F95AF6" w:rsidP="009746A6">
            <w:pPr>
              <w:pStyle w:val="Tablebodytext"/>
              <w:keepNext w:val="0"/>
              <w:keepLines w:val="0"/>
              <w:rPr>
                <w:lang w:eastAsia="en-AU"/>
              </w:rPr>
            </w:pPr>
            <w:r w:rsidRPr="001C28F5">
              <w:rPr>
                <w:lang w:eastAsia="en-AU"/>
              </w:rPr>
              <w:t>h</w:t>
            </w:r>
          </w:p>
        </w:tc>
        <w:tc>
          <w:tcPr>
            <w:tcW w:w="2485" w:type="dxa"/>
          </w:tcPr>
          <w:p w14:paraId="4831D386" w14:textId="77777777" w:rsidR="00F95AF6" w:rsidRPr="001C28F5" w:rsidRDefault="00F95AF6" w:rsidP="009746A6">
            <w:pPr>
              <w:pStyle w:val="Tablebodytext"/>
              <w:keepNext w:val="0"/>
              <w:keepLines w:val="0"/>
              <w:rPr>
                <w:lang w:eastAsia="en-AU"/>
              </w:rPr>
            </w:pPr>
            <w:r w:rsidRPr="001C28F5">
              <w:rPr>
                <w:lang w:eastAsia="en-AU"/>
              </w:rPr>
              <w:t>Environmental</w:t>
            </w:r>
          </w:p>
        </w:tc>
        <w:tc>
          <w:tcPr>
            <w:tcW w:w="966" w:type="dxa"/>
          </w:tcPr>
          <w:p w14:paraId="3A8C95D2"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3E5C6079" w14:textId="77777777" w:rsidR="00F95AF6" w:rsidRPr="001C28F5" w:rsidRDefault="00F95AF6" w:rsidP="009746A6">
            <w:pPr>
              <w:pStyle w:val="Tablebodytext"/>
              <w:keepNext w:val="0"/>
              <w:keepLines w:val="0"/>
              <w:rPr>
                <w:lang w:eastAsia="en-AU"/>
              </w:rPr>
            </w:pPr>
          </w:p>
        </w:tc>
        <w:tc>
          <w:tcPr>
            <w:tcW w:w="995" w:type="dxa"/>
            <w:vMerge/>
          </w:tcPr>
          <w:p w14:paraId="78EDCADC" w14:textId="77777777" w:rsidR="00F95AF6" w:rsidRPr="001C28F5" w:rsidRDefault="00F95AF6" w:rsidP="009746A6">
            <w:pPr>
              <w:pStyle w:val="Tablebodytext"/>
              <w:keepNext w:val="0"/>
              <w:keepLines w:val="0"/>
              <w:rPr>
                <w:lang w:eastAsia="en-AU"/>
              </w:rPr>
            </w:pPr>
          </w:p>
        </w:tc>
      </w:tr>
      <w:tr w:rsidR="00F95AF6" w:rsidRPr="001C28F5" w14:paraId="765F8A1F" w14:textId="77777777" w:rsidTr="001371EB">
        <w:trPr>
          <w:trHeight w:val="320"/>
        </w:trPr>
        <w:tc>
          <w:tcPr>
            <w:tcW w:w="2037" w:type="dxa"/>
            <w:vMerge/>
          </w:tcPr>
          <w:p w14:paraId="02E640C3" w14:textId="77777777" w:rsidR="00F95AF6" w:rsidRPr="001C28F5" w:rsidRDefault="00F95AF6" w:rsidP="009746A6">
            <w:pPr>
              <w:pStyle w:val="Tablebodytext"/>
              <w:keepNext w:val="0"/>
              <w:keepLines w:val="0"/>
              <w:rPr>
                <w:lang w:eastAsia="en-AU"/>
              </w:rPr>
            </w:pPr>
          </w:p>
        </w:tc>
        <w:tc>
          <w:tcPr>
            <w:tcW w:w="1082" w:type="dxa"/>
            <w:vMerge/>
          </w:tcPr>
          <w:p w14:paraId="564F18C2" w14:textId="77777777" w:rsidR="00F95AF6" w:rsidRPr="001C28F5" w:rsidRDefault="00F95AF6" w:rsidP="009746A6">
            <w:pPr>
              <w:pStyle w:val="Tablebodytext"/>
              <w:keepNext w:val="0"/>
              <w:keepLines w:val="0"/>
              <w:rPr>
                <w:lang w:eastAsia="en-AU"/>
              </w:rPr>
            </w:pPr>
          </w:p>
        </w:tc>
        <w:tc>
          <w:tcPr>
            <w:tcW w:w="992" w:type="dxa"/>
          </w:tcPr>
          <w:p w14:paraId="3375B2DB" w14:textId="77777777" w:rsidR="00F95AF6" w:rsidRPr="001C28F5" w:rsidRDefault="00F95AF6" w:rsidP="009746A6">
            <w:pPr>
              <w:pStyle w:val="Tablebodytext"/>
              <w:keepNext w:val="0"/>
              <w:keepLines w:val="0"/>
              <w:rPr>
                <w:lang w:eastAsia="en-AU"/>
              </w:rPr>
            </w:pPr>
            <w:r w:rsidRPr="001C28F5">
              <w:rPr>
                <w:lang w:eastAsia="en-AU"/>
              </w:rPr>
              <w:t>i</w:t>
            </w:r>
          </w:p>
        </w:tc>
        <w:tc>
          <w:tcPr>
            <w:tcW w:w="2485" w:type="dxa"/>
          </w:tcPr>
          <w:p w14:paraId="455B4703" w14:textId="77777777" w:rsidR="00F95AF6" w:rsidRPr="001C28F5" w:rsidRDefault="00F95AF6" w:rsidP="009746A6">
            <w:pPr>
              <w:pStyle w:val="Tablebodytext"/>
              <w:keepNext w:val="0"/>
              <w:keepLines w:val="0"/>
              <w:rPr>
                <w:lang w:eastAsia="en-AU"/>
              </w:rPr>
            </w:pPr>
            <w:r w:rsidRPr="001C28F5">
              <w:rPr>
                <w:lang w:eastAsia="en-AU"/>
              </w:rPr>
              <w:t>Workforce</w:t>
            </w:r>
          </w:p>
        </w:tc>
        <w:tc>
          <w:tcPr>
            <w:tcW w:w="966" w:type="dxa"/>
          </w:tcPr>
          <w:p w14:paraId="59C0148E"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38E17CF4" w14:textId="77777777" w:rsidR="00F95AF6" w:rsidRPr="001C28F5" w:rsidRDefault="00F95AF6" w:rsidP="009746A6">
            <w:pPr>
              <w:pStyle w:val="Tablebodytext"/>
              <w:keepNext w:val="0"/>
              <w:keepLines w:val="0"/>
              <w:rPr>
                <w:lang w:eastAsia="en-AU"/>
              </w:rPr>
            </w:pPr>
          </w:p>
        </w:tc>
        <w:tc>
          <w:tcPr>
            <w:tcW w:w="995" w:type="dxa"/>
            <w:vMerge/>
          </w:tcPr>
          <w:p w14:paraId="3D836FA9" w14:textId="77777777" w:rsidR="00F95AF6" w:rsidRPr="001C28F5" w:rsidRDefault="00F95AF6" w:rsidP="009746A6">
            <w:pPr>
              <w:pStyle w:val="Tablebodytext"/>
              <w:keepNext w:val="0"/>
              <w:keepLines w:val="0"/>
              <w:rPr>
                <w:lang w:eastAsia="en-AU"/>
              </w:rPr>
            </w:pPr>
          </w:p>
        </w:tc>
      </w:tr>
      <w:tr w:rsidR="00F95AF6" w:rsidRPr="001C28F5" w14:paraId="63C706B8" w14:textId="77777777" w:rsidTr="001371EB">
        <w:trPr>
          <w:trHeight w:val="320"/>
        </w:trPr>
        <w:tc>
          <w:tcPr>
            <w:tcW w:w="2037" w:type="dxa"/>
            <w:vMerge/>
          </w:tcPr>
          <w:p w14:paraId="4A42BE66" w14:textId="77777777" w:rsidR="00F95AF6" w:rsidRPr="001C28F5" w:rsidRDefault="00F95AF6" w:rsidP="009746A6">
            <w:pPr>
              <w:pStyle w:val="Tablebodytext"/>
              <w:keepNext w:val="0"/>
              <w:keepLines w:val="0"/>
              <w:rPr>
                <w:lang w:eastAsia="en-AU"/>
              </w:rPr>
            </w:pPr>
          </w:p>
        </w:tc>
        <w:tc>
          <w:tcPr>
            <w:tcW w:w="1082" w:type="dxa"/>
            <w:vMerge/>
          </w:tcPr>
          <w:p w14:paraId="7D8F21B2" w14:textId="77777777" w:rsidR="00F95AF6" w:rsidRPr="001C28F5" w:rsidRDefault="00F95AF6" w:rsidP="009746A6">
            <w:pPr>
              <w:pStyle w:val="Tablebodytext"/>
              <w:keepNext w:val="0"/>
              <w:keepLines w:val="0"/>
              <w:rPr>
                <w:lang w:eastAsia="en-AU"/>
              </w:rPr>
            </w:pPr>
          </w:p>
        </w:tc>
        <w:tc>
          <w:tcPr>
            <w:tcW w:w="992" w:type="dxa"/>
          </w:tcPr>
          <w:p w14:paraId="770CB747" w14:textId="77777777" w:rsidR="00F95AF6" w:rsidRPr="001C28F5" w:rsidRDefault="00F95AF6" w:rsidP="009746A6">
            <w:pPr>
              <w:pStyle w:val="Tablebodytext"/>
              <w:keepNext w:val="0"/>
              <w:keepLines w:val="0"/>
              <w:rPr>
                <w:lang w:eastAsia="en-AU"/>
              </w:rPr>
            </w:pPr>
            <w:r w:rsidRPr="001C28F5">
              <w:rPr>
                <w:lang w:eastAsia="en-AU"/>
              </w:rPr>
              <w:t>j</w:t>
            </w:r>
          </w:p>
        </w:tc>
        <w:tc>
          <w:tcPr>
            <w:tcW w:w="2485" w:type="dxa"/>
          </w:tcPr>
          <w:p w14:paraId="3DE00452" w14:textId="77777777" w:rsidR="00F95AF6" w:rsidRPr="001C28F5" w:rsidRDefault="00F95AF6" w:rsidP="009746A6">
            <w:pPr>
              <w:pStyle w:val="Tablebodytext"/>
              <w:keepNext w:val="0"/>
              <w:keepLines w:val="0"/>
              <w:rPr>
                <w:lang w:eastAsia="en-AU"/>
              </w:rPr>
            </w:pPr>
            <w:r w:rsidRPr="001C28F5">
              <w:rPr>
                <w:lang w:eastAsia="en-AU"/>
              </w:rPr>
              <w:t>Customer relations</w:t>
            </w:r>
          </w:p>
        </w:tc>
        <w:tc>
          <w:tcPr>
            <w:tcW w:w="966" w:type="dxa"/>
          </w:tcPr>
          <w:p w14:paraId="56129C6C"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2307C4E3" w14:textId="77777777" w:rsidR="00F95AF6" w:rsidRPr="001C28F5" w:rsidRDefault="00F95AF6" w:rsidP="009746A6">
            <w:pPr>
              <w:pStyle w:val="Tablebodytext"/>
              <w:keepNext w:val="0"/>
              <w:keepLines w:val="0"/>
              <w:rPr>
                <w:lang w:eastAsia="en-AU"/>
              </w:rPr>
            </w:pPr>
          </w:p>
        </w:tc>
        <w:tc>
          <w:tcPr>
            <w:tcW w:w="995" w:type="dxa"/>
            <w:vMerge/>
          </w:tcPr>
          <w:p w14:paraId="7C18F048" w14:textId="77777777" w:rsidR="00F95AF6" w:rsidRPr="001C28F5" w:rsidRDefault="00F95AF6" w:rsidP="009746A6">
            <w:pPr>
              <w:pStyle w:val="Tablebodytext"/>
              <w:keepNext w:val="0"/>
              <w:keepLines w:val="0"/>
              <w:rPr>
                <w:lang w:eastAsia="en-AU"/>
              </w:rPr>
            </w:pPr>
          </w:p>
        </w:tc>
      </w:tr>
      <w:tr w:rsidR="00F95AF6" w:rsidRPr="001C28F5" w14:paraId="7347F4EC" w14:textId="77777777" w:rsidTr="001371EB">
        <w:trPr>
          <w:trHeight w:val="320"/>
        </w:trPr>
        <w:tc>
          <w:tcPr>
            <w:tcW w:w="2037" w:type="dxa"/>
            <w:vMerge/>
          </w:tcPr>
          <w:p w14:paraId="6559B7C1" w14:textId="77777777" w:rsidR="00F95AF6" w:rsidRPr="001C28F5" w:rsidRDefault="00F95AF6" w:rsidP="009746A6">
            <w:pPr>
              <w:pStyle w:val="Tablebodytext"/>
              <w:keepNext w:val="0"/>
              <w:keepLines w:val="0"/>
              <w:rPr>
                <w:lang w:eastAsia="en-AU"/>
              </w:rPr>
            </w:pPr>
          </w:p>
        </w:tc>
        <w:tc>
          <w:tcPr>
            <w:tcW w:w="1082" w:type="dxa"/>
            <w:vMerge/>
          </w:tcPr>
          <w:p w14:paraId="3DEB4B11" w14:textId="77777777" w:rsidR="00F95AF6" w:rsidRPr="001C28F5" w:rsidRDefault="00F95AF6" w:rsidP="009746A6">
            <w:pPr>
              <w:pStyle w:val="Tablebodytext"/>
              <w:keepNext w:val="0"/>
              <w:keepLines w:val="0"/>
              <w:rPr>
                <w:lang w:eastAsia="en-AU"/>
              </w:rPr>
            </w:pPr>
          </w:p>
        </w:tc>
        <w:tc>
          <w:tcPr>
            <w:tcW w:w="992" w:type="dxa"/>
          </w:tcPr>
          <w:p w14:paraId="06ABB0DB" w14:textId="77777777" w:rsidR="00F95AF6" w:rsidRPr="001C28F5" w:rsidRDefault="00F95AF6" w:rsidP="009746A6">
            <w:pPr>
              <w:pStyle w:val="Tablebodytext"/>
              <w:keepNext w:val="0"/>
              <w:keepLines w:val="0"/>
              <w:rPr>
                <w:lang w:eastAsia="en-AU"/>
              </w:rPr>
            </w:pPr>
            <w:r w:rsidRPr="001C28F5">
              <w:rPr>
                <w:lang w:eastAsia="en-AU"/>
              </w:rPr>
              <w:t>k</w:t>
            </w:r>
          </w:p>
        </w:tc>
        <w:tc>
          <w:tcPr>
            <w:tcW w:w="2485" w:type="dxa"/>
          </w:tcPr>
          <w:p w14:paraId="03AC87B2" w14:textId="77777777" w:rsidR="00F95AF6" w:rsidRPr="001C28F5" w:rsidRDefault="00F95AF6" w:rsidP="009746A6">
            <w:pPr>
              <w:pStyle w:val="Tablebodytext"/>
              <w:keepNext w:val="0"/>
              <w:keepLines w:val="0"/>
              <w:rPr>
                <w:lang w:eastAsia="en-AU"/>
              </w:rPr>
            </w:pPr>
            <w:r w:rsidRPr="001C28F5">
              <w:rPr>
                <w:lang w:eastAsia="en-AU"/>
              </w:rPr>
              <w:t>Social</w:t>
            </w:r>
          </w:p>
        </w:tc>
        <w:tc>
          <w:tcPr>
            <w:tcW w:w="966" w:type="dxa"/>
          </w:tcPr>
          <w:p w14:paraId="0CDE6BBE"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4BD814B7" w14:textId="77777777" w:rsidR="00F95AF6" w:rsidRPr="001C28F5" w:rsidRDefault="00F95AF6" w:rsidP="009746A6">
            <w:pPr>
              <w:pStyle w:val="Tablebodytext"/>
              <w:keepNext w:val="0"/>
              <w:keepLines w:val="0"/>
              <w:rPr>
                <w:lang w:eastAsia="en-AU"/>
              </w:rPr>
            </w:pPr>
          </w:p>
        </w:tc>
        <w:tc>
          <w:tcPr>
            <w:tcW w:w="995" w:type="dxa"/>
            <w:vMerge/>
          </w:tcPr>
          <w:p w14:paraId="3B9F8F44" w14:textId="77777777" w:rsidR="00F95AF6" w:rsidRPr="001C28F5" w:rsidRDefault="00F95AF6" w:rsidP="009746A6">
            <w:pPr>
              <w:pStyle w:val="Tablebodytext"/>
              <w:keepNext w:val="0"/>
              <w:keepLines w:val="0"/>
              <w:rPr>
                <w:lang w:eastAsia="en-AU"/>
              </w:rPr>
            </w:pPr>
          </w:p>
        </w:tc>
      </w:tr>
      <w:tr w:rsidR="00F95AF6" w:rsidRPr="001C28F5" w14:paraId="2FEB063F" w14:textId="77777777" w:rsidTr="001371EB">
        <w:trPr>
          <w:trHeight w:val="320"/>
        </w:trPr>
        <w:tc>
          <w:tcPr>
            <w:tcW w:w="2037" w:type="dxa"/>
            <w:vMerge/>
          </w:tcPr>
          <w:p w14:paraId="2A8BFE0B" w14:textId="77777777" w:rsidR="00F95AF6" w:rsidRPr="001C28F5" w:rsidRDefault="00F95AF6" w:rsidP="009746A6">
            <w:pPr>
              <w:pStyle w:val="Tablebodytext"/>
              <w:keepNext w:val="0"/>
              <w:keepLines w:val="0"/>
              <w:rPr>
                <w:lang w:eastAsia="en-AU"/>
              </w:rPr>
            </w:pPr>
          </w:p>
        </w:tc>
        <w:tc>
          <w:tcPr>
            <w:tcW w:w="1082" w:type="dxa"/>
            <w:vMerge/>
          </w:tcPr>
          <w:p w14:paraId="579DACA8" w14:textId="77777777" w:rsidR="00F95AF6" w:rsidRPr="001C28F5" w:rsidRDefault="00F95AF6" w:rsidP="009746A6">
            <w:pPr>
              <w:pStyle w:val="Tablebodytext"/>
              <w:keepNext w:val="0"/>
              <w:keepLines w:val="0"/>
              <w:rPr>
                <w:lang w:eastAsia="en-AU"/>
              </w:rPr>
            </w:pPr>
          </w:p>
        </w:tc>
        <w:tc>
          <w:tcPr>
            <w:tcW w:w="992" w:type="dxa"/>
          </w:tcPr>
          <w:p w14:paraId="56F59FDE" w14:textId="77777777" w:rsidR="00F95AF6" w:rsidRPr="001C28F5" w:rsidRDefault="00F95AF6" w:rsidP="009746A6">
            <w:pPr>
              <w:pStyle w:val="Tablebodytext"/>
              <w:keepNext w:val="0"/>
              <w:keepLines w:val="0"/>
              <w:rPr>
                <w:lang w:eastAsia="en-AU"/>
              </w:rPr>
            </w:pPr>
            <w:r w:rsidRPr="001C28F5">
              <w:rPr>
                <w:lang w:eastAsia="en-AU"/>
              </w:rPr>
              <w:t>l</w:t>
            </w:r>
          </w:p>
        </w:tc>
        <w:tc>
          <w:tcPr>
            <w:tcW w:w="2485" w:type="dxa"/>
          </w:tcPr>
          <w:p w14:paraId="2802E4A3" w14:textId="77777777" w:rsidR="00F95AF6" w:rsidRPr="001C28F5" w:rsidRDefault="00F95AF6" w:rsidP="009746A6">
            <w:pPr>
              <w:pStyle w:val="Tablebodytext"/>
              <w:keepNext w:val="0"/>
              <w:keepLines w:val="0"/>
              <w:rPr>
                <w:lang w:eastAsia="en-AU"/>
              </w:rPr>
            </w:pPr>
            <w:r w:rsidRPr="001C28F5">
              <w:rPr>
                <w:lang w:eastAsia="en-AU"/>
              </w:rPr>
              <w:t>Health and safety</w:t>
            </w:r>
          </w:p>
        </w:tc>
        <w:tc>
          <w:tcPr>
            <w:tcW w:w="966" w:type="dxa"/>
          </w:tcPr>
          <w:p w14:paraId="120A04A7"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2561406E" w14:textId="77777777" w:rsidR="00F95AF6" w:rsidRPr="001C28F5" w:rsidRDefault="00F95AF6" w:rsidP="009746A6">
            <w:pPr>
              <w:pStyle w:val="Tablebodytext"/>
              <w:keepNext w:val="0"/>
              <w:keepLines w:val="0"/>
              <w:rPr>
                <w:lang w:eastAsia="en-AU"/>
              </w:rPr>
            </w:pPr>
          </w:p>
        </w:tc>
        <w:tc>
          <w:tcPr>
            <w:tcW w:w="995" w:type="dxa"/>
            <w:vMerge/>
          </w:tcPr>
          <w:p w14:paraId="1EF1738F" w14:textId="77777777" w:rsidR="00F95AF6" w:rsidRPr="001C28F5" w:rsidRDefault="00F95AF6" w:rsidP="009746A6">
            <w:pPr>
              <w:pStyle w:val="Tablebodytext"/>
              <w:keepNext w:val="0"/>
              <w:keepLines w:val="0"/>
              <w:rPr>
                <w:lang w:eastAsia="en-AU"/>
              </w:rPr>
            </w:pPr>
          </w:p>
        </w:tc>
      </w:tr>
      <w:tr w:rsidR="00F95AF6" w:rsidRPr="001C28F5" w14:paraId="26380C62" w14:textId="77777777" w:rsidTr="001371EB">
        <w:trPr>
          <w:trHeight w:val="320"/>
        </w:trPr>
        <w:tc>
          <w:tcPr>
            <w:tcW w:w="2037" w:type="dxa"/>
            <w:vMerge/>
          </w:tcPr>
          <w:p w14:paraId="665B7BCC" w14:textId="77777777" w:rsidR="00F95AF6" w:rsidRPr="001C28F5" w:rsidRDefault="00F95AF6" w:rsidP="009746A6">
            <w:pPr>
              <w:pStyle w:val="Tablebodytext"/>
              <w:keepNext w:val="0"/>
              <w:keepLines w:val="0"/>
              <w:rPr>
                <w:lang w:eastAsia="en-AU"/>
              </w:rPr>
            </w:pPr>
          </w:p>
        </w:tc>
        <w:tc>
          <w:tcPr>
            <w:tcW w:w="1082" w:type="dxa"/>
            <w:vMerge/>
          </w:tcPr>
          <w:p w14:paraId="5EA923F0" w14:textId="77777777" w:rsidR="00F95AF6" w:rsidRPr="001C28F5" w:rsidRDefault="00F95AF6" w:rsidP="009746A6">
            <w:pPr>
              <w:pStyle w:val="Tablebodytext"/>
              <w:keepNext w:val="0"/>
              <w:keepLines w:val="0"/>
              <w:rPr>
                <w:lang w:eastAsia="en-AU"/>
              </w:rPr>
            </w:pPr>
          </w:p>
        </w:tc>
        <w:tc>
          <w:tcPr>
            <w:tcW w:w="992" w:type="dxa"/>
          </w:tcPr>
          <w:p w14:paraId="19D49E6F" w14:textId="77777777" w:rsidR="00F95AF6" w:rsidRPr="001C28F5" w:rsidRDefault="00F95AF6" w:rsidP="009746A6">
            <w:pPr>
              <w:pStyle w:val="Tablebodytext"/>
              <w:keepNext w:val="0"/>
              <w:keepLines w:val="0"/>
              <w:rPr>
                <w:lang w:eastAsia="en-AU"/>
              </w:rPr>
            </w:pPr>
            <w:r w:rsidRPr="001C28F5">
              <w:rPr>
                <w:lang w:eastAsia="en-AU"/>
              </w:rPr>
              <w:t>m</w:t>
            </w:r>
          </w:p>
        </w:tc>
        <w:tc>
          <w:tcPr>
            <w:tcW w:w="2485" w:type="dxa"/>
          </w:tcPr>
          <w:p w14:paraId="0CCEBF8D" w14:textId="77777777" w:rsidR="00F95AF6" w:rsidRPr="001C28F5" w:rsidRDefault="00F95AF6" w:rsidP="009746A6">
            <w:pPr>
              <w:pStyle w:val="Tablebodytext"/>
              <w:keepNext w:val="0"/>
              <w:keepLines w:val="0"/>
              <w:rPr>
                <w:lang w:eastAsia="en-AU"/>
              </w:rPr>
            </w:pPr>
            <w:r w:rsidRPr="001C28F5">
              <w:rPr>
                <w:lang w:eastAsia="en-AU"/>
              </w:rPr>
              <w:t>Government regulation and compliance</w:t>
            </w:r>
          </w:p>
        </w:tc>
        <w:tc>
          <w:tcPr>
            <w:tcW w:w="966" w:type="dxa"/>
          </w:tcPr>
          <w:p w14:paraId="729732AD" w14:textId="77777777" w:rsidR="00F95AF6" w:rsidRPr="001C28F5" w:rsidRDefault="00F95AF6" w:rsidP="009746A6">
            <w:pPr>
              <w:pStyle w:val="Tablebodytext"/>
              <w:keepNext w:val="0"/>
              <w:keepLines w:val="0"/>
              <w:rPr>
                <w:lang w:eastAsia="en-AU"/>
              </w:rPr>
            </w:pPr>
            <w:r w:rsidRPr="001C28F5">
              <w:rPr>
                <w:lang w:eastAsia="en-AU"/>
              </w:rPr>
              <w:t>1/13</w:t>
            </w:r>
          </w:p>
        </w:tc>
        <w:tc>
          <w:tcPr>
            <w:tcW w:w="1043" w:type="dxa"/>
            <w:vMerge/>
          </w:tcPr>
          <w:p w14:paraId="2D80085E" w14:textId="77777777" w:rsidR="00F95AF6" w:rsidRPr="001C28F5" w:rsidRDefault="00F95AF6" w:rsidP="009746A6">
            <w:pPr>
              <w:pStyle w:val="Tablebodytext"/>
              <w:keepNext w:val="0"/>
              <w:keepLines w:val="0"/>
              <w:rPr>
                <w:lang w:eastAsia="en-AU"/>
              </w:rPr>
            </w:pPr>
          </w:p>
        </w:tc>
        <w:tc>
          <w:tcPr>
            <w:tcW w:w="995" w:type="dxa"/>
            <w:vMerge/>
          </w:tcPr>
          <w:p w14:paraId="23CDB8D2" w14:textId="77777777" w:rsidR="00F95AF6" w:rsidRPr="001C28F5" w:rsidRDefault="00F95AF6" w:rsidP="009746A6">
            <w:pPr>
              <w:pStyle w:val="Tablebodytext"/>
              <w:keepNext w:val="0"/>
              <w:keepLines w:val="0"/>
              <w:rPr>
                <w:lang w:eastAsia="en-AU"/>
              </w:rPr>
            </w:pPr>
          </w:p>
        </w:tc>
      </w:tr>
      <w:tr w:rsidR="00F95AF6" w:rsidRPr="001C28F5" w14:paraId="3751BD71" w14:textId="77777777" w:rsidTr="001371EB">
        <w:trPr>
          <w:trHeight w:val="320"/>
        </w:trPr>
        <w:tc>
          <w:tcPr>
            <w:tcW w:w="2037" w:type="dxa"/>
            <w:vMerge/>
          </w:tcPr>
          <w:p w14:paraId="4F3FD900" w14:textId="77777777" w:rsidR="00F95AF6" w:rsidRPr="001C28F5" w:rsidRDefault="00F95AF6" w:rsidP="009746A6">
            <w:pPr>
              <w:pStyle w:val="Tablebodytext"/>
              <w:keepNext w:val="0"/>
              <w:keepLines w:val="0"/>
              <w:rPr>
                <w:lang w:eastAsia="en-AU"/>
              </w:rPr>
            </w:pPr>
          </w:p>
        </w:tc>
        <w:tc>
          <w:tcPr>
            <w:tcW w:w="1082" w:type="dxa"/>
            <w:vMerge/>
          </w:tcPr>
          <w:p w14:paraId="5F74C730" w14:textId="77777777" w:rsidR="00F95AF6" w:rsidRPr="001C28F5" w:rsidRDefault="00F95AF6" w:rsidP="009746A6">
            <w:pPr>
              <w:pStyle w:val="Tablebodytext"/>
              <w:keepNext w:val="0"/>
              <w:keepLines w:val="0"/>
              <w:rPr>
                <w:lang w:eastAsia="en-AU"/>
              </w:rPr>
            </w:pPr>
          </w:p>
        </w:tc>
        <w:tc>
          <w:tcPr>
            <w:tcW w:w="992" w:type="dxa"/>
          </w:tcPr>
          <w:p w14:paraId="1E0A75C0" w14:textId="77777777" w:rsidR="00F95AF6" w:rsidRPr="001C28F5" w:rsidRDefault="00F95AF6" w:rsidP="009746A6">
            <w:pPr>
              <w:pStyle w:val="Tablebodytext"/>
              <w:keepNext w:val="0"/>
              <w:keepLines w:val="0"/>
              <w:rPr>
                <w:lang w:eastAsia="en-AU"/>
              </w:rPr>
            </w:pPr>
            <w:r w:rsidRPr="001C28F5">
              <w:rPr>
                <w:lang w:eastAsia="en-AU"/>
              </w:rPr>
              <w:t>n</w:t>
            </w:r>
          </w:p>
        </w:tc>
        <w:tc>
          <w:tcPr>
            <w:tcW w:w="2485" w:type="dxa"/>
          </w:tcPr>
          <w:p w14:paraId="1253FD27" w14:textId="77777777" w:rsidR="00F95AF6" w:rsidRPr="001C28F5" w:rsidRDefault="00F95AF6" w:rsidP="009746A6">
            <w:pPr>
              <w:pStyle w:val="Tablebodytext"/>
              <w:keepNext w:val="0"/>
              <w:keepLines w:val="0"/>
              <w:rPr>
                <w:lang w:eastAsia="en-AU"/>
              </w:rPr>
            </w:pPr>
            <w:r w:rsidRPr="001C28F5">
              <w:rPr>
                <w:lang w:eastAsia="en-AU"/>
              </w:rPr>
              <w:t>None of the above</w:t>
            </w:r>
          </w:p>
        </w:tc>
        <w:tc>
          <w:tcPr>
            <w:tcW w:w="966" w:type="dxa"/>
          </w:tcPr>
          <w:p w14:paraId="3B236FB3" w14:textId="77777777" w:rsidR="00F95AF6" w:rsidRPr="001C28F5" w:rsidRDefault="00F95AF6" w:rsidP="009746A6">
            <w:pPr>
              <w:pStyle w:val="Tablebodytext"/>
              <w:keepNext w:val="0"/>
              <w:keepLines w:val="0"/>
              <w:rPr>
                <w:lang w:eastAsia="en-AU"/>
              </w:rPr>
            </w:pPr>
            <w:r w:rsidRPr="001C28F5">
              <w:rPr>
                <w:lang w:eastAsia="en-AU"/>
              </w:rPr>
              <w:t>0</w:t>
            </w:r>
          </w:p>
        </w:tc>
        <w:tc>
          <w:tcPr>
            <w:tcW w:w="1043" w:type="dxa"/>
            <w:vMerge/>
          </w:tcPr>
          <w:p w14:paraId="5980F826" w14:textId="77777777" w:rsidR="00F95AF6" w:rsidRPr="001C28F5" w:rsidRDefault="00F95AF6" w:rsidP="009746A6">
            <w:pPr>
              <w:pStyle w:val="Tablebodytext"/>
              <w:keepNext w:val="0"/>
              <w:keepLines w:val="0"/>
              <w:rPr>
                <w:lang w:eastAsia="en-AU"/>
              </w:rPr>
            </w:pPr>
          </w:p>
        </w:tc>
        <w:tc>
          <w:tcPr>
            <w:tcW w:w="995" w:type="dxa"/>
            <w:vMerge/>
          </w:tcPr>
          <w:p w14:paraId="43BCA6A4" w14:textId="77777777" w:rsidR="00F95AF6" w:rsidRPr="001C28F5" w:rsidRDefault="00F95AF6" w:rsidP="009746A6">
            <w:pPr>
              <w:pStyle w:val="Tablebodytext"/>
              <w:keepNext w:val="0"/>
              <w:keepLines w:val="0"/>
              <w:rPr>
                <w:lang w:eastAsia="en-AU"/>
              </w:rPr>
            </w:pPr>
          </w:p>
        </w:tc>
      </w:tr>
      <w:tr w:rsidR="00F95AF6" w:rsidRPr="001C28F5" w14:paraId="09021DE5" w14:textId="77777777" w:rsidTr="001371EB">
        <w:trPr>
          <w:trHeight w:val="400"/>
        </w:trPr>
        <w:tc>
          <w:tcPr>
            <w:tcW w:w="2037" w:type="dxa"/>
            <w:vMerge w:val="restart"/>
          </w:tcPr>
          <w:p w14:paraId="55DD660D" w14:textId="77777777" w:rsidR="00F95AF6" w:rsidRPr="001C28F5" w:rsidRDefault="00F95AF6" w:rsidP="009746A6">
            <w:pPr>
              <w:pStyle w:val="Tablebodytext"/>
              <w:keepNext w:val="0"/>
              <w:keepLines w:val="0"/>
              <w:rPr>
                <w:lang w:eastAsia="en-AU"/>
              </w:rPr>
            </w:pPr>
            <w:r w:rsidRPr="001C28F5">
              <w:rPr>
                <w:lang w:eastAsia="en-AU"/>
              </w:rPr>
              <w:t xml:space="preserve">32. Who was responsible for managing the areas outlined in this business’s strategic plan or policy? </w:t>
            </w:r>
          </w:p>
          <w:p w14:paraId="29A0DDEF" w14:textId="77777777" w:rsidR="00F95AF6" w:rsidRPr="001C28F5" w:rsidRDefault="00F95AF6" w:rsidP="009746A6">
            <w:pPr>
              <w:pStyle w:val="Tablebodytext"/>
              <w:keepNext w:val="0"/>
              <w:keepLines w:val="0"/>
              <w:rPr>
                <w:lang w:eastAsia="en-AU"/>
              </w:rPr>
            </w:pPr>
          </w:p>
        </w:tc>
        <w:tc>
          <w:tcPr>
            <w:tcW w:w="1082" w:type="dxa"/>
            <w:vMerge w:val="restart"/>
          </w:tcPr>
          <w:p w14:paraId="1B6EF22B" w14:textId="77777777" w:rsidR="00F95AF6" w:rsidRPr="0064751A" w:rsidRDefault="00F95AF6" w:rsidP="009746A6">
            <w:pPr>
              <w:pStyle w:val="Tablebodytext"/>
              <w:keepNext w:val="0"/>
              <w:keepLines w:val="0"/>
              <w:rPr>
                <w:lang w:eastAsia="en-AU"/>
              </w:rPr>
            </w:pPr>
            <w:r w:rsidRPr="0064751A">
              <w:rPr>
                <w:lang w:eastAsia="en-AU"/>
              </w:rPr>
              <w:t>List</w:t>
            </w:r>
          </w:p>
          <w:p w14:paraId="0A4D1505" w14:textId="77777777" w:rsidR="00F95AF6" w:rsidRPr="001C28F5" w:rsidRDefault="00F95AF6" w:rsidP="009746A6">
            <w:pPr>
              <w:pStyle w:val="Tablebodytext"/>
              <w:keepNext w:val="0"/>
              <w:keepLines w:val="0"/>
              <w:rPr>
                <w:lang w:eastAsia="en-AU"/>
              </w:rPr>
            </w:pPr>
          </w:p>
        </w:tc>
        <w:tc>
          <w:tcPr>
            <w:tcW w:w="992" w:type="dxa"/>
          </w:tcPr>
          <w:p w14:paraId="4A2C1989"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18DC89DE" w14:textId="77777777" w:rsidR="00F95AF6" w:rsidRPr="001C28F5" w:rsidRDefault="00F95AF6" w:rsidP="009746A6">
            <w:pPr>
              <w:pStyle w:val="Tablebodytext"/>
              <w:keepNext w:val="0"/>
              <w:keepLines w:val="0"/>
              <w:rPr>
                <w:lang w:eastAsia="en-AU"/>
              </w:rPr>
            </w:pPr>
            <w:r w:rsidRPr="001C28F5">
              <w:rPr>
                <w:lang w:eastAsia="en-AU"/>
              </w:rPr>
              <w:t>Principal manager</w:t>
            </w:r>
          </w:p>
        </w:tc>
        <w:tc>
          <w:tcPr>
            <w:tcW w:w="966" w:type="dxa"/>
          </w:tcPr>
          <w:p w14:paraId="5FA1CF1B"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val="restart"/>
          </w:tcPr>
          <w:p w14:paraId="5D932742" w14:textId="77777777" w:rsidR="00F95AF6" w:rsidRPr="001C28F5" w:rsidRDefault="00F95AF6" w:rsidP="009746A6">
            <w:pPr>
              <w:pStyle w:val="Tablebodytext"/>
              <w:keepNext w:val="0"/>
              <w:keepLines w:val="0"/>
              <w:rPr>
                <w:lang w:eastAsia="en-AU"/>
              </w:rPr>
            </w:pPr>
            <w:r w:rsidRPr="001C28F5">
              <w:rPr>
                <w:lang w:eastAsia="en-AU"/>
              </w:rPr>
              <w:t>Planning</w:t>
            </w:r>
          </w:p>
        </w:tc>
        <w:tc>
          <w:tcPr>
            <w:tcW w:w="995" w:type="dxa"/>
            <w:vMerge w:val="restart"/>
          </w:tcPr>
          <w:p w14:paraId="7155F0C1" w14:textId="77777777" w:rsidR="00F95AF6" w:rsidRPr="001C28F5" w:rsidRDefault="00F95AF6" w:rsidP="009746A6">
            <w:pPr>
              <w:pStyle w:val="Tablebodytext"/>
              <w:keepNext w:val="0"/>
              <w:keepLines w:val="0"/>
              <w:rPr>
                <w:lang w:eastAsia="en-AU"/>
              </w:rPr>
            </w:pPr>
            <w:r w:rsidRPr="001C28F5">
              <w:rPr>
                <w:lang w:eastAsia="en-AU"/>
              </w:rPr>
              <w:t>0.181</w:t>
            </w:r>
          </w:p>
        </w:tc>
      </w:tr>
      <w:tr w:rsidR="00F95AF6" w:rsidRPr="001C28F5" w14:paraId="070AD0A0" w14:textId="77777777" w:rsidTr="001371EB">
        <w:trPr>
          <w:trHeight w:val="320"/>
        </w:trPr>
        <w:tc>
          <w:tcPr>
            <w:tcW w:w="2037" w:type="dxa"/>
            <w:vMerge/>
          </w:tcPr>
          <w:p w14:paraId="31417E62" w14:textId="77777777" w:rsidR="00F95AF6" w:rsidRPr="001C28F5" w:rsidRDefault="00F95AF6" w:rsidP="009746A6">
            <w:pPr>
              <w:pStyle w:val="Tablebodytext"/>
              <w:keepNext w:val="0"/>
              <w:keepLines w:val="0"/>
              <w:rPr>
                <w:lang w:eastAsia="en-AU"/>
              </w:rPr>
            </w:pPr>
          </w:p>
        </w:tc>
        <w:tc>
          <w:tcPr>
            <w:tcW w:w="1082" w:type="dxa"/>
            <w:vMerge/>
          </w:tcPr>
          <w:p w14:paraId="389A452D" w14:textId="77777777" w:rsidR="00F95AF6" w:rsidRPr="001C28F5" w:rsidRDefault="00F95AF6" w:rsidP="009746A6">
            <w:pPr>
              <w:pStyle w:val="Tablebodytext"/>
              <w:keepNext w:val="0"/>
              <w:keepLines w:val="0"/>
              <w:rPr>
                <w:lang w:eastAsia="en-AU"/>
              </w:rPr>
            </w:pPr>
          </w:p>
        </w:tc>
        <w:tc>
          <w:tcPr>
            <w:tcW w:w="992" w:type="dxa"/>
          </w:tcPr>
          <w:p w14:paraId="115CA572"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2A43AE94" w14:textId="77777777" w:rsidR="00F95AF6" w:rsidRPr="001C28F5" w:rsidRDefault="00F95AF6" w:rsidP="009746A6">
            <w:pPr>
              <w:pStyle w:val="Tablebodytext"/>
              <w:keepNext w:val="0"/>
              <w:keepLines w:val="0"/>
              <w:rPr>
                <w:lang w:eastAsia="en-AU"/>
              </w:rPr>
            </w:pPr>
            <w:r w:rsidRPr="001C28F5">
              <w:rPr>
                <w:lang w:eastAsia="en-AU"/>
              </w:rPr>
              <w:t>Commercial manager</w:t>
            </w:r>
          </w:p>
        </w:tc>
        <w:tc>
          <w:tcPr>
            <w:tcW w:w="966" w:type="dxa"/>
          </w:tcPr>
          <w:p w14:paraId="018D2508"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1ED25F67" w14:textId="77777777" w:rsidR="00F95AF6" w:rsidRPr="001C28F5" w:rsidRDefault="00F95AF6" w:rsidP="009746A6">
            <w:pPr>
              <w:pStyle w:val="Tablebodytext"/>
              <w:keepNext w:val="0"/>
              <w:keepLines w:val="0"/>
              <w:rPr>
                <w:lang w:eastAsia="en-AU"/>
              </w:rPr>
            </w:pPr>
          </w:p>
        </w:tc>
        <w:tc>
          <w:tcPr>
            <w:tcW w:w="995" w:type="dxa"/>
            <w:vMerge/>
          </w:tcPr>
          <w:p w14:paraId="07A2AE71" w14:textId="77777777" w:rsidR="00F95AF6" w:rsidRPr="001C28F5" w:rsidRDefault="00F95AF6" w:rsidP="009746A6">
            <w:pPr>
              <w:pStyle w:val="Tablebodytext"/>
              <w:keepNext w:val="0"/>
              <w:keepLines w:val="0"/>
              <w:rPr>
                <w:lang w:eastAsia="en-AU"/>
              </w:rPr>
            </w:pPr>
          </w:p>
        </w:tc>
      </w:tr>
      <w:tr w:rsidR="00F95AF6" w:rsidRPr="001C28F5" w14:paraId="508ED7FC" w14:textId="77777777" w:rsidTr="001371EB">
        <w:trPr>
          <w:trHeight w:val="320"/>
        </w:trPr>
        <w:tc>
          <w:tcPr>
            <w:tcW w:w="2037" w:type="dxa"/>
            <w:vMerge/>
          </w:tcPr>
          <w:p w14:paraId="44F2425C" w14:textId="77777777" w:rsidR="00F95AF6" w:rsidRPr="001C28F5" w:rsidRDefault="00F95AF6" w:rsidP="009746A6">
            <w:pPr>
              <w:pStyle w:val="Tablebodytext"/>
              <w:keepNext w:val="0"/>
              <w:keepLines w:val="0"/>
              <w:rPr>
                <w:lang w:eastAsia="en-AU"/>
              </w:rPr>
            </w:pPr>
          </w:p>
        </w:tc>
        <w:tc>
          <w:tcPr>
            <w:tcW w:w="1082" w:type="dxa"/>
            <w:vMerge/>
          </w:tcPr>
          <w:p w14:paraId="1CE89668" w14:textId="77777777" w:rsidR="00F95AF6" w:rsidRPr="001C28F5" w:rsidRDefault="00F95AF6" w:rsidP="009746A6">
            <w:pPr>
              <w:pStyle w:val="Tablebodytext"/>
              <w:keepNext w:val="0"/>
              <w:keepLines w:val="0"/>
              <w:rPr>
                <w:lang w:eastAsia="en-AU"/>
              </w:rPr>
            </w:pPr>
          </w:p>
        </w:tc>
        <w:tc>
          <w:tcPr>
            <w:tcW w:w="992" w:type="dxa"/>
          </w:tcPr>
          <w:p w14:paraId="21DEE0CF"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7E63348B" w14:textId="77777777" w:rsidR="00F95AF6" w:rsidRPr="001C28F5" w:rsidRDefault="00F95AF6" w:rsidP="009746A6">
            <w:pPr>
              <w:pStyle w:val="Tablebodytext"/>
              <w:keepNext w:val="0"/>
              <w:keepLines w:val="0"/>
              <w:rPr>
                <w:lang w:eastAsia="en-AU"/>
              </w:rPr>
            </w:pPr>
            <w:r w:rsidRPr="001C28F5">
              <w:rPr>
                <w:lang w:eastAsia="en-AU"/>
              </w:rPr>
              <w:t>Chief financial officer</w:t>
            </w:r>
          </w:p>
        </w:tc>
        <w:tc>
          <w:tcPr>
            <w:tcW w:w="966" w:type="dxa"/>
          </w:tcPr>
          <w:p w14:paraId="3EE3C669"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433F852F" w14:textId="77777777" w:rsidR="00F95AF6" w:rsidRPr="001C28F5" w:rsidRDefault="00F95AF6" w:rsidP="009746A6">
            <w:pPr>
              <w:pStyle w:val="Tablebodytext"/>
              <w:keepNext w:val="0"/>
              <w:keepLines w:val="0"/>
              <w:rPr>
                <w:lang w:eastAsia="en-AU"/>
              </w:rPr>
            </w:pPr>
          </w:p>
        </w:tc>
        <w:tc>
          <w:tcPr>
            <w:tcW w:w="995" w:type="dxa"/>
            <w:vMerge/>
          </w:tcPr>
          <w:p w14:paraId="76E52A25" w14:textId="77777777" w:rsidR="00F95AF6" w:rsidRPr="001C28F5" w:rsidRDefault="00F95AF6" w:rsidP="009746A6">
            <w:pPr>
              <w:pStyle w:val="Tablebodytext"/>
              <w:keepNext w:val="0"/>
              <w:keepLines w:val="0"/>
              <w:rPr>
                <w:lang w:eastAsia="en-AU"/>
              </w:rPr>
            </w:pPr>
          </w:p>
        </w:tc>
      </w:tr>
      <w:tr w:rsidR="00F95AF6" w:rsidRPr="001C28F5" w14:paraId="6A24481B" w14:textId="77777777" w:rsidTr="001371EB">
        <w:trPr>
          <w:trHeight w:val="320"/>
        </w:trPr>
        <w:tc>
          <w:tcPr>
            <w:tcW w:w="2037" w:type="dxa"/>
            <w:vMerge/>
          </w:tcPr>
          <w:p w14:paraId="1300B2D8" w14:textId="77777777" w:rsidR="00F95AF6" w:rsidRPr="001C28F5" w:rsidRDefault="00F95AF6" w:rsidP="009746A6">
            <w:pPr>
              <w:pStyle w:val="Tablebodytext"/>
              <w:keepNext w:val="0"/>
              <w:keepLines w:val="0"/>
              <w:rPr>
                <w:lang w:eastAsia="en-AU"/>
              </w:rPr>
            </w:pPr>
          </w:p>
        </w:tc>
        <w:tc>
          <w:tcPr>
            <w:tcW w:w="1082" w:type="dxa"/>
            <w:vMerge/>
          </w:tcPr>
          <w:p w14:paraId="1CD9C936" w14:textId="77777777" w:rsidR="00F95AF6" w:rsidRPr="001C28F5" w:rsidRDefault="00F95AF6" w:rsidP="009746A6">
            <w:pPr>
              <w:pStyle w:val="Tablebodytext"/>
              <w:keepNext w:val="0"/>
              <w:keepLines w:val="0"/>
              <w:rPr>
                <w:lang w:eastAsia="en-AU"/>
              </w:rPr>
            </w:pPr>
          </w:p>
        </w:tc>
        <w:tc>
          <w:tcPr>
            <w:tcW w:w="992" w:type="dxa"/>
          </w:tcPr>
          <w:p w14:paraId="6A08CDB1"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6EC7FE87" w14:textId="77777777" w:rsidR="00F95AF6" w:rsidRPr="001C28F5" w:rsidRDefault="00F95AF6" w:rsidP="009746A6">
            <w:pPr>
              <w:pStyle w:val="Tablebodytext"/>
              <w:keepNext w:val="0"/>
              <w:keepLines w:val="0"/>
              <w:rPr>
                <w:lang w:eastAsia="en-AU"/>
              </w:rPr>
            </w:pPr>
            <w:r w:rsidRPr="001C28F5">
              <w:rPr>
                <w:lang w:eastAsia="en-AU"/>
              </w:rPr>
              <w:t>Production/operations manager</w:t>
            </w:r>
          </w:p>
        </w:tc>
        <w:tc>
          <w:tcPr>
            <w:tcW w:w="966" w:type="dxa"/>
          </w:tcPr>
          <w:p w14:paraId="097C6B38"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052A05A9" w14:textId="77777777" w:rsidR="00F95AF6" w:rsidRPr="001C28F5" w:rsidRDefault="00F95AF6" w:rsidP="009746A6">
            <w:pPr>
              <w:pStyle w:val="Tablebodytext"/>
              <w:keepNext w:val="0"/>
              <w:keepLines w:val="0"/>
              <w:rPr>
                <w:lang w:eastAsia="en-AU"/>
              </w:rPr>
            </w:pPr>
          </w:p>
        </w:tc>
        <w:tc>
          <w:tcPr>
            <w:tcW w:w="995" w:type="dxa"/>
            <w:vMerge/>
          </w:tcPr>
          <w:p w14:paraId="3827CE5B" w14:textId="77777777" w:rsidR="00F95AF6" w:rsidRPr="001C28F5" w:rsidRDefault="00F95AF6" w:rsidP="009746A6">
            <w:pPr>
              <w:pStyle w:val="Tablebodytext"/>
              <w:keepNext w:val="0"/>
              <w:keepLines w:val="0"/>
              <w:rPr>
                <w:lang w:eastAsia="en-AU"/>
              </w:rPr>
            </w:pPr>
          </w:p>
        </w:tc>
      </w:tr>
      <w:tr w:rsidR="00F95AF6" w:rsidRPr="001C28F5" w14:paraId="4C89B42F" w14:textId="77777777" w:rsidTr="001371EB">
        <w:trPr>
          <w:trHeight w:val="320"/>
        </w:trPr>
        <w:tc>
          <w:tcPr>
            <w:tcW w:w="2037" w:type="dxa"/>
            <w:vMerge/>
          </w:tcPr>
          <w:p w14:paraId="0CEF25DA" w14:textId="77777777" w:rsidR="00F95AF6" w:rsidRPr="001C28F5" w:rsidRDefault="00F95AF6" w:rsidP="009746A6">
            <w:pPr>
              <w:pStyle w:val="Tablebodytext"/>
              <w:keepNext w:val="0"/>
              <w:keepLines w:val="0"/>
              <w:rPr>
                <w:lang w:eastAsia="en-AU"/>
              </w:rPr>
            </w:pPr>
          </w:p>
        </w:tc>
        <w:tc>
          <w:tcPr>
            <w:tcW w:w="1082" w:type="dxa"/>
            <w:vMerge/>
          </w:tcPr>
          <w:p w14:paraId="4D8BE134" w14:textId="77777777" w:rsidR="00F95AF6" w:rsidRPr="001C28F5" w:rsidRDefault="00F95AF6" w:rsidP="009746A6">
            <w:pPr>
              <w:pStyle w:val="Tablebodytext"/>
              <w:keepNext w:val="0"/>
              <w:keepLines w:val="0"/>
              <w:rPr>
                <w:lang w:eastAsia="en-AU"/>
              </w:rPr>
            </w:pPr>
          </w:p>
        </w:tc>
        <w:tc>
          <w:tcPr>
            <w:tcW w:w="992" w:type="dxa"/>
          </w:tcPr>
          <w:p w14:paraId="0A4B6CE6" w14:textId="77777777" w:rsidR="00F95AF6" w:rsidRPr="001C28F5" w:rsidRDefault="00F95AF6" w:rsidP="009746A6">
            <w:pPr>
              <w:pStyle w:val="Tablebodytext"/>
              <w:keepNext w:val="0"/>
              <w:keepLines w:val="0"/>
              <w:rPr>
                <w:lang w:eastAsia="en-AU"/>
              </w:rPr>
            </w:pPr>
            <w:r w:rsidRPr="001C28F5">
              <w:rPr>
                <w:lang w:eastAsia="en-AU"/>
              </w:rPr>
              <w:t>e</w:t>
            </w:r>
          </w:p>
        </w:tc>
        <w:tc>
          <w:tcPr>
            <w:tcW w:w="2485" w:type="dxa"/>
          </w:tcPr>
          <w:p w14:paraId="0A9D6157" w14:textId="77777777" w:rsidR="00F95AF6" w:rsidRPr="001C28F5" w:rsidRDefault="00F95AF6" w:rsidP="009746A6">
            <w:pPr>
              <w:pStyle w:val="Tablebodytext"/>
              <w:keepNext w:val="0"/>
              <w:keepLines w:val="0"/>
              <w:rPr>
                <w:lang w:eastAsia="en-AU"/>
              </w:rPr>
            </w:pPr>
            <w:r w:rsidRPr="001C28F5">
              <w:rPr>
                <w:lang w:eastAsia="en-AU"/>
              </w:rPr>
              <w:t>Research and development manager</w:t>
            </w:r>
          </w:p>
        </w:tc>
        <w:tc>
          <w:tcPr>
            <w:tcW w:w="966" w:type="dxa"/>
          </w:tcPr>
          <w:p w14:paraId="52ABF968"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2A8BEA77" w14:textId="77777777" w:rsidR="00F95AF6" w:rsidRPr="001C28F5" w:rsidRDefault="00F95AF6" w:rsidP="009746A6">
            <w:pPr>
              <w:pStyle w:val="Tablebodytext"/>
              <w:keepNext w:val="0"/>
              <w:keepLines w:val="0"/>
              <w:rPr>
                <w:lang w:eastAsia="en-AU"/>
              </w:rPr>
            </w:pPr>
          </w:p>
        </w:tc>
        <w:tc>
          <w:tcPr>
            <w:tcW w:w="995" w:type="dxa"/>
            <w:vMerge/>
          </w:tcPr>
          <w:p w14:paraId="54AEAF58" w14:textId="77777777" w:rsidR="00F95AF6" w:rsidRPr="001C28F5" w:rsidRDefault="00F95AF6" w:rsidP="009746A6">
            <w:pPr>
              <w:pStyle w:val="Tablebodytext"/>
              <w:keepNext w:val="0"/>
              <w:keepLines w:val="0"/>
              <w:rPr>
                <w:lang w:eastAsia="en-AU"/>
              </w:rPr>
            </w:pPr>
          </w:p>
        </w:tc>
      </w:tr>
      <w:tr w:rsidR="00F95AF6" w:rsidRPr="001C28F5" w14:paraId="4FA0EF50" w14:textId="77777777" w:rsidTr="001371EB">
        <w:trPr>
          <w:trHeight w:val="320"/>
        </w:trPr>
        <w:tc>
          <w:tcPr>
            <w:tcW w:w="2037" w:type="dxa"/>
            <w:vMerge/>
          </w:tcPr>
          <w:p w14:paraId="59D25A85" w14:textId="77777777" w:rsidR="00F95AF6" w:rsidRPr="001C28F5" w:rsidRDefault="00F95AF6" w:rsidP="009746A6">
            <w:pPr>
              <w:pStyle w:val="Tablebodytext"/>
              <w:keepNext w:val="0"/>
              <w:keepLines w:val="0"/>
              <w:rPr>
                <w:lang w:eastAsia="en-AU"/>
              </w:rPr>
            </w:pPr>
          </w:p>
        </w:tc>
        <w:tc>
          <w:tcPr>
            <w:tcW w:w="1082" w:type="dxa"/>
            <w:vMerge/>
          </w:tcPr>
          <w:p w14:paraId="75E78C49" w14:textId="77777777" w:rsidR="00F95AF6" w:rsidRPr="001C28F5" w:rsidRDefault="00F95AF6" w:rsidP="009746A6">
            <w:pPr>
              <w:pStyle w:val="Tablebodytext"/>
              <w:keepNext w:val="0"/>
              <w:keepLines w:val="0"/>
              <w:rPr>
                <w:lang w:eastAsia="en-AU"/>
              </w:rPr>
            </w:pPr>
          </w:p>
        </w:tc>
        <w:tc>
          <w:tcPr>
            <w:tcW w:w="992" w:type="dxa"/>
          </w:tcPr>
          <w:p w14:paraId="4EFDC2E8" w14:textId="77777777" w:rsidR="00F95AF6" w:rsidRPr="001C28F5" w:rsidRDefault="00F95AF6" w:rsidP="009746A6">
            <w:pPr>
              <w:pStyle w:val="Tablebodytext"/>
              <w:keepNext w:val="0"/>
              <w:keepLines w:val="0"/>
              <w:rPr>
                <w:lang w:eastAsia="en-AU"/>
              </w:rPr>
            </w:pPr>
            <w:r w:rsidRPr="001C28F5">
              <w:rPr>
                <w:lang w:eastAsia="en-AU"/>
              </w:rPr>
              <w:t>f</w:t>
            </w:r>
          </w:p>
        </w:tc>
        <w:tc>
          <w:tcPr>
            <w:tcW w:w="2485" w:type="dxa"/>
          </w:tcPr>
          <w:p w14:paraId="782B17D1" w14:textId="77777777" w:rsidR="00F95AF6" w:rsidRPr="001C28F5" w:rsidRDefault="00F95AF6" w:rsidP="009746A6">
            <w:pPr>
              <w:pStyle w:val="Tablebodytext"/>
              <w:keepNext w:val="0"/>
              <w:keepLines w:val="0"/>
              <w:rPr>
                <w:lang w:eastAsia="en-AU"/>
              </w:rPr>
            </w:pPr>
            <w:r w:rsidRPr="001C28F5">
              <w:rPr>
                <w:lang w:eastAsia="en-AU"/>
              </w:rPr>
              <w:t>Sales/marketing manager</w:t>
            </w:r>
          </w:p>
        </w:tc>
        <w:tc>
          <w:tcPr>
            <w:tcW w:w="966" w:type="dxa"/>
          </w:tcPr>
          <w:p w14:paraId="283DAF74"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6180B8CD" w14:textId="77777777" w:rsidR="00F95AF6" w:rsidRPr="001C28F5" w:rsidRDefault="00F95AF6" w:rsidP="009746A6">
            <w:pPr>
              <w:pStyle w:val="Tablebodytext"/>
              <w:keepNext w:val="0"/>
              <w:keepLines w:val="0"/>
              <w:rPr>
                <w:lang w:eastAsia="en-AU"/>
              </w:rPr>
            </w:pPr>
          </w:p>
        </w:tc>
        <w:tc>
          <w:tcPr>
            <w:tcW w:w="995" w:type="dxa"/>
            <w:vMerge/>
          </w:tcPr>
          <w:p w14:paraId="223E6B23" w14:textId="77777777" w:rsidR="00F95AF6" w:rsidRPr="001C28F5" w:rsidRDefault="00F95AF6" w:rsidP="009746A6">
            <w:pPr>
              <w:pStyle w:val="Tablebodytext"/>
              <w:keepNext w:val="0"/>
              <w:keepLines w:val="0"/>
              <w:rPr>
                <w:lang w:eastAsia="en-AU"/>
              </w:rPr>
            </w:pPr>
          </w:p>
        </w:tc>
      </w:tr>
      <w:tr w:rsidR="00F95AF6" w:rsidRPr="001C28F5" w14:paraId="6C9E2A05" w14:textId="77777777" w:rsidTr="001371EB">
        <w:trPr>
          <w:trHeight w:val="320"/>
        </w:trPr>
        <w:tc>
          <w:tcPr>
            <w:tcW w:w="2037" w:type="dxa"/>
            <w:vMerge/>
          </w:tcPr>
          <w:p w14:paraId="6C09A27B" w14:textId="77777777" w:rsidR="00F95AF6" w:rsidRPr="001C28F5" w:rsidRDefault="00F95AF6" w:rsidP="009746A6">
            <w:pPr>
              <w:pStyle w:val="Tablebodytext"/>
              <w:keepNext w:val="0"/>
              <w:keepLines w:val="0"/>
              <w:rPr>
                <w:lang w:eastAsia="en-AU"/>
              </w:rPr>
            </w:pPr>
          </w:p>
        </w:tc>
        <w:tc>
          <w:tcPr>
            <w:tcW w:w="1082" w:type="dxa"/>
            <w:vMerge/>
          </w:tcPr>
          <w:p w14:paraId="48AB4165" w14:textId="77777777" w:rsidR="00F95AF6" w:rsidRPr="001C28F5" w:rsidRDefault="00F95AF6" w:rsidP="009746A6">
            <w:pPr>
              <w:pStyle w:val="Tablebodytext"/>
              <w:keepNext w:val="0"/>
              <w:keepLines w:val="0"/>
              <w:rPr>
                <w:lang w:eastAsia="en-AU"/>
              </w:rPr>
            </w:pPr>
          </w:p>
        </w:tc>
        <w:tc>
          <w:tcPr>
            <w:tcW w:w="992" w:type="dxa"/>
          </w:tcPr>
          <w:p w14:paraId="6CF88B24"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15FEE0E9" w14:textId="77777777" w:rsidR="00F95AF6" w:rsidRPr="001C28F5" w:rsidRDefault="00F95AF6" w:rsidP="009746A6">
            <w:pPr>
              <w:pStyle w:val="Tablebodytext"/>
              <w:keepNext w:val="0"/>
              <w:keepLines w:val="0"/>
              <w:rPr>
                <w:lang w:eastAsia="en-AU"/>
              </w:rPr>
            </w:pPr>
            <w:r w:rsidRPr="001C28F5">
              <w:rPr>
                <w:lang w:eastAsia="en-AU"/>
              </w:rPr>
              <w:t>Committee, team or board of directors</w:t>
            </w:r>
          </w:p>
        </w:tc>
        <w:tc>
          <w:tcPr>
            <w:tcW w:w="966" w:type="dxa"/>
          </w:tcPr>
          <w:p w14:paraId="6E0715CC"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20DC1412" w14:textId="77777777" w:rsidR="00F95AF6" w:rsidRPr="001C28F5" w:rsidRDefault="00F95AF6" w:rsidP="009746A6">
            <w:pPr>
              <w:pStyle w:val="Tablebodytext"/>
              <w:keepNext w:val="0"/>
              <w:keepLines w:val="0"/>
              <w:rPr>
                <w:lang w:eastAsia="en-AU"/>
              </w:rPr>
            </w:pPr>
          </w:p>
        </w:tc>
        <w:tc>
          <w:tcPr>
            <w:tcW w:w="995" w:type="dxa"/>
            <w:vMerge/>
          </w:tcPr>
          <w:p w14:paraId="35FAABD0" w14:textId="77777777" w:rsidR="00F95AF6" w:rsidRPr="001C28F5" w:rsidRDefault="00F95AF6" w:rsidP="009746A6">
            <w:pPr>
              <w:pStyle w:val="Tablebodytext"/>
              <w:keepNext w:val="0"/>
              <w:keepLines w:val="0"/>
              <w:rPr>
                <w:lang w:eastAsia="en-AU"/>
              </w:rPr>
            </w:pPr>
          </w:p>
        </w:tc>
      </w:tr>
      <w:tr w:rsidR="00F95AF6" w:rsidRPr="001C28F5" w14:paraId="6B51A431" w14:textId="77777777" w:rsidTr="001371EB">
        <w:trPr>
          <w:trHeight w:val="320"/>
        </w:trPr>
        <w:tc>
          <w:tcPr>
            <w:tcW w:w="2037" w:type="dxa"/>
            <w:vMerge/>
          </w:tcPr>
          <w:p w14:paraId="0ABEEB65" w14:textId="77777777" w:rsidR="00F95AF6" w:rsidRPr="001C28F5" w:rsidRDefault="00F95AF6" w:rsidP="009746A6">
            <w:pPr>
              <w:pStyle w:val="Tablebodytext"/>
              <w:keepNext w:val="0"/>
              <w:keepLines w:val="0"/>
              <w:rPr>
                <w:lang w:eastAsia="en-AU"/>
              </w:rPr>
            </w:pPr>
          </w:p>
        </w:tc>
        <w:tc>
          <w:tcPr>
            <w:tcW w:w="1082" w:type="dxa"/>
            <w:vMerge/>
          </w:tcPr>
          <w:p w14:paraId="5959329E" w14:textId="77777777" w:rsidR="00F95AF6" w:rsidRPr="001C28F5" w:rsidRDefault="00F95AF6" w:rsidP="009746A6">
            <w:pPr>
              <w:pStyle w:val="Tablebodytext"/>
              <w:keepNext w:val="0"/>
              <w:keepLines w:val="0"/>
              <w:rPr>
                <w:lang w:eastAsia="en-AU"/>
              </w:rPr>
            </w:pPr>
          </w:p>
        </w:tc>
        <w:tc>
          <w:tcPr>
            <w:tcW w:w="992" w:type="dxa"/>
          </w:tcPr>
          <w:p w14:paraId="4DF7C8B1" w14:textId="77777777" w:rsidR="00F95AF6" w:rsidRPr="001C28F5" w:rsidRDefault="00F95AF6" w:rsidP="009746A6">
            <w:pPr>
              <w:pStyle w:val="Tablebodytext"/>
              <w:keepNext w:val="0"/>
              <w:keepLines w:val="0"/>
              <w:rPr>
                <w:lang w:eastAsia="en-AU"/>
              </w:rPr>
            </w:pPr>
            <w:r w:rsidRPr="001C28F5">
              <w:rPr>
                <w:lang w:eastAsia="en-AU"/>
              </w:rPr>
              <w:t>h</w:t>
            </w:r>
          </w:p>
        </w:tc>
        <w:tc>
          <w:tcPr>
            <w:tcW w:w="2485" w:type="dxa"/>
          </w:tcPr>
          <w:p w14:paraId="35DAFA5B" w14:textId="77777777" w:rsidR="00F95AF6" w:rsidRPr="001C28F5" w:rsidRDefault="00F95AF6" w:rsidP="009746A6">
            <w:pPr>
              <w:pStyle w:val="Tablebodytext"/>
              <w:keepNext w:val="0"/>
              <w:keepLines w:val="0"/>
              <w:rPr>
                <w:lang w:eastAsia="en-AU"/>
              </w:rPr>
            </w:pPr>
            <w:r w:rsidRPr="001C28F5">
              <w:rPr>
                <w:lang w:eastAsia="en-AU"/>
              </w:rPr>
              <w:t>Other person within the business</w:t>
            </w:r>
          </w:p>
        </w:tc>
        <w:tc>
          <w:tcPr>
            <w:tcW w:w="966" w:type="dxa"/>
          </w:tcPr>
          <w:p w14:paraId="2CC3368C" w14:textId="77777777" w:rsidR="00F95AF6" w:rsidRPr="001C28F5" w:rsidRDefault="00F95AF6" w:rsidP="009746A6">
            <w:pPr>
              <w:pStyle w:val="Tablebodytext"/>
              <w:keepNext w:val="0"/>
              <w:keepLines w:val="0"/>
              <w:rPr>
                <w:lang w:eastAsia="en-AU"/>
              </w:rPr>
            </w:pPr>
            <w:r w:rsidRPr="001C28F5">
              <w:rPr>
                <w:lang w:eastAsia="en-AU"/>
              </w:rPr>
              <w:t>1/8</w:t>
            </w:r>
          </w:p>
        </w:tc>
        <w:tc>
          <w:tcPr>
            <w:tcW w:w="1043" w:type="dxa"/>
            <w:vMerge/>
          </w:tcPr>
          <w:p w14:paraId="58106942" w14:textId="77777777" w:rsidR="00F95AF6" w:rsidRPr="001C28F5" w:rsidRDefault="00F95AF6" w:rsidP="009746A6">
            <w:pPr>
              <w:pStyle w:val="Tablebodytext"/>
              <w:keepNext w:val="0"/>
              <w:keepLines w:val="0"/>
              <w:rPr>
                <w:lang w:eastAsia="en-AU"/>
              </w:rPr>
            </w:pPr>
          </w:p>
        </w:tc>
        <w:tc>
          <w:tcPr>
            <w:tcW w:w="995" w:type="dxa"/>
            <w:vMerge/>
          </w:tcPr>
          <w:p w14:paraId="08A2DEFF" w14:textId="77777777" w:rsidR="00F95AF6" w:rsidRPr="001C28F5" w:rsidRDefault="00F95AF6" w:rsidP="009746A6">
            <w:pPr>
              <w:pStyle w:val="Tablebodytext"/>
              <w:keepNext w:val="0"/>
              <w:keepLines w:val="0"/>
              <w:rPr>
                <w:lang w:eastAsia="en-AU"/>
              </w:rPr>
            </w:pPr>
          </w:p>
        </w:tc>
      </w:tr>
      <w:tr w:rsidR="00F95AF6" w:rsidRPr="001C28F5" w14:paraId="5395E6F9" w14:textId="77777777" w:rsidTr="001371EB">
        <w:trPr>
          <w:trHeight w:val="500"/>
        </w:trPr>
        <w:tc>
          <w:tcPr>
            <w:tcW w:w="2037" w:type="dxa"/>
            <w:vMerge w:val="restart"/>
          </w:tcPr>
          <w:p w14:paraId="3614D78C" w14:textId="77777777" w:rsidR="00F95AF6" w:rsidRPr="001C28F5" w:rsidRDefault="00F95AF6" w:rsidP="009746A6">
            <w:pPr>
              <w:pStyle w:val="Tablebodytext"/>
              <w:keepNext w:val="0"/>
              <w:keepLines w:val="0"/>
              <w:rPr>
                <w:lang w:eastAsia="en-AU"/>
              </w:rPr>
            </w:pPr>
            <w:r w:rsidRPr="001C28F5">
              <w:rPr>
                <w:lang w:eastAsia="en-AU"/>
              </w:rPr>
              <w:t xml:space="preserve">36. To what extent do you agree or disagree with the following statements about entrepreneurial orientation and culture within this business? </w:t>
            </w:r>
          </w:p>
          <w:p w14:paraId="589DF77D" w14:textId="77777777" w:rsidR="00F95AF6" w:rsidRPr="001C28F5" w:rsidRDefault="00F95AF6" w:rsidP="009746A6">
            <w:pPr>
              <w:pStyle w:val="Tablebodytext"/>
              <w:keepNext w:val="0"/>
              <w:keepLines w:val="0"/>
              <w:rPr>
                <w:lang w:eastAsia="en-AU"/>
              </w:rPr>
            </w:pPr>
          </w:p>
        </w:tc>
        <w:tc>
          <w:tcPr>
            <w:tcW w:w="1082" w:type="dxa"/>
            <w:vMerge w:val="restart"/>
          </w:tcPr>
          <w:p w14:paraId="3F2C6A40" w14:textId="77777777" w:rsidR="00F95AF6" w:rsidRPr="0064751A" w:rsidRDefault="00F95AF6" w:rsidP="009746A6">
            <w:pPr>
              <w:pStyle w:val="Tablebodytext"/>
              <w:keepNext w:val="0"/>
              <w:keepLines w:val="0"/>
              <w:rPr>
                <w:lang w:eastAsia="en-AU"/>
              </w:rPr>
            </w:pPr>
            <w:r w:rsidRPr="0064751A">
              <w:rPr>
                <w:lang w:eastAsia="en-AU"/>
              </w:rPr>
              <w:lastRenderedPageBreak/>
              <w:t>List scaled</w:t>
            </w:r>
          </w:p>
          <w:p w14:paraId="25F4EC0C" w14:textId="77777777" w:rsidR="00F95AF6" w:rsidRPr="001C28F5" w:rsidRDefault="00F95AF6" w:rsidP="009746A6">
            <w:pPr>
              <w:pStyle w:val="Tablebodytext"/>
              <w:keepNext w:val="0"/>
              <w:keepLines w:val="0"/>
              <w:rPr>
                <w:lang w:eastAsia="en-AU"/>
              </w:rPr>
            </w:pPr>
          </w:p>
        </w:tc>
        <w:tc>
          <w:tcPr>
            <w:tcW w:w="992" w:type="dxa"/>
          </w:tcPr>
          <w:p w14:paraId="4010572F" w14:textId="77777777" w:rsidR="00F95AF6" w:rsidRPr="001C28F5" w:rsidRDefault="00F95AF6" w:rsidP="009746A6">
            <w:pPr>
              <w:pStyle w:val="Tablebodytext"/>
              <w:keepNext w:val="0"/>
              <w:keepLines w:val="0"/>
              <w:rPr>
                <w:lang w:eastAsia="en-AU"/>
              </w:rPr>
            </w:pPr>
            <w:r w:rsidRPr="001C28F5">
              <w:rPr>
                <w:lang w:eastAsia="en-AU"/>
              </w:rPr>
              <w:t>a</w:t>
            </w:r>
          </w:p>
        </w:tc>
        <w:tc>
          <w:tcPr>
            <w:tcW w:w="2485" w:type="dxa"/>
          </w:tcPr>
          <w:p w14:paraId="4DED8336" w14:textId="77777777" w:rsidR="00F95AF6" w:rsidRPr="001C28F5" w:rsidRDefault="00F95AF6" w:rsidP="009746A6">
            <w:pPr>
              <w:pStyle w:val="Tablebodytext"/>
              <w:keepNext w:val="0"/>
              <w:keepLines w:val="0"/>
              <w:rPr>
                <w:lang w:eastAsia="en-AU"/>
              </w:rPr>
            </w:pPr>
            <w:r w:rsidRPr="001C28F5">
              <w:rPr>
                <w:lang w:eastAsia="en-AU"/>
              </w:rPr>
              <w:t>This business takes a proactive approach to market competition</w:t>
            </w:r>
          </w:p>
        </w:tc>
        <w:tc>
          <w:tcPr>
            <w:tcW w:w="966" w:type="dxa"/>
            <w:vMerge w:val="restart"/>
          </w:tcPr>
          <w:p w14:paraId="2BCF7FFE" w14:textId="77777777" w:rsidR="00F95AF6" w:rsidRPr="001C28F5" w:rsidRDefault="00F95AF6" w:rsidP="009746A6">
            <w:pPr>
              <w:pStyle w:val="Tablebodytext"/>
              <w:keepNext w:val="0"/>
              <w:keepLines w:val="0"/>
              <w:rPr>
                <w:lang w:eastAsia="en-AU"/>
              </w:rPr>
            </w:pPr>
            <w:r w:rsidRPr="001C28F5">
              <w:rPr>
                <w:lang w:eastAsia="en-AU"/>
              </w:rPr>
              <w:t xml:space="preserve"> 0 (Strongly disagree) /  0.25 (Disagree) / 0.5 (Neither) </w:t>
            </w:r>
            <w:r w:rsidRPr="001C28F5">
              <w:rPr>
                <w:lang w:eastAsia="en-AU"/>
              </w:rPr>
              <w:lastRenderedPageBreak/>
              <w:t>/ 0.75 (Agree) / 1 (Strongly agree)</w:t>
            </w:r>
          </w:p>
        </w:tc>
        <w:tc>
          <w:tcPr>
            <w:tcW w:w="1043" w:type="dxa"/>
            <w:vMerge w:val="restart"/>
          </w:tcPr>
          <w:p w14:paraId="526DF0CA" w14:textId="77777777" w:rsidR="00F95AF6" w:rsidRPr="001C28F5" w:rsidRDefault="00F95AF6" w:rsidP="009746A6">
            <w:pPr>
              <w:pStyle w:val="Tablebodytext"/>
              <w:keepNext w:val="0"/>
              <w:keepLines w:val="0"/>
              <w:rPr>
                <w:lang w:eastAsia="en-AU"/>
              </w:rPr>
            </w:pPr>
            <w:r w:rsidRPr="001C28F5">
              <w:rPr>
                <w:lang w:eastAsia="en-AU"/>
              </w:rPr>
              <w:lastRenderedPageBreak/>
              <w:t>Innovation</w:t>
            </w:r>
          </w:p>
        </w:tc>
        <w:tc>
          <w:tcPr>
            <w:tcW w:w="995" w:type="dxa"/>
          </w:tcPr>
          <w:p w14:paraId="5EBB5417" w14:textId="77777777" w:rsidR="00F95AF6" w:rsidRPr="001C28F5" w:rsidRDefault="00F95AF6" w:rsidP="009746A6">
            <w:pPr>
              <w:pStyle w:val="Tablebodytext"/>
              <w:keepNext w:val="0"/>
              <w:keepLines w:val="0"/>
              <w:rPr>
                <w:lang w:eastAsia="en-AU"/>
              </w:rPr>
            </w:pPr>
            <w:r w:rsidRPr="001C28F5">
              <w:rPr>
                <w:lang w:eastAsia="en-AU"/>
              </w:rPr>
              <w:t>0.602</w:t>
            </w:r>
          </w:p>
        </w:tc>
      </w:tr>
      <w:tr w:rsidR="00F95AF6" w:rsidRPr="001C28F5" w14:paraId="44A2A648" w14:textId="77777777" w:rsidTr="001371EB">
        <w:trPr>
          <w:trHeight w:val="440"/>
        </w:trPr>
        <w:tc>
          <w:tcPr>
            <w:tcW w:w="2037" w:type="dxa"/>
            <w:vMerge/>
          </w:tcPr>
          <w:p w14:paraId="38CAB886" w14:textId="77777777" w:rsidR="00F95AF6" w:rsidRPr="001C28F5" w:rsidRDefault="00F95AF6" w:rsidP="009746A6">
            <w:pPr>
              <w:pStyle w:val="Tablebodytext"/>
              <w:keepNext w:val="0"/>
              <w:keepLines w:val="0"/>
              <w:rPr>
                <w:lang w:eastAsia="en-AU"/>
              </w:rPr>
            </w:pPr>
          </w:p>
        </w:tc>
        <w:tc>
          <w:tcPr>
            <w:tcW w:w="1082" w:type="dxa"/>
            <w:vMerge/>
          </w:tcPr>
          <w:p w14:paraId="5415ACE4" w14:textId="77777777" w:rsidR="00F95AF6" w:rsidRPr="001C28F5" w:rsidRDefault="00F95AF6" w:rsidP="009746A6">
            <w:pPr>
              <w:pStyle w:val="Tablebodytext"/>
              <w:keepNext w:val="0"/>
              <w:keepLines w:val="0"/>
              <w:rPr>
                <w:lang w:eastAsia="en-AU"/>
              </w:rPr>
            </w:pPr>
          </w:p>
        </w:tc>
        <w:tc>
          <w:tcPr>
            <w:tcW w:w="992" w:type="dxa"/>
          </w:tcPr>
          <w:p w14:paraId="5E969A37" w14:textId="77777777" w:rsidR="00F95AF6" w:rsidRPr="001C28F5" w:rsidRDefault="00F95AF6" w:rsidP="009746A6">
            <w:pPr>
              <w:pStyle w:val="Tablebodytext"/>
              <w:keepNext w:val="0"/>
              <w:keepLines w:val="0"/>
              <w:rPr>
                <w:lang w:eastAsia="en-AU"/>
              </w:rPr>
            </w:pPr>
            <w:r w:rsidRPr="001C28F5">
              <w:rPr>
                <w:lang w:eastAsia="en-AU"/>
              </w:rPr>
              <w:t>b</w:t>
            </w:r>
          </w:p>
        </w:tc>
        <w:tc>
          <w:tcPr>
            <w:tcW w:w="2485" w:type="dxa"/>
          </w:tcPr>
          <w:p w14:paraId="52A725B1" w14:textId="77777777" w:rsidR="00F95AF6" w:rsidRPr="001C28F5" w:rsidRDefault="00F95AF6" w:rsidP="009746A6">
            <w:pPr>
              <w:pStyle w:val="Tablebodytext"/>
              <w:keepNext w:val="0"/>
              <w:keepLines w:val="0"/>
              <w:rPr>
                <w:lang w:eastAsia="en-AU"/>
              </w:rPr>
            </w:pPr>
            <w:r w:rsidRPr="001C28F5">
              <w:rPr>
                <w:lang w:eastAsia="en-AU"/>
              </w:rPr>
              <w:t>This business normally initiates changes upon which its competitors react</w:t>
            </w:r>
          </w:p>
        </w:tc>
        <w:tc>
          <w:tcPr>
            <w:tcW w:w="966" w:type="dxa"/>
            <w:vMerge/>
          </w:tcPr>
          <w:p w14:paraId="715DDED9" w14:textId="77777777" w:rsidR="00F95AF6" w:rsidRPr="001C28F5" w:rsidRDefault="00F95AF6" w:rsidP="009746A6">
            <w:pPr>
              <w:pStyle w:val="Tablebodytext"/>
              <w:keepNext w:val="0"/>
              <w:keepLines w:val="0"/>
              <w:rPr>
                <w:lang w:eastAsia="en-AU"/>
              </w:rPr>
            </w:pPr>
          </w:p>
        </w:tc>
        <w:tc>
          <w:tcPr>
            <w:tcW w:w="1043" w:type="dxa"/>
            <w:vMerge/>
          </w:tcPr>
          <w:p w14:paraId="393B2C16" w14:textId="77777777" w:rsidR="00F95AF6" w:rsidRPr="001C28F5" w:rsidRDefault="00F95AF6" w:rsidP="009746A6">
            <w:pPr>
              <w:pStyle w:val="Tablebodytext"/>
              <w:keepNext w:val="0"/>
              <w:keepLines w:val="0"/>
              <w:rPr>
                <w:lang w:eastAsia="en-AU"/>
              </w:rPr>
            </w:pPr>
          </w:p>
        </w:tc>
        <w:tc>
          <w:tcPr>
            <w:tcW w:w="995" w:type="dxa"/>
          </w:tcPr>
          <w:p w14:paraId="2E170835" w14:textId="77777777" w:rsidR="00F95AF6" w:rsidRPr="001C28F5" w:rsidRDefault="00F95AF6" w:rsidP="009746A6">
            <w:pPr>
              <w:pStyle w:val="Tablebodytext"/>
              <w:keepNext w:val="0"/>
              <w:keepLines w:val="0"/>
              <w:rPr>
                <w:lang w:eastAsia="en-AU"/>
              </w:rPr>
            </w:pPr>
            <w:r w:rsidRPr="001C28F5">
              <w:rPr>
                <w:lang w:eastAsia="en-AU"/>
              </w:rPr>
              <w:t>0.470</w:t>
            </w:r>
          </w:p>
        </w:tc>
      </w:tr>
      <w:tr w:rsidR="00F95AF6" w:rsidRPr="001C28F5" w14:paraId="44C42717" w14:textId="77777777" w:rsidTr="001371EB">
        <w:trPr>
          <w:trHeight w:val="440"/>
        </w:trPr>
        <w:tc>
          <w:tcPr>
            <w:tcW w:w="2037" w:type="dxa"/>
            <w:vMerge/>
          </w:tcPr>
          <w:p w14:paraId="2ED1E782" w14:textId="77777777" w:rsidR="00F95AF6" w:rsidRPr="001C28F5" w:rsidRDefault="00F95AF6" w:rsidP="009746A6">
            <w:pPr>
              <w:pStyle w:val="Tablebodytext"/>
              <w:keepNext w:val="0"/>
              <w:keepLines w:val="0"/>
              <w:rPr>
                <w:lang w:eastAsia="en-AU"/>
              </w:rPr>
            </w:pPr>
          </w:p>
        </w:tc>
        <w:tc>
          <w:tcPr>
            <w:tcW w:w="1082" w:type="dxa"/>
            <w:vMerge/>
          </w:tcPr>
          <w:p w14:paraId="45AB276A" w14:textId="77777777" w:rsidR="00F95AF6" w:rsidRPr="001C28F5" w:rsidRDefault="00F95AF6" w:rsidP="009746A6">
            <w:pPr>
              <w:pStyle w:val="Tablebodytext"/>
              <w:keepNext w:val="0"/>
              <w:keepLines w:val="0"/>
              <w:rPr>
                <w:lang w:eastAsia="en-AU"/>
              </w:rPr>
            </w:pPr>
          </w:p>
        </w:tc>
        <w:tc>
          <w:tcPr>
            <w:tcW w:w="992" w:type="dxa"/>
          </w:tcPr>
          <w:p w14:paraId="5213E865" w14:textId="77777777" w:rsidR="00F95AF6" w:rsidRPr="001C28F5" w:rsidRDefault="00F95AF6" w:rsidP="009746A6">
            <w:pPr>
              <w:pStyle w:val="Tablebodytext"/>
              <w:keepNext w:val="0"/>
              <w:keepLines w:val="0"/>
              <w:rPr>
                <w:lang w:eastAsia="en-AU"/>
              </w:rPr>
            </w:pPr>
            <w:r w:rsidRPr="001C28F5">
              <w:rPr>
                <w:lang w:eastAsia="en-AU"/>
              </w:rPr>
              <w:t>c</w:t>
            </w:r>
          </w:p>
        </w:tc>
        <w:tc>
          <w:tcPr>
            <w:tcW w:w="2485" w:type="dxa"/>
          </w:tcPr>
          <w:p w14:paraId="60C75131" w14:textId="77777777" w:rsidR="00F95AF6" w:rsidRPr="001C28F5" w:rsidRDefault="00F95AF6" w:rsidP="009746A6">
            <w:pPr>
              <w:pStyle w:val="Tablebodytext"/>
              <w:keepNext w:val="0"/>
              <w:keepLines w:val="0"/>
              <w:rPr>
                <w:lang w:eastAsia="en-AU"/>
              </w:rPr>
            </w:pPr>
            <w:r w:rsidRPr="001C28F5">
              <w:rPr>
                <w:lang w:eastAsia="en-AU"/>
              </w:rPr>
              <w:t>This business often gets involved in high risk/high reward projects</w:t>
            </w:r>
          </w:p>
        </w:tc>
        <w:tc>
          <w:tcPr>
            <w:tcW w:w="966" w:type="dxa"/>
            <w:vMerge/>
          </w:tcPr>
          <w:p w14:paraId="5982B139" w14:textId="77777777" w:rsidR="00F95AF6" w:rsidRPr="001C28F5" w:rsidRDefault="00F95AF6" w:rsidP="009746A6">
            <w:pPr>
              <w:pStyle w:val="Tablebodytext"/>
              <w:keepNext w:val="0"/>
              <w:keepLines w:val="0"/>
              <w:rPr>
                <w:lang w:eastAsia="en-AU"/>
              </w:rPr>
            </w:pPr>
          </w:p>
        </w:tc>
        <w:tc>
          <w:tcPr>
            <w:tcW w:w="1043" w:type="dxa"/>
            <w:vMerge/>
          </w:tcPr>
          <w:p w14:paraId="05D5AB2E" w14:textId="77777777" w:rsidR="00F95AF6" w:rsidRPr="001C28F5" w:rsidRDefault="00F95AF6" w:rsidP="009746A6">
            <w:pPr>
              <w:pStyle w:val="Tablebodytext"/>
              <w:keepNext w:val="0"/>
              <w:keepLines w:val="0"/>
              <w:rPr>
                <w:lang w:eastAsia="en-AU"/>
              </w:rPr>
            </w:pPr>
          </w:p>
        </w:tc>
        <w:tc>
          <w:tcPr>
            <w:tcW w:w="995" w:type="dxa"/>
          </w:tcPr>
          <w:p w14:paraId="7114C485" w14:textId="77777777" w:rsidR="00F95AF6" w:rsidRPr="001C28F5" w:rsidRDefault="00F95AF6" w:rsidP="009746A6">
            <w:pPr>
              <w:pStyle w:val="Tablebodytext"/>
              <w:keepNext w:val="0"/>
              <w:keepLines w:val="0"/>
              <w:rPr>
                <w:lang w:eastAsia="en-AU"/>
              </w:rPr>
            </w:pPr>
            <w:r w:rsidRPr="001C28F5">
              <w:rPr>
                <w:lang w:eastAsia="en-AU"/>
              </w:rPr>
              <w:t>0.325</w:t>
            </w:r>
          </w:p>
        </w:tc>
      </w:tr>
      <w:tr w:rsidR="00F95AF6" w:rsidRPr="001C28F5" w14:paraId="13E473D0" w14:textId="77777777" w:rsidTr="001371EB">
        <w:trPr>
          <w:trHeight w:val="440"/>
        </w:trPr>
        <w:tc>
          <w:tcPr>
            <w:tcW w:w="2037" w:type="dxa"/>
            <w:vMerge/>
          </w:tcPr>
          <w:p w14:paraId="341C721A" w14:textId="77777777" w:rsidR="00F95AF6" w:rsidRPr="001C28F5" w:rsidRDefault="00F95AF6" w:rsidP="009746A6">
            <w:pPr>
              <w:pStyle w:val="Tablebodytext"/>
              <w:keepNext w:val="0"/>
              <w:keepLines w:val="0"/>
              <w:rPr>
                <w:lang w:eastAsia="en-AU"/>
              </w:rPr>
            </w:pPr>
          </w:p>
        </w:tc>
        <w:tc>
          <w:tcPr>
            <w:tcW w:w="1082" w:type="dxa"/>
            <w:vMerge/>
          </w:tcPr>
          <w:p w14:paraId="425213A1" w14:textId="77777777" w:rsidR="00F95AF6" w:rsidRPr="001C28F5" w:rsidRDefault="00F95AF6" w:rsidP="009746A6">
            <w:pPr>
              <w:pStyle w:val="Tablebodytext"/>
              <w:keepNext w:val="0"/>
              <w:keepLines w:val="0"/>
              <w:rPr>
                <w:lang w:eastAsia="en-AU"/>
              </w:rPr>
            </w:pPr>
          </w:p>
        </w:tc>
        <w:tc>
          <w:tcPr>
            <w:tcW w:w="992" w:type="dxa"/>
          </w:tcPr>
          <w:p w14:paraId="61C7EC91" w14:textId="77777777" w:rsidR="00F95AF6" w:rsidRPr="001C28F5" w:rsidRDefault="00F95AF6" w:rsidP="009746A6">
            <w:pPr>
              <w:pStyle w:val="Tablebodytext"/>
              <w:keepNext w:val="0"/>
              <w:keepLines w:val="0"/>
              <w:rPr>
                <w:lang w:eastAsia="en-AU"/>
              </w:rPr>
            </w:pPr>
            <w:r w:rsidRPr="001C28F5">
              <w:rPr>
                <w:lang w:eastAsia="en-AU"/>
              </w:rPr>
              <w:t>d</w:t>
            </w:r>
          </w:p>
        </w:tc>
        <w:tc>
          <w:tcPr>
            <w:tcW w:w="2485" w:type="dxa"/>
          </w:tcPr>
          <w:p w14:paraId="4DCB51CA" w14:textId="77777777" w:rsidR="00F95AF6" w:rsidRPr="001C28F5" w:rsidRDefault="00F95AF6" w:rsidP="009746A6">
            <w:pPr>
              <w:pStyle w:val="Tablebodytext"/>
              <w:keepNext w:val="0"/>
              <w:keepLines w:val="0"/>
              <w:rPr>
                <w:lang w:eastAsia="en-AU"/>
              </w:rPr>
            </w:pPr>
            <w:r w:rsidRPr="001C28F5">
              <w:rPr>
                <w:lang w:eastAsia="en-AU"/>
              </w:rPr>
              <w:t>This business continually seeks out new partners to collaborate with</w:t>
            </w:r>
          </w:p>
        </w:tc>
        <w:tc>
          <w:tcPr>
            <w:tcW w:w="966" w:type="dxa"/>
            <w:vMerge/>
          </w:tcPr>
          <w:p w14:paraId="0C0D876E" w14:textId="77777777" w:rsidR="00F95AF6" w:rsidRPr="001C28F5" w:rsidRDefault="00F95AF6" w:rsidP="009746A6">
            <w:pPr>
              <w:pStyle w:val="Tablebodytext"/>
              <w:keepNext w:val="0"/>
              <w:keepLines w:val="0"/>
              <w:rPr>
                <w:lang w:eastAsia="en-AU"/>
              </w:rPr>
            </w:pPr>
          </w:p>
        </w:tc>
        <w:tc>
          <w:tcPr>
            <w:tcW w:w="1043" w:type="dxa"/>
            <w:vMerge/>
          </w:tcPr>
          <w:p w14:paraId="7E1140A7" w14:textId="77777777" w:rsidR="00F95AF6" w:rsidRPr="001C28F5" w:rsidRDefault="00F95AF6" w:rsidP="009746A6">
            <w:pPr>
              <w:pStyle w:val="Tablebodytext"/>
              <w:keepNext w:val="0"/>
              <w:keepLines w:val="0"/>
              <w:rPr>
                <w:lang w:eastAsia="en-AU"/>
              </w:rPr>
            </w:pPr>
          </w:p>
        </w:tc>
        <w:tc>
          <w:tcPr>
            <w:tcW w:w="995" w:type="dxa"/>
          </w:tcPr>
          <w:p w14:paraId="76EA419F" w14:textId="77777777" w:rsidR="00F95AF6" w:rsidRPr="001C28F5" w:rsidRDefault="00F95AF6" w:rsidP="009746A6">
            <w:pPr>
              <w:pStyle w:val="Tablebodytext"/>
              <w:keepNext w:val="0"/>
              <w:keepLines w:val="0"/>
              <w:rPr>
                <w:lang w:eastAsia="en-AU"/>
              </w:rPr>
            </w:pPr>
            <w:r w:rsidRPr="001C28F5">
              <w:rPr>
                <w:lang w:eastAsia="en-AU"/>
              </w:rPr>
              <w:t>0.422</w:t>
            </w:r>
          </w:p>
        </w:tc>
      </w:tr>
      <w:tr w:rsidR="00F95AF6" w:rsidRPr="001C28F5" w14:paraId="47BF0101" w14:textId="77777777" w:rsidTr="001371EB">
        <w:trPr>
          <w:trHeight w:val="440"/>
        </w:trPr>
        <w:tc>
          <w:tcPr>
            <w:tcW w:w="2037" w:type="dxa"/>
            <w:vMerge/>
          </w:tcPr>
          <w:p w14:paraId="3E3BC090" w14:textId="77777777" w:rsidR="00F95AF6" w:rsidRPr="001C28F5" w:rsidRDefault="00F95AF6" w:rsidP="009746A6">
            <w:pPr>
              <w:pStyle w:val="Tablebodytext"/>
              <w:keepNext w:val="0"/>
              <w:keepLines w:val="0"/>
              <w:rPr>
                <w:lang w:eastAsia="en-AU"/>
              </w:rPr>
            </w:pPr>
          </w:p>
        </w:tc>
        <w:tc>
          <w:tcPr>
            <w:tcW w:w="1082" w:type="dxa"/>
            <w:vMerge/>
          </w:tcPr>
          <w:p w14:paraId="15573187" w14:textId="77777777" w:rsidR="00F95AF6" w:rsidRPr="001C28F5" w:rsidRDefault="00F95AF6" w:rsidP="009746A6">
            <w:pPr>
              <w:pStyle w:val="Tablebodytext"/>
              <w:keepNext w:val="0"/>
              <w:keepLines w:val="0"/>
              <w:rPr>
                <w:lang w:eastAsia="en-AU"/>
              </w:rPr>
            </w:pPr>
          </w:p>
        </w:tc>
        <w:tc>
          <w:tcPr>
            <w:tcW w:w="992" w:type="dxa"/>
          </w:tcPr>
          <w:p w14:paraId="4D13BA05" w14:textId="77777777" w:rsidR="00F95AF6" w:rsidRPr="001C28F5" w:rsidRDefault="00F95AF6" w:rsidP="009746A6">
            <w:pPr>
              <w:pStyle w:val="Tablebodytext"/>
              <w:keepNext w:val="0"/>
              <w:keepLines w:val="0"/>
              <w:rPr>
                <w:lang w:eastAsia="en-AU"/>
              </w:rPr>
            </w:pPr>
            <w:r w:rsidRPr="001C28F5">
              <w:rPr>
                <w:lang w:eastAsia="en-AU"/>
              </w:rPr>
              <w:t>g</w:t>
            </w:r>
          </w:p>
        </w:tc>
        <w:tc>
          <w:tcPr>
            <w:tcW w:w="2485" w:type="dxa"/>
          </w:tcPr>
          <w:p w14:paraId="08D43194" w14:textId="77777777" w:rsidR="00F95AF6" w:rsidRPr="001C28F5" w:rsidRDefault="00F95AF6" w:rsidP="009746A6">
            <w:pPr>
              <w:pStyle w:val="Tablebodytext"/>
              <w:keepNext w:val="0"/>
              <w:keepLines w:val="0"/>
              <w:rPr>
                <w:lang w:eastAsia="en-AU"/>
              </w:rPr>
            </w:pPr>
            <w:r w:rsidRPr="001C28F5">
              <w:rPr>
                <w:lang w:eastAsia="en-AU"/>
              </w:rPr>
              <w:t>This business constantly reviews its business model</w:t>
            </w:r>
          </w:p>
        </w:tc>
        <w:tc>
          <w:tcPr>
            <w:tcW w:w="966" w:type="dxa"/>
            <w:vMerge/>
          </w:tcPr>
          <w:p w14:paraId="4F7EB37C" w14:textId="77777777" w:rsidR="00F95AF6" w:rsidRPr="001C28F5" w:rsidRDefault="00F95AF6" w:rsidP="009746A6">
            <w:pPr>
              <w:pStyle w:val="Tablebodytext"/>
              <w:keepNext w:val="0"/>
              <w:keepLines w:val="0"/>
              <w:rPr>
                <w:lang w:eastAsia="en-AU"/>
              </w:rPr>
            </w:pPr>
          </w:p>
        </w:tc>
        <w:tc>
          <w:tcPr>
            <w:tcW w:w="1043" w:type="dxa"/>
            <w:vMerge/>
          </w:tcPr>
          <w:p w14:paraId="4AB88924" w14:textId="77777777" w:rsidR="00F95AF6" w:rsidRPr="001C28F5" w:rsidRDefault="00F95AF6" w:rsidP="009746A6">
            <w:pPr>
              <w:pStyle w:val="Tablebodytext"/>
              <w:keepNext w:val="0"/>
              <w:keepLines w:val="0"/>
              <w:rPr>
                <w:lang w:eastAsia="en-AU"/>
              </w:rPr>
            </w:pPr>
          </w:p>
        </w:tc>
        <w:tc>
          <w:tcPr>
            <w:tcW w:w="995" w:type="dxa"/>
          </w:tcPr>
          <w:p w14:paraId="247215E7" w14:textId="77777777" w:rsidR="00F95AF6" w:rsidRPr="001C28F5" w:rsidRDefault="00F95AF6" w:rsidP="009746A6">
            <w:pPr>
              <w:pStyle w:val="Tablebodytext"/>
              <w:keepNext w:val="0"/>
              <w:keepLines w:val="0"/>
              <w:rPr>
                <w:lang w:eastAsia="en-AU"/>
              </w:rPr>
            </w:pPr>
            <w:r w:rsidRPr="001C28F5">
              <w:rPr>
                <w:lang w:eastAsia="en-AU"/>
              </w:rPr>
              <w:t>0.529</w:t>
            </w:r>
          </w:p>
        </w:tc>
      </w:tr>
      <w:tr w:rsidR="00F95AF6" w:rsidRPr="001C28F5" w14:paraId="4273A02B" w14:textId="77777777" w:rsidTr="001371EB">
        <w:trPr>
          <w:trHeight w:val="440"/>
        </w:trPr>
        <w:tc>
          <w:tcPr>
            <w:tcW w:w="2037" w:type="dxa"/>
            <w:vMerge/>
          </w:tcPr>
          <w:p w14:paraId="05966526" w14:textId="77777777" w:rsidR="00F95AF6" w:rsidRPr="001C28F5" w:rsidRDefault="00F95AF6" w:rsidP="009746A6">
            <w:pPr>
              <w:pStyle w:val="Tablebodytext"/>
              <w:keepNext w:val="0"/>
              <w:keepLines w:val="0"/>
              <w:rPr>
                <w:lang w:eastAsia="en-AU"/>
              </w:rPr>
            </w:pPr>
          </w:p>
        </w:tc>
        <w:tc>
          <w:tcPr>
            <w:tcW w:w="1082" w:type="dxa"/>
            <w:vMerge/>
          </w:tcPr>
          <w:p w14:paraId="75B317DA" w14:textId="77777777" w:rsidR="00F95AF6" w:rsidRPr="001C28F5" w:rsidRDefault="00F95AF6" w:rsidP="009746A6">
            <w:pPr>
              <w:pStyle w:val="Tablebodytext"/>
              <w:keepNext w:val="0"/>
              <w:keepLines w:val="0"/>
              <w:rPr>
                <w:lang w:eastAsia="en-AU"/>
              </w:rPr>
            </w:pPr>
          </w:p>
        </w:tc>
        <w:tc>
          <w:tcPr>
            <w:tcW w:w="992" w:type="dxa"/>
          </w:tcPr>
          <w:p w14:paraId="72A6F71C" w14:textId="77777777" w:rsidR="00F95AF6" w:rsidRPr="001C28F5" w:rsidRDefault="00F95AF6" w:rsidP="009746A6">
            <w:pPr>
              <w:pStyle w:val="Tablebodytext"/>
              <w:keepNext w:val="0"/>
              <w:keepLines w:val="0"/>
              <w:rPr>
                <w:lang w:eastAsia="en-AU"/>
              </w:rPr>
            </w:pPr>
            <w:r w:rsidRPr="001C28F5">
              <w:rPr>
                <w:lang w:eastAsia="en-AU"/>
              </w:rPr>
              <w:t>h</w:t>
            </w:r>
          </w:p>
        </w:tc>
        <w:tc>
          <w:tcPr>
            <w:tcW w:w="2485" w:type="dxa"/>
          </w:tcPr>
          <w:p w14:paraId="0A62E330" w14:textId="77777777" w:rsidR="00F95AF6" w:rsidRPr="001C28F5" w:rsidRDefault="00F95AF6" w:rsidP="009746A6">
            <w:pPr>
              <w:pStyle w:val="Tablebodytext"/>
              <w:keepNext w:val="0"/>
              <w:keepLines w:val="0"/>
              <w:rPr>
                <w:lang w:eastAsia="en-AU"/>
              </w:rPr>
            </w:pPr>
            <w:r w:rsidRPr="001C28F5">
              <w:rPr>
                <w:lang w:eastAsia="en-AU"/>
              </w:rPr>
              <w:t>This business has a high capacity to acquire and exploit knowledge external to the business</w:t>
            </w:r>
          </w:p>
        </w:tc>
        <w:tc>
          <w:tcPr>
            <w:tcW w:w="966" w:type="dxa"/>
            <w:vMerge/>
          </w:tcPr>
          <w:p w14:paraId="0EB25F37" w14:textId="77777777" w:rsidR="00F95AF6" w:rsidRPr="001C28F5" w:rsidRDefault="00F95AF6" w:rsidP="009746A6">
            <w:pPr>
              <w:pStyle w:val="Tablebodytext"/>
              <w:keepNext w:val="0"/>
              <w:keepLines w:val="0"/>
              <w:rPr>
                <w:lang w:eastAsia="en-AU"/>
              </w:rPr>
            </w:pPr>
          </w:p>
        </w:tc>
        <w:tc>
          <w:tcPr>
            <w:tcW w:w="1043" w:type="dxa"/>
            <w:vMerge/>
          </w:tcPr>
          <w:p w14:paraId="6BFB6BFD" w14:textId="77777777" w:rsidR="00F95AF6" w:rsidRPr="001C28F5" w:rsidRDefault="00F95AF6" w:rsidP="009746A6">
            <w:pPr>
              <w:pStyle w:val="Tablebodytext"/>
              <w:keepNext w:val="0"/>
              <w:keepLines w:val="0"/>
              <w:rPr>
                <w:lang w:eastAsia="en-AU"/>
              </w:rPr>
            </w:pPr>
          </w:p>
        </w:tc>
        <w:tc>
          <w:tcPr>
            <w:tcW w:w="995" w:type="dxa"/>
          </w:tcPr>
          <w:p w14:paraId="276AACCB" w14:textId="77777777" w:rsidR="00F95AF6" w:rsidRPr="001C28F5" w:rsidRDefault="00F95AF6" w:rsidP="009746A6">
            <w:pPr>
              <w:pStyle w:val="Tablebodytext"/>
              <w:keepNext w:val="0"/>
              <w:keepLines w:val="0"/>
              <w:rPr>
                <w:lang w:eastAsia="en-AU"/>
              </w:rPr>
            </w:pPr>
            <w:r w:rsidRPr="001C28F5">
              <w:rPr>
                <w:lang w:eastAsia="en-AU"/>
              </w:rPr>
              <w:t>0.047</w:t>
            </w:r>
          </w:p>
        </w:tc>
      </w:tr>
      <w:tr w:rsidR="00F95AF6" w:rsidRPr="001C28F5" w14:paraId="695B7918" w14:textId="77777777" w:rsidTr="001371EB">
        <w:trPr>
          <w:trHeight w:val="500"/>
        </w:trPr>
        <w:tc>
          <w:tcPr>
            <w:tcW w:w="8605" w:type="dxa"/>
            <w:gridSpan w:val="6"/>
          </w:tcPr>
          <w:p w14:paraId="68D462D7" w14:textId="77777777" w:rsidR="00F95AF6" w:rsidRPr="001C28F5" w:rsidRDefault="00F95AF6" w:rsidP="009746A6">
            <w:pPr>
              <w:pStyle w:val="Tablebodytext"/>
              <w:keepNext w:val="0"/>
              <w:keepLines w:val="0"/>
              <w:rPr>
                <w:lang w:eastAsia="en-AU"/>
              </w:rPr>
            </w:pPr>
            <w:r w:rsidRPr="001C28F5">
              <w:rPr>
                <w:lang w:eastAsia="en-AU"/>
              </w:rPr>
              <w:t xml:space="preserve">Total Average Strategic Management Capability (SMC) Score </w:t>
            </w:r>
          </w:p>
        </w:tc>
        <w:tc>
          <w:tcPr>
            <w:tcW w:w="995" w:type="dxa"/>
          </w:tcPr>
          <w:p w14:paraId="36E0CE6A" w14:textId="77777777" w:rsidR="00F95AF6" w:rsidRPr="001C28F5" w:rsidRDefault="00F95AF6" w:rsidP="009746A6">
            <w:pPr>
              <w:pStyle w:val="Tablebodytext"/>
              <w:keepNext w:val="0"/>
              <w:keepLines w:val="0"/>
              <w:rPr>
                <w:lang w:eastAsia="en-AU"/>
              </w:rPr>
            </w:pPr>
            <w:r w:rsidRPr="001C28F5">
              <w:rPr>
                <w:lang w:eastAsia="en-AU"/>
              </w:rPr>
              <w:t>0.386*</w:t>
            </w:r>
          </w:p>
        </w:tc>
      </w:tr>
    </w:tbl>
    <w:p w14:paraId="4A864541" w14:textId="65C575C6" w:rsidR="00F95AF6" w:rsidRPr="00C62F3A" w:rsidRDefault="00F95AF6" w:rsidP="00F95AF6">
      <w:pPr>
        <w:pStyle w:val="NoteWide"/>
      </w:pPr>
      <w:r w:rsidRPr="00C62F3A">
        <w:t>Note</w:t>
      </w:r>
      <w:r>
        <w:t xml:space="preserve">s: </w:t>
      </w:r>
      <w:r w:rsidRPr="00F95AF6">
        <w:t>* Average score based on use of ABS Microdata</w:t>
      </w:r>
    </w:p>
    <w:p w14:paraId="1C1B9B31" w14:textId="24984CAB" w:rsidR="00345687" w:rsidRDefault="00F95AF6" w:rsidP="00F95AF6">
      <w:pPr>
        <w:pStyle w:val="SourceWide"/>
      </w:pPr>
      <w:r>
        <w:t xml:space="preserve">Source: </w:t>
      </w:r>
      <w:r w:rsidRPr="00F95AF6">
        <w:t>Australian Bureau of Statistics 2016, Management and Organisational Capabilities of Australian Business, 2015-16. Expanded Confidentialised Unit Record File (CURF), ABS DataLab</w:t>
      </w:r>
    </w:p>
    <w:p w14:paraId="01C214FD" w14:textId="77777777" w:rsidR="00345687" w:rsidRDefault="00345687" w:rsidP="00345687">
      <w:pPr>
        <w:pStyle w:val="BodyText"/>
        <w:rPr>
          <w:rFonts w:eastAsia="Times New Roman" w:cs="Arial"/>
          <w:color w:val="005CAF"/>
          <w:sz w:val="16"/>
          <w:szCs w:val="20"/>
          <w:lang w:val="en"/>
        </w:rPr>
      </w:pPr>
      <w:r>
        <w:br w:type="page"/>
      </w:r>
    </w:p>
    <w:p w14:paraId="1C5F5C50" w14:textId="66D8BF0A" w:rsidR="00F95AF6" w:rsidRDefault="00F95AF6" w:rsidP="00C63277">
      <w:pPr>
        <w:pStyle w:val="Heading7"/>
        <w:ind w:left="-1276"/>
        <w:rPr>
          <w:lang w:val="en"/>
        </w:rPr>
      </w:pPr>
      <w:r>
        <w:rPr>
          <w:lang w:val="en"/>
        </w:rPr>
        <w:lastRenderedPageBreak/>
        <w:t>Supply chain management capability</w:t>
      </w:r>
    </w:p>
    <w:p w14:paraId="10CF1FB7" w14:textId="46764BEE" w:rsidR="00F95AF6" w:rsidRPr="000618FB" w:rsidRDefault="00F95AF6" w:rsidP="00F23552">
      <w:pPr>
        <w:pStyle w:val="CaptionWide"/>
        <w:ind w:left="-2410"/>
        <w:jc w:val="left"/>
      </w:pPr>
      <w:r w:rsidRPr="000618FB">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C</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2</w:t>
      </w:r>
      <w:r>
        <w:rPr>
          <w:noProof/>
        </w:rPr>
        <w:fldChar w:fldCharType="end"/>
      </w:r>
      <w:r>
        <w:t>: Supply chain management</w:t>
      </w:r>
      <w:r w:rsidR="007C537B">
        <w:t xml:space="preserve"> capability </w:t>
      </w:r>
    </w:p>
    <w:tbl>
      <w:tblPr>
        <w:tblStyle w:val="OCETable"/>
        <w:tblpPr w:leftFromText="180" w:rightFromText="180" w:vertAnchor="text" w:tblpXSpec="right" w:tblpY="1"/>
        <w:tblW w:w="6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C2: Supply chain management capability "/>
        <w:tblDescription w:val="Table C2 shows in detail the elements used in the process of constructing the score of Supply Chain Management Capability (SCMC). This includes: i) the numbers of questions selected for the score;  ii) the structure type of the question: scaled, listed or scaled-listed; iii) the specific part of the selected question; iv) the weight assigned to the specific part of the selected question; v) the sub topic of the question; and vi)  the overall score assigned to the question. At the end of the Table, the Supply Chain Management Capability Score (SCMC) is calculated as a weighted average of the sub-scores calculated for each question."/>
      </w:tblPr>
      <w:tblGrid>
        <w:gridCol w:w="1690"/>
        <w:gridCol w:w="1016"/>
        <w:gridCol w:w="1226"/>
        <w:gridCol w:w="3219"/>
        <w:gridCol w:w="941"/>
        <w:gridCol w:w="1283"/>
      </w:tblGrid>
      <w:tr w:rsidR="00C63277" w:rsidRPr="001B4F76" w14:paraId="324573E6" w14:textId="77777777" w:rsidTr="00EC7B73">
        <w:trPr>
          <w:cnfStyle w:val="100000000000" w:firstRow="1" w:lastRow="0" w:firstColumn="0" w:lastColumn="0" w:oddVBand="0" w:evenVBand="0" w:oddHBand="0" w:evenHBand="0" w:firstRowFirstColumn="0" w:firstRowLastColumn="0" w:lastRowFirstColumn="0" w:lastRowLastColumn="0"/>
          <w:tblHeader/>
        </w:trPr>
        <w:tc>
          <w:tcPr>
            <w:tcW w:w="901" w:type="pct"/>
            <w:tcBorders>
              <w:left w:val="single" w:sz="4" w:space="0" w:color="FFFFFF" w:themeColor="background1"/>
              <w:bottom w:val="single" w:sz="4" w:space="0" w:color="FFFFFF" w:themeColor="background1"/>
              <w:right w:val="single" w:sz="4" w:space="0" w:color="FFFFFF" w:themeColor="background1"/>
            </w:tcBorders>
          </w:tcPr>
          <w:p w14:paraId="60F707E4" w14:textId="77777777" w:rsidR="007C537B" w:rsidRPr="001B4F76" w:rsidRDefault="007C537B" w:rsidP="00C32221">
            <w:pPr>
              <w:pStyle w:val="Tableheadertext"/>
              <w:rPr>
                <w:lang w:eastAsia="en-AU"/>
              </w:rPr>
            </w:pPr>
            <w:r w:rsidRPr="001B4F76">
              <w:rPr>
                <w:lang w:eastAsia="en-AU"/>
              </w:rPr>
              <w:t>Question in MCM</w:t>
            </w:r>
          </w:p>
        </w:tc>
        <w:tc>
          <w:tcPr>
            <w:tcW w:w="542" w:type="pct"/>
            <w:tcBorders>
              <w:left w:val="single" w:sz="4" w:space="0" w:color="FFFFFF" w:themeColor="background1"/>
              <w:bottom w:val="single" w:sz="4" w:space="0" w:color="FFFFFF" w:themeColor="background1"/>
              <w:right w:val="single" w:sz="4" w:space="0" w:color="FFFFFF" w:themeColor="background1"/>
            </w:tcBorders>
          </w:tcPr>
          <w:p w14:paraId="7FF693EF" w14:textId="77777777" w:rsidR="007C537B" w:rsidRPr="001B4F76" w:rsidRDefault="007C537B" w:rsidP="00C32221">
            <w:pPr>
              <w:pStyle w:val="Tableheadertext"/>
              <w:rPr>
                <w:lang w:eastAsia="en-AU"/>
              </w:rPr>
            </w:pPr>
            <w:r w:rsidRPr="001B4F76">
              <w:rPr>
                <w:lang w:eastAsia="en-AU"/>
              </w:rPr>
              <w:t>Structure Type</w:t>
            </w:r>
          </w:p>
          <w:p w14:paraId="31963D6C" w14:textId="77777777" w:rsidR="007C537B" w:rsidRPr="001B4F76" w:rsidRDefault="007C537B" w:rsidP="00C32221">
            <w:pPr>
              <w:pStyle w:val="Tableheadertext"/>
              <w:rPr>
                <w:lang w:eastAsia="en-AU"/>
              </w:rPr>
            </w:pPr>
          </w:p>
        </w:tc>
        <w:tc>
          <w:tcPr>
            <w:tcW w:w="654" w:type="pct"/>
            <w:tcBorders>
              <w:left w:val="single" w:sz="4" w:space="0" w:color="FFFFFF" w:themeColor="background1"/>
              <w:bottom w:val="single" w:sz="4" w:space="0" w:color="FFFFFF" w:themeColor="background1"/>
              <w:right w:val="single" w:sz="4" w:space="0" w:color="FFFFFF" w:themeColor="background1"/>
            </w:tcBorders>
          </w:tcPr>
          <w:p w14:paraId="6BBF2CFA" w14:textId="77777777" w:rsidR="007C537B" w:rsidRPr="001B4F76" w:rsidRDefault="007C537B" w:rsidP="00C32221">
            <w:pPr>
              <w:pStyle w:val="Tableheadertext"/>
              <w:rPr>
                <w:lang w:eastAsia="en-AU"/>
              </w:rPr>
            </w:pPr>
            <w:r w:rsidRPr="001B4F76">
              <w:rPr>
                <w:lang w:eastAsia="en-AU"/>
              </w:rPr>
              <w:t>Question Part</w:t>
            </w:r>
          </w:p>
        </w:tc>
        <w:tc>
          <w:tcPr>
            <w:tcW w:w="1717" w:type="pct"/>
            <w:tcBorders>
              <w:left w:val="single" w:sz="4" w:space="0" w:color="FFFFFF" w:themeColor="background1"/>
              <w:bottom w:val="single" w:sz="4" w:space="0" w:color="FFFFFF" w:themeColor="background1"/>
              <w:right w:val="single" w:sz="4" w:space="0" w:color="FFFFFF" w:themeColor="background1"/>
            </w:tcBorders>
          </w:tcPr>
          <w:p w14:paraId="202D5D5F" w14:textId="77777777" w:rsidR="007C537B" w:rsidRPr="001B4F76" w:rsidRDefault="007C537B" w:rsidP="00C32221">
            <w:pPr>
              <w:pStyle w:val="Tableheadertext"/>
              <w:rPr>
                <w:lang w:eastAsia="en-AU"/>
              </w:rPr>
            </w:pPr>
            <w:r w:rsidRPr="001B4F76">
              <w:rPr>
                <w:lang w:eastAsia="en-AU"/>
              </w:rPr>
              <w:t>Responses</w:t>
            </w:r>
          </w:p>
        </w:tc>
        <w:tc>
          <w:tcPr>
            <w:tcW w:w="502" w:type="pct"/>
            <w:tcBorders>
              <w:left w:val="single" w:sz="4" w:space="0" w:color="FFFFFF" w:themeColor="background1"/>
              <w:bottom w:val="single" w:sz="4" w:space="0" w:color="FFFFFF" w:themeColor="background1"/>
              <w:right w:val="single" w:sz="4" w:space="0" w:color="FFFFFF" w:themeColor="background1"/>
            </w:tcBorders>
          </w:tcPr>
          <w:p w14:paraId="0763C461" w14:textId="77777777" w:rsidR="007C537B" w:rsidRPr="001B4F76" w:rsidRDefault="007C537B" w:rsidP="00C32221">
            <w:pPr>
              <w:pStyle w:val="Tableheadertext"/>
              <w:rPr>
                <w:lang w:eastAsia="en-AU"/>
              </w:rPr>
            </w:pPr>
            <w:r w:rsidRPr="001B4F76">
              <w:rPr>
                <w:lang w:eastAsia="en-AU"/>
              </w:rPr>
              <w:t>Weight</w:t>
            </w:r>
          </w:p>
        </w:tc>
        <w:tc>
          <w:tcPr>
            <w:tcW w:w="684" w:type="pct"/>
            <w:tcBorders>
              <w:left w:val="single" w:sz="4" w:space="0" w:color="FFFFFF" w:themeColor="background1"/>
              <w:bottom w:val="single" w:sz="4" w:space="0" w:color="FFFFFF" w:themeColor="background1"/>
              <w:right w:val="single" w:sz="4" w:space="0" w:color="FFFFFF" w:themeColor="background1"/>
            </w:tcBorders>
          </w:tcPr>
          <w:p w14:paraId="19717FED" w14:textId="77777777" w:rsidR="007C537B" w:rsidRPr="001B4F76" w:rsidRDefault="007C537B" w:rsidP="00C32221">
            <w:pPr>
              <w:pStyle w:val="Tableheadertext"/>
              <w:rPr>
                <w:lang w:eastAsia="en-AU"/>
              </w:rPr>
            </w:pPr>
            <w:r w:rsidRPr="001B4F76">
              <w:rPr>
                <w:lang w:eastAsia="en-AU"/>
              </w:rPr>
              <w:t>Question Score</w:t>
            </w:r>
          </w:p>
        </w:tc>
      </w:tr>
      <w:tr w:rsidR="00C63277" w:rsidRPr="001B4F76" w14:paraId="4FC64879" w14:textId="77777777" w:rsidTr="00913D65">
        <w:trPr>
          <w:cnfStyle w:val="000000100000" w:firstRow="0" w:lastRow="0" w:firstColumn="0" w:lastColumn="0" w:oddVBand="0" w:evenVBand="0" w:oddHBand="1" w:evenHBand="0" w:firstRowFirstColumn="0" w:firstRowLastColumn="0" w:lastRowFirstColumn="0" w:lastRowLastColumn="0"/>
          <w:trHeight w:val="380"/>
        </w:trPr>
        <w:tc>
          <w:tcPr>
            <w:tcW w:w="901" w:type="pct"/>
            <w:vMerge w:val="restart"/>
            <w:tcBorders>
              <w:top w:val="single" w:sz="4" w:space="0" w:color="FFFFFF" w:themeColor="background1"/>
            </w:tcBorders>
            <w:shd w:val="clear" w:color="auto" w:fill="auto"/>
          </w:tcPr>
          <w:p w14:paraId="2D7C1F5D" w14:textId="77777777" w:rsidR="007C537B" w:rsidRPr="001B4F76" w:rsidRDefault="007C537B" w:rsidP="00C32221">
            <w:pPr>
              <w:pStyle w:val="Tablebodytext"/>
              <w:rPr>
                <w:lang w:eastAsia="en-AU"/>
              </w:rPr>
            </w:pPr>
            <w:r w:rsidRPr="001B4F76">
              <w:rPr>
                <w:lang w:eastAsia="en-AU"/>
              </w:rPr>
              <w:t xml:space="preserve">20. How frequently were each of the following activities influenced by data analysis at this business? </w:t>
            </w:r>
          </w:p>
        </w:tc>
        <w:tc>
          <w:tcPr>
            <w:tcW w:w="542" w:type="pct"/>
            <w:vMerge w:val="restart"/>
            <w:tcBorders>
              <w:top w:val="single" w:sz="4" w:space="0" w:color="FFFFFF" w:themeColor="background1"/>
            </w:tcBorders>
            <w:shd w:val="clear" w:color="auto" w:fill="auto"/>
          </w:tcPr>
          <w:p w14:paraId="0DCC0057" w14:textId="77777777" w:rsidR="007C537B" w:rsidRPr="001B4F76" w:rsidRDefault="007C537B" w:rsidP="00C32221">
            <w:pPr>
              <w:pStyle w:val="Tablebodytext"/>
              <w:rPr>
                <w:lang w:eastAsia="en-AU"/>
              </w:rPr>
            </w:pPr>
            <w:r w:rsidRPr="001B4F76">
              <w:rPr>
                <w:lang w:eastAsia="en-AU"/>
              </w:rPr>
              <w:t>Scaled</w:t>
            </w:r>
          </w:p>
        </w:tc>
        <w:tc>
          <w:tcPr>
            <w:tcW w:w="654" w:type="pct"/>
            <w:vMerge w:val="restart"/>
            <w:tcBorders>
              <w:top w:val="single" w:sz="4" w:space="0" w:color="FFFFFF" w:themeColor="background1"/>
            </w:tcBorders>
            <w:shd w:val="clear" w:color="auto" w:fill="auto"/>
          </w:tcPr>
          <w:p w14:paraId="6635BD01" w14:textId="77777777" w:rsidR="007C537B" w:rsidRPr="001B4F76" w:rsidRDefault="007C537B" w:rsidP="00C32221">
            <w:pPr>
              <w:pStyle w:val="Tablebodytext"/>
              <w:rPr>
                <w:color w:val="000000"/>
                <w:lang w:eastAsia="en-AU"/>
              </w:rPr>
            </w:pPr>
            <w:r w:rsidRPr="001B4F76">
              <w:rPr>
                <w:lang w:eastAsia="en-AU"/>
              </w:rPr>
              <w:t>c</w:t>
            </w:r>
          </w:p>
        </w:tc>
        <w:tc>
          <w:tcPr>
            <w:tcW w:w="1717" w:type="pct"/>
            <w:tcBorders>
              <w:top w:val="single" w:sz="4" w:space="0" w:color="FFFFFF" w:themeColor="background1"/>
            </w:tcBorders>
            <w:shd w:val="clear" w:color="auto" w:fill="auto"/>
          </w:tcPr>
          <w:p w14:paraId="36A0C06E" w14:textId="77777777" w:rsidR="007C537B" w:rsidRPr="001B4F76" w:rsidRDefault="007C537B" w:rsidP="00C32221">
            <w:pPr>
              <w:pStyle w:val="Tablebodytext"/>
              <w:rPr>
                <w:lang w:eastAsia="en-AU"/>
              </w:rPr>
            </w:pPr>
            <w:r w:rsidRPr="001B4F76">
              <w:rPr>
                <w:color w:val="000000"/>
                <w:lang w:eastAsia="en-AU"/>
              </w:rPr>
              <w:t>Supply chain management - Not at all</w:t>
            </w:r>
          </w:p>
        </w:tc>
        <w:tc>
          <w:tcPr>
            <w:tcW w:w="502" w:type="pct"/>
            <w:tcBorders>
              <w:top w:val="single" w:sz="4" w:space="0" w:color="FFFFFF" w:themeColor="background1"/>
            </w:tcBorders>
            <w:shd w:val="clear" w:color="auto" w:fill="auto"/>
          </w:tcPr>
          <w:p w14:paraId="50031979" w14:textId="77777777" w:rsidR="007C537B" w:rsidRPr="001B4F76" w:rsidRDefault="007C537B" w:rsidP="00C32221">
            <w:pPr>
              <w:pStyle w:val="Tablebodytext"/>
              <w:rPr>
                <w:lang w:eastAsia="en-AU"/>
              </w:rPr>
            </w:pPr>
            <w:r w:rsidRPr="001B4F76">
              <w:rPr>
                <w:lang w:eastAsia="en-AU"/>
              </w:rPr>
              <w:t>0</w:t>
            </w:r>
          </w:p>
        </w:tc>
        <w:tc>
          <w:tcPr>
            <w:tcW w:w="684" w:type="pct"/>
            <w:vMerge w:val="restart"/>
            <w:tcBorders>
              <w:top w:val="single" w:sz="4" w:space="0" w:color="FFFFFF" w:themeColor="background1"/>
            </w:tcBorders>
            <w:shd w:val="clear" w:color="auto" w:fill="auto"/>
          </w:tcPr>
          <w:p w14:paraId="21F504CF" w14:textId="77777777" w:rsidR="007C537B" w:rsidRPr="001B4F76" w:rsidRDefault="007C537B" w:rsidP="00C32221">
            <w:pPr>
              <w:pStyle w:val="Tablebodytext"/>
              <w:rPr>
                <w:lang w:eastAsia="en-AU"/>
              </w:rPr>
            </w:pPr>
            <w:r w:rsidRPr="001B4F76">
              <w:rPr>
                <w:lang w:eastAsia="en-AU"/>
              </w:rPr>
              <w:t>0.457</w:t>
            </w:r>
          </w:p>
        </w:tc>
      </w:tr>
      <w:tr w:rsidR="00C63277" w:rsidRPr="001B4F76" w14:paraId="3CBFA900" w14:textId="77777777" w:rsidTr="00C32221">
        <w:trPr>
          <w:cnfStyle w:val="000000010000" w:firstRow="0" w:lastRow="0" w:firstColumn="0" w:lastColumn="0" w:oddVBand="0" w:evenVBand="0" w:oddHBand="0" w:evenHBand="1" w:firstRowFirstColumn="0" w:firstRowLastColumn="0" w:lastRowFirstColumn="0" w:lastRowLastColumn="0"/>
          <w:trHeight w:val="380"/>
        </w:trPr>
        <w:tc>
          <w:tcPr>
            <w:tcW w:w="901" w:type="pct"/>
            <w:vMerge/>
            <w:shd w:val="clear" w:color="auto" w:fill="auto"/>
          </w:tcPr>
          <w:p w14:paraId="04D72A8B" w14:textId="77777777" w:rsidR="007C537B" w:rsidRPr="001B4F76" w:rsidRDefault="007C537B" w:rsidP="00C32221">
            <w:pPr>
              <w:pStyle w:val="Tablebodytext"/>
              <w:rPr>
                <w:lang w:eastAsia="en-AU"/>
              </w:rPr>
            </w:pPr>
          </w:p>
        </w:tc>
        <w:tc>
          <w:tcPr>
            <w:tcW w:w="542" w:type="pct"/>
            <w:vMerge/>
            <w:shd w:val="clear" w:color="auto" w:fill="auto"/>
          </w:tcPr>
          <w:p w14:paraId="4D87CF24" w14:textId="77777777" w:rsidR="007C537B" w:rsidRPr="001B4F76" w:rsidRDefault="007C537B" w:rsidP="00C32221">
            <w:pPr>
              <w:pStyle w:val="Tablebodytext"/>
              <w:rPr>
                <w:lang w:eastAsia="en-AU"/>
              </w:rPr>
            </w:pPr>
          </w:p>
        </w:tc>
        <w:tc>
          <w:tcPr>
            <w:tcW w:w="654" w:type="pct"/>
            <w:vMerge/>
            <w:shd w:val="clear" w:color="auto" w:fill="auto"/>
          </w:tcPr>
          <w:p w14:paraId="6E227E34" w14:textId="77777777" w:rsidR="007C537B" w:rsidRPr="001B4F76" w:rsidRDefault="007C537B" w:rsidP="00C32221">
            <w:pPr>
              <w:pStyle w:val="Tablebodytext"/>
              <w:rPr>
                <w:lang w:eastAsia="en-AU"/>
              </w:rPr>
            </w:pPr>
          </w:p>
        </w:tc>
        <w:tc>
          <w:tcPr>
            <w:tcW w:w="1717" w:type="pct"/>
            <w:shd w:val="clear" w:color="auto" w:fill="auto"/>
          </w:tcPr>
          <w:p w14:paraId="3C5080D6" w14:textId="77777777" w:rsidR="007C537B" w:rsidRPr="001B4F76" w:rsidRDefault="007C537B" w:rsidP="00C32221">
            <w:pPr>
              <w:pStyle w:val="Tablebodytext"/>
              <w:rPr>
                <w:lang w:eastAsia="en-AU"/>
              </w:rPr>
            </w:pPr>
            <w:r w:rsidRPr="001B4F76">
              <w:rPr>
                <w:color w:val="000000"/>
                <w:lang w:eastAsia="en-AU"/>
              </w:rPr>
              <w:t>Supply chain management - Daily</w:t>
            </w:r>
          </w:p>
        </w:tc>
        <w:tc>
          <w:tcPr>
            <w:tcW w:w="502" w:type="pct"/>
            <w:shd w:val="clear" w:color="auto" w:fill="auto"/>
          </w:tcPr>
          <w:p w14:paraId="776B539A" w14:textId="77777777" w:rsidR="007C537B" w:rsidRPr="009056A3" w:rsidRDefault="007C537B" w:rsidP="00C32221">
            <w:pPr>
              <w:pStyle w:val="Tablebodytext"/>
              <w:rPr>
                <w:lang w:eastAsia="en-AU"/>
              </w:rPr>
            </w:pPr>
            <w:r w:rsidRPr="009056A3">
              <w:rPr>
                <w:lang w:eastAsia="en-AU"/>
              </w:rPr>
              <w:t>1</w:t>
            </w:r>
          </w:p>
        </w:tc>
        <w:tc>
          <w:tcPr>
            <w:tcW w:w="684" w:type="pct"/>
            <w:vMerge/>
            <w:shd w:val="clear" w:color="auto" w:fill="auto"/>
          </w:tcPr>
          <w:p w14:paraId="6B732E2F" w14:textId="77777777" w:rsidR="007C537B" w:rsidRPr="001B4F76" w:rsidRDefault="007C537B" w:rsidP="00C32221">
            <w:pPr>
              <w:pStyle w:val="Tablebodytext"/>
              <w:rPr>
                <w:lang w:eastAsia="en-AU"/>
              </w:rPr>
            </w:pPr>
          </w:p>
        </w:tc>
      </w:tr>
      <w:tr w:rsidR="00C63277" w:rsidRPr="001B4F76" w14:paraId="0010B62D" w14:textId="77777777" w:rsidTr="00C32221">
        <w:trPr>
          <w:cnfStyle w:val="000000100000" w:firstRow="0" w:lastRow="0" w:firstColumn="0" w:lastColumn="0" w:oddVBand="0" w:evenVBand="0" w:oddHBand="1" w:evenHBand="0" w:firstRowFirstColumn="0" w:firstRowLastColumn="0" w:lastRowFirstColumn="0" w:lastRowLastColumn="0"/>
          <w:trHeight w:val="380"/>
        </w:trPr>
        <w:tc>
          <w:tcPr>
            <w:tcW w:w="901" w:type="pct"/>
            <w:vMerge/>
            <w:shd w:val="clear" w:color="auto" w:fill="auto"/>
          </w:tcPr>
          <w:p w14:paraId="1FC33C72" w14:textId="77777777" w:rsidR="007C537B" w:rsidRPr="001B4F76" w:rsidRDefault="007C537B" w:rsidP="00C32221">
            <w:pPr>
              <w:pStyle w:val="Tablebodytext"/>
              <w:rPr>
                <w:lang w:eastAsia="en-AU"/>
              </w:rPr>
            </w:pPr>
          </w:p>
        </w:tc>
        <w:tc>
          <w:tcPr>
            <w:tcW w:w="542" w:type="pct"/>
            <w:vMerge/>
            <w:shd w:val="clear" w:color="auto" w:fill="auto"/>
          </w:tcPr>
          <w:p w14:paraId="1FF293EB" w14:textId="77777777" w:rsidR="007C537B" w:rsidRPr="001B4F76" w:rsidRDefault="007C537B" w:rsidP="00C32221">
            <w:pPr>
              <w:pStyle w:val="Tablebodytext"/>
              <w:rPr>
                <w:lang w:eastAsia="en-AU"/>
              </w:rPr>
            </w:pPr>
          </w:p>
        </w:tc>
        <w:tc>
          <w:tcPr>
            <w:tcW w:w="654" w:type="pct"/>
            <w:vMerge/>
            <w:shd w:val="clear" w:color="auto" w:fill="auto"/>
          </w:tcPr>
          <w:p w14:paraId="3821622F" w14:textId="77777777" w:rsidR="007C537B" w:rsidRPr="001B4F76" w:rsidRDefault="007C537B" w:rsidP="00C32221">
            <w:pPr>
              <w:pStyle w:val="Tablebodytext"/>
              <w:rPr>
                <w:lang w:eastAsia="en-AU"/>
              </w:rPr>
            </w:pPr>
          </w:p>
        </w:tc>
        <w:tc>
          <w:tcPr>
            <w:tcW w:w="1717" w:type="pct"/>
            <w:shd w:val="clear" w:color="auto" w:fill="auto"/>
          </w:tcPr>
          <w:p w14:paraId="73C0674F" w14:textId="77777777" w:rsidR="007C537B" w:rsidRPr="001B4F76" w:rsidRDefault="007C537B" w:rsidP="00C32221">
            <w:pPr>
              <w:pStyle w:val="Tablebodytext"/>
              <w:rPr>
                <w:lang w:eastAsia="en-AU"/>
              </w:rPr>
            </w:pPr>
            <w:r w:rsidRPr="001B4F76">
              <w:rPr>
                <w:color w:val="000000"/>
                <w:lang w:eastAsia="en-AU"/>
              </w:rPr>
              <w:t>Supply chain management - Weekly</w:t>
            </w:r>
          </w:p>
        </w:tc>
        <w:tc>
          <w:tcPr>
            <w:tcW w:w="502" w:type="pct"/>
            <w:shd w:val="clear" w:color="auto" w:fill="auto"/>
          </w:tcPr>
          <w:p w14:paraId="3748316B" w14:textId="77777777" w:rsidR="007C537B" w:rsidRPr="001B4F76" w:rsidRDefault="007C537B" w:rsidP="00C32221">
            <w:pPr>
              <w:pStyle w:val="Tablebodytext"/>
              <w:rPr>
                <w:lang w:eastAsia="en-AU"/>
              </w:rPr>
            </w:pPr>
            <w:r w:rsidRPr="001B4F76">
              <w:rPr>
                <w:lang w:eastAsia="en-AU"/>
              </w:rPr>
              <w:t>3/4</w:t>
            </w:r>
          </w:p>
        </w:tc>
        <w:tc>
          <w:tcPr>
            <w:tcW w:w="684" w:type="pct"/>
            <w:vMerge/>
            <w:shd w:val="clear" w:color="auto" w:fill="auto"/>
          </w:tcPr>
          <w:p w14:paraId="679CA91D" w14:textId="77777777" w:rsidR="007C537B" w:rsidRPr="001B4F76" w:rsidRDefault="007C537B" w:rsidP="00C32221">
            <w:pPr>
              <w:pStyle w:val="Tablebodytext"/>
              <w:rPr>
                <w:lang w:eastAsia="en-AU"/>
              </w:rPr>
            </w:pPr>
          </w:p>
        </w:tc>
      </w:tr>
      <w:tr w:rsidR="00C63277" w:rsidRPr="001B4F76" w14:paraId="45D3450A" w14:textId="77777777" w:rsidTr="00C32221">
        <w:trPr>
          <w:cnfStyle w:val="000000010000" w:firstRow="0" w:lastRow="0" w:firstColumn="0" w:lastColumn="0" w:oddVBand="0" w:evenVBand="0" w:oddHBand="0" w:evenHBand="1" w:firstRowFirstColumn="0" w:firstRowLastColumn="0" w:lastRowFirstColumn="0" w:lastRowLastColumn="0"/>
          <w:trHeight w:val="380"/>
        </w:trPr>
        <w:tc>
          <w:tcPr>
            <w:tcW w:w="901" w:type="pct"/>
            <w:vMerge/>
            <w:shd w:val="clear" w:color="auto" w:fill="auto"/>
          </w:tcPr>
          <w:p w14:paraId="1C297A65" w14:textId="77777777" w:rsidR="007C537B" w:rsidRPr="001B4F76" w:rsidRDefault="007C537B" w:rsidP="00C32221">
            <w:pPr>
              <w:pStyle w:val="Tablebodytext"/>
              <w:rPr>
                <w:lang w:eastAsia="en-AU"/>
              </w:rPr>
            </w:pPr>
          </w:p>
        </w:tc>
        <w:tc>
          <w:tcPr>
            <w:tcW w:w="542" w:type="pct"/>
            <w:vMerge/>
            <w:shd w:val="clear" w:color="auto" w:fill="auto"/>
          </w:tcPr>
          <w:p w14:paraId="7E49484F" w14:textId="77777777" w:rsidR="007C537B" w:rsidRPr="001B4F76" w:rsidRDefault="007C537B" w:rsidP="00C32221">
            <w:pPr>
              <w:pStyle w:val="Tablebodytext"/>
              <w:rPr>
                <w:lang w:eastAsia="en-AU"/>
              </w:rPr>
            </w:pPr>
          </w:p>
        </w:tc>
        <w:tc>
          <w:tcPr>
            <w:tcW w:w="654" w:type="pct"/>
            <w:vMerge/>
            <w:shd w:val="clear" w:color="auto" w:fill="auto"/>
          </w:tcPr>
          <w:p w14:paraId="5C680173" w14:textId="77777777" w:rsidR="007C537B" w:rsidRPr="001B4F76" w:rsidRDefault="007C537B" w:rsidP="00C32221">
            <w:pPr>
              <w:pStyle w:val="Tablebodytext"/>
              <w:rPr>
                <w:lang w:eastAsia="en-AU"/>
              </w:rPr>
            </w:pPr>
          </w:p>
        </w:tc>
        <w:tc>
          <w:tcPr>
            <w:tcW w:w="1717" w:type="pct"/>
            <w:shd w:val="clear" w:color="auto" w:fill="auto"/>
          </w:tcPr>
          <w:p w14:paraId="1D0C7145" w14:textId="77777777" w:rsidR="007C537B" w:rsidRPr="001B4F76" w:rsidRDefault="007C537B" w:rsidP="00C32221">
            <w:pPr>
              <w:pStyle w:val="Tablebodytext"/>
              <w:rPr>
                <w:lang w:eastAsia="en-AU"/>
              </w:rPr>
            </w:pPr>
            <w:r w:rsidRPr="001B4F76">
              <w:rPr>
                <w:color w:val="000000"/>
                <w:lang w:eastAsia="en-AU"/>
              </w:rPr>
              <w:t>Supply chain management - Monthly</w:t>
            </w:r>
          </w:p>
        </w:tc>
        <w:tc>
          <w:tcPr>
            <w:tcW w:w="502" w:type="pct"/>
            <w:shd w:val="clear" w:color="auto" w:fill="auto"/>
          </w:tcPr>
          <w:p w14:paraId="01622B67" w14:textId="77777777" w:rsidR="007C537B" w:rsidRPr="001B4F76" w:rsidRDefault="007C537B" w:rsidP="00C32221">
            <w:pPr>
              <w:pStyle w:val="Tablebodytext"/>
              <w:rPr>
                <w:lang w:eastAsia="en-AU"/>
              </w:rPr>
            </w:pPr>
            <w:r w:rsidRPr="001B4F76">
              <w:rPr>
                <w:lang w:eastAsia="en-AU"/>
              </w:rPr>
              <w:t>3/4</w:t>
            </w:r>
          </w:p>
        </w:tc>
        <w:tc>
          <w:tcPr>
            <w:tcW w:w="684" w:type="pct"/>
            <w:vMerge/>
            <w:shd w:val="clear" w:color="auto" w:fill="auto"/>
          </w:tcPr>
          <w:p w14:paraId="2E27BEE6" w14:textId="77777777" w:rsidR="007C537B" w:rsidRPr="001B4F76" w:rsidRDefault="007C537B" w:rsidP="00C32221">
            <w:pPr>
              <w:pStyle w:val="Tablebodytext"/>
              <w:rPr>
                <w:lang w:eastAsia="en-AU"/>
              </w:rPr>
            </w:pPr>
          </w:p>
        </w:tc>
      </w:tr>
      <w:tr w:rsidR="00C63277" w:rsidRPr="001B4F76" w14:paraId="46E25EB1" w14:textId="77777777" w:rsidTr="00C32221">
        <w:trPr>
          <w:cnfStyle w:val="000000100000" w:firstRow="0" w:lastRow="0" w:firstColumn="0" w:lastColumn="0" w:oddVBand="0" w:evenVBand="0" w:oddHBand="1" w:evenHBand="0" w:firstRowFirstColumn="0" w:firstRowLastColumn="0" w:lastRowFirstColumn="0" w:lastRowLastColumn="0"/>
          <w:trHeight w:val="380"/>
        </w:trPr>
        <w:tc>
          <w:tcPr>
            <w:tcW w:w="901" w:type="pct"/>
            <w:vMerge/>
            <w:shd w:val="clear" w:color="auto" w:fill="auto"/>
          </w:tcPr>
          <w:p w14:paraId="550C5A8C" w14:textId="77777777" w:rsidR="007C537B" w:rsidRPr="001B4F76" w:rsidRDefault="007C537B" w:rsidP="00C32221">
            <w:pPr>
              <w:pStyle w:val="Tablebodytext"/>
              <w:rPr>
                <w:lang w:eastAsia="en-AU"/>
              </w:rPr>
            </w:pPr>
          </w:p>
        </w:tc>
        <w:tc>
          <w:tcPr>
            <w:tcW w:w="542" w:type="pct"/>
            <w:vMerge/>
            <w:shd w:val="clear" w:color="auto" w:fill="auto"/>
          </w:tcPr>
          <w:p w14:paraId="55FAA126" w14:textId="77777777" w:rsidR="007C537B" w:rsidRPr="001B4F76" w:rsidRDefault="007C537B" w:rsidP="00C32221">
            <w:pPr>
              <w:pStyle w:val="Tablebodytext"/>
              <w:rPr>
                <w:lang w:eastAsia="en-AU"/>
              </w:rPr>
            </w:pPr>
          </w:p>
        </w:tc>
        <w:tc>
          <w:tcPr>
            <w:tcW w:w="654" w:type="pct"/>
            <w:vMerge/>
            <w:shd w:val="clear" w:color="auto" w:fill="auto"/>
          </w:tcPr>
          <w:p w14:paraId="0B05050D" w14:textId="77777777" w:rsidR="007C537B" w:rsidRPr="001B4F76" w:rsidRDefault="007C537B" w:rsidP="00C32221">
            <w:pPr>
              <w:pStyle w:val="Tablebodytext"/>
              <w:rPr>
                <w:lang w:eastAsia="en-AU"/>
              </w:rPr>
            </w:pPr>
          </w:p>
        </w:tc>
        <w:tc>
          <w:tcPr>
            <w:tcW w:w="1717" w:type="pct"/>
            <w:shd w:val="clear" w:color="auto" w:fill="auto"/>
          </w:tcPr>
          <w:p w14:paraId="5A9F79D2" w14:textId="77777777" w:rsidR="007C537B" w:rsidRPr="001B4F76" w:rsidRDefault="007C537B" w:rsidP="00C32221">
            <w:pPr>
              <w:pStyle w:val="Tablebodytext"/>
              <w:rPr>
                <w:lang w:eastAsia="en-AU"/>
              </w:rPr>
            </w:pPr>
            <w:r w:rsidRPr="001B4F76">
              <w:rPr>
                <w:color w:val="000000"/>
                <w:lang w:eastAsia="en-AU"/>
              </w:rPr>
              <w:t>Supply chain management - Quarterly</w:t>
            </w:r>
          </w:p>
        </w:tc>
        <w:tc>
          <w:tcPr>
            <w:tcW w:w="502" w:type="pct"/>
            <w:shd w:val="clear" w:color="auto" w:fill="auto"/>
          </w:tcPr>
          <w:p w14:paraId="33114CAD" w14:textId="77777777" w:rsidR="007C537B" w:rsidRPr="001B4F76" w:rsidRDefault="007C537B" w:rsidP="00C32221">
            <w:pPr>
              <w:pStyle w:val="Tablebodytext"/>
              <w:rPr>
                <w:lang w:eastAsia="en-AU"/>
              </w:rPr>
            </w:pPr>
            <w:r w:rsidRPr="001B4F76">
              <w:rPr>
                <w:lang w:eastAsia="en-AU"/>
              </w:rPr>
              <w:t>3/4</w:t>
            </w:r>
          </w:p>
        </w:tc>
        <w:tc>
          <w:tcPr>
            <w:tcW w:w="684" w:type="pct"/>
            <w:vMerge/>
            <w:shd w:val="clear" w:color="auto" w:fill="auto"/>
          </w:tcPr>
          <w:p w14:paraId="39B74517" w14:textId="77777777" w:rsidR="007C537B" w:rsidRPr="001B4F76" w:rsidRDefault="007C537B" w:rsidP="00C32221">
            <w:pPr>
              <w:pStyle w:val="Tablebodytext"/>
              <w:rPr>
                <w:lang w:eastAsia="en-AU"/>
              </w:rPr>
            </w:pPr>
          </w:p>
        </w:tc>
      </w:tr>
      <w:tr w:rsidR="00C63277" w:rsidRPr="001B4F76" w14:paraId="041E9A58" w14:textId="77777777" w:rsidTr="00C32221">
        <w:trPr>
          <w:cnfStyle w:val="000000010000" w:firstRow="0" w:lastRow="0" w:firstColumn="0" w:lastColumn="0" w:oddVBand="0" w:evenVBand="0" w:oddHBand="0" w:evenHBand="1" w:firstRowFirstColumn="0" w:firstRowLastColumn="0" w:lastRowFirstColumn="0" w:lastRowLastColumn="0"/>
          <w:trHeight w:val="380"/>
        </w:trPr>
        <w:tc>
          <w:tcPr>
            <w:tcW w:w="901" w:type="pct"/>
            <w:vMerge/>
            <w:shd w:val="clear" w:color="auto" w:fill="auto"/>
          </w:tcPr>
          <w:p w14:paraId="7557963F" w14:textId="77777777" w:rsidR="007C537B" w:rsidRPr="001B4F76" w:rsidRDefault="007C537B" w:rsidP="00C32221">
            <w:pPr>
              <w:pStyle w:val="Tablebodytext"/>
              <w:rPr>
                <w:lang w:eastAsia="en-AU"/>
              </w:rPr>
            </w:pPr>
          </w:p>
        </w:tc>
        <w:tc>
          <w:tcPr>
            <w:tcW w:w="542" w:type="pct"/>
            <w:vMerge/>
            <w:shd w:val="clear" w:color="auto" w:fill="auto"/>
          </w:tcPr>
          <w:p w14:paraId="3C2BE8F2" w14:textId="77777777" w:rsidR="007C537B" w:rsidRPr="001B4F76" w:rsidRDefault="007C537B" w:rsidP="00C32221">
            <w:pPr>
              <w:pStyle w:val="Tablebodytext"/>
              <w:rPr>
                <w:lang w:eastAsia="en-AU"/>
              </w:rPr>
            </w:pPr>
          </w:p>
        </w:tc>
        <w:tc>
          <w:tcPr>
            <w:tcW w:w="654" w:type="pct"/>
            <w:vMerge/>
            <w:shd w:val="clear" w:color="auto" w:fill="auto"/>
          </w:tcPr>
          <w:p w14:paraId="7B9461B4" w14:textId="77777777" w:rsidR="007C537B" w:rsidRPr="001B4F76" w:rsidRDefault="007C537B" w:rsidP="00C32221">
            <w:pPr>
              <w:pStyle w:val="Tablebodytext"/>
              <w:rPr>
                <w:lang w:eastAsia="en-AU"/>
              </w:rPr>
            </w:pPr>
          </w:p>
        </w:tc>
        <w:tc>
          <w:tcPr>
            <w:tcW w:w="1717" w:type="pct"/>
            <w:shd w:val="clear" w:color="auto" w:fill="auto"/>
          </w:tcPr>
          <w:p w14:paraId="067535C6" w14:textId="77777777" w:rsidR="007C537B" w:rsidRPr="001B4F76" w:rsidRDefault="007C537B" w:rsidP="00C32221">
            <w:pPr>
              <w:pStyle w:val="Tablebodytext"/>
              <w:rPr>
                <w:lang w:eastAsia="en-AU"/>
              </w:rPr>
            </w:pPr>
            <w:r w:rsidRPr="001B4F76">
              <w:rPr>
                <w:color w:val="000000"/>
                <w:lang w:eastAsia="en-AU"/>
              </w:rPr>
              <w:t>Supply chain management - Annually</w:t>
            </w:r>
          </w:p>
        </w:tc>
        <w:tc>
          <w:tcPr>
            <w:tcW w:w="502" w:type="pct"/>
            <w:shd w:val="clear" w:color="auto" w:fill="auto"/>
          </w:tcPr>
          <w:p w14:paraId="599C9850" w14:textId="77777777" w:rsidR="007C537B" w:rsidRPr="001B4F76" w:rsidRDefault="007C537B" w:rsidP="00C32221">
            <w:pPr>
              <w:pStyle w:val="Tablebodytext"/>
              <w:rPr>
                <w:lang w:eastAsia="en-AU"/>
              </w:rPr>
            </w:pPr>
            <w:r w:rsidRPr="001B4F76">
              <w:rPr>
                <w:lang w:eastAsia="en-AU"/>
              </w:rPr>
              <w:t>2/4</w:t>
            </w:r>
          </w:p>
        </w:tc>
        <w:tc>
          <w:tcPr>
            <w:tcW w:w="684" w:type="pct"/>
            <w:vMerge/>
            <w:shd w:val="clear" w:color="auto" w:fill="auto"/>
          </w:tcPr>
          <w:p w14:paraId="678C156B" w14:textId="77777777" w:rsidR="007C537B" w:rsidRPr="001B4F76" w:rsidRDefault="007C537B" w:rsidP="00C32221">
            <w:pPr>
              <w:pStyle w:val="Tablebodytext"/>
              <w:rPr>
                <w:lang w:eastAsia="en-AU"/>
              </w:rPr>
            </w:pPr>
          </w:p>
        </w:tc>
      </w:tr>
      <w:tr w:rsidR="00C63277" w:rsidRPr="001B4F76" w14:paraId="6708006A" w14:textId="77777777" w:rsidTr="00C32221">
        <w:trPr>
          <w:cnfStyle w:val="000000100000" w:firstRow="0" w:lastRow="0" w:firstColumn="0" w:lastColumn="0" w:oddVBand="0" w:evenVBand="0" w:oddHBand="1" w:evenHBand="0" w:firstRowFirstColumn="0" w:firstRowLastColumn="0" w:lastRowFirstColumn="0" w:lastRowLastColumn="0"/>
          <w:trHeight w:val="380"/>
        </w:trPr>
        <w:tc>
          <w:tcPr>
            <w:tcW w:w="901" w:type="pct"/>
            <w:vMerge/>
            <w:shd w:val="clear" w:color="auto" w:fill="auto"/>
          </w:tcPr>
          <w:p w14:paraId="2513C7BC" w14:textId="77777777" w:rsidR="007C537B" w:rsidRPr="001B4F76" w:rsidRDefault="007C537B" w:rsidP="00C32221">
            <w:pPr>
              <w:pStyle w:val="Tablebodytext"/>
              <w:rPr>
                <w:lang w:eastAsia="en-AU"/>
              </w:rPr>
            </w:pPr>
          </w:p>
        </w:tc>
        <w:tc>
          <w:tcPr>
            <w:tcW w:w="542" w:type="pct"/>
            <w:vMerge/>
            <w:shd w:val="clear" w:color="auto" w:fill="auto"/>
          </w:tcPr>
          <w:p w14:paraId="02E23FC2" w14:textId="77777777" w:rsidR="007C537B" w:rsidRPr="001B4F76" w:rsidRDefault="007C537B" w:rsidP="00C32221">
            <w:pPr>
              <w:pStyle w:val="Tablebodytext"/>
              <w:rPr>
                <w:lang w:eastAsia="en-AU"/>
              </w:rPr>
            </w:pPr>
          </w:p>
        </w:tc>
        <w:tc>
          <w:tcPr>
            <w:tcW w:w="654" w:type="pct"/>
            <w:vMerge/>
            <w:shd w:val="clear" w:color="auto" w:fill="auto"/>
          </w:tcPr>
          <w:p w14:paraId="3CB49B64" w14:textId="77777777" w:rsidR="007C537B" w:rsidRPr="001B4F76" w:rsidRDefault="007C537B" w:rsidP="00C32221">
            <w:pPr>
              <w:pStyle w:val="Tablebodytext"/>
              <w:rPr>
                <w:lang w:eastAsia="en-AU"/>
              </w:rPr>
            </w:pPr>
          </w:p>
        </w:tc>
        <w:tc>
          <w:tcPr>
            <w:tcW w:w="1717" w:type="pct"/>
            <w:shd w:val="clear" w:color="auto" w:fill="auto"/>
          </w:tcPr>
          <w:p w14:paraId="77BA21B8" w14:textId="77777777" w:rsidR="007C537B" w:rsidRPr="001B4F76" w:rsidRDefault="007C537B" w:rsidP="00C32221">
            <w:pPr>
              <w:pStyle w:val="Tablebodytext"/>
              <w:rPr>
                <w:lang w:eastAsia="en-AU"/>
              </w:rPr>
            </w:pPr>
            <w:r w:rsidRPr="001B4F76">
              <w:rPr>
                <w:color w:val="000000"/>
                <w:lang w:eastAsia="en-AU"/>
              </w:rPr>
              <w:t>Supply chain management - Ad hoc</w:t>
            </w:r>
          </w:p>
        </w:tc>
        <w:tc>
          <w:tcPr>
            <w:tcW w:w="502" w:type="pct"/>
            <w:shd w:val="clear" w:color="auto" w:fill="auto"/>
          </w:tcPr>
          <w:p w14:paraId="3AAC913F" w14:textId="77777777" w:rsidR="007C537B" w:rsidRPr="001B4F76" w:rsidRDefault="007C537B" w:rsidP="00C32221">
            <w:pPr>
              <w:pStyle w:val="Tablebodytext"/>
              <w:rPr>
                <w:lang w:eastAsia="en-AU"/>
              </w:rPr>
            </w:pPr>
            <w:r w:rsidRPr="001B4F76">
              <w:rPr>
                <w:lang w:eastAsia="en-AU"/>
              </w:rPr>
              <w:t>1/4</w:t>
            </w:r>
          </w:p>
        </w:tc>
        <w:tc>
          <w:tcPr>
            <w:tcW w:w="684" w:type="pct"/>
            <w:vMerge/>
            <w:shd w:val="clear" w:color="auto" w:fill="auto"/>
          </w:tcPr>
          <w:p w14:paraId="094CEC0A" w14:textId="77777777" w:rsidR="007C537B" w:rsidRPr="001B4F76" w:rsidRDefault="007C537B" w:rsidP="00C32221">
            <w:pPr>
              <w:pStyle w:val="Tablebodytext"/>
              <w:rPr>
                <w:lang w:eastAsia="en-AU"/>
              </w:rPr>
            </w:pPr>
          </w:p>
        </w:tc>
      </w:tr>
      <w:tr w:rsidR="00C63277" w:rsidRPr="001B4F76" w14:paraId="5A9D8A39" w14:textId="77777777" w:rsidTr="00C32221">
        <w:trPr>
          <w:cnfStyle w:val="000000010000" w:firstRow="0" w:lastRow="0" w:firstColumn="0" w:lastColumn="0" w:oddVBand="0" w:evenVBand="0" w:oddHBand="0" w:evenHBand="1" w:firstRowFirstColumn="0" w:firstRowLastColumn="0" w:lastRowFirstColumn="0" w:lastRowLastColumn="0"/>
          <w:trHeight w:val="380"/>
        </w:trPr>
        <w:tc>
          <w:tcPr>
            <w:tcW w:w="901" w:type="pct"/>
            <w:vMerge w:val="restart"/>
            <w:shd w:val="clear" w:color="auto" w:fill="auto"/>
          </w:tcPr>
          <w:p w14:paraId="3904D8F8" w14:textId="77777777" w:rsidR="007C537B" w:rsidRPr="001B4F76" w:rsidRDefault="007C537B" w:rsidP="00C32221">
            <w:pPr>
              <w:pStyle w:val="Tablebodytext"/>
              <w:rPr>
                <w:lang w:eastAsia="en-AU"/>
              </w:rPr>
            </w:pPr>
            <w:r w:rsidRPr="001B4F76">
              <w:rPr>
                <w:lang w:eastAsia="en-AU"/>
              </w:rPr>
              <w:t xml:space="preserve">31. What areas were covered in this business’s strategic plan or policy? </w:t>
            </w:r>
          </w:p>
          <w:p w14:paraId="0A04829B" w14:textId="77777777" w:rsidR="007C537B" w:rsidRPr="001B4F76" w:rsidRDefault="007C537B" w:rsidP="00C32221">
            <w:pPr>
              <w:pStyle w:val="Tablebodytext"/>
              <w:rPr>
                <w:lang w:eastAsia="en-AU"/>
              </w:rPr>
            </w:pPr>
          </w:p>
        </w:tc>
        <w:tc>
          <w:tcPr>
            <w:tcW w:w="542" w:type="pct"/>
            <w:vMerge w:val="restart"/>
            <w:shd w:val="clear" w:color="auto" w:fill="auto"/>
          </w:tcPr>
          <w:p w14:paraId="6A1325FC" w14:textId="77777777" w:rsidR="007C537B" w:rsidRPr="001B4F76" w:rsidRDefault="007C537B" w:rsidP="00C32221">
            <w:pPr>
              <w:pStyle w:val="Tablebodytext"/>
              <w:rPr>
                <w:lang w:eastAsia="en-AU"/>
              </w:rPr>
            </w:pPr>
            <w:r w:rsidRPr="001B4F76">
              <w:rPr>
                <w:lang w:eastAsia="en-AU"/>
              </w:rPr>
              <w:t>List</w:t>
            </w:r>
          </w:p>
        </w:tc>
        <w:tc>
          <w:tcPr>
            <w:tcW w:w="654" w:type="pct"/>
            <w:vMerge w:val="restart"/>
            <w:shd w:val="clear" w:color="auto" w:fill="auto"/>
          </w:tcPr>
          <w:p w14:paraId="7BA51ECB" w14:textId="77777777" w:rsidR="007C537B" w:rsidRPr="001B4F76" w:rsidRDefault="007C537B" w:rsidP="00C32221">
            <w:pPr>
              <w:pStyle w:val="Tablebodytext"/>
              <w:rPr>
                <w:color w:val="000000"/>
                <w:lang w:eastAsia="en-AU"/>
              </w:rPr>
            </w:pPr>
            <w:r w:rsidRPr="001B4F76">
              <w:rPr>
                <w:lang w:eastAsia="en-AU"/>
              </w:rPr>
              <w:t>e</w:t>
            </w:r>
          </w:p>
        </w:tc>
        <w:tc>
          <w:tcPr>
            <w:tcW w:w="1717" w:type="pct"/>
            <w:vMerge w:val="restart"/>
            <w:shd w:val="clear" w:color="auto" w:fill="auto"/>
          </w:tcPr>
          <w:p w14:paraId="089B4151" w14:textId="77777777" w:rsidR="007C537B" w:rsidRPr="001B4F76" w:rsidRDefault="007C537B" w:rsidP="00C32221">
            <w:pPr>
              <w:pStyle w:val="Tablebodytext"/>
              <w:rPr>
                <w:color w:val="000000"/>
                <w:lang w:eastAsia="en-AU"/>
              </w:rPr>
            </w:pPr>
            <w:r w:rsidRPr="001B4F76">
              <w:rPr>
                <w:color w:val="000000"/>
                <w:lang w:eastAsia="en-AU"/>
              </w:rPr>
              <w:t>Supply Chain</w:t>
            </w:r>
          </w:p>
        </w:tc>
        <w:tc>
          <w:tcPr>
            <w:tcW w:w="502" w:type="pct"/>
            <w:shd w:val="clear" w:color="auto" w:fill="auto"/>
          </w:tcPr>
          <w:p w14:paraId="472585BC" w14:textId="77777777" w:rsidR="007C537B" w:rsidRPr="001B4F76" w:rsidRDefault="007C537B" w:rsidP="00C32221">
            <w:pPr>
              <w:pStyle w:val="Tablebodytext"/>
              <w:rPr>
                <w:lang w:eastAsia="en-AU"/>
              </w:rPr>
            </w:pPr>
            <w:r w:rsidRPr="001B4F76">
              <w:rPr>
                <w:lang w:eastAsia="en-AU"/>
              </w:rPr>
              <w:t>1 (Yes)</w:t>
            </w:r>
          </w:p>
        </w:tc>
        <w:tc>
          <w:tcPr>
            <w:tcW w:w="684" w:type="pct"/>
            <w:vMerge w:val="restart"/>
            <w:shd w:val="clear" w:color="auto" w:fill="auto"/>
          </w:tcPr>
          <w:p w14:paraId="058857D0" w14:textId="77777777" w:rsidR="007C537B" w:rsidRPr="001B4F76" w:rsidRDefault="007C537B" w:rsidP="00C32221">
            <w:pPr>
              <w:pStyle w:val="Tablebodytext"/>
              <w:rPr>
                <w:lang w:eastAsia="en-AU"/>
              </w:rPr>
            </w:pPr>
            <w:r w:rsidRPr="001B4F76">
              <w:rPr>
                <w:lang w:eastAsia="en-AU"/>
              </w:rPr>
              <w:t>0.202</w:t>
            </w:r>
          </w:p>
        </w:tc>
      </w:tr>
      <w:tr w:rsidR="00C63277" w:rsidRPr="001B4F76" w14:paraId="440497A8" w14:textId="77777777" w:rsidTr="00C32221">
        <w:trPr>
          <w:cnfStyle w:val="000000100000" w:firstRow="0" w:lastRow="0" w:firstColumn="0" w:lastColumn="0" w:oddVBand="0" w:evenVBand="0" w:oddHBand="1" w:evenHBand="0" w:firstRowFirstColumn="0" w:firstRowLastColumn="0" w:lastRowFirstColumn="0" w:lastRowLastColumn="0"/>
          <w:trHeight w:val="380"/>
        </w:trPr>
        <w:tc>
          <w:tcPr>
            <w:tcW w:w="901" w:type="pct"/>
            <w:vMerge/>
            <w:shd w:val="clear" w:color="auto" w:fill="auto"/>
          </w:tcPr>
          <w:p w14:paraId="68CC875E" w14:textId="77777777" w:rsidR="007C537B" w:rsidRPr="001B4F76" w:rsidRDefault="007C537B" w:rsidP="00C32221">
            <w:pPr>
              <w:pStyle w:val="Tablebodytext"/>
              <w:rPr>
                <w:lang w:eastAsia="en-AU"/>
              </w:rPr>
            </w:pPr>
          </w:p>
        </w:tc>
        <w:tc>
          <w:tcPr>
            <w:tcW w:w="542" w:type="pct"/>
            <w:vMerge/>
            <w:shd w:val="clear" w:color="auto" w:fill="auto"/>
          </w:tcPr>
          <w:p w14:paraId="0972191D" w14:textId="77777777" w:rsidR="007C537B" w:rsidRPr="001B4F76" w:rsidRDefault="007C537B" w:rsidP="00C32221">
            <w:pPr>
              <w:pStyle w:val="Tablebodytext"/>
              <w:rPr>
                <w:lang w:eastAsia="en-AU"/>
              </w:rPr>
            </w:pPr>
          </w:p>
        </w:tc>
        <w:tc>
          <w:tcPr>
            <w:tcW w:w="654" w:type="pct"/>
            <w:vMerge/>
            <w:shd w:val="clear" w:color="auto" w:fill="auto"/>
          </w:tcPr>
          <w:p w14:paraId="793A1997" w14:textId="77777777" w:rsidR="007C537B" w:rsidRPr="001B4F76" w:rsidRDefault="007C537B" w:rsidP="00C32221">
            <w:pPr>
              <w:pStyle w:val="Tablebodytext"/>
              <w:rPr>
                <w:lang w:eastAsia="en-AU"/>
              </w:rPr>
            </w:pPr>
          </w:p>
        </w:tc>
        <w:tc>
          <w:tcPr>
            <w:tcW w:w="1717" w:type="pct"/>
            <w:vMerge/>
            <w:shd w:val="clear" w:color="auto" w:fill="auto"/>
          </w:tcPr>
          <w:p w14:paraId="44F4AE91" w14:textId="77777777" w:rsidR="007C537B" w:rsidRPr="001B4F76" w:rsidRDefault="007C537B" w:rsidP="00C32221">
            <w:pPr>
              <w:pStyle w:val="Tablebodytext"/>
              <w:rPr>
                <w:lang w:eastAsia="en-AU"/>
              </w:rPr>
            </w:pPr>
          </w:p>
        </w:tc>
        <w:tc>
          <w:tcPr>
            <w:tcW w:w="502" w:type="pct"/>
            <w:shd w:val="clear" w:color="auto" w:fill="auto"/>
          </w:tcPr>
          <w:p w14:paraId="79D9BC20" w14:textId="77777777" w:rsidR="007C537B" w:rsidRPr="001B4F76" w:rsidRDefault="007C537B" w:rsidP="00C32221">
            <w:pPr>
              <w:pStyle w:val="Tablebodytext"/>
              <w:rPr>
                <w:lang w:eastAsia="en-AU"/>
              </w:rPr>
            </w:pPr>
            <w:r w:rsidRPr="001B4F76">
              <w:rPr>
                <w:lang w:eastAsia="en-AU"/>
              </w:rPr>
              <w:t>0 (No)</w:t>
            </w:r>
          </w:p>
        </w:tc>
        <w:tc>
          <w:tcPr>
            <w:tcW w:w="684" w:type="pct"/>
            <w:vMerge/>
            <w:shd w:val="clear" w:color="auto" w:fill="auto"/>
          </w:tcPr>
          <w:p w14:paraId="31131475" w14:textId="77777777" w:rsidR="007C537B" w:rsidRPr="001B4F76" w:rsidRDefault="007C537B" w:rsidP="00C32221">
            <w:pPr>
              <w:pStyle w:val="Tablebodytext"/>
              <w:rPr>
                <w:lang w:eastAsia="en-AU"/>
              </w:rPr>
            </w:pPr>
          </w:p>
        </w:tc>
      </w:tr>
      <w:tr w:rsidR="00C63277" w:rsidRPr="001B4F76" w14:paraId="73FF5F4E" w14:textId="77777777" w:rsidTr="00C32221">
        <w:trPr>
          <w:cnfStyle w:val="000000010000" w:firstRow="0" w:lastRow="0" w:firstColumn="0" w:lastColumn="0" w:oddVBand="0" w:evenVBand="0" w:oddHBand="0" w:evenHBand="1" w:firstRowFirstColumn="0" w:firstRowLastColumn="0" w:lastRowFirstColumn="0" w:lastRowLastColumn="0"/>
        </w:trPr>
        <w:tc>
          <w:tcPr>
            <w:tcW w:w="901" w:type="pct"/>
            <w:vMerge w:val="restart"/>
            <w:shd w:val="clear" w:color="auto" w:fill="auto"/>
          </w:tcPr>
          <w:p w14:paraId="7F3AE8FC" w14:textId="77777777" w:rsidR="007C537B" w:rsidRPr="001B4F76" w:rsidRDefault="007C537B" w:rsidP="00C32221">
            <w:pPr>
              <w:pStyle w:val="Tablebodytext"/>
              <w:rPr>
                <w:lang w:eastAsia="en-AU"/>
              </w:rPr>
            </w:pPr>
            <w:r w:rsidRPr="001B4F76">
              <w:rPr>
                <w:lang w:eastAsia="en-AU"/>
              </w:rPr>
              <w:t>43. What were the management actions undertaken by the business to respond to the factors affecting the supply chain?</w:t>
            </w:r>
          </w:p>
          <w:p w14:paraId="12090D67" w14:textId="77777777" w:rsidR="007C537B" w:rsidRPr="001B4F76" w:rsidRDefault="007C537B" w:rsidP="00C32221">
            <w:pPr>
              <w:pStyle w:val="Tablebodytext"/>
              <w:rPr>
                <w:lang w:eastAsia="en-AU"/>
              </w:rPr>
            </w:pPr>
          </w:p>
        </w:tc>
        <w:tc>
          <w:tcPr>
            <w:tcW w:w="542" w:type="pct"/>
            <w:vMerge w:val="restart"/>
            <w:shd w:val="clear" w:color="auto" w:fill="auto"/>
          </w:tcPr>
          <w:p w14:paraId="0053D3A8" w14:textId="77777777" w:rsidR="007C537B" w:rsidRPr="001B4F76" w:rsidRDefault="007C537B" w:rsidP="00C32221">
            <w:pPr>
              <w:pStyle w:val="Tablebodytext"/>
              <w:rPr>
                <w:lang w:eastAsia="en-AU"/>
              </w:rPr>
            </w:pPr>
            <w:r w:rsidRPr="001B4F76">
              <w:rPr>
                <w:lang w:eastAsia="en-AU"/>
              </w:rPr>
              <w:t>List</w:t>
            </w:r>
          </w:p>
        </w:tc>
        <w:tc>
          <w:tcPr>
            <w:tcW w:w="654" w:type="pct"/>
            <w:shd w:val="clear" w:color="auto" w:fill="auto"/>
          </w:tcPr>
          <w:p w14:paraId="2AEB8017" w14:textId="77777777" w:rsidR="007C537B" w:rsidRPr="001B4F76" w:rsidRDefault="007C537B" w:rsidP="00C32221">
            <w:pPr>
              <w:pStyle w:val="Tablebodytext"/>
              <w:rPr>
                <w:color w:val="000000"/>
                <w:lang w:eastAsia="en-AU"/>
              </w:rPr>
            </w:pPr>
            <w:r w:rsidRPr="001B4F76">
              <w:rPr>
                <w:color w:val="000000"/>
                <w:lang w:eastAsia="en-AU"/>
              </w:rPr>
              <w:t>a</w:t>
            </w:r>
          </w:p>
        </w:tc>
        <w:tc>
          <w:tcPr>
            <w:tcW w:w="1717" w:type="pct"/>
            <w:shd w:val="clear" w:color="auto" w:fill="auto"/>
          </w:tcPr>
          <w:p w14:paraId="279DC4B4" w14:textId="77777777" w:rsidR="007C537B" w:rsidRPr="001B4F76" w:rsidRDefault="007C537B" w:rsidP="00C32221">
            <w:pPr>
              <w:pStyle w:val="Tablebodytext"/>
              <w:rPr>
                <w:color w:val="000000"/>
                <w:lang w:eastAsia="en-AU"/>
              </w:rPr>
            </w:pPr>
            <w:r w:rsidRPr="001B4F76">
              <w:rPr>
                <w:color w:val="000000"/>
                <w:lang w:eastAsia="en-AU"/>
              </w:rPr>
              <w:t>Assessed and recorded changes associated with the supply chain</w:t>
            </w:r>
          </w:p>
        </w:tc>
        <w:tc>
          <w:tcPr>
            <w:tcW w:w="502" w:type="pct"/>
            <w:shd w:val="clear" w:color="auto" w:fill="auto"/>
          </w:tcPr>
          <w:p w14:paraId="6A900727"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326F543C" w14:textId="77777777" w:rsidR="007C537B" w:rsidRPr="001B4F76" w:rsidRDefault="007C537B" w:rsidP="00C32221">
            <w:pPr>
              <w:pStyle w:val="Tablebodytext"/>
              <w:rPr>
                <w:lang w:eastAsia="en-AU"/>
              </w:rPr>
            </w:pPr>
            <w:r w:rsidRPr="001B4F76">
              <w:rPr>
                <w:lang w:eastAsia="en-AU"/>
              </w:rPr>
              <w:t>0.281</w:t>
            </w:r>
          </w:p>
        </w:tc>
      </w:tr>
      <w:tr w:rsidR="00C63277" w:rsidRPr="001B4F76" w14:paraId="3E105AEA" w14:textId="77777777" w:rsidTr="00C32221">
        <w:trPr>
          <w:cnfStyle w:val="000000100000" w:firstRow="0" w:lastRow="0" w:firstColumn="0" w:lastColumn="0" w:oddVBand="0" w:evenVBand="0" w:oddHBand="1" w:evenHBand="0" w:firstRowFirstColumn="0" w:firstRowLastColumn="0" w:lastRowFirstColumn="0" w:lastRowLastColumn="0"/>
        </w:trPr>
        <w:tc>
          <w:tcPr>
            <w:tcW w:w="901" w:type="pct"/>
            <w:vMerge/>
            <w:shd w:val="clear" w:color="auto" w:fill="auto"/>
          </w:tcPr>
          <w:p w14:paraId="26F8278D" w14:textId="77777777" w:rsidR="007C537B" w:rsidRPr="001B4F76" w:rsidRDefault="007C537B" w:rsidP="00C32221">
            <w:pPr>
              <w:pStyle w:val="Tablebodytext"/>
              <w:rPr>
                <w:lang w:eastAsia="en-AU"/>
              </w:rPr>
            </w:pPr>
          </w:p>
        </w:tc>
        <w:tc>
          <w:tcPr>
            <w:tcW w:w="542" w:type="pct"/>
            <w:vMerge/>
            <w:shd w:val="clear" w:color="auto" w:fill="auto"/>
          </w:tcPr>
          <w:p w14:paraId="19121B93" w14:textId="77777777" w:rsidR="007C537B" w:rsidRPr="001B4F76" w:rsidRDefault="007C537B" w:rsidP="00C32221">
            <w:pPr>
              <w:pStyle w:val="Tablebodytext"/>
              <w:rPr>
                <w:lang w:eastAsia="en-AU"/>
              </w:rPr>
            </w:pPr>
          </w:p>
        </w:tc>
        <w:tc>
          <w:tcPr>
            <w:tcW w:w="654" w:type="pct"/>
            <w:shd w:val="clear" w:color="auto" w:fill="auto"/>
          </w:tcPr>
          <w:p w14:paraId="66B89797" w14:textId="77777777" w:rsidR="007C537B" w:rsidRPr="001B4F76" w:rsidRDefault="007C537B" w:rsidP="00C32221">
            <w:pPr>
              <w:pStyle w:val="Tablebodytext"/>
              <w:rPr>
                <w:color w:val="000000"/>
                <w:lang w:eastAsia="en-AU"/>
              </w:rPr>
            </w:pPr>
            <w:r w:rsidRPr="001B4F76">
              <w:rPr>
                <w:color w:val="000000"/>
                <w:lang w:eastAsia="en-AU"/>
              </w:rPr>
              <w:t>b</w:t>
            </w:r>
          </w:p>
        </w:tc>
        <w:tc>
          <w:tcPr>
            <w:tcW w:w="1717" w:type="pct"/>
            <w:shd w:val="clear" w:color="auto" w:fill="auto"/>
          </w:tcPr>
          <w:p w14:paraId="529C56BE" w14:textId="77777777" w:rsidR="007C537B" w:rsidRPr="001B4F76" w:rsidRDefault="007C537B" w:rsidP="00C32221">
            <w:pPr>
              <w:pStyle w:val="Tablebodytext"/>
              <w:rPr>
                <w:color w:val="000000"/>
                <w:lang w:eastAsia="en-AU"/>
              </w:rPr>
            </w:pPr>
            <w:r w:rsidRPr="001B4F76">
              <w:rPr>
                <w:color w:val="000000"/>
                <w:lang w:eastAsia="en-AU"/>
              </w:rPr>
              <w:t>Implemented a contingency plan to address risks to the supply chain</w:t>
            </w:r>
          </w:p>
        </w:tc>
        <w:tc>
          <w:tcPr>
            <w:tcW w:w="502" w:type="pct"/>
            <w:shd w:val="clear" w:color="auto" w:fill="auto"/>
          </w:tcPr>
          <w:p w14:paraId="52B89D86"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0F800A1B" w14:textId="77777777" w:rsidR="007C537B" w:rsidRPr="001B4F76" w:rsidRDefault="007C537B" w:rsidP="00C32221">
            <w:pPr>
              <w:pStyle w:val="Tablebodytext"/>
              <w:rPr>
                <w:lang w:eastAsia="en-AU"/>
              </w:rPr>
            </w:pPr>
            <w:r w:rsidRPr="001B4F76">
              <w:rPr>
                <w:lang w:eastAsia="en-AU"/>
              </w:rPr>
              <w:t>0.288</w:t>
            </w:r>
          </w:p>
        </w:tc>
      </w:tr>
      <w:tr w:rsidR="00C63277" w:rsidRPr="001B4F76" w14:paraId="689944EE" w14:textId="77777777" w:rsidTr="00C32221">
        <w:trPr>
          <w:cnfStyle w:val="000000010000" w:firstRow="0" w:lastRow="0" w:firstColumn="0" w:lastColumn="0" w:oddVBand="0" w:evenVBand="0" w:oddHBand="0" w:evenHBand="1" w:firstRowFirstColumn="0" w:firstRowLastColumn="0" w:lastRowFirstColumn="0" w:lastRowLastColumn="0"/>
        </w:trPr>
        <w:tc>
          <w:tcPr>
            <w:tcW w:w="901" w:type="pct"/>
            <w:vMerge/>
            <w:shd w:val="clear" w:color="auto" w:fill="auto"/>
          </w:tcPr>
          <w:p w14:paraId="147CAA30" w14:textId="77777777" w:rsidR="007C537B" w:rsidRPr="001B4F76" w:rsidRDefault="007C537B" w:rsidP="00C32221">
            <w:pPr>
              <w:pStyle w:val="Tablebodytext"/>
              <w:rPr>
                <w:lang w:eastAsia="en-AU"/>
              </w:rPr>
            </w:pPr>
          </w:p>
        </w:tc>
        <w:tc>
          <w:tcPr>
            <w:tcW w:w="542" w:type="pct"/>
            <w:vMerge/>
            <w:shd w:val="clear" w:color="auto" w:fill="auto"/>
          </w:tcPr>
          <w:p w14:paraId="0D99AB7D" w14:textId="77777777" w:rsidR="007C537B" w:rsidRPr="001B4F76" w:rsidRDefault="007C537B" w:rsidP="00C32221">
            <w:pPr>
              <w:pStyle w:val="Tablebodytext"/>
              <w:rPr>
                <w:lang w:eastAsia="en-AU"/>
              </w:rPr>
            </w:pPr>
          </w:p>
        </w:tc>
        <w:tc>
          <w:tcPr>
            <w:tcW w:w="654" w:type="pct"/>
            <w:shd w:val="clear" w:color="auto" w:fill="auto"/>
          </w:tcPr>
          <w:p w14:paraId="5B5488CA" w14:textId="77777777" w:rsidR="007C537B" w:rsidRPr="001B4F76" w:rsidRDefault="007C537B" w:rsidP="00C32221">
            <w:pPr>
              <w:pStyle w:val="Tablebodytext"/>
              <w:rPr>
                <w:color w:val="000000"/>
                <w:lang w:eastAsia="en-AU"/>
              </w:rPr>
            </w:pPr>
            <w:r w:rsidRPr="001B4F76">
              <w:rPr>
                <w:color w:val="000000"/>
                <w:lang w:eastAsia="en-AU"/>
              </w:rPr>
              <w:t>c</w:t>
            </w:r>
          </w:p>
        </w:tc>
        <w:tc>
          <w:tcPr>
            <w:tcW w:w="1717" w:type="pct"/>
            <w:shd w:val="clear" w:color="auto" w:fill="auto"/>
          </w:tcPr>
          <w:p w14:paraId="551097EE" w14:textId="77777777" w:rsidR="007C537B" w:rsidRPr="001B4F76" w:rsidRDefault="007C537B" w:rsidP="00C32221">
            <w:pPr>
              <w:pStyle w:val="Tablebodytext"/>
              <w:rPr>
                <w:color w:val="000000"/>
                <w:lang w:eastAsia="en-AU"/>
              </w:rPr>
            </w:pPr>
            <w:r w:rsidRPr="001B4F76">
              <w:rPr>
                <w:color w:val="000000"/>
                <w:lang w:eastAsia="en-AU"/>
              </w:rPr>
              <w:t>Carried out quality assurance testing of supplier's products</w:t>
            </w:r>
          </w:p>
        </w:tc>
        <w:tc>
          <w:tcPr>
            <w:tcW w:w="502" w:type="pct"/>
            <w:shd w:val="clear" w:color="auto" w:fill="auto"/>
          </w:tcPr>
          <w:p w14:paraId="78A16A89"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63810B3E" w14:textId="77777777" w:rsidR="007C537B" w:rsidRPr="001B4F76" w:rsidRDefault="007C537B" w:rsidP="00C32221">
            <w:pPr>
              <w:pStyle w:val="Tablebodytext"/>
              <w:rPr>
                <w:lang w:eastAsia="en-AU"/>
              </w:rPr>
            </w:pPr>
            <w:r w:rsidRPr="001B4F76">
              <w:rPr>
                <w:lang w:eastAsia="en-AU"/>
              </w:rPr>
              <w:t>0.145</w:t>
            </w:r>
          </w:p>
        </w:tc>
      </w:tr>
      <w:tr w:rsidR="00C63277" w:rsidRPr="001B4F76" w14:paraId="1F586497" w14:textId="77777777" w:rsidTr="00C32221">
        <w:trPr>
          <w:cnfStyle w:val="000000100000" w:firstRow="0" w:lastRow="0" w:firstColumn="0" w:lastColumn="0" w:oddVBand="0" w:evenVBand="0" w:oddHBand="1" w:evenHBand="0" w:firstRowFirstColumn="0" w:firstRowLastColumn="0" w:lastRowFirstColumn="0" w:lastRowLastColumn="0"/>
        </w:trPr>
        <w:tc>
          <w:tcPr>
            <w:tcW w:w="901" w:type="pct"/>
            <w:vMerge/>
            <w:shd w:val="clear" w:color="auto" w:fill="auto"/>
          </w:tcPr>
          <w:p w14:paraId="5AF63E85" w14:textId="77777777" w:rsidR="007C537B" w:rsidRPr="001B4F76" w:rsidRDefault="007C537B" w:rsidP="00C32221">
            <w:pPr>
              <w:pStyle w:val="Tablebodytext"/>
              <w:rPr>
                <w:lang w:eastAsia="en-AU"/>
              </w:rPr>
            </w:pPr>
          </w:p>
        </w:tc>
        <w:tc>
          <w:tcPr>
            <w:tcW w:w="542" w:type="pct"/>
            <w:vMerge/>
            <w:shd w:val="clear" w:color="auto" w:fill="auto"/>
          </w:tcPr>
          <w:p w14:paraId="33C948E9" w14:textId="77777777" w:rsidR="007C537B" w:rsidRPr="001B4F76" w:rsidRDefault="007C537B" w:rsidP="00C32221">
            <w:pPr>
              <w:pStyle w:val="Tablebodytext"/>
              <w:rPr>
                <w:lang w:eastAsia="en-AU"/>
              </w:rPr>
            </w:pPr>
          </w:p>
        </w:tc>
        <w:tc>
          <w:tcPr>
            <w:tcW w:w="654" w:type="pct"/>
            <w:shd w:val="clear" w:color="auto" w:fill="auto"/>
          </w:tcPr>
          <w:p w14:paraId="4BFEEF41" w14:textId="77777777" w:rsidR="007C537B" w:rsidRPr="001B4F76" w:rsidRDefault="007C537B" w:rsidP="00C32221">
            <w:pPr>
              <w:pStyle w:val="Tablebodytext"/>
              <w:rPr>
                <w:color w:val="000000"/>
                <w:lang w:eastAsia="en-AU"/>
              </w:rPr>
            </w:pPr>
            <w:r w:rsidRPr="001B4F76">
              <w:rPr>
                <w:color w:val="000000"/>
                <w:lang w:eastAsia="en-AU"/>
              </w:rPr>
              <w:t>d</w:t>
            </w:r>
          </w:p>
        </w:tc>
        <w:tc>
          <w:tcPr>
            <w:tcW w:w="1717" w:type="pct"/>
            <w:shd w:val="clear" w:color="auto" w:fill="auto"/>
          </w:tcPr>
          <w:p w14:paraId="0E2D7DF0" w14:textId="77777777" w:rsidR="007C537B" w:rsidRPr="001B4F76" w:rsidRDefault="007C537B" w:rsidP="00C32221">
            <w:pPr>
              <w:pStyle w:val="Tablebodytext"/>
              <w:rPr>
                <w:color w:val="000000"/>
                <w:lang w:eastAsia="en-AU"/>
              </w:rPr>
            </w:pPr>
            <w:r w:rsidRPr="001B4F76">
              <w:rPr>
                <w:color w:val="000000"/>
                <w:lang w:eastAsia="en-AU"/>
              </w:rPr>
              <w:t>Carried out an environmental assessment or accreditation</w:t>
            </w:r>
          </w:p>
        </w:tc>
        <w:tc>
          <w:tcPr>
            <w:tcW w:w="502" w:type="pct"/>
            <w:shd w:val="clear" w:color="auto" w:fill="auto"/>
          </w:tcPr>
          <w:p w14:paraId="02451431"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2F245187" w14:textId="77777777" w:rsidR="007C537B" w:rsidRPr="001B4F76" w:rsidRDefault="007C537B" w:rsidP="00C32221">
            <w:pPr>
              <w:pStyle w:val="Tablebodytext"/>
              <w:rPr>
                <w:lang w:eastAsia="en-AU"/>
              </w:rPr>
            </w:pPr>
            <w:r w:rsidRPr="001B4F76">
              <w:rPr>
                <w:lang w:eastAsia="en-AU"/>
              </w:rPr>
              <w:t>0.065</w:t>
            </w:r>
          </w:p>
        </w:tc>
      </w:tr>
      <w:tr w:rsidR="00C63277" w:rsidRPr="001B4F76" w14:paraId="427F4F52" w14:textId="77777777" w:rsidTr="00C32221">
        <w:trPr>
          <w:cnfStyle w:val="000000010000" w:firstRow="0" w:lastRow="0" w:firstColumn="0" w:lastColumn="0" w:oddVBand="0" w:evenVBand="0" w:oddHBand="0" w:evenHBand="1" w:firstRowFirstColumn="0" w:firstRowLastColumn="0" w:lastRowFirstColumn="0" w:lastRowLastColumn="0"/>
        </w:trPr>
        <w:tc>
          <w:tcPr>
            <w:tcW w:w="901" w:type="pct"/>
            <w:vMerge/>
            <w:shd w:val="clear" w:color="auto" w:fill="auto"/>
          </w:tcPr>
          <w:p w14:paraId="1D17B658" w14:textId="77777777" w:rsidR="007C537B" w:rsidRPr="001B4F76" w:rsidRDefault="007C537B" w:rsidP="00C32221">
            <w:pPr>
              <w:pStyle w:val="Tablebodytext"/>
              <w:rPr>
                <w:lang w:eastAsia="en-AU"/>
              </w:rPr>
            </w:pPr>
          </w:p>
        </w:tc>
        <w:tc>
          <w:tcPr>
            <w:tcW w:w="542" w:type="pct"/>
            <w:vMerge/>
            <w:shd w:val="clear" w:color="auto" w:fill="auto"/>
          </w:tcPr>
          <w:p w14:paraId="31BB1E5E" w14:textId="77777777" w:rsidR="007C537B" w:rsidRPr="001B4F76" w:rsidRDefault="007C537B" w:rsidP="00C32221">
            <w:pPr>
              <w:pStyle w:val="Tablebodytext"/>
              <w:rPr>
                <w:lang w:eastAsia="en-AU"/>
              </w:rPr>
            </w:pPr>
          </w:p>
        </w:tc>
        <w:tc>
          <w:tcPr>
            <w:tcW w:w="654" w:type="pct"/>
            <w:shd w:val="clear" w:color="auto" w:fill="auto"/>
          </w:tcPr>
          <w:p w14:paraId="7288D22A" w14:textId="77777777" w:rsidR="007C537B" w:rsidRPr="001B4F76" w:rsidRDefault="007C537B" w:rsidP="00C32221">
            <w:pPr>
              <w:pStyle w:val="Tablebodytext"/>
              <w:rPr>
                <w:color w:val="000000"/>
                <w:lang w:eastAsia="en-AU"/>
              </w:rPr>
            </w:pPr>
            <w:r w:rsidRPr="001B4F76">
              <w:rPr>
                <w:color w:val="000000"/>
                <w:lang w:eastAsia="en-AU"/>
              </w:rPr>
              <w:t>e</w:t>
            </w:r>
          </w:p>
        </w:tc>
        <w:tc>
          <w:tcPr>
            <w:tcW w:w="1717" w:type="pct"/>
            <w:shd w:val="clear" w:color="auto" w:fill="auto"/>
          </w:tcPr>
          <w:p w14:paraId="05F3832E" w14:textId="77777777" w:rsidR="007C537B" w:rsidRPr="001B4F76" w:rsidRDefault="007C537B" w:rsidP="00C32221">
            <w:pPr>
              <w:pStyle w:val="Tablebodytext"/>
              <w:rPr>
                <w:color w:val="000000"/>
                <w:lang w:eastAsia="en-AU"/>
              </w:rPr>
            </w:pPr>
            <w:r w:rsidRPr="001B4F76">
              <w:rPr>
                <w:color w:val="000000"/>
                <w:lang w:eastAsia="en-AU"/>
              </w:rPr>
              <w:t>Carried out quality assurance testing of this business's products</w:t>
            </w:r>
          </w:p>
        </w:tc>
        <w:tc>
          <w:tcPr>
            <w:tcW w:w="502" w:type="pct"/>
            <w:shd w:val="clear" w:color="auto" w:fill="auto"/>
          </w:tcPr>
          <w:p w14:paraId="69FC412B"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0D5CF713" w14:textId="77777777" w:rsidR="007C537B" w:rsidRPr="001B4F76" w:rsidRDefault="007C537B" w:rsidP="00C32221">
            <w:pPr>
              <w:pStyle w:val="Tablebodytext"/>
              <w:rPr>
                <w:lang w:eastAsia="en-AU"/>
              </w:rPr>
            </w:pPr>
            <w:r w:rsidRPr="001B4F76">
              <w:rPr>
                <w:lang w:eastAsia="en-AU"/>
              </w:rPr>
              <w:t>0.131</w:t>
            </w:r>
          </w:p>
        </w:tc>
      </w:tr>
      <w:tr w:rsidR="00C63277" w:rsidRPr="001B4F76" w14:paraId="63659136" w14:textId="77777777" w:rsidTr="00C32221">
        <w:trPr>
          <w:cnfStyle w:val="000000100000" w:firstRow="0" w:lastRow="0" w:firstColumn="0" w:lastColumn="0" w:oddVBand="0" w:evenVBand="0" w:oddHBand="1" w:evenHBand="0" w:firstRowFirstColumn="0" w:firstRowLastColumn="0" w:lastRowFirstColumn="0" w:lastRowLastColumn="0"/>
        </w:trPr>
        <w:tc>
          <w:tcPr>
            <w:tcW w:w="901" w:type="pct"/>
            <w:vMerge/>
            <w:shd w:val="clear" w:color="auto" w:fill="auto"/>
          </w:tcPr>
          <w:p w14:paraId="2912D834" w14:textId="77777777" w:rsidR="007C537B" w:rsidRPr="001B4F76" w:rsidRDefault="007C537B" w:rsidP="00C32221">
            <w:pPr>
              <w:pStyle w:val="Tablebodytext"/>
              <w:rPr>
                <w:lang w:eastAsia="en-AU"/>
              </w:rPr>
            </w:pPr>
          </w:p>
        </w:tc>
        <w:tc>
          <w:tcPr>
            <w:tcW w:w="542" w:type="pct"/>
            <w:vMerge/>
            <w:shd w:val="clear" w:color="auto" w:fill="auto"/>
          </w:tcPr>
          <w:p w14:paraId="52FD0D72" w14:textId="77777777" w:rsidR="007C537B" w:rsidRPr="001B4F76" w:rsidRDefault="007C537B" w:rsidP="00C32221">
            <w:pPr>
              <w:pStyle w:val="Tablebodytext"/>
              <w:rPr>
                <w:lang w:eastAsia="en-AU"/>
              </w:rPr>
            </w:pPr>
          </w:p>
        </w:tc>
        <w:tc>
          <w:tcPr>
            <w:tcW w:w="654" w:type="pct"/>
            <w:shd w:val="clear" w:color="auto" w:fill="auto"/>
          </w:tcPr>
          <w:p w14:paraId="50F99DFD" w14:textId="77777777" w:rsidR="007C537B" w:rsidRPr="001B4F76" w:rsidRDefault="007C537B" w:rsidP="00C32221">
            <w:pPr>
              <w:pStyle w:val="Tablebodytext"/>
              <w:rPr>
                <w:color w:val="000000"/>
                <w:lang w:eastAsia="en-AU"/>
              </w:rPr>
            </w:pPr>
            <w:r w:rsidRPr="001B4F76">
              <w:rPr>
                <w:color w:val="000000"/>
                <w:lang w:eastAsia="en-AU"/>
              </w:rPr>
              <w:t>f</w:t>
            </w:r>
          </w:p>
        </w:tc>
        <w:tc>
          <w:tcPr>
            <w:tcW w:w="1717" w:type="pct"/>
            <w:shd w:val="clear" w:color="auto" w:fill="auto"/>
          </w:tcPr>
          <w:p w14:paraId="132EC901" w14:textId="77777777" w:rsidR="007C537B" w:rsidRPr="001B4F76" w:rsidRDefault="007C537B" w:rsidP="00C32221">
            <w:pPr>
              <w:pStyle w:val="Tablebodytext"/>
              <w:rPr>
                <w:color w:val="000000"/>
                <w:lang w:eastAsia="en-AU"/>
              </w:rPr>
            </w:pPr>
            <w:r w:rsidRPr="001B4F76">
              <w:rPr>
                <w:color w:val="000000"/>
                <w:lang w:eastAsia="en-AU"/>
              </w:rPr>
              <w:t>Introduced a tender process to review suppliers</w:t>
            </w:r>
          </w:p>
        </w:tc>
        <w:tc>
          <w:tcPr>
            <w:tcW w:w="502" w:type="pct"/>
            <w:shd w:val="clear" w:color="auto" w:fill="auto"/>
          </w:tcPr>
          <w:p w14:paraId="04E1F9E4"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6C3C6117" w14:textId="77777777" w:rsidR="007C537B" w:rsidRPr="001B4F76" w:rsidRDefault="007C537B" w:rsidP="00C32221">
            <w:pPr>
              <w:pStyle w:val="Tablebodytext"/>
              <w:rPr>
                <w:lang w:eastAsia="en-AU"/>
              </w:rPr>
            </w:pPr>
            <w:r w:rsidRPr="001B4F76">
              <w:rPr>
                <w:lang w:eastAsia="en-AU"/>
              </w:rPr>
              <w:t>0.084</w:t>
            </w:r>
          </w:p>
        </w:tc>
      </w:tr>
      <w:tr w:rsidR="00C63277" w:rsidRPr="001B4F76" w14:paraId="4751A397" w14:textId="77777777" w:rsidTr="00C32221">
        <w:trPr>
          <w:cnfStyle w:val="000000010000" w:firstRow="0" w:lastRow="0" w:firstColumn="0" w:lastColumn="0" w:oddVBand="0" w:evenVBand="0" w:oddHBand="0" w:evenHBand="1" w:firstRowFirstColumn="0" w:firstRowLastColumn="0" w:lastRowFirstColumn="0" w:lastRowLastColumn="0"/>
        </w:trPr>
        <w:tc>
          <w:tcPr>
            <w:tcW w:w="901" w:type="pct"/>
            <w:vMerge/>
            <w:shd w:val="clear" w:color="auto" w:fill="auto"/>
          </w:tcPr>
          <w:p w14:paraId="4A80A726" w14:textId="77777777" w:rsidR="007C537B" w:rsidRPr="001B4F76" w:rsidRDefault="007C537B" w:rsidP="00C32221">
            <w:pPr>
              <w:pStyle w:val="Tablebodytext"/>
              <w:rPr>
                <w:lang w:eastAsia="en-AU"/>
              </w:rPr>
            </w:pPr>
          </w:p>
        </w:tc>
        <w:tc>
          <w:tcPr>
            <w:tcW w:w="542" w:type="pct"/>
            <w:vMerge/>
            <w:shd w:val="clear" w:color="auto" w:fill="auto"/>
          </w:tcPr>
          <w:p w14:paraId="4499312D" w14:textId="77777777" w:rsidR="007C537B" w:rsidRPr="001B4F76" w:rsidRDefault="007C537B" w:rsidP="00C32221">
            <w:pPr>
              <w:pStyle w:val="Tablebodytext"/>
              <w:rPr>
                <w:lang w:eastAsia="en-AU"/>
              </w:rPr>
            </w:pPr>
          </w:p>
        </w:tc>
        <w:tc>
          <w:tcPr>
            <w:tcW w:w="654" w:type="pct"/>
            <w:shd w:val="clear" w:color="auto" w:fill="auto"/>
          </w:tcPr>
          <w:p w14:paraId="4400530E" w14:textId="77777777" w:rsidR="007C537B" w:rsidRPr="001B4F76" w:rsidRDefault="007C537B" w:rsidP="00C32221">
            <w:pPr>
              <w:pStyle w:val="Tablebodytext"/>
              <w:rPr>
                <w:color w:val="000000"/>
                <w:lang w:eastAsia="en-AU"/>
              </w:rPr>
            </w:pPr>
            <w:r w:rsidRPr="001B4F76">
              <w:rPr>
                <w:color w:val="000000"/>
                <w:lang w:eastAsia="en-AU"/>
              </w:rPr>
              <w:t>g</w:t>
            </w:r>
          </w:p>
        </w:tc>
        <w:tc>
          <w:tcPr>
            <w:tcW w:w="1717" w:type="pct"/>
            <w:shd w:val="clear" w:color="auto" w:fill="auto"/>
          </w:tcPr>
          <w:p w14:paraId="5B7F1368" w14:textId="77777777" w:rsidR="007C537B" w:rsidRPr="001B4F76" w:rsidRDefault="007C537B" w:rsidP="00C32221">
            <w:pPr>
              <w:pStyle w:val="Tablebodytext"/>
              <w:rPr>
                <w:color w:val="000000"/>
                <w:lang w:eastAsia="en-AU"/>
              </w:rPr>
            </w:pPr>
            <w:r w:rsidRPr="001B4F76">
              <w:rPr>
                <w:color w:val="000000"/>
                <w:lang w:eastAsia="en-AU"/>
              </w:rPr>
              <w:t>Increased/decreased inventories/stock</w:t>
            </w:r>
          </w:p>
        </w:tc>
        <w:tc>
          <w:tcPr>
            <w:tcW w:w="502" w:type="pct"/>
            <w:shd w:val="clear" w:color="auto" w:fill="auto"/>
          </w:tcPr>
          <w:p w14:paraId="35185606"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01A8E479" w14:textId="77777777" w:rsidR="007C537B" w:rsidRPr="001B4F76" w:rsidRDefault="007C537B" w:rsidP="00C32221">
            <w:pPr>
              <w:pStyle w:val="Tablebodytext"/>
              <w:rPr>
                <w:lang w:eastAsia="en-AU"/>
              </w:rPr>
            </w:pPr>
            <w:r w:rsidRPr="001B4F76">
              <w:rPr>
                <w:lang w:eastAsia="en-AU"/>
              </w:rPr>
              <w:t>0.270</w:t>
            </w:r>
          </w:p>
        </w:tc>
      </w:tr>
      <w:tr w:rsidR="00C63277" w:rsidRPr="001B4F76" w14:paraId="4BC3A132" w14:textId="77777777" w:rsidTr="00C32221">
        <w:trPr>
          <w:cnfStyle w:val="000000100000" w:firstRow="0" w:lastRow="0" w:firstColumn="0" w:lastColumn="0" w:oddVBand="0" w:evenVBand="0" w:oddHBand="1" w:evenHBand="0" w:firstRowFirstColumn="0" w:firstRowLastColumn="0" w:lastRowFirstColumn="0" w:lastRowLastColumn="0"/>
        </w:trPr>
        <w:tc>
          <w:tcPr>
            <w:tcW w:w="901" w:type="pct"/>
            <w:vMerge/>
            <w:shd w:val="clear" w:color="auto" w:fill="auto"/>
          </w:tcPr>
          <w:p w14:paraId="21FDA316" w14:textId="77777777" w:rsidR="007C537B" w:rsidRPr="001B4F76" w:rsidRDefault="007C537B" w:rsidP="00C32221">
            <w:pPr>
              <w:pStyle w:val="Tablebodytext"/>
              <w:rPr>
                <w:lang w:eastAsia="en-AU"/>
              </w:rPr>
            </w:pPr>
          </w:p>
        </w:tc>
        <w:tc>
          <w:tcPr>
            <w:tcW w:w="542" w:type="pct"/>
            <w:vMerge/>
            <w:shd w:val="clear" w:color="auto" w:fill="auto"/>
          </w:tcPr>
          <w:p w14:paraId="1A665005" w14:textId="77777777" w:rsidR="007C537B" w:rsidRPr="001B4F76" w:rsidRDefault="007C537B" w:rsidP="00C32221">
            <w:pPr>
              <w:pStyle w:val="Tablebodytext"/>
              <w:rPr>
                <w:lang w:eastAsia="en-AU"/>
              </w:rPr>
            </w:pPr>
          </w:p>
        </w:tc>
        <w:tc>
          <w:tcPr>
            <w:tcW w:w="654" w:type="pct"/>
            <w:shd w:val="clear" w:color="auto" w:fill="auto"/>
          </w:tcPr>
          <w:p w14:paraId="62189F2A" w14:textId="77777777" w:rsidR="007C537B" w:rsidRPr="001B4F76" w:rsidRDefault="007C537B" w:rsidP="00C32221">
            <w:pPr>
              <w:pStyle w:val="Tablebodytext"/>
              <w:rPr>
                <w:color w:val="000000"/>
                <w:lang w:eastAsia="en-AU"/>
              </w:rPr>
            </w:pPr>
            <w:r w:rsidRPr="001B4F76">
              <w:rPr>
                <w:color w:val="000000"/>
                <w:lang w:eastAsia="en-AU"/>
              </w:rPr>
              <w:t>h</w:t>
            </w:r>
          </w:p>
        </w:tc>
        <w:tc>
          <w:tcPr>
            <w:tcW w:w="1717" w:type="pct"/>
            <w:shd w:val="clear" w:color="auto" w:fill="auto"/>
          </w:tcPr>
          <w:p w14:paraId="659EF5CF" w14:textId="77777777" w:rsidR="007C537B" w:rsidRPr="001B4F76" w:rsidRDefault="007C537B" w:rsidP="00C32221">
            <w:pPr>
              <w:pStyle w:val="Tablebodytext"/>
              <w:rPr>
                <w:color w:val="000000"/>
                <w:lang w:eastAsia="en-AU"/>
              </w:rPr>
            </w:pPr>
            <w:r w:rsidRPr="001B4F76">
              <w:rPr>
                <w:color w:val="000000"/>
                <w:lang w:eastAsia="en-AU"/>
              </w:rPr>
              <w:t>Trained suppliers in the business's supply chain products</w:t>
            </w:r>
          </w:p>
        </w:tc>
        <w:tc>
          <w:tcPr>
            <w:tcW w:w="502" w:type="pct"/>
            <w:shd w:val="clear" w:color="auto" w:fill="auto"/>
          </w:tcPr>
          <w:p w14:paraId="1E48E117"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6CEFEF7E" w14:textId="77777777" w:rsidR="007C537B" w:rsidRPr="001B4F76" w:rsidRDefault="007C537B" w:rsidP="00C32221">
            <w:pPr>
              <w:pStyle w:val="Tablebodytext"/>
              <w:rPr>
                <w:lang w:eastAsia="en-AU"/>
              </w:rPr>
            </w:pPr>
            <w:r w:rsidRPr="001B4F76">
              <w:rPr>
                <w:lang w:eastAsia="en-AU"/>
              </w:rPr>
              <w:t>0.047</w:t>
            </w:r>
          </w:p>
        </w:tc>
      </w:tr>
      <w:tr w:rsidR="00C63277" w:rsidRPr="001B4F76" w14:paraId="130DE893" w14:textId="77777777" w:rsidTr="00C32221">
        <w:trPr>
          <w:cnfStyle w:val="000000010000" w:firstRow="0" w:lastRow="0" w:firstColumn="0" w:lastColumn="0" w:oddVBand="0" w:evenVBand="0" w:oddHBand="0" w:evenHBand="1" w:firstRowFirstColumn="0" w:firstRowLastColumn="0" w:lastRowFirstColumn="0" w:lastRowLastColumn="0"/>
        </w:trPr>
        <w:tc>
          <w:tcPr>
            <w:tcW w:w="901" w:type="pct"/>
            <w:vMerge/>
            <w:shd w:val="clear" w:color="auto" w:fill="auto"/>
          </w:tcPr>
          <w:p w14:paraId="2B0BCEB6" w14:textId="77777777" w:rsidR="007C537B" w:rsidRPr="001B4F76" w:rsidRDefault="007C537B" w:rsidP="00C32221">
            <w:pPr>
              <w:pStyle w:val="Tablebodytext"/>
              <w:rPr>
                <w:lang w:eastAsia="en-AU"/>
              </w:rPr>
            </w:pPr>
          </w:p>
        </w:tc>
        <w:tc>
          <w:tcPr>
            <w:tcW w:w="542" w:type="pct"/>
            <w:vMerge/>
            <w:shd w:val="clear" w:color="auto" w:fill="auto"/>
          </w:tcPr>
          <w:p w14:paraId="7F05E3E5" w14:textId="77777777" w:rsidR="007C537B" w:rsidRPr="001B4F76" w:rsidRDefault="007C537B" w:rsidP="00C32221">
            <w:pPr>
              <w:pStyle w:val="Tablebodytext"/>
              <w:rPr>
                <w:lang w:eastAsia="en-AU"/>
              </w:rPr>
            </w:pPr>
          </w:p>
        </w:tc>
        <w:tc>
          <w:tcPr>
            <w:tcW w:w="654" w:type="pct"/>
            <w:shd w:val="clear" w:color="auto" w:fill="auto"/>
          </w:tcPr>
          <w:p w14:paraId="2004C8D8" w14:textId="77777777" w:rsidR="007C537B" w:rsidRPr="001B4F76" w:rsidRDefault="007C537B" w:rsidP="00C32221">
            <w:pPr>
              <w:pStyle w:val="Tablebodytext"/>
              <w:rPr>
                <w:color w:val="000000"/>
                <w:lang w:eastAsia="en-AU"/>
              </w:rPr>
            </w:pPr>
            <w:r w:rsidRPr="001B4F76">
              <w:rPr>
                <w:color w:val="000000"/>
                <w:lang w:eastAsia="en-AU"/>
              </w:rPr>
              <w:t>i</w:t>
            </w:r>
          </w:p>
        </w:tc>
        <w:tc>
          <w:tcPr>
            <w:tcW w:w="1717" w:type="pct"/>
            <w:shd w:val="clear" w:color="auto" w:fill="auto"/>
          </w:tcPr>
          <w:p w14:paraId="7299DBA9" w14:textId="77777777" w:rsidR="007C537B" w:rsidRPr="001B4F76" w:rsidRDefault="007C537B" w:rsidP="00C32221">
            <w:pPr>
              <w:pStyle w:val="Tablebodytext"/>
              <w:rPr>
                <w:color w:val="000000"/>
                <w:lang w:eastAsia="en-AU"/>
              </w:rPr>
            </w:pPr>
            <w:r w:rsidRPr="001B4F76">
              <w:rPr>
                <w:color w:val="000000"/>
                <w:lang w:eastAsia="en-AU"/>
              </w:rPr>
              <w:t>Trained staff in the business's supply chain practices</w:t>
            </w:r>
          </w:p>
        </w:tc>
        <w:tc>
          <w:tcPr>
            <w:tcW w:w="502" w:type="pct"/>
            <w:shd w:val="clear" w:color="auto" w:fill="auto"/>
          </w:tcPr>
          <w:p w14:paraId="138CD064"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1C2358AF" w14:textId="77777777" w:rsidR="007C537B" w:rsidRPr="001B4F76" w:rsidRDefault="007C537B" w:rsidP="00C32221">
            <w:pPr>
              <w:pStyle w:val="Tablebodytext"/>
              <w:rPr>
                <w:lang w:eastAsia="en-AU"/>
              </w:rPr>
            </w:pPr>
            <w:r w:rsidRPr="001B4F76">
              <w:rPr>
                <w:lang w:eastAsia="en-AU"/>
              </w:rPr>
              <w:t>0.148</w:t>
            </w:r>
          </w:p>
        </w:tc>
      </w:tr>
      <w:tr w:rsidR="00C63277" w:rsidRPr="001B4F76" w14:paraId="1A700A23" w14:textId="77777777" w:rsidTr="00C32221">
        <w:trPr>
          <w:cnfStyle w:val="000000100000" w:firstRow="0" w:lastRow="0" w:firstColumn="0" w:lastColumn="0" w:oddVBand="0" w:evenVBand="0" w:oddHBand="1" w:evenHBand="0" w:firstRowFirstColumn="0" w:firstRowLastColumn="0" w:lastRowFirstColumn="0" w:lastRowLastColumn="0"/>
        </w:trPr>
        <w:tc>
          <w:tcPr>
            <w:tcW w:w="901" w:type="pct"/>
            <w:vMerge/>
            <w:shd w:val="clear" w:color="auto" w:fill="auto"/>
          </w:tcPr>
          <w:p w14:paraId="17A00F52" w14:textId="77777777" w:rsidR="007C537B" w:rsidRPr="001B4F76" w:rsidRDefault="007C537B" w:rsidP="00C32221">
            <w:pPr>
              <w:pStyle w:val="Tablebodytext"/>
              <w:rPr>
                <w:lang w:eastAsia="en-AU"/>
              </w:rPr>
            </w:pPr>
          </w:p>
        </w:tc>
        <w:tc>
          <w:tcPr>
            <w:tcW w:w="542" w:type="pct"/>
            <w:vMerge/>
            <w:shd w:val="clear" w:color="auto" w:fill="auto"/>
          </w:tcPr>
          <w:p w14:paraId="72786DF0" w14:textId="77777777" w:rsidR="007C537B" w:rsidRPr="001B4F76" w:rsidRDefault="007C537B" w:rsidP="00C32221">
            <w:pPr>
              <w:pStyle w:val="Tablebodytext"/>
              <w:rPr>
                <w:lang w:eastAsia="en-AU"/>
              </w:rPr>
            </w:pPr>
          </w:p>
        </w:tc>
        <w:tc>
          <w:tcPr>
            <w:tcW w:w="654" w:type="pct"/>
            <w:shd w:val="clear" w:color="auto" w:fill="auto"/>
          </w:tcPr>
          <w:p w14:paraId="111E9663" w14:textId="77777777" w:rsidR="007C537B" w:rsidRPr="001B4F76" w:rsidRDefault="007C537B" w:rsidP="00C32221">
            <w:pPr>
              <w:pStyle w:val="Tablebodytext"/>
              <w:rPr>
                <w:color w:val="000000"/>
                <w:lang w:eastAsia="en-AU"/>
              </w:rPr>
            </w:pPr>
            <w:r w:rsidRPr="001B4F76">
              <w:rPr>
                <w:color w:val="000000"/>
                <w:lang w:eastAsia="en-AU"/>
              </w:rPr>
              <w:t>j</w:t>
            </w:r>
          </w:p>
        </w:tc>
        <w:tc>
          <w:tcPr>
            <w:tcW w:w="1717" w:type="pct"/>
            <w:shd w:val="clear" w:color="auto" w:fill="auto"/>
          </w:tcPr>
          <w:p w14:paraId="5D7C13BA" w14:textId="77777777" w:rsidR="007C537B" w:rsidRPr="001B4F76" w:rsidRDefault="007C537B" w:rsidP="00C32221">
            <w:pPr>
              <w:pStyle w:val="Tablebodytext"/>
              <w:rPr>
                <w:color w:val="000000"/>
                <w:lang w:eastAsia="en-AU"/>
              </w:rPr>
            </w:pPr>
            <w:r w:rsidRPr="001B4F76">
              <w:rPr>
                <w:color w:val="000000"/>
                <w:lang w:eastAsia="en-AU"/>
              </w:rPr>
              <w:t>Introduced a new market testing process to seek customer/buyer feedback</w:t>
            </w:r>
          </w:p>
        </w:tc>
        <w:tc>
          <w:tcPr>
            <w:tcW w:w="502" w:type="pct"/>
            <w:shd w:val="clear" w:color="auto" w:fill="auto"/>
          </w:tcPr>
          <w:p w14:paraId="7C0DB683"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351FA7AB" w14:textId="77777777" w:rsidR="007C537B" w:rsidRPr="001B4F76" w:rsidRDefault="007C537B" w:rsidP="00C32221">
            <w:pPr>
              <w:pStyle w:val="Tablebodytext"/>
              <w:rPr>
                <w:lang w:eastAsia="en-AU"/>
              </w:rPr>
            </w:pPr>
            <w:r w:rsidRPr="001B4F76">
              <w:rPr>
                <w:lang w:eastAsia="en-AU"/>
              </w:rPr>
              <w:t>0.070</w:t>
            </w:r>
          </w:p>
        </w:tc>
      </w:tr>
      <w:tr w:rsidR="00C63277" w:rsidRPr="001B4F76" w14:paraId="099F4D1E" w14:textId="77777777" w:rsidTr="00C32221">
        <w:trPr>
          <w:cnfStyle w:val="000000010000" w:firstRow="0" w:lastRow="0" w:firstColumn="0" w:lastColumn="0" w:oddVBand="0" w:evenVBand="0" w:oddHBand="0" w:evenHBand="1" w:firstRowFirstColumn="0" w:firstRowLastColumn="0" w:lastRowFirstColumn="0" w:lastRowLastColumn="0"/>
        </w:trPr>
        <w:tc>
          <w:tcPr>
            <w:tcW w:w="901" w:type="pct"/>
            <w:vMerge/>
            <w:shd w:val="clear" w:color="auto" w:fill="auto"/>
          </w:tcPr>
          <w:p w14:paraId="5741B156" w14:textId="77777777" w:rsidR="007C537B" w:rsidRPr="001B4F76" w:rsidRDefault="007C537B" w:rsidP="00C32221">
            <w:pPr>
              <w:pStyle w:val="Tablebodytext"/>
              <w:rPr>
                <w:lang w:eastAsia="en-AU"/>
              </w:rPr>
            </w:pPr>
          </w:p>
        </w:tc>
        <w:tc>
          <w:tcPr>
            <w:tcW w:w="542" w:type="pct"/>
            <w:vMerge/>
            <w:shd w:val="clear" w:color="auto" w:fill="auto"/>
          </w:tcPr>
          <w:p w14:paraId="0E3D1B2B" w14:textId="77777777" w:rsidR="007C537B" w:rsidRPr="001B4F76" w:rsidRDefault="007C537B" w:rsidP="00C32221">
            <w:pPr>
              <w:pStyle w:val="Tablebodytext"/>
              <w:rPr>
                <w:lang w:eastAsia="en-AU"/>
              </w:rPr>
            </w:pPr>
          </w:p>
        </w:tc>
        <w:tc>
          <w:tcPr>
            <w:tcW w:w="654" w:type="pct"/>
            <w:shd w:val="clear" w:color="auto" w:fill="auto"/>
          </w:tcPr>
          <w:p w14:paraId="5947FBD0" w14:textId="77777777" w:rsidR="007C537B" w:rsidRPr="001B4F76" w:rsidRDefault="007C537B" w:rsidP="00C32221">
            <w:pPr>
              <w:pStyle w:val="Tablebodytext"/>
              <w:rPr>
                <w:color w:val="000000"/>
                <w:lang w:eastAsia="en-AU"/>
              </w:rPr>
            </w:pPr>
            <w:r w:rsidRPr="001B4F76">
              <w:rPr>
                <w:color w:val="000000"/>
                <w:lang w:eastAsia="en-AU"/>
              </w:rPr>
              <w:t>k</w:t>
            </w:r>
          </w:p>
        </w:tc>
        <w:tc>
          <w:tcPr>
            <w:tcW w:w="1717" w:type="pct"/>
            <w:shd w:val="clear" w:color="auto" w:fill="auto"/>
          </w:tcPr>
          <w:p w14:paraId="3994476F" w14:textId="77777777" w:rsidR="007C537B" w:rsidRPr="001B4F76" w:rsidRDefault="007C537B" w:rsidP="00C32221">
            <w:pPr>
              <w:pStyle w:val="Tablebodytext"/>
              <w:rPr>
                <w:color w:val="000000"/>
                <w:lang w:eastAsia="en-AU"/>
              </w:rPr>
            </w:pPr>
            <w:r w:rsidRPr="001B4F76">
              <w:rPr>
                <w:color w:val="000000"/>
                <w:lang w:eastAsia="en-AU"/>
              </w:rPr>
              <w:t>Introduced new training for staff in customer engagement/assurance</w:t>
            </w:r>
          </w:p>
        </w:tc>
        <w:tc>
          <w:tcPr>
            <w:tcW w:w="502" w:type="pct"/>
            <w:shd w:val="clear" w:color="auto" w:fill="auto"/>
          </w:tcPr>
          <w:p w14:paraId="0885443F"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7B97CCF8" w14:textId="77777777" w:rsidR="007C537B" w:rsidRPr="001B4F76" w:rsidRDefault="007C537B" w:rsidP="00C32221">
            <w:pPr>
              <w:pStyle w:val="Tablebodytext"/>
              <w:rPr>
                <w:lang w:eastAsia="en-AU"/>
              </w:rPr>
            </w:pPr>
            <w:r w:rsidRPr="001B4F76">
              <w:rPr>
                <w:lang w:eastAsia="en-AU"/>
              </w:rPr>
              <w:t>0.111</w:t>
            </w:r>
          </w:p>
        </w:tc>
      </w:tr>
      <w:tr w:rsidR="00C63277" w:rsidRPr="001B4F76" w14:paraId="416E74F4" w14:textId="77777777" w:rsidTr="00C32221">
        <w:trPr>
          <w:cnfStyle w:val="000000100000" w:firstRow="0" w:lastRow="0" w:firstColumn="0" w:lastColumn="0" w:oddVBand="0" w:evenVBand="0" w:oddHBand="1" w:evenHBand="0" w:firstRowFirstColumn="0" w:firstRowLastColumn="0" w:lastRowFirstColumn="0" w:lastRowLastColumn="0"/>
        </w:trPr>
        <w:tc>
          <w:tcPr>
            <w:tcW w:w="901" w:type="pct"/>
            <w:vMerge/>
            <w:shd w:val="clear" w:color="auto" w:fill="auto"/>
          </w:tcPr>
          <w:p w14:paraId="3F5E37AA" w14:textId="77777777" w:rsidR="007C537B" w:rsidRPr="001B4F76" w:rsidRDefault="007C537B" w:rsidP="00C32221">
            <w:pPr>
              <w:pStyle w:val="Tablebodytext"/>
              <w:rPr>
                <w:lang w:eastAsia="en-AU"/>
              </w:rPr>
            </w:pPr>
          </w:p>
        </w:tc>
        <w:tc>
          <w:tcPr>
            <w:tcW w:w="542" w:type="pct"/>
            <w:vMerge/>
            <w:shd w:val="clear" w:color="auto" w:fill="auto"/>
          </w:tcPr>
          <w:p w14:paraId="1C8A3E57" w14:textId="77777777" w:rsidR="007C537B" w:rsidRPr="001B4F76" w:rsidRDefault="007C537B" w:rsidP="00C32221">
            <w:pPr>
              <w:pStyle w:val="Tablebodytext"/>
              <w:rPr>
                <w:lang w:eastAsia="en-AU"/>
              </w:rPr>
            </w:pPr>
          </w:p>
        </w:tc>
        <w:tc>
          <w:tcPr>
            <w:tcW w:w="654" w:type="pct"/>
            <w:shd w:val="clear" w:color="auto" w:fill="auto"/>
          </w:tcPr>
          <w:p w14:paraId="7E865150" w14:textId="77777777" w:rsidR="007C537B" w:rsidRPr="001B4F76" w:rsidRDefault="007C537B" w:rsidP="00C32221">
            <w:pPr>
              <w:pStyle w:val="Tablebodytext"/>
              <w:rPr>
                <w:color w:val="000000"/>
                <w:lang w:eastAsia="en-AU"/>
              </w:rPr>
            </w:pPr>
            <w:r w:rsidRPr="001B4F76">
              <w:rPr>
                <w:color w:val="000000"/>
                <w:lang w:eastAsia="en-AU"/>
              </w:rPr>
              <w:t>l</w:t>
            </w:r>
          </w:p>
        </w:tc>
        <w:tc>
          <w:tcPr>
            <w:tcW w:w="1717" w:type="pct"/>
            <w:shd w:val="clear" w:color="auto" w:fill="auto"/>
          </w:tcPr>
          <w:p w14:paraId="01EA75BC" w14:textId="77777777" w:rsidR="007C537B" w:rsidRPr="001B4F76" w:rsidRDefault="007C537B" w:rsidP="00C32221">
            <w:pPr>
              <w:pStyle w:val="Tablebodytext"/>
              <w:rPr>
                <w:color w:val="000000"/>
                <w:lang w:eastAsia="en-AU"/>
              </w:rPr>
            </w:pPr>
            <w:r w:rsidRPr="001B4F76">
              <w:rPr>
                <w:color w:val="000000"/>
                <w:lang w:eastAsia="en-AU"/>
              </w:rPr>
              <w:t>Introduced new KPIs on supply chain performance</w:t>
            </w:r>
          </w:p>
        </w:tc>
        <w:tc>
          <w:tcPr>
            <w:tcW w:w="502" w:type="pct"/>
            <w:shd w:val="clear" w:color="auto" w:fill="auto"/>
          </w:tcPr>
          <w:p w14:paraId="1AB35097"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6C277989" w14:textId="77777777" w:rsidR="007C537B" w:rsidRPr="001B4F76" w:rsidRDefault="007C537B" w:rsidP="00C32221">
            <w:pPr>
              <w:pStyle w:val="Tablebodytext"/>
              <w:rPr>
                <w:lang w:eastAsia="en-AU"/>
              </w:rPr>
            </w:pPr>
            <w:r w:rsidRPr="001B4F76">
              <w:rPr>
                <w:lang w:eastAsia="en-AU"/>
              </w:rPr>
              <w:t>0.091</w:t>
            </w:r>
          </w:p>
        </w:tc>
      </w:tr>
      <w:tr w:rsidR="00C63277" w:rsidRPr="001B4F76" w14:paraId="4E83FE35" w14:textId="77777777" w:rsidTr="00C32221">
        <w:trPr>
          <w:cnfStyle w:val="000000010000" w:firstRow="0" w:lastRow="0" w:firstColumn="0" w:lastColumn="0" w:oddVBand="0" w:evenVBand="0" w:oddHBand="0" w:evenHBand="1" w:firstRowFirstColumn="0" w:firstRowLastColumn="0" w:lastRowFirstColumn="0" w:lastRowLastColumn="0"/>
        </w:trPr>
        <w:tc>
          <w:tcPr>
            <w:tcW w:w="901" w:type="pct"/>
            <w:vMerge/>
            <w:shd w:val="clear" w:color="auto" w:fill="auto"/>
          </w:tcPr>
          <w:p w14:paraId="45899BF7" w14:textId="77777777" w:rsidR="007C537B" w:rsidRPr="001B4F76" w:rsidRDefault="007C537B" w:rsidP="00C32221">
            <w:pPr>
              <w:pStyle w:val="Tablebodytext"/>
              <w:rPr>
                <w:lang w:eastAsia="en-AU"/>
              </w:rPr>
            </w:pPr>
          </w:p>
        </w:tc>
        <w:tc>
          <w:tcPr>
            <w:tcW w:w="542" w:type="pct"/>
            <w:vMerge/>
            <w:shd w:val="clear" w:color="auto" w:fill="auto"/>
          </w:tcPr>
          <w:p w14:paraId="4B313F14" w14:textId="77777777" w:rsidR="007C537B" w:rsidRPr="001B4F76" w:rsidRDefault="007C537B" w:rsidP="00C32221">
            <w:pPr>
              <w:pStyle w:val="Tablebodytext"/>
              <w:rPr>
                <w:lang w:eastAsia="en-AU"/>
              </w:rPr>
            </w:pPr>
          </w:p>
        </w:tc>
        <w:tc>
          <w:tcPr>
            <w:tcW w:w="654" w:type="pct"/>
            <w:shd w:val="clear" w:color="auto" w:fill="auto"/>
          </w:tcPr>
          <w:p w14:paraId="3B4DAEC5" w14:textId="77777777" w:rsidR="007C537B" w:rsidRPr="001B4F76" w:rsidRDefault="007C537B" w:rsidP="00C32221">
            <w:pPr>
              <w:pStyle w:val="Tablebodytext"/>
              <w:rPr>
                <w:color w:val="000000"/>
                <w:lang w:eastAsia="en-AU"/>
              </w:rPr>
            </w:pPr>
            <w:r w:rsidRPr="001B4F76">
              <w:rPr>
                <w:color w:val="000000"/>
                <w:lang w:eastAsia="en-AU"/>
              </w:rPr>
              <w:t>m</w:t>
            </w:r>
          </w:p>
        </w:tc>
        <w:tc>
          <w:tcPr>
            <w:tcW w:w="1717" w:type="pct"/>
            <w:shd w:val="clear" w:color="auto" w:fill="auto"/>
          </w:tcPr>
          <w:p w14:paraId="2E368080" w14:textId="77777777" w:rsidR="007C537B" w:rsidRPr="001B4F76" w:rsidRDefault="007C537B" w:rsidP="00C32221">
            <w:pPr>
              <w:pStyle w:val="Tablebodytext"/>
              <w:rPr>
                <w:color w:val="000000"/>
                <w:lang w:eastAsia="en-AU"/>
              </w:rPr>
            </w:pPr>
            <w:r w:rsidRPr="001B4F76">
              <w:rPr>
                <w:color w:val="000000"/>
                <w:lang w:eastAsia="en-AU"/>
              </w:rPr>
              <w:t>Other</w:t>
            </w:r>
          </w:p>
        </w:tc>
        <w:tc>
          <w:tcPr>
            <w:tcW w:w="502" w:type="pct"/>
            <w:shd w:val="clear" w:color="auto" w:fill="auto"/>
          </w:tcPr>
          <w:p w14:paraId="7BEC8C88" w14:textId="77777777" w:rsidR="007C537B" w:rsidRPr="001B4F76" w:rsidRDefault="007C537B" w:rsidP="00C32221">
            <w:pPr>
              <w:pStyle w:val="Tablebodytext"/>
              <w:rPr>
                <w:lang w:eastAsia="en-AU"/>
              </w:rPr>
            </w:pPr>
            <w:r w:rsidRPr="001B4F76">
              <w:rPr>
                <w:lang w:eastAsia="en-AU"/>
              </w:rPr>
              <w:t>1</w:t>
            </w:r>
          </w:p>
        </w:tc>
        <w:tc>
          <w:tcPr>
            <w:tcW w:w="684" w:type="pct"/>
            <w:shd w:val="clear" w:color="auto" w:fill="auto"/>
          </w:tcPr>
          <w:p w14:paraId="3CD83C09" w14:textId="77777777" w:rsidR="007C537B" w:rsidRPr="001B4F76" w:rsidRDefault="007C537B" w:rsidP="00C32221">
            <w:pPr>
              <w:pStyle w:val="Tablebodytext"/>
              <w:rPr>
                <w:lang w:eastAsia="en-AU"/>
              </w:rPr>
            </w:pPr>
            <w:r w:rsidRPr="001B4F76">
              <w:rPr>
                <w:lang w:eastAsia="en-AU"/>
              </w:rPr>
              <w:t>0.034</w:t>
            </w:r>
          </w:p>
        </w:tc>
      </w:tr>
      <w:tr w:rsidR="00C63277" w:rsidRPr="001B4F76" w14:paraId="0BC1A3A1" w14:textId="77777777" w:rsidTr="00C32221">
        <w:trPr>
          <w:cnfStyle w:val="000000100000" w:firstRow="0" w:lastRow="0" w:firstColumn="0" w:lastColumn="0" w:oddVBand="0" w:evenVBand="0" w:oddHBand="1" w:evenHBand="0" w:firstRowFirstColumn="0" w:firstRowLastColumn="0" w:lastRowFirstColumn="0" w:lastRowLastColumn="0"/>
        </w:trPr>
        <w:tc>
          <w:tcPr>
            <w:tcW w:w="901" w:type="pct"/>
            <w:vMerge/>
            <w:shd w:val="clear" w:color="auto" w:fill="auto"/>
          </w:tcPr>
          <w:p w14:paraId="38BC2865" w14:textId="77777777" w:rsidR="007C537B" w:rsidRPr="001B4F76" w:rsidRDefault="007C537B" w:rsidP="00C32221">
            <w:pPr>
              <w:pStyle w:val="Tablebodytext"/>
              <w:rPr>
                <w:lang w:eastAsia="en-AU"/>
              </w:rPr>
            </w:pPr>
          </w:p>
        </w:tc>
        <w:tc>
          <w:tcPr>
            <w:tcW w:w="542" w:type="pct"/>
            <w:vMerge/>
            <w:shd w:val="clear" w:color="auto" w:fill="auto"/>
          </w:tcPr>
          <w:p w14:paraId="25668F2C" w14:textId="77777777" w:rsidR="007C537B" w:rsidRPr="001B4F76" w:rsidRDefault="007C537B" w:rsidP="00C32221">
            <w:pPr>
              <w:pStyle w:val="Tablebodytext"/>
              <w:rPr>
                <w:lang w:eastAsia="en-AU"/>
              </w:rPr>
            </w:pPr>
          </w:p>
        </w:tc>
        <w:tc>
          <w:tcPr>
            <w:tcW w:w="654" w:type="pct"/>
            <w:shd w:val="clear" w:color="auto" w:fill="auto"/>
          </w:tcPr>
          <w:p w14:paraId="6A8F54B6" w14:textId="77777777" w:rsidR="007C537B" w:rsidRPr="001B4F76" w:rsidRDefault="007C537B" w:rsidP="00C32221">
            <w:pPr>
              <w:pStyle w:val="Tablebodytext"/>
              <w:rPr>
                <w:color w:val="000000"/>
                <w:lang w:eastAsia="en-AU"/>
              </w:rPr>
            </w:pPr>
            <w:r w:rsidRPr="001B4F76">
              <w:rPr>
                <w:color w:val="000000"/>
                <w:lang w:eastAsia="en-AU"/>
              </w:rPr>
              <w:t>n</w:t>
            </w:r>
          </w:p>
        </w:tc>
        <w:tc>
          <w:tcPr>
            <w:tcW w:w="1717" w:type="pct"/>
            <w:shd w:val="clear" w:color="auto" w:fill="auto"/>
          </w:tcPr>
          <w:p w14:paraId="17B1C022" w14:textId="77777777" w:rsidR="007C537B" w:rsidRPr="001B4F76" w:rsidRDefault="007C537B" w:rsidP="00C32221">
            <w:pPr>
              <w:pStyle w:val="Tablebodytext"/>
              <w:rPr>
                <w:color w:val="000000"/>
                <w:lang w:eastAsia="en-AU"/>
              </w:rPr>
            </w:pPr>
            <w:r w:rsidRPr="001B4F76">
              <w:rPr>
                <w:color w:val="000000"/>
                <w:lang w:eastAsia="en-AU"/>
              </w:rPr>
              <w:t>None of the above</w:t>
            </w:r>
          </w:p>
        </w:tc>
        <w:tc>
          <w:tcPr>
            <w:tcW w:w="502" w:type="pct"/>
            <w:shd w:val="clear" w:color="auto" w:fill="auto"/>
          </w:tcPr>
          <w:p w14:paraId="19248F0D" w14:textId="77777777" w:rsidR="007C537B" w:rsidRPr="001B4F76" w:rsidRDefault="007C537B" w:rsidP="00C32221">
            <w:pPr>
              <w:pStyle w:val="Tablebodytext"/>
              <w:rPr>
                <w:lang w:eastAsia="en-AU"/>
              </w:rPr>
            </w:pPr>
            <w:r w:rsidRPr="001B4F76">
              <w:rPr>
                <w:lang w:eastAsia="en-AU"/>
              </w:rPr>
              <w:t>Exclude</w:t>
            </w:r>
          </w:p>
        </w:tc>
        <w:tc>
          <w:tcPr>
            <w:tcW w:w="684" w:type="pct"/>
            <w:shd w:val="clear" w:color="auto" w:fill="auto"/>
          </w:tcPr>
          <w:p w14:paraId="2A90B021" w14:textId="77777777" w:rsidR="007C537B" w:rsidRPr="001B4F76" w:rsidRDefault="007C537B" w:rsidP="00C32221">
            <w:pPr>
              <w:pStyle w:val="Tablebodytext"/>
              <w:rPr>
                <w:lang w:eastAsia="en-AU"/>
              </w:rPr>
            </w:pPr>
          </w:p>
        </w:tc>
      </w:tr>
      <w:tr w:rsidR="00611018" w:rsidRPr="001B4F76" w14:paraId="02265540" w14:textId="77777777" w:rsidTr="00C32221">
        <w:trPr>
          <w:cnfStyle w:val="000000010000" w:firstRow="0" w:lastRow="0" w:firstColumn="0" w:lastColumn="0" w:oddVBand="0" w:evenVBand="0" w:oddHBand="0" w:evenHBand="1" w:firstRowFirstColumn="0" w:firstRowLastColumn="0" w:lastRowFirstColumn="0" w:lastRowLastColumn="0"/>
        </w:trPr>
        <w:tc>
          <w:tcPr>
            <w:tcW w:w="4316" w:type="pct"/>
            <w:gridSpan w:val="5"/>
            <w:shd w:val="clear" w:color="auto" w:fill="auto"/>
          </w:tcPr>
          <w:p w14:paraId="1EAF0F76" w14:textId="77777777" w:rsidR="007C537B" w:rsidRPr="001B4F76" w:rsidRDefault="007C537B" w:rsidP="00C32221">
            <w:pPr>
              <w:pStyle w:val="Tablebodytext"/>
              <w:rPr>
                <w:lang w:eastAsia="en-AU"/>
              </w:rPr>
            </w:pPr>
            <w:r w:rsidRPr="001B4F76">
              <w:rPr>
                <w:lang w:eastAsia="en-AU"/>
              </w:rPr>
              <w:lastRenderedPageBreak/>
              <w:t xml:space="preserve"> Total Average Supply Chain Management Capability (SCMC) Score  </w:t>
            </w:r>
          </w:p>
        </w:tc>
        <w:tc>
          <w:tcPr>
            <w:tcW w:w="684" w:type="pct"/>
            <w:shd w:val="clear" w:color="auto" w:fill="auto"/>
          </w:tcPr>
          <w:p w14:paraId="3CF0EFA5" w14:textId="77777777" w:rsidR="007C537B" w:rsidRPr="001B4F76" w:rsidRDefault="007C537B" w:rsidP="00C32221">
            <w:pPr>
              <w:pStyle w:val="Tablebodytext"/>
              <w:rPr>
                <w:lang w:eastAsia="en-AU"/>
              </w:rPr>
            </w:pPr>
            <w:r w:rsidRPr="001B4F76">
              <w:rPr>
                <w:lang w:eastAsia="en-AU"/>
              </w:rPr>
              <w:t>0.169*</w:t>
            </w:r>
          </w:p>
        </w:tc>
      </w:tr>
    </w:tbl>
    <w:p w14:paraId="048A8578" w14:textId="71C38E4A" w:rsidR="00F95AF6" w:rsidRPr="00C62F3A" w:rsidRDefault="00F95AF6" w:rsidP="00F23552">
      <w:pPr>
        <w:pStyle w:val="NoteWide"/>
        <w:ind w:left="-2552"/>
      </w:pPr>
      <w:r w:rsidRPr="00C62F3A">
        <w:t>Note</w:t>
      </w:r>
      <w:r>
        <w:t xml:space="preserve">s: </w:t>
      </w:r>
      <w:r w:rsidR="007C537B">
        <w:t xml:space="preserve">* </w:t>
      </w:r>
      <w:r w:rsidR="007C537B" w:rsidRPr="001B4F76">
        <w:t>Average score based on use of ABS Microdata</w:t>
      </w:r>
    </w:p>
    <w:p w14:paraId="512F12A7" w14:textId="2072FF0A" w:rsidR="00F95AF6" w:rsidRDefault="00F95AF6" w:rsidP="00F23552">
      <w:pPr>
        <w:pStyle w:val="SourceWide"/>
        <w:ind w:left="-2552"/>
      </w:pPr>
      <w:r>
        <w:t xml:space="preserve">Source: </w:t>
      </w:r>
      <w:r w:rsidR="007C537B" w:rsidRPr="0085039B">
        <w:t>Australian Bureau of Statistics 2016, Management and Organisational Capabilities of Australian Business</w:t>
      </w:r>
      <w:r w:rsidR="007C537B">
        <w:t>, 2015–</w:t>
      </w:r>
      <w:r w:rsidR="007C537B" w:rsidRPr="0085039B">
        <w:t>16. Expanded Confidentialised Unit Record File (CURF), ABS DataLab.</w:t>
      </w:r>
    </w:p>
    <w:p w14:paraId="037BF472" w14:textId="77777777" w:rsidR="00C9253C" w:rsidRDefault="00C9253C">
      <w:pPr>
        <w:spacing w:after="200" w:line="276" w:lineRule="auto"/>
        <w:ind w:left="0"/>
        <w:jc w:val="left"/>
        <w:rPr>
          <w:rFonts w:asciiTheme="majorHAnsi" w:eastAsiaTheme="majorEastAsia" w:hAnsiTheme="majorHAnsi" w:cstheme="majorBidi"/>
          <w:b/>
          <w:iCs/>
          <w:color w:val="56B4DF"/>
          <w:sz w:val="22"/>
          <w:lang w:val="en"/>
        </w:rPr>
      </w:pPr>
      <w:r>
        <w:rPr>
          <w:lang w:val="en"/>
        </w:rPr>
        <w:br w:type="page"/>
      </w:r>
    </w:p>
    <w:p w14:paraId="161CB858" w14:textId="548167E7" w:rsidR="00F95AF6" w:rsidRDefault="007C537B" w:rsidP="00611018">
      <w:pPr>
        <w:pStyle w:val="Heading7"/>
        <w:ind w:left="-1276"/>
        <w:rPr>
          <w:lang w:val="en"/>
        </w:rPr>
      </w:pPr>
      <w:r>
        <w:rPr>
          <w:lang w:val="en"/>
        </w:rPr>
        <w:lastRenderedPageBreak/>
        <w:t>Digital management capability</w:t>
      </w:r>
    </w:p>
    <w:p w14:paraId="7D409007" w14:textId="67D48253" w:rsidR="007C537B" w:rsidRPr="000618FB" w:rsidRDefault="007C537B" w:rsidP="00286565">
      <w:pPr>
        <w:pStyle w:val="CaptionWide"/>
      </w:pPr>
      <w:r w:rsidRPr="000618FB">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C</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3</w:t>
      </w:r>
      <w:r>
        <w:rPr>
          <w:noProof/>
        </w:rPr>
        <w:fldChar w:fldCharType="end"/>
      </w:r>
      <w:r>
        <w:t>: Digital management capability</w:t>
      </w:r>
    </w:p>
    <w:tbl>
      <w:tblPr>
        <w:tblW w:w="9796" w:type="dxa"/>
        <w:tblInd w:w="-1990" w:type="dxa"/>
        <w:tblBorders>
          <w:top w:val="single" w:sz="4" w:space="0" w:color="373737"/>
          <w:left w:val="single" w:sz="4" w:space="0" w:color="373737"/>
          <w:bottom w:val="single" w:sz="4" w:space="0" w:color="373737"/>
          <w:right w:val="single" w:sz="4" w:space="0" w:color="373737"/>
          <w:insideH w:val="single" w:sz="4" w:space="0" w:color="373737"/>
          <w:insideV w:val="single" w:sz="4" w:space="0" w:color="373737"/>
        </w:tblBorders>
        <w:tblLayout w:type="fixed"/>
        <w:tblCellMar>
          <w:top w:w="100" w:type="dxa"/>
          <w:left w:w="100" w:type="dxa"/>
          <w:bottom w:w="100" w:type="dxa"/>
          <w:right w:w="100" w:type="dxa"/>
        </w:tblCellMar>
        <w:tblLook w:val="0400" w:firstRow="0" w:lastRow="0" w:firstColumn="0" w:lastColumn="0" w:noHBand="0" w:noVBand="1"/>
        <w:tblCaption w:val="Table C3: Digital management capability"/>
        <w:tblDescription w:val="Table C3 shows in detail the elements used in the process of constructing the score of Digital Management Capability. This includes: i) the numbers of questions selected for the score;  ii) the structure type of the question: scaled, listed or scaled-listed; iii) the specific part of the selected question; iv) the weight assigned to the specific part of the selected question; v) the sub topic of the question; and vi)  the overall score assigned to the question. At the end of the Table, the Digital Management Capability (DMC) is calculated as a weighted average of the sub-scores calculated for each question."/>
      </w:tblPr>
      <w:tblGrid>
        <w:gridCol w:w="3119"/>
        <w:gridCol w:w="1213"/>
        <w:gridCol w:w="1134"/>
        <w:gridCol w:w="2409"/>
        <w:gridCol w:w="851"/>
        <w:gridCol w:w="1070"/>
      </w:tblGrid>
      <w:tr w:rsidR="00131F7A" w:rsidRPr="00DB0D75" w14:paraId="57E2DD81" w14:textId="77777777" w:rsidTr="00B008C7">
        <w:trPr>
          <w:tblHeader/>
        </w:trPr>
        <w:tc>
          <w:tcPr>
            <w:tcW w:w="3119" w:type="dxa"/>
            <w:tcBorders>
              <w:top w:val="single" w:sz="4" w:space="0" w:color="FFFFFF" w:themeColor="background1"/>
              <w:left w:val="nil"/>
              <w:bottom w:val="single" w:sz="4" w:space="0" w:color="FFFFFF" w:themeColor="background1"/>
              <w:right w:val="single" w:sz="4" w:space="0" w:color="FFFFFF" w:themeColor="background1"/>
            </w:tcBorders>
            <w:shd w:val="clear" w:color="auto" w:fill="005CAF" w:themeFill="accent1"/>
          </w:tcPr>
          <w:p w14:paraId="5B782ED4" w14:textId="77777777" w:rsidR="00131F7A" w:rsidRPr="0095513A" w:rsidRDefault="00131F7A" w:rsidP="00C32221">
            <w:pPr>
              <w:pStyle w:val="Tableheadertext"/>
              <w:rPr>
                <w:lang w:eastAsia="en-AU"/>
              </w:rPr>
            </w:pPr>
            <w:r w:rsidRPr="0095513A">
              <w:rPr>
                <w:lang w:eastAsia="en-AU"/>
              </w:rPr>
              <w:t>Question in MCM</w:t>
            </w:r>
          </w:p>
        </w:tc>
        <w:tc>
          <w:tcPr>
            <w:tcW w:w="12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2CA971B4" w14:textId="77777777" w:rsidR="00131F7A" w:rsidRPr="0095513A" w:rsidRDefault="00131F7A" w:rsidP="00C32221">
            <w:pPr>
              <w:pStyle w:val="Tableheadertext"/>
              <w:rPr>
                <w:lang w:eastAsia="en-AU"/>
              </w:rPr>
            </w:pPr>
            <w:r w:rsidRPr="0095513A">
              <w:rPr>
                <w:lang w:eastAsia="en-AU"/>
              </w:rPr>
              <w:t>Structure Type</w:t>
            </w:r>
          </w:p>
          <w:p w14:paraId="7B7BD570" w14:textId="77777777" w:rsidR="00131F7A" w:rsidRPr="0095513A" w:rsidRDefault="00131F7A" w:rsidP="00C32221">
            <w:pPr>
              <w:pStyle w:val="Tableheadertext"/>
              <w:rPr>
                <w:lang w:eastAsia="en-AU"/>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58B81BBA" w14:textId="77777777" w:rsidR="00131F7A" w:rsidRPr="0095513A" w:rsidRDefault="00131F7A" w:rsidP="00C32221">
            <w:pPr>
              <w:pStyle w:val="Tableheadertext"/>
              <w:rPr>
                <w:lang w:eastAsia="en-AU"/>
              </w:rPr>
            </w:pPr>
            <w:r w:rsidRPr="0095513A">
              <w:rPr>
                <w:lang w:eastAsia="en-AU"/>
              </w:rPr>
              <w:t>Question Part</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2A0C9A18" w14:textId="77777777" w:rsidR="00131F7A" w:rsidRPr="0095513A" w:rsidRDefault="00131F7A" w:rsidP="00C32221">
            <w:pPr>
              <w:pStyle w:val="Tableheadertext"/>
              <w:rPr>
                <w:lang w:eastAsia="en-AU"/>
              </w:rPr>
            </w:pPr>
            <w:r w:rsidRPr="0095513A">
              <w:rPr>
                <w:lang w:eastAsia="en-AU"/>
              </w:rPr>
              <w:t>Responses</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4080574C" w14:textId="77777777" w:rsidR="00131F7A" w:rsidRPr="0095513A" w:rsidRDefault="00131F7A" w:rsidP="00C32221">
            <w:pPr>
              <w:pStyle w:val="Tableheadertext"/>
              <w:rPr>
                <w:lang w:eastAsia="en-AU"/>
              </w:rPr>
            </w:pPr>
            <w:r w:rsidRPr="0095513A">
              <w:rPr>
                <w:lang w:eastAsia="en-AU"/>
              </w:rPr>
              <w:t>Weight</w:t>
            </w:r>
          </w:p>
        </w:tc>
        <w:tc>
          <w:tcPr>
            <w:tcW w:w="1070" w:type="dxa"/>
            <w:tcBorders>
              <w:top w:val="single" w:sz="4" w:space="0" w:color="FFFFFF" w:themeColor="background1"/>
              <w:left w:val="single" w:sz="4" w:space="0" w:color="FFFFFF" w:themeColor="background1"/>
              <w:bottom w:val="single" w:sz="4" w:space="0" w:color="FFFFFF" w:themeColor="background1"/>
              <w:right w:val="nil"/>
            </w:tcBorders>
            <w:shd w:val="clear" w:color="auto" w:fill="005CAF" w:themeFill="accent1"/>
          </w:tcPr>
          <w:p w14:paraId="16A1CA84" w14:textId="77777777" w:rsidR="00131F7A" w:rsidRPr="0095513A" w:rsidRDefault="00131F7A" w:rsidP="00C32221">
            <w:pPr>
              <w:pStyle w:val="Tableheadertext"/>
              <w:rPr>
                <w:lang w:eastAsia="en-AU"/>
              </w:rPr>
            </w:pPr>
            <w:r w:rsidRPr="0095513A">
              <w:rPr>
                <w:lang w:eastAsia="en-AU"/>
              </w:rPr>
              <w:t>Question Score</w:t>
            </w:r>
          </w:p>
        </w:tc>
      </w:tr>
      <w:tr w:rsidR="00131F7A" w:rsidRPr="00DB0D75" w14:paraId="0427BC68" w14:textId="77777777" w:rsidTr="00913D65">
        <w:trPr>
          <w:trHeight w:val="380"/>
        </w:trPr>
        <w:tc>
          <w:tcPr>
            <w:tcW w:w="3119" w:type="dxa"/>
            <w:vMerge w:val="restart"/>
            <w:tcBorders>
              <w:top w:val="single" w:sz="4" w:space="0" w:color="FFFFFF" w:themeColor="background1"/>
            </w:tcBorders>
          </w:tcPr>
          <w:p w14:paraId="35587681" w14:textId="77777777" w:rsidR="00131F7A" w:rsidRPr="00733572" w:rsidRDefault="00131F7A" w:rsidP="00C32221">
            <w:pPr>
              <w:pStyle w:val="Tablebodytext"/>
              <w:rPr>
                <w:lang w:eastAsia="en-AU"/>
              </w:rPr>
            </w:pPr>
            <w:r w:rsidRPr="00733572">
              <w:rPr>
                <w:lang w:eastAsia="en-AU"/>
              </w:rPr>
              <w:t>31. What areas were covered in this business’s strategic plan or policy?</w:t>
            </w:r>
          </w:p>
          <w:p w14:paraId="1DC70822" w14:textId="77777777" w:rsidR="00131F7A" w:rsidRPr="00733572" w:rsidRDefault="00131F7A" w:rsidP="00C32221">
            <w:pPr>
              <w:pStyle w:val="Tablebodytext"/>
              <w:rPr>
                <w:lang w:eastAsia="en-AU"/>
              </w:rPr>
            </w:pPr>
          </w:p>
        </w:tc>
        <w:tc>
          <w:tcPr>
            <w:tcW w:w="1213" w:type="dxa"/>
            <w:vMerge w:val="restart"/>
            <w:tcBorders>
              <w:top w:val="single" w:sz="4" w:space="0" w:color="FFFFFF" w:themeColor="background1"/>
            </w:tcBorders>
          </w:tcPr>
          <w:p w14:paraId="778FCEF3" w14:textId="77777777" w:rsidR="00131F7A" w:rsidRPr="00733572" w:rsidRDefault="00131F7A" w:rsidP="00C32221">
            <w:pPr>
              <w:pStyle w:val="Tablebodytext"/>
              <w:rPr>
                <w:lang w:eastAsia="en-AU"/>
              </w:rPr>
            </w:pPr>
            <w:r w:rsidRPr="00733572">
              <w:rPr>
                <w:lang w:eastAsia="en-AU"/>
              </w:rPr>
              <w:t>List</w:t>
            </w:r>
          </w:p>
        </w:tc>
        <w:tc>
          <w:tcPr>
            <w:tcW w:w="1134" w:type="dxa"/>
            <w:vMerge w:val="restart"/>
            <w:tcBorders>
              <w:top w:val="single" w:sz="4" w:space="0" w:color="FFFFFF" w:themeColor="background1"/>
            </w:tcBorders>
          </w:tcPr>
          <w:p w14:paraId="63032EDF" w14:textId="77777777" w:rsidR="00131F7A" w:rsidRPr="00733572" w:rsidRDefault="00131F7A" w:rsidP="00C32221">
            <w:pPr>
              <w:pStyle w:val="Tablebodytext"/>
              <w:rPr>
                <w:lang w:eastAsia="en-AU"/>
              </w:rPr>
            </w:pPr>
            <w:r w:rsidRPr="00733572">
              <w:rPr>
                <w:lang w:eastAsia="en-AU"/>
              </w:rPr>
              <w:t>g</w:t>
            </w:r>
          </w:p>
        </w:tc>
        <w:tc>
          <w:tcPr>
            <w:tcW w:w="2409" w:type="dxa"/>
            <w:vMerge w:val="restart"/>
            <w:tcBorders>
              <w:top w:val="single" w:sz="4" w:space="0" w:color="FFFFFF" w:themeColor="background1"/>
            </w:tcBorders>
          </w:tcPr>
          <w:p w14:paraId="0C29FEC0" w14:textId="77777777" w:rsidR="00131F7A" w:rsidRPr="00733572" w:rsidRDefault="00131F7A" w:rsidP="00C32221">
            <w:pPr>
              <w:pStyle w:val="Tablebodytext"/>
              <w:rPr>
                <w:lang w:eastAsia="en-AU"/>
              </w:rPr>
            </w:pPr>
            <w:r w:rsidRPr="00733572">
              <w:rPr>
                <w:lang w:eastAsia="en-AU"/>
              </w:rPr>
              <w:t>Information and communication technology (e.g. digital capability)</w:t>
            </w:r>
          </w:p>
        </w:tc>
        <w:tc>
          <w:tcPr>
            <w:tcW w:w="851" w:type="dxa"/>
            <w:tcBorders>
              <w:top w:val="single" w:sz="4" w:space="0" w:color="FFFFFF" w:themeColor="background1"/>
            </w:tcBorders>
          </w:tcPr>
          <w:p w14:paraId="421EC824" w14:textId="77777777" w:rsidR="00131F7A" w:rsidRPr="00733572" w:rsidRDefault="00131F7A" w:rsidP="00C32221">
            <w:pPr>
              <w:pStyle w:val="Tablebodytext"/>
              <w:rPr>
                <w:lang w:eastAsia="en-AU"/>
              </w:rPr>
            </w:pPr>
            <w:r w:rsidRPr="00733572">
              <w:rPr>
                <w:lang w:eastAsia="en-AU"/>
              </w:rPr>
              <w:t>1 (Yes)</w:t>
            </w:r>
          </w:p>
        </w:tc>
        <w:tc>
          <w:tcPr>
            <w:tcW w:w="1070" w:type="dxa"/>
            <w:vMerge w:val="restart"/>
            <w:tcBorders>
              <w:top w:val="single" w:sz="4" w:space="0" w:color="FFFFFF" w:themeColor="background1"/>
            </w:tcBorders>
          </w:tcPr>
          <w:p w14:paraId="31F0F65B" w14:textId="77777777" w:rsidR="00131F7A" w:rsidRPr="00733572" w:rsidRDefault="00131F7A" w:rsidP="00C32221">
            <w:pPr>
              <w:pStyle w:val="Tablebodytext"/>
              <w:rPr>
                <w:lang w:eastAsia="en-AU"/>
              </w:rPr>
            </w:pPr>
            <w:r w:rsidRPr="00733572">
              <w:rPr>
                <w:lang w:eastAsia="en-AU"/>
              </w:rPr>
              <w:t>0.232</w:t>
            </w:r>
          </w:p>
        </w:tc>
      </w:tr>
      <w:tr w:rsidR="00131F7A" w:rsidRPr="00DB0D75" w14:paraId="7448A8DD" w14:textId="77777777" w:rsidTr="00C32221">
        <w:trPr>
          <w:trHeight w:val="380"/>
        </w:trPr>
        <w:tc>
          <w:tcPr>
            <w:tcW w:w="3119" w:type="dxa"/>
            <w:vMerge/>
          </w:tcPr>
          <w:p w14:paraId="03738FDE" w14:textId="77777777" w:rsidR="00131F7A" w:rsidRPr="00733572" w:rsidRDefault="00131F7A" w:rsidP="00C32221">
            <w:pPr>
              <w:pStyle w:val="Tablebodytext"/>
              <w:rPr>
                <w:lang w:eastAsia="en-AU"/>
              </w:rPr>
            </w:pPr>
          </w:p>
        </w:tc>
        <w:tc>
          <w:tcPr>
            <w:tcW w:w="1213" w:type="dxa"/>
            <w:vMerge/>
          </w:tcPr>
          <w:p w14:paraId="0362DFF7" w14:textId="77777777" w:rsidR="00131F7A" w:rsidRPr="00733572" w:rsidRDefault="00131F7A" w:rsidP="00C32221">
            <w:pPr>
              <w:pStyle w:val="Tablebodytext"/>
              <w:rPr>
                <w:lang w:eastAsia="en-AU"/>
              </w:rPr>
            </w:pPr>
          </w:p>
        </w:tc>
        <w:tc>
          <w:tcPr>
            <w:tcW w:w="1134" w:type="dxa"/>
            <w:vMerge/>
          </w:tcPr>
          <w:p w14:paraId="0336AF92" w14:textId="77777777" w:rsidR="00131F7A" w:rsidRPr="00733572" w:rsidRDefault="00131F7A" w:rsidP="00C32221">
            <w:pPr>
              <w:pStyle w:val="Tablebodytext"/>
              <w:rPr>
                <w:lang w:eastAsia="en-AU"/>
              </w:rPr>
            </w:pPr>
          </w:p>
        </w:tc>
        <w:tc>
          <w:tcPr>
            <w:tcW w:w="2409" w:type="dxa"/>
            <w:vMerge/>
          </w:tcPr>
          <w:p w14:paraId="63FA274A" w14:textId="77777777" w:rsidR="00131F7A" w:rsidRPr="00733572" w:rsidRDefault="00131F7A" w:rsidP="00C32221">
            <w:pPr>
              <w:pStyle w:val="Tablebodytext"/>
              <w:rPr>
                <w:lang w:eastAsia="en-AU"/>
              </w:rPr>
            </w:pPr>
          </w:p>
        </w:tc>
        <w:tc>
          <w:tcPr>
            <w:tcW w:w="851" w:type="dxa"/>
          </w:tcPr>
          <w:p w14:paraId="0EC22505" w14:textId="77777777" w:rsidR="00131F7A" w:rsidRPr="00733572" w:rsidRDefault="00131F7A" w:rsidP="00C32221">
            <w:pPr>
              <w:pStyle w:val="Tablebodytext"/>
              <w:rPr>
                <w:lang w:eastAsia="en-AU"/>
              </w:rPr>
            </w:pPr>
            <w:r w:rsidRPr="00733572">
              <w:rPr>
                <w:lang w:eastAsia="en-AU"/>
              </w:rPr>
              <w:t>0 (No)</w:t>
            </w:r>
          </w:p>
        </w:tc>
        <w:tc>
          <w:tcPr>
            <w:tcW w:w="1070" w:type="dxa"/>
            <w:vMerge/>
          </w:tcPr>
          <w:p w14:paraId="4912E0D8" w14:textId="77777777" w:rsidR="00131F7A" w:rsidRPr="00733572" w:rsidRDefault="00131F7A" w:rsidP="00C32221">
            <w:pPr>
              <w:pStyle w:val="Tablebodytext"/>
              <w:rPr>
                <w:lang w:eastAsia="en-AU"/>
              </w:rPr>
            </w:pPr>
          </w:p>
        </w:tc>
      </w:tr>
      <w:tr w:rsidR="00131F7A" w:rsidRPr="00DB0D75" w14:paraId="2E5397E0" w14:textId="77777777" w:rsidTr="00C32221">
        <w:trPr>
          <w:trHeight w:val="260"/>
        </w:trPr>
        <w:tc>
          <w:tcPr>
            <w:tcW w:w="3119" w:type="dxa"/>
            <w:vMerge w:val="restart"/>
          </w:tcPr>
          <w:p w14:paraId="228323CB" w14:textId="77777777" w:rsidR="00131F7A" w:rsidRPr="00733572" w:rsidRDefault="00131F7A" w:rsidP="00C32221">
            <w:pPr>
              <w:pStyle w:val="Tablebodytext"/>
              <w:rPr>
                <w:lang w:eastAsia="en-AU"/>
              </w:rPr>
            </w:pPr>
            <w:r w:rsidRPr="00733572">
              <w:rPr>
                <w:lang w:eastAsia="en-AU"/>
              </w:rPr>
              <w:t>49. Were any of the following management practices for the use of information and communication technologies and/or the internet implemented?</w:t>
            </w:r>
          </w:p>
        </w:tc>
        <w:tc>
          <w:tcPr>
            <w:tcW w:w="1213" w:type="dxa"/>
            <w:vMerge w:val="restart"/>
          </w:tcPr>
          <w:p w14:paraId="1C00DFD1" w14:textId="77777777" w:rsidR="00131F7A" w:rsidRPr="00733572" w:rsidRDefault="00131F7A" w:rsidP="00C32221">
            <w:pPr>
              <w:pStyle w:val="Tablebodytext"/>
              <w:rPr>
                <w:lang w:eastAsia="en-AU"/>
              </w:rPr>
            </w:pPr>
            <w:r w:rsidRPr="00733572">
              <w:rPr>
                <w:lang w:eastAsia="en-AU"/>
              </w:rPr>
              <w:t>List</w:t>
            </w:r>
          </w:p>
        </w:tc>
        <w:tc>
          <w:tcPr>
            <w:tcW w:w="1134" w:type="dxa"/>
            <w:vAlign w:val="center"/>
          </w:tcPr>
          <w:p w14:paraId="689709D3" w14:textId="77777777" w:rsidR="00131F7A" w:rsidRPr="00733572" w:rsidRDefault="00131F7A" w:rsidP="00C32221">
            <w:pPr>
              <w:pStyle w:val="Tablebodytext"/>
              <w:rPr>
                <w:lang w:eastAsia="en-AU"/>
              </w:rPr>
            </w:pPr>
            <w:r w:rsidRPr="00733572">
              <w:rPr>
                <w:color w:val="000000"/>
                <w:lang w:eastAsia="en-AU"/>
              </w:rPr>
              <w:t>a</w:t>
            </w:r>
          </w:p>
        </w:tc>
        <w:tc>
          <w:tcPr>
            <w:tcW w:w="2409" w:type="dxa"/>
          </w:tcPr>
          <w:p w14:paraId="0560C6A3" w14:textId="77777777" w:rsidR="00131F7A" w:rsidRPr="00733572" w:rsidRDefault="00131F7A" w:rsidP="00C32221">
            <w:pPr>
              <w:pStyle w:val="Tablebodytext"/>
              <w:rPr>
                <w:lang w:eastAsia="en-AU"/>
              </w:rPr>
            </w:pPr>
            <w:r w:rsidRPr="00733572">
              <w:rPr>
                <w:lang w:eastAsia="en-AU"/>
              </w:rPr>
              <w:t>Introduced or changed a digital business strategy</w:t>
            </w:r>
          </w:p>
        </w:tc>
        <w:tc>
          <w:tcPr>
            <w:tcW w:w="851" w:type="dxa"/>
          </w:tcPr>
          <w:p w14:paraId="6CB10CAA" w14:textId="77777777" w:rsidR="00131F7A" w:rsidRPr="00733572" w:rsidRDefault="00131F7A" w:rsidP="00C32221">
            <w:pPr>
              <w:pStyle w:val="Tablebodytext"/>
              <w:rPr>
                <w:lang w:eastAsia="en-AU"/>
              </w:rPr>
            </w:pPr>
            <w:r w:rsidRPr="00733572">
              <w:rPr>
                <w:lang w:eastAsia="en-AU"/>
              </w:rPr>
              <w:t>1</w:t>
            </w:r>
          </w:p>
        </w:tc>
        <w:tc>
          <w:tcPr>
            <w:tcW w:w="1070" w:type="dxa"/>
          </w:tcPr>
          <w:p w14:paraId="5F3FD176" w14:textId="77777777" w:rsidR="00131F7A" w:rsidRPr="00733572" w:rsidRDefault="00131F7A" w:rsidP="00C32221">
            <w:pPr>
              <w:pStyle w:val="Tablebodytext"/>
              <w:rPr>
                <w:lang w:eastAsia="en-AU"/>
              </w:rPr>
            </w:pPr>
            <w:r w:rsidRPr="00733572">
              <w:rPr>
                <w:lang w:eastAsia="en-AU"/>
              </w:rPr>
              <w:t>0.135</w:t>
            </w:r>
          </w:p>
        </w:tc>
      </w:tr>
      <w:tr w:rsidR="00131F7A" w:rsidRPr="00DB0D75" w14:paraId="7387B543" w14:textId="77777777" w:rsidTr="00C32221">
        <w:trPr>
          <w:trHeight w:val="260"/>
        </w:trPr>
        <w:tc>
          <w:tcPr>
            <w:tcW w:w="3119" w:type="dxa"/>
            <w:vMerge/>
          </w:tcPr>
          <w:p w14:paraId="57F63774" w14:textId="77777777" w:rsidR="00131F7A" w:rsidRPr="00733572" w:rsidRDefault="00131F7A" w:rsidP="00C32221">
            <w:pPr>
              <w:pStyle w:val="Tablebodytext"/>
              <w:rPr>
                <w:lang w:eastAsia="en-AU"/>
              </w:rPr>
            </w:pPr>
          </w:p>
        </w:tc>
        <w:tc>
          <w:tcPr>
            <w:tcW w:w="1213" w:type="dxa"/>
            <w:vMerge/>
          </w:tcPr>
          <w:p w14:paraId="1BBA3722" w14:textId="77777777" w:rsidR="00131F7A" w:rsidRPr="00733572" w:rsidRDefault="00131F7A" w:rsidP="00C32221">
            <w:pPr>
              <w:pStyle w:val="Tablebodytext"/>
              <w:rPr>
                <w:lang w:eastAsia="en-AU"/>
              </w:rPr>
            </w:pPr>
          </w:p>
        </w:tc>
        <w:tc>
          <w:tcPr>
            <w:tcW w:w="1134" w:type="dxa"/>
            <w:vAlign w:val="center"/>
          </w:tcPr>
          <w:p w14:paraId="51E1CC99" w14:textId="77777777" w:rsidR="00131F7A" w:rsidRPr="00733572" w:rsidRDefault="00131F7A" w:rsidP="00C32221">
            <w:pPr>
              <w:pStyle w:val="Tablebodytext"/>
              <w:rPr>
                <w:lang w:eastAsia="en-AU"/>
              </w:rPr>
            </w:pPr>
            <w:r w:rsidRPr="00733572">
              <w:rPr>
                <w:color w:val="000000"/>
                <w:lang w:eastAsia="en-AU"/>
              </w:rPr>
              <w:t>b</w:t>
            </w:r>
          </w:p>
        </w:tc>
        <w:tc>
          <w:tcPr>
            <w:tcW w:w="2409" w:type="dxa"/>
          </w:tcPr>
          <w:p w14:paraId="5E72DABA" w14:textId="77777777" w:rsidR="00131F7A" w:rsidRPr="00733572" w:rsidRDefault="00131F7A" w:rsidP="00C32221">
            <w:pPr>
              <w:pStyle w:val="Tablebodytext"/>
              <w:rPr>
                <w:lang w:eastAsia="en-AU"/>
              </w:rPr>
            </w:pPr>
            <w:r w:rsidRPr="00733572">
              <w:rPr>
                <w:lang w:eastAsia="en-AU"/>
              </w:rPr>
              <w:t>Approved the investment in new digital technologies or infrastructure for this business</w:t>
            </w:r>
          </w:p>
        </w:tc>
        <w:tc>
          <w:tcPr>
            <w:tcW w:w="851" w:type="dxa"/>
          </w:tcPr>
          <w:p w14:paraId="773E06E8" w14:textId="77777777" w:rsidR="00131F7A" w:rsidRPr="00733572" w:rsidRDefault="00131F7A" w:rsidP="00C32221">
            <w:pPr>
              <w:pStyle w:val="Tablebodytext"/>
              <w:rPr>
                <w:lang w:eastAsia="en-AU"/>
              </w:rPr>
            </w:pPr>
            <w:r w:rsidRPr="00733572">
              <w:rPr>
                <w:lang w:eastAsia="en-AU"/>
              </w:rPr>
              <w:t>1</w:t>
            </w:r>
          </w:p>
        </w:tc>
        <w:tc>
          <w:tcPr>
            <w:tcW w:w="1070" w:type="dxa"/>
          </w:tcPr>
          <w:p w14:paraId="219BDD5B" w14:textId="77777777" w:rsidR="00131F7A" w:rsidRPr="00733572" w:rsidRDefault="00131F7A" w:rsidP="00C32221">
            <w:pPr>
              <w:pStyle w:val="Tablebodytext"/>
              <w:rPr>
                <w:lang w:eastAsia="en-AU"/>
              </w:rPr>
            </w:pPr>
            <w:r w:rsidRPr="00733572">
              <w:rPr>
                <w:lang w:eastAsia="en-AU"/>
              </w:rPr>
              <w:t>0.202</w:t>
            </w:r>
          </w:p>
        </w:tc>
      </w:tr>
      <w:tr w:rsidR="00131F7A" w:rsidRPr="00DB0D75" w14:paraId="6B8D6E57" w14:textId="77777777" w:rsidTr="00C32221">
        <w:trPr>
          <w:trHeight w:val="260"/>
        </w:trPr>
        <w:tc>
          <w:tcPr>
            <w:tcW w:w="3119" w:type="dxa"/>
            <w:vMerge/>
          </w:tcPr>
          <w:p w14:paraId="3841B6F0" w14:textId="77777777" w:rsidR="00131F7A" w:rsidRPr="00733572" w:rsidRDefault="00131F7A" w:rsidP="00C32221">
            <w:pPr>
              <w:pStyle w:val="Tablebodytext"/>
              <w:rPr>
                <w:lang w:eastAsia="en-AU"/>
              </w:rPr>
            </w:pPr>
          </w:p>
        </w:tc>
        <w:tc>
          <w:tcPr>
            <w:tcW w:w="1213" w:type="dxa"/>
            <w:vMerge/>
          </w:tcPr>
          <w:p w14:paraId="4C13E8BB" w14:textId="77777777" w:rsidR="00131F7A" w:rsidRPr="00733572" w:rsidRDefault="00131F7A" w:rsidP="00C32221">
            <w:pPr>
              <w:pStyle w:val="Tablebodytext"/>
              <w:rPr>
                <w:lang w:eastAsia="en-AU"/>
              </w:rPr>
            </w:pPr>
          </w:p>
        </w:tc>
        <w:tc>
          <w:tcPr>
            <w:tcW w:w="1134" w:type="dxa"/>
            <w:vAlign w:val="center"/>
          </w:tcPr>
          <w:p w14:paraId="32D43C14" w14:textId="77777777" w:rsidR="00131F7A" w:rsidRPr="00733572" w:rsidRDefault="00131F7A" w:rsidP="00C32221">
            <w:pPr>
              <w:pStyle w:val="Tablebodytext"/>
              <w:rPr>
                <w:lang w:eastAsia="en-AU"/>
              </w:rPr>
            </w:pPr>
            <w:r w:rsidRPr="00733572">
              <w:rPr>
                <w:color w:val="000000"/>
                <w:lang w:eastAsia="en-AU"/>
              </w:rPr>
              <w:t>c</w:t>
            </w:r>
          </w:p>
        </w:tc>
        <w:tc>
          <w:tcPr>
            <w:tcW w:w="2409" w:type="dxa"/>
          </w:tcPr>
          <w:p w14:paraId="1311A58F" w14:textId="77777777" w:rsidR="00131F7A" w:rsidRPr="00733572" w:rsidRDefault="00131F7A" w:rsidP="00C32221">
            <w:pPr>
              <w:pStyle w:val="Tablebodytext"/>
              <w:rPr>
                <w:lang w:eastAsia="en-AU"/>
              </w:rPr>
            </w:pPr>
            <w:r w:rsidRPr="00733572">
              <w:rPr>
                <w:lang w:eastAsia="en-AU"/>
              </w:rPr>
              <w:t>Introduced new training programs to upskill staff</w:t>
            </w:r>
          </w:p>
        </w:tc>
        <w:tc>
          <w:tcPr>
            <w:tcW w:w="851" w:type="dxa"/>
          </w:tcPr>
          <w:p w14:paraId="27090DB5" w14:textId="77777777" w:rsidR="00131F7A" w:rsidRPr="00733572" w:rsidRDefault="00131F7A" w:rsidP="00C32221">
            <w:pPr>
              <w:pStyle w:val="Tablebodytext"/>
              <w:rPr>
                <w:lang w:eastAsia="en-AU"/>
              </w:rPr>
            </w:pPr>
            <w:r w:rsidRPr="00733572">
              <w:rPr>
                <w:lang w:eastAsia="en-AU"/>
              </w:rPr>
              <w:t>1</w:t>
            </w:r>
          </w:p>
        </w:tc>
        <w:tc>
          <w:tcPr>
            <w:tcW w:w="1070" w:type="dxa"/>
          </w:tcPr>
          <w:p w14:paraId="215F996B" w14:textId="77777777" w:rsidR="00131F7A" w:rsidRPr="00733572" w:rsidRDefault="00131F7A" w:rsidP="00C32221">
            <w:pPr>
              <w:pStyle w:val="Tablebodytext"/>
              <w:rPr>
                <w:lang w:eastAsia="en-AU"/>
              </w:rPr>
            </w:pPr>
            <w:r w:rsidRPr="00733572">
              <w:rPr>
                <w:lang w:eastAsia="en-AU"/>
              </w:rPr>
              <w:t>0.154</w:t>
            </w:r>
          </w:p>
        </w:tc>
      </w:tr>
      <w:tr w:rsidR="00131F7A" w:rsidRPr="00DB0D75" w14:paraId="7740BC98" w14:textId="77777777" w:rsidTr="00C32221">
        <w:trPr>
          <w:trHeight w:val="260"/>
        </w:trPr>
        <w:tc>
          <w:tcPr>
            <w:tcW w:w="3119" w:type="dxa"/>
            <w:vMerge/>
          </w:tcPr>
          <w:p w14:paraId="2BCF02F5" w14:textId="77777777" w:rsidR="00131F7A" w:rsidRPr="00DB0D75" w:rsidRDefault="00131F7A" w:rsidP="00C32221">
            <w:pPr>
              <w:pStyle w:val="Tablebodytext"/>
              <w:rPr>
                <w:lang w:eastAsia="en-AU"/>
              </w:rPr>
            </w:pPr>
          </w:p>
        </w:tc>
        <w:tc>
          <w:tcPr>
            <w:tcW w:w="1213" w:type="dxa"/>
            <w:vMerge/>
          </w:tcPr>
          <w:p w14:paraId="3FB13484" w14:textId="77777777" w:rsidR="00131F7A" w:rsidRPr="00DB0D75" w:rsidRDefault="00131F7A" w:rsidP="00C32221">
            <w:pPr>
              <w:pStyle w:val="Tablebodytext"/>
              <w:rPr>
                <w:lang w:eastAsia="en-AU"/>
              </w:rPr>
            </w:pPr>
          </w:p>
        </w:tc>
        <w:tc>
          <w:tcPr>
            <w:tcW w:w="1134" w:type="dxa"/>
            <w:vAlign w:val="center"/>
          </w:tcPr>
          <w:p w14:paraId="0C3878AF" w14:textId="77777777" w:rsidR="00131F7A" w:rsidRPr="00DB0D75" w:rsidRDefault="00131F7A" w:rsidP="00C32221">
            <w:pPr>
              <w:pStyle w:val="Tablebodytext"/>
              <w:rPr>
                <w:lang w:eastAsia="en-AU"/>
              </w:rPr>
            </w:pPr>
            <w:r w:rsidRPr="00DB0D75">
              <w:rPr>
                <w:color w:val="000000"/>
                <w:lang w:eastAsia="en-AU"/>
              </w:rPr>
              <w:t>d</w:t>
            </w:r>
          </w:p>
        </w:tc>
        <w:tc>
          <w:tcPr>
            <w:tcW w:w="2409" w:type="dxa"/>
          </w:tcPr>
          <w:p w14:paraId="6D7A850C" w14:textId="77777777" w:rsidR="00131F7A" w:rsidRPr="00DB0D75" w:rsidRDefault="00131F7A" w:rsidP="00C32221">
            <w:pPr>
              <w:pStyle w:val="Tablebodytext"/>
              <w:rPr>
                <w:lang w:eastAsia="en-AU"/>
              </w:rPr>
            </w:pPr>
            <w:r w:rsidRPr="00DB0D75">
              <w:rPr>
                <w:lang w:eastAsia="en-AU"/>
              </w:rPr>
              <w:t>Reviewed staff performance against digital skills targets</w:t>
            </w:r>
          </w:p>
        </w:tc>
        <w:tc>
          <w:tcPr>
            <w:tcW w:w="851" w:type="dxa"/>
          </w:tcPr>
          <w:p w14:paraId="104F1566" w14:textId="77777777" w:rsidR="00131F7A" w:rsidRPr="00DB0D75" w:rsidRDefault="00131F7A" w:rsidP="00C32221">
            <w:pPr>
              <w:pStyle w:val="Tablebodytext"/>
              <w:rPr>
                <w:lang w:eastAsia="en-AU"/>
              </w:rPr>
            </w:pPr>
            <w:r w:rsidRPr="00DB0D75">
              <w:rPr>
                <w:lang w:eastAsia="en-AU"/>
              </w:rPr>
              <w:t>1</w:t>
            </w:r>
          </w:p>
        </w:tc>
        <w:tc>
          <w:tcPr>
            <w:tcW w:w="1070" w:type="dxa"/>
          </w:tcPr>
          <w:p w14:paraId="44F49D3B" w14:textId="77777777" w:rsidR="00131F7A" w:rsidRPr="00DB0D75" w:rsidRDefault="00131F7A" w:rsidP="00C32221">
            <w:pPr>
              <w:pStyle w:val="Tablebodytext"/>
              <w:rPr>
                <w:lang w:eastAsia="en-AU"/>
              </w:rPr>
            </w:pPr>
            <w:r w:rsidRPr="00DB0D75">
              <w:rPr>
                <w:lang w:eastAsia="en-AU"/>
              </w:rPr>
              <w:t>0.044</w:t>
            </w:r>
          </w:p>
        </w:tc>
      </w:tr>
      <w:tr w:rsidR="00131F7A" w:rsidRPr="00DB0D75" w14:paraId="424DACB6" w14:textId="77777777" w:rsidTr="00C32221">
        <w:trPr>
          <w:trHeight w:val="260"/>
        </w:trPr>
        <w:tc>
          <w:tcPr>
            <w:tcW w:w="3119" w:type="dxa"/>
            <w:vMerge/>
          </w:tcPr>
          <w:p w14:paraId="098FFD19" w14:textId="77777777" w:rsidR="00131F7A" w:rsidRPr="00DB0D75" w:rsidRDefault="00131F7A" w:rsidP="00C32221">
            <w:pPr>
              <w:pStyle w:val="Tablebodytext"/>
              <w:rPr>
                <w:lang w:eastAsia="en-AU"/>
              </w:rPr>
            </w:pPr>
          </w:p>
        </w:tc>
        <w:tc>
          <w:tcPr>
            <w:tcW w:w="1213" w:type="dxa"/>
            <w:vMerge/>
          </w:tcPr>
          <w:p w14:paraId="73ED4E84" w14:textId="77777777" w:rsidR="00131F7A" w:rsidRPr="00DB0D75" w:rsidRDefault="00131F7A" w:rsidP="00C32221">
            <w:pPr>
              <w:pStyle w:val="Tablebodytext"/>
              <w:rPr>
                <w:lang w:eastAsia="en-AU"/>
              </w:rPr>
            </w:pPr>
          </w:p>
        </w:tc>
        <w:tc>
          <w:tcPr>
            <w:tcW w:w="1134" w:type="dxa"/>
            <w:vAlign w:val="center"/>
          </w:tcPr>
          <w:p w14:paraId="71EA251F" w14:textId="77777777" w:rsidR="00131F7A" w:rsidRPr="00DB0D75" w:rsidRDefault="00131F7A" w:rsidP="00C32221">
            <w:pPr>
              <w:pStyle w:val="Tablebodytext"/>
              <w:rPr>
                <w:lang w:eastAsia="en-AU"/>
              </w:rPr>
            </w:pPr>
            <w:r w:rsidRPr="00DB0D75">
              <w:rPr>
                <w:color w:val="000000"/>
                <w:lang w:eastAsia="en-AU"/>
              </w:rPr>
              <w:t>e</w:t>
            </w:r>
          </w:p>
        </w:tc>
        <w:tc>
          <w:tcPr>
            <w:tcW w:w="2409" w:type="dxa"/>
          </w:tcPr>
          <w:p w14:paraId="3E9F0A2D" w14:textId="77777777" w:rsidR="00131F7A" w:rsidRPr="00DB0D75" w:rsidRDefault="00131F7A" w:rsidP="00C32221">
            <w:pPr>
              <w:pStyle w:val="Tablebodytext"/>
              <w:rPr>
                <w:lang w:eastAsia="en-AU"/>
              </w:rPr>
            </w:pPr>
            <w:r w:rsidRPr="00DB0D75">
              <w:rPr>
                <w:lang w:eastAsia="en-AU"/>
              </w:rPr>
              <w:t>Rewarded individuals or teams involved in the successful introduction of digital technologies or processes</w:t>
            </w:r>
          </w:p>
        </w:tc>
        <w:tc>
          <w:tcPr>
            <w:tcW w:w="851" w:type="dxa"/>
          </w:tcPr>
          <w:p w14:paraId="76563A2F" w14:textId="77777777" w:rsidR="00131F7A" w:rsidRPr="00DB0D75" w:rsidRDefault="00131F7A" w:rsidP="00C32221">
            <w:pPr>
              <w:pStyle w:val="Tablebodytext"/>
              <w:rPr>
                <w:lang w:eastAsia="en-AU"/>
              </w:rPr>
            </w:pPr>
            <w:r w:rsidRPr="00DB0D75">
              <w:rPr>
                <w:lang w:eastAsia="en-AU"/>
              </w:rPr>
              <w:t>1</w:t>
            </w:r>
          </w:p>
        </w:tc>
        <w:tc>
          <w:tcPr>
            <w:tcW w:w="1070" w:type="dxa"/>
          </w:tcPr>
          <w:p w14:paraId="6503151B" w14:textId="77777777" w:rsidR="00131F7A" w:rsidRPr="00DB0D75" w:rsidRDefault="00131F7A" w:rsidP="00C32221">
            <w:pPr>
              <w:pStyle w:val="Tablebodytext"/>
              <w:rPr>
                <w:lang w:eastAsia="en-AU"/>
              </w:rPr>
            </w:pPr>
            <w:r w:rsidRPr="00DB0D75">
              <w:rPr>
                <w:lang w:eastAsia="en-AU"/>
              </w:rPr>
              <w:t>0.034</w:t>
            </w:r>
          </w:p>
        </w:tc>
      </w:tr>
      <w:tr w:rsidR="00131F7A" w:rsidRPr="00DB0D75" w14:paraId="14AC642D" w14:textId="77777777" w:rsidTr="00C32221">
        <w:trPr>
          <w:trHeight w:val="260"/>
        </w:trPr>
        <w:tc>
          <w:tcPr>
            <w:tcW w:w="3119" w:type="dxa"/>
            <w:vMerge/>
          </w:tcPr>
          <w:p w14:paraId="38E79E48" w14:textId="77777777" w:rsidR="00131F7A" w:rsidRPr="00DB0D75" w:rsidRDefault="00131F7A" w:rsidP="00C32221">
            <w:pPr>
              <w:pStyle w:val="Tablebodytext"/>
              <w:rPr>
                <w:lang w:eastAsia="en-AU"/>
              </w:rPr>
            </w:pPr>
          </w:p>
        </w:tc>
        <w:tc>
          <w:tcPr>
            <w:tcW w:w="1213" w:type="dxa"/>
            <w:vMerge/>
          </w:tcPr>
          <w:p w14:paraId="28AFF3AB" w14:textId="77777777" w:rsidR="00131F7A" w:rsidRPr="00DB0D75" w:rsidRDefault="00131F7A" w:rsidP="00C32221">
            <w:pPr>
              <w:pStyle w:val="Tablebodytext"/>
              <w:rPr>
                <w:lang w:eastAsia="en-AU"/>
              </w:rPr>
            </w:pPr>
          </w:p>
        </w:tc>
        <w:tc>
          <w:tcPr>
            <w:tcW w:w="1134" w:type="dxa"/>
            <w:vAlign w:val="center"/>
          </w:tcPr>
          <w:p w14:paraId="0123B3DA" w14:textId="77777777" w:rsidR="00131F7A" w:rsidRPr="00DB0D75" w:rsidRDefault="00131F7A" w:rsidP="00C32221">
            <w:pPr>
              <w:pStyle w:val="Tablebodytext"/>
              <w:rPr>
                <w:lang w:eastAsia="en-AU"/>
              </w:rPr>
            </w:pPr>
            <w:r w:rsidRPr="00DB0D75">
              <w:rPr>
                <w:color w:val="000000"/>
                <w:lang w:eastAsia="en-AU"/>
              </w:rPr>
              <w:t>g</w:t>
            </w:r>
          </w:p>
        </w:tc>
        <w:tc>
          <w:tcPr>
            <w:tcW w:w="2409" w:type="dxa"/>
          </w:tcPr>
          <w:p w14:paraId="51B765AC" w14:textId="77777777" w:rsidR="00131F7A" w:rsidRPr="00DB0D75" w:rsidRDefault="00131F7A" w:rsidP="00C32221">
            <w:pPr>
              <w:pStyle w:val="Tablebodytext"/>
              <w:rPr>
                <w:lang w:eastAsia="en-AU"/>
              </w:rPr>
            </w:pPr>
            <w:r w:rsidRPr="00DB0D75">
              <w:rPr>
                <w:lang w:eastAsia="en-AU"/>
              </w:rPr>
              <w:t>Measured the contribution of digital activities to overall business performance</w:t>
            </w:r>
          </w:p>
        </w:tc>
        <w:tc>
          <w:tcPr>
            <w:tcW w:w="851" w:type="dxa"/>
          </w:tcPr>
          <w:p w14:paraId="03C44929" w14:textId="77777777" w:rsidR="00131F7A" w:rsidRPr="00DB0D75" w:rsidRDefault="00131F7A" w:rsidP="00C32221">
            <w:pPr>
              <w:pStyle w:val="Tablebodytext"/>
              <w:rPr>
                <w:lang w:eastAsia="en-AU"/>
              </w:rPr>
            </w:pPr>
            <w:r w:rsidRPr="00DB0D75">
              <w:rPr>
                <w:lang w:eastAsia="en-AU"/>
              </w:rPr>
              <w:t>1</w:t>
            </w:r>
          </w:p>
        </w:tc>
        <w:tc>
          <w:tcPr>
            <w:tcW w:w="1070" w:type="dxa"/>
          </w:tcPr>
          <w:p w14:paraId="1C376863" w14:textId="77777777" w:rsidR="00131F7A" w:rsidRPr="00DB0D75" w:rsidRDefault="00131F7A" w:rsidP="00C32221">
            <w:pPr>
              <w:pStyle w:val="Tablebodytext"/>
              <w:rPr>
                <w:lang w:eastAsia="en-AU"/>
              </w:rPr>
            </w:pPr>
            <w:r w:rsidRPr="00DB0D75">
              <w:rPr>
                <w:lang w:eastAsia="en-AU"/>
              </w:rPr>
              <w:t>0.054</w:t>
            </w:r>
          </w:p>
        </w:tc>
      </w:tr>
      <w:tr w:rsidR="00131F7A" w:rsidRPr="00DB0D75" w14:paraId="620EB227" w14:textId="77777777" w:rsidTr="00C32221">
        <w:trPr>
          <w:trHeight w:val="260"/>
        </w:trPr>
        <w:tc>
          <w:tcPr>
            <w:tcW w:w="3119" w:type="dxa"/>
            <w:vMerge/>
          </w:tcPr>
          <w:p w14:paraId="348BCD64" w14:textId="77777777" w:rsidR="00131F7A" w:rsidRPr="00DB0D75" w:rsidRDefault="00131F7A" w:rsidP="00C32221">
            <w:pPr>
              <w:pStyle w:val="Tablebodytext"/>
              <w:rPr>
                <w:lang w:eastAsia="en-AU"/>
              </w:rPr>
            </w:pPr>
          </w:p>
        </w:tc>
        <w:tc>
          <w:tcPr>
            <w:tcW w:w="1213" w:type="dxa"/>
            <w:vMerge/>
          </w:tcPr>
          <w:p w14:paraId="72535442" w14:textId="77777777" w:rsidR="00131F7A" w:rsidRPr="00DB0D75" w:rsidRDefault="00131F7A" w:rsidP="00C32221">
            <w:pPr>
              <w:pStyle w:val="Tablebodytext"/>
              <w:rPr>
                <w:lang w:eastAsia="en-AU"/>
              </w:rPr>
            </w:pPr>
          </w:p>
        </w:tc>
        <w:tc>
          <w:tcPr>
            <w:tcW w:w="1134" w:type="dxa"/>
            <w:vAlign w:val="center"/>
          </w:tcPr>
          <w:p w14:paraId="01D46D81" w14:textId="77777777" w:rsidR="00131F7A" w:rsidRPr="00DB0D75" w:rsidRDefault="00131F7A" w:rsidP="00C32221">
            <w:pPr>
              <w:pStyle w:val="Tablebodytext"/>
              <w:rPr>
                <w:lang w:eastAsia="en-AU"/>
              </w:rPr>
            </w:pPr>
            <w:r w:rsidRPr="00DB0D75">
              <w:rPr>
                <w:color w:val="000000"/>
                <w:lang w:eastAsia="en-AU"/>
              </w:rPr>
              <w:t>h</w:t>
            </w:r>
          </w:p>
        </w:tc>
        <w:tc>
          <w:tcPr>
            <w:tcW w:w="2409" w:type="dxa"/>
          </w:tcPr>
          <w:p w14:paraId="4D79955A" w14:textId="77777777" w:rsidR="00131F7A" w:rsidRPr="00DB0D75" w:rsidRDefault="00131F7A" w:rsidP="00C32221">
            <w:pPr>
              <w:pStyle w:val="Tablebodytext"/>
              <w:rPr>
                <w:lang w:eastAsia="en-AU"/>
              </w:rPr>
            </w:pPr>
            <w:r w:rsidRPr="00DB0D75">
              <w:rPr>
                <w:lang w:eastAsia="en-AU"/>
              </w:rPr>
              <w:t>Joint buying of digital technology or services</w:t>
            </w:r>
          </w:p>
        </w:tc>
        <w:tc>
          <w:tcPr>
            <w:tcW w:w="851" w:type="dxa"/>
          </w:tcPr>
          <w:p w14:paraId="4C636CF9" w14:textId="77777777" w:rsidR="00131F7A" w:rsidRPr="00DB0D75" w:rsidRDefault="00131F7A" w:rsidP="00C32221">
            <w:pPr>
              <w:pStyle w:val="Tablebodytext"/>
              <w:rPr>
                <w:lang w:eastAsia="en-AU"/>
              </w:rPr>
            </w:pPr>
            <w:r w:rsidRPr="00DB0D75">
              <w:rPr>
                <w:lang w:eastAsia="en-AU"/>
              </w:rPr>
              <w:t>1</w:t>
            </w:r>
          </w:p>
        </w:tc>
        <w:tc>
          <w:tcPr>
            <w:tcW w:w="1070" w:type="dxa"/>
          </w:tcPr>
          <w:p w14:paraId="1D585DAF" w14:textId="77777777" w:rsidR="00131F7A" w:rsidRPr="00DB0D75" w:rsidRDefault="00131F7A" w:rsidP="00C32221">
            <w:pPr>
              <w:pStyle w:val="Tablebodytext"/>
              <w:rPr>
                <w:lang w:eastAsia="en-AU"/>
              </w:rPr>
            </w:pPr>
            <w:r w:rsidRPr="00DB0D75">
              <w:rPr>
                <w:lang w:eastAsia="en-AU"/>
              </w:rPr>
              <w:t>0.032</w:t>
            </w:r>
          </w:p>
        </w:tc>
      </w:tr>
      <w:tr w:rsidR="00131F7A" w:rsidRPr="00DB0D75" w14:paraId="4BA3FF78" w14:textId="77777777" w:rsidTr="00C32221">
        <w:trPr>
          <w:trHeight w:val="260"/>
        </w:trPr>
        <w:tc>
          <w:tcPr>
            <w:tcW w:w="3119" w:type="dxa"/>
            <w:vMerge/>
          </w:tcPr>
          <w:p w14:paraId="68D5691E" w14:textId="77777777" w:rsidR="00131F7A" w:rsidRPr="00DB0D75" w:rsidRDefault="00131F7A" w:rsidP="00C32221">
            <w:pPr>
              <w:pStyle w:val="Tablebodytext"/>
              <w:rPr>
                <w:lang w:eastAsia="en-AU"/>
              </w:rPr>
            </w:pPr>
          </w:p>
        </w:tc>
        <w:tc>
          <w:tcPr>
            <w:tcW w:w="1213" w:type="dxa"/>
            <w:vMerge/>
          </w:tcPr>
          <w:p w14:paraId="5E2E93C4" w14:textId="77777777" w:rsidR="00131F7A" w:rsidRPr="00DB0D75" w:rsidRDefault="00131F7A" w:rsidP="00C32221">
            <w:pPr>
              <w:pStyle w:val="Tablebodytext"/>
              <w:rPr>
                <w:lang w:eastAsia="en-AU"/>
              </w:rPr>
            </w:pPr>
          </w:p>
        </w:tc>
        <w:tc>
          <w:tcPr>
            <w:tcW w:w="1134" w:type="dxa"/>
            <w:vAlign w:val="center"/>
          </w:tcPr>
          <w:p w14:paraId="3BE7A750" w14:textId="77777777" w:rsidR="00131F7A" w:rsidRPr="00DB0D75" w:rsidRDefault="00131F7A" w:rsidP="00C32221">
            <w:pPr>
              <w:pStyle w:val="Tablebodytext"/>
              <w:rPr>
                <w:lang w:eastAsia="en-AU"/>
              </w:rPr>
            </w:pPr>
            <w:r w:rsidRPr="00DB0D75">
              <w:rPr>
                <w:color w:val="000000"/>
                <w:lang w:eastAsia="en-AU"/>
              </w:rPr>
              <w:t>i</w:t>
            </w:r>
          </w:p>
        </w:tc>
        <w:tc>
          <w:tcPr>
            <w:tcW w:w="2409" w:type="dxa"/>
          </w:tcPr>
          <w:p w14:paraId="410A6B20" w14:textId="77777777" w:rsidR="00131F7A" w:rsidRPr="00DB0D75" w:rsidRDefault="00131F7A" w:rsidP="00C32221">
            <w:pPr>
              <w:pStyle w:val="Tablebodytext"/>
              <w:rPr>
                <w:lang w:eastAsia="en-AU"/>
              </w:rPr>
            </w:pPr>
            <w:r w:rsidRPr="00DB0D75">
              <w:rPr>
                <w:lang w:eastAsia="en-AU"/>
              </w:rPr>
              <w:t>Upgraded cybersecurity software, standards or protocols</w:t>
            </w:r>
          </w:p>
        </w:tc>
        <w:tc>
          <w:tcPr>
            <w:tcW w:w="851" w:type="dxa"/>
          </w:tcPr>
          <w:p w14:paraId="47BC73E8" w14:textId="77777777" w:rsidR="00131F7A" w:rsidRPr="00DB0D75" w:rsidRDefault="00131F7A" w:rsidP="00C32221">
            <w:pPr>
              <w:pStyle w:val="Tablebodytext"/>
              <w:rPr>
                <w:lang w:eastAsia="en-AU"/>
              </w:rPr>
            </w:pPr>
            <w:r w:rsidRPr="00DB0D75">
              <w:rPr>
                <w:lang w:eastAsia="en-AU"/>
              </w:rPr>
              <w:t>1</w:t>
            </w:r>
          </w:p>
        </w:tc>
        <w:tc>
          <w:tcPr>
            <w:tcW w:w="1070" w:type="dxa"/>
          </w:tcPr>
          <w:p w14:paraId="23B7577C" w14:textId="77777777" w:rsidR="00131F7A" w:rsidRPr="00DB0D75" w:rsidRDefault="00131F7A" w:rsidP="00C32221">
            <w:pPr>
              <w:pStyle w:val="Tablebodytext"/>
              <w:rPr>
                <w:lang w:eastAsia="en-AU"/>
              </w:rPr>
            </w:pPr>
            <w:r w:rsidRPr="00DB0D75">
              <w:rPr>
                <w:lang w:eastAsia="en-AU"/>
              </w:rPr>
              <w:t>0.195</w:t>
            </w:r>
          </w:p>
        </w:tc>
      </w:tr>
      <w:tr w:rsidR="00131F7A" w:rsidRPr="00DB0D75" w14:paraId="223DA83D" w14:textId="77777777" w:rsidTr="00C32221">
        <w:trPr>
          <w:trHeight w:val="260"/>
        </w:trPr>
        <w:tc>
          <w:tcPr>
            <w:tcW w:w="3119" w:type="dxa"/>
            <w:vMerge/>
          </w:tcPr>
          <w:p w14:paraId="6D8C8D1C" w14:textId="77777777" w:rsidR="00131F7A" w:rsidRPr="00DB0D75" w:rsidRDefault="00131F7A" w:rsidP="00C32221">
            <w:pPr>
              <w:pStyle w:val="Tablebodytext"/>
              <w:rPr>
                <w:lang w:eastAsia="en-AU"/>
              </w:rPr>
            </w:pPr>
          </w:p>
        </w:tc>
        <w:tc>
          <w:tcPr>
            <w:tcW w:w="1213" w:type="dxa"/>
            <w:vMerge/>
          </w:tcPr>
          <w:p w14:paraId="440E684D" w14:textId="77777777" w:rsidR="00131F7A" w:rsidRPr="00DB0D75" w:rsidRDefault="00131F7A" w:rsidP="00C32221">
            <w:pPr>
              <w:pStyle w:val="Tablebodytext"/>
              <w:rPr>
                <w:lang w:eastAsia="en-AU"/>
              </w:rPr>
            </w:pPr>
          </w:p>
        </w:tc>
        <w:tc>
          <w:tcPr>
            <w:tcW w:w="1134" w:type="dxa"/>
            <w:vAlign w:val="center"/>
          </w:tcPr>
          <w:p w14:paraId="77C438FF" w14:textId="77777777" w:rsidR="00131F7A" w:rsidRPr="00DB0D75" w:rsidRDefault="00131F7A" w:rsidP="00C32221">
            <w:pPr>
              <w:pStyle w:val="Tablebodytext"/>
              <w:rPr>
                <w:lang w:eastAsia="en-AU"/>
              </w:rPr>
            </w:pPr>
            <w:r w:rsidRPr="00DB0D75">
              <w:rPr>
                <w:color w:val="000000"/>
                <w:lang w:eastAsia="en-AU"/>
              </w:rPr>
              <w:t>j</w:t>
            </w:r>
          </w:p>
        </w:tc>
        <w:tc>
          <w:tcPr>
            <w:tcW w:w="2409" w:type="dxa"/>
          </w:tcPr>
          <w:p w14:paraId="3DCB8579" w14:textId="77777777" w:rsidR="00131F7A" w:rsidRPr="00DB0D75" w:rsidRDefault="00131F7A" w:rsidP="00C32221">
            <w:pPr>
              <w:pStyle w:val="Tablebodytext"/>
              <w:rPr>
                <w:lang w:eastAsia="en-AU"/>
              </w:rPr>
            </w:pPr>
            <w:r w:rsidRPr="00DB0D75">
              <w:rPr>
                <w:lang w:eastAsia="en-AU"/>
              </w:rPr>
              <w:t>Other (please specify)</w:t>
            </w:r>
          </w:p>
        </w:tc>
        <w:tc>
          <w:tcPr>
            <w:tcW w:w="851" w:type="dxa"/>
          </w:tcPr>
          <w:p w14:paraId="43CC5018" w14:textId="77777777" w:rsidR="00131F7A" w:rsidRPr="00DB0D75" w:rsidRDefault="00131F7A" w:rsidP="00C32221">
            <w:pPr>
              <w:pStyle w:val="Tablebodytext"/>
              <w:rPr>
                <w:lang w:eastAsia="en-AU"/>
              </w:rPr>
            </w:pPr>
            <w:r w:rsidRPr="00DB0D75">
              <w:rPr>
                <w:lang w:eastAsia="en-AU"/>
              </w:rPr>
              <w:t>1</w:t>
            </w:r>
          </w:p>
        </w:tc>
        <w:tc>
          <w:tcPr>
            <w:tcW w:w="1070" w:type="dxa"/>
          </w:tcPr>
          <w:p w14:paraId="10297A18" w14:textId="77777777" w:rsidR="00131F7A" w:rsidRPr="00DB0D75" w:rsidRDefault="00131F7A" w:rsidP="00C32221">
            <w:pPr>
              <w:pStyle w:val="Tablebodytext"/>
              <w:rPr>
                <w:lang w:eastAsia="en-AU"/>
              </w:rPr>
            </w:pPr>
            <w:r w:rsidRPr="00DB0D75">
              <w:rPr>
                <w:lang w:eastAsia="en-AU"/>
              </w:rPr>
              <w:t>0.001</w:t>
            </w:r>
          </w:p>
        </w:tc>
      </w:tr>
      <w:tr w:rsidR="00131F7A" w:rsidRPr="00DB0D75" w14:paraId="189CB9B0" w14:textId="77777777" w:rsidTr="00C32221">
        <w:trPr>
          <w:trHeight w:val="260"/>
        </w:trPr>
        <w:tc>
          <w:tcPr>
            <w:tcW w:w="3119" w:type="dxa"/>
            <w:vMerge/>
          </w:tcPr>
          <w:p w14:paraId="326BE482" w14:textId="77777777" w:rsidR="00131F7A" w:rsidRPr="00DB0D75" w:rsidRDefault="00131F7A" w:rsidP="00C32221">
            <w:pPr>
              <w:pStyle w:val="Tablebodytext"/>
              <w:rPr>
                <w:lang w:eastAsia="en-AU"/>
              </w:rPr>
            </w:pPr>
          </w:p>
        </w:tc>
        <w:tc>
          <w:tcPr>
            <w:tcW w:w="1213" w:type="dxa"/>
            <w:vMerge/>
          </w:tcPr>
          <w:p w14:paraId="702A197A" w14:textId="77777777" w:rsidR="00131F7A" w:rsidRPr="00DB0D75" w:rsidRDefault="00131F7A" w:rsidP="00C32221">
            <w:pPr>
              <w:pStyle w:val="Tablebodytext"/>
              <w:rPr>
                <w:lang w:eastAsia="en-AU"/>
              </w:rPr>
            </w:pPr>
          </w:p>
        </w:tc>
        <w:tc>
          <w:tcPr>
            <w:tcW w:w="1134" w:type="dxa"/>
            <w:vAlign w:val="center"/>
          </w:tcPr>
          <w:p w14:paraId="1A205DC0" w14:textId="77777777" w:rsidR="00131F7A" w:rsidRPr="00DB0D75" w:rsidRDefault="00131F7A" w:rsidP="00C32221">
            <w:pPr>
              <w:pStyle w:val="Tablebodytext"/>
              <w:rPr>
                <w:lang w:eastAsia="en-AU"/>
              </w:rPr>
            </w:pPr>
            <w:r w:rsidRPr="00DB0D75">
              <w:rPr>
                <w:color w:val="000000"/>
                <w:lang w:eastAsia="en-AU"/>
              </w:rPr>
              <w:t>k</w:t>
            </w:r>
          </w:p>
        </w:tc>
        <w:tc>
          <w:tcPr>
            <w:tcW w:w="2409" w:type="dxa"/>
          </w:tcPr>
          <w:p w14:paraId="66B94F1D" w14:textId="77777777" w:rsidR="00131F7A" w:rsidRPr="00DB0D75" w:rsidRDefault="00131F7A" w:rsidP="00C32221">
            <w:pPr>
              <w:pStyle w:val="Tablebodytext"/>
              <w:rPr>
                <w:lang w:eastAsia="en-AU"/>
              </w:rPr>
            </w:pPr>
            <w:r w:rsidRPr="00DB0D75">
              <w:rPr>
                <w:lang w:eastAsia="en-AU"/>
              </w:rPr>
              <w:t>None of the above</w:t>
            </w:r>
          </w:p>
        </w:tc>
        <w:tc>
          <w:tcPr>
            <w:tcW w:w="851" w:type="dxa"/>
          </w:tcPr>
          <w:p w14:paraId="6E1CE67F" w14:textId="77777777" w:rsidR="00131F7A" w:rsidRPr="00DB0D75" w:rsidRDefault="00131F7A" w:rsidP="00C32221">
            <w:pPr>
              <w:pStyle w:val="Tablebodytext"/>
              <w:rPr>
                <w:lang w:eastAsia="en-AU"/>
              </w:rPr>
            </w:pPr>
            <w:r w:rsidRPr="00DB0D75">
              <w:rPr>
                <w:lang w:eastAsia="en-AU"/>
              </w:rPr>
              <w:t>Exclude</w:t>
            </w:r>
          </w:p>
        </w:tc>
        <w:tc>
          <w:tcPr>
            <w:tcW w:w="1070" w:type="dxa"/>
          </w:tcPr>
          <w:p w14:paraId="65C3839B" w14:textId="77777777" w:rsidR="00131F7A" w:rsidRPr="00DB0D75" w:rsidRDefault="00131F7A" w:rsidP="00C32221">
            <w:pPr>
              <w:pStyle w:val="Tablebodytext"/>
              <w:rPr>
                <w:lang w:eastAsia="en-AU"/>
              </w:rPr>
            </w:pPr>
          </w:p>
        </w:tc>
      </w:tr>
      <w:tr w:rsidR="00131F7A" w:rsidRPr="00DB0D75" w14:paraId="0F190AAF" w14:textId="77777777" w:rsidTr="00C32221">
        <w:trPr>
          <w:trHeight w:val="380"/>
        </w:trPr>
        <w:tc>
          <w:tcPr>
            <w:tcW w:w="8726" w:type="dxa"/>
            <w:gridSpan w:val="5"/>
          </w:tcPr>
          <w:p w14:paraId="4F8C4963" w14:textId="77777777" w:rsidR="00131F7A" w:rsidRPr="00733572" w:rsidRDefault="00131F7A" w:rsidP="00C32221">
            <w:pPr>
              <w:pStyle w:val="Tablebodytext"/>
              <w:rPr>
                <w:lang w:eastAsia="en-AU"/>
              </w:rPr>
            </w:pPr>
            <w:r w:rsidRPr="00733572">
              <w:rPr>
                <w:lang w:eastAsia="en-AU"/>
              </w:rPr>
              <w:t xml:space="preserve">Total Average Digital Management Capability (DMC) Score  </w:t>
            </w:r>
          </w:p>
        </w:tc>
        <w:tc>
          <w:tcPr>
            <w:tcW w:w="1070" w:type="dxa"/>
          </w:tcPr>
          <w:p w14:paraId="53E83A7F" w14:textId="77777777" w:rsidR="00131F7A" w:rsidRPr="00733572" w:rsidRDefault="00131F7A" w:rsidP="00C32221">
            <w:pPr>
              <w:pStyle w:val="Tablebodytext"/>
              <w:rPr>
                <w:lang w:eastAsia="en-AU"/>
              </w:rPr>
            </w:pPr>
            <w:r w:rsidRPr="00733572">
              <w:rPr>
                <w:lang w:eastAsia="en-AU"/>
              </w:rPr>
              <w:t>0.108*</w:t>
            </w:r>
          </w:p>
        </w:tc>
      </w:tr>
    </w:tbl>
    <w:p w14:paraId="2295E4ED" w14:textId="771EA631" w:rsidR="007C537B" w:rsidRPr="00C62F3A" w:rsidRDefault="007C537B" w:rsidP="00286565">
      <w:pPr>
        <w:pStyle w:val="NoteWide"/>
      </w:pPr>
      <w:r w:rsidRPr="00C62F3A">
        <w:t>Note</w:t>
      </w:r>
      <w:r>
        <w:t>s:</w:t>
      </w:r>
      <w:r w:rsidR="00131F7A">
        <w:t xml:space="preserve"> * </w:t>
      </w:r>
      <w:r w:rsidR="00131F7A" w:rsidRPr="00733572">
        <w:t>Average score based on use of ABS Microdata</w:t>
      </w:r>
      <w:r>
        <w:t xml:space="preserve"> </w:t>
      </w:r>
    </w:p>
    <w:p w14:paraId="67DBD0E4" w14:textId="5A14A5C4" w:rsidR="007C537B" w:rsidRDefault="007C537B" w:rsidP="00131F7A">
      <w:pPr>
        <w:pStyle w:val="SourceWide"/>
        <w:rPr>
          <w:rFonts w:eastAsia="Arial"/>
          <w:color w:val="auto"/>
          <w:szCs w:val="16"/>
          <w:lang w:eastAsia="en-AU"/>
        </w:rPr>
      </w:pPr>
      <w:r>
        <w:t xml:space="preserve">Source: </w:t>
      </w:r>
      <w:r w:rsidR="00131F7A" w:rsidRPr="00733572">
        <w:t>Australian Bureau of Statistics 2016, Management and Organisational Capabilities of Australian Business, 2015</w:t>
      </w:r>
      <w:r w:rsidR="00131F7A">
        <w:t>–</w:t>
      </w:r>
      <w:r w:rsidR="00131F7A" w:rsidRPr="00733572">
        <w:t>16. Expanded Confidentialised Unit Record File (CURF), ABS DataLab</w:t>
      </w:r>
      <w:r w:rsidR="00131F7A">
        <w:rPr>
          <w:rFonts w:eastAsia="Arial"/>
          <w:color w:val="auto"/>
          <w:szCs w:val="16"/>
          <w:lang w:eastAsia="en-AU"/>
        </w:rPr>
        <w:t>.</w:t>
      </w:r>
    </w:p>
    <w:p w14:paraId="5086AFD7" w14:textId="04917B2A" w:rsidR="00131F7A" w:rsidRDefault="00131F7A" w:rsidP="00611018">
      <w:pPr>
        <w:pStyle w:val="Heading7"/>
        <w:ind w:left="-1276"/>
        <w:rPr>
          <w:lang w:val="en" w:eastAsia="en-AU"/>
        </w:rPr>
      </w:pPr>
      <w:r>
        <w:rPr>
          <w:lang w:val="en" w:eastAsia="en-AU"/>
        </w:rPr>
        <w:lastRenderedPageBreak/>
        <w:t>Environmental management capability</w:t>
      </w:r>
    </w:p>
    <w:p w14:paraId="5C2EBED1" w14:textId="73BE6DB3" w:rsidR="00131F7A" w:rsidRPr="000618FB" w:rsidRDefault="00131F7A" w:rsidP="00286565">
      <w:pPr>
        <w:pStyle w:val="CaptionWide"/>
      </w:pPr>
      <w:r w:rsidRPr="000618FB">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C</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4</w:t>
      </w:r>
      <w:r>
        <w:rPr>
          <w:noProof/>
        </w:rPr>
        <w:fldChar w:fldCharType="end"/>
      </w:r>
      <w:r>
        <w:t>: Environmental management capability score</w:t>
      </w:r>
    </w:p>
    <w:tbl>
      <w:tblPr>
        <w:tblW w:w="9151" w:type="dxa"/>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00" w:firstRow="0" w:lastRow="0" w:firstColumn="0" w:lastColumn="0" w:noHBand="0" w:noVBand="1"/>
        <w:tblCaption w:val="Table C4: Environmental management capability score"/>
        <w:tblDescription w:val="Table C4 shows in detail the elements used in the process of constructing the score of Environmental Management Capability. This includes: i) the numbers of questions selected for the score;  ii) the structure type of the question: scaled, listed or scaled-listed; iii) the specific part of the selected question; iv) the weight assigned to the specific part of the selected question; v) the sub topic of the question; and vi)  the overall score assigned to the question. At the end of the Table, the Environmental Management Capability Score (EMC) is calculated as a weighted average of the sub-scores calculated for each question."/>
      </w:tblPr>
      <w:tblGrid>
        <w:gridCol w:w="1985"/>
        <w:gridCol w:w="1418"/>
        <w:gridCol w:w="992"/>
        <w:gridCol w:w="2693"/>
        <w:gridCol w:w="993"/>
        <w:gridCol w:w="1070"/>
      </w:tblGrid>
      <w:tr w:rsidR="00131F7A" w:rsidRPr="00DB0D75" w14:paraId="7A65A142" w14:textId="77777777" w:rsidTr="00B008C7">
        <w:trPr>
          <w:tblHeader/>
        </w:trPr>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2DEE7671" w14:textId="77777777" w:rsidR="00131F7A" w:rsidRPr="0095513A" w:rsidRDefault="00131F7A" w:rsidP="009746A6">
            <w:pPr>
              <w:pStyle w:val="Tableheadertext"/>
              <w:keepNext w:val="0"/>
              <w:rPr>
                <w:lang w:eastAsia="en-AU"/>
              </w:rPr>
            </w:pPr>
            <w:r w:rsidRPr="0095513A">
              <w:rPr>
                <w:lang w:eastAsia="en-AU"/>
              </w:rPr>
              <w:t>Question in MCM</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30428AB8" w14:textId="77777777" w:rsidR="00131F7A" w:rsidRPr="0095513A" w:rsidRDefault="00131F7A" w:rsidP="009746A6">
            <w:pPr>
              <w:pStyle w:val="Tableheadertext"/>
              <w:keepNext w:val="0"/>
              <w:rPr>
                <w:lang w:eastAsia="en-AU"/>
              </w:rPr>
            </w:pPr>
            <w:r w:rsidRPr="0095513A">
              <w:rPr>
                <w:lang w:eastAsia="en-AU"/>
              </w:rPr>
              <w:t>Structure Type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03D07B21" w14:textId="77777777" w:rsidR="00131F7A" w:rsidRPr="0095513A" w:rsidRDefault="00131F7A" w:rsidP="009746A6">
            <w:pPr>
              <w:pStyle w:val="Tableheadertext"/>
              <w:keepNext w:val="0"/>
              <w:rPr>
                <w:lang w:eastAsia="en-AU"/>
              </w:rPr>
            </w:pPr>
            <w:r w:rsidRPr="0095513A">
              <w:rPr>
                <w:lang w:eastAsia="en-AU"/>
              </w:rPr>
              <w:t>Question Part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701062FF" w14:textId="77777777" w:rsidR="00131F7A" w:rsidRPr="0095513A" w:rsidRDefault="00131F7A" w:rsidP="009746A6">
            <w:pPr>
              <w:pStyle w:val="Tableheadertext"/>
              <w:keepNext w:val="0"/>
              <w:rPr>
                <w:lang w:eastAsia="en-AU"/>
              </w:rPr>
            </w:pPr>
            <w:r w:rsidRPr="0095513A">
              <w:rPr>
                <w:lang w:eastAsia="en-AU"/>
              </w:rPr>
              <w:t>Description</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3FB2D1D0" w14:textId="77777777" w:rsidR="00131F7A" w:rsidRPr="0095513A" w:rsidRDefault="00131F7A" w:rsidP="009746A6">
            <w:pPr>
              <w:pStyle w:val="Tableheadertext"/>
              <w:keepNext w:val="0"/>
              <w:rPr>
                <w:lang w:eastAsia="en-AU"/>
              </w:rPr>
            </w:pPr>
            <w:r w:rsidRPr="0095513A">
              <w:rPr>
                <w:lang w:eastAsia="en-AU"/>
              </w:rPr>
              <w:t>Weight</w:t>
            </w:r>
          </w:p>
        </w:tc>
        <w:tc>
          <w:tcPr>
            <w:tcW w:w="1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4A27F819" w14:textId="77777777" w:rsidR="00131F7A" w:rsidRPr="0095513A" w:rsidRDefault="00131F7A" w:rsidP="009746A6">
            <w:pPr>
              <w:pStyle w:val="Tableheadertext"/>
              <w:keepNext w:val="0"/>
              <w:rPr>
                <w:lang w:eastAsia="en-AU"/>
              </w:rPr>
            </w:pPr>
            <w:r w:rsidRPr="0095513A">
              <w:rPr>
                <w:lang w:eastAsia="en-AU"/>
              </w:rPr>
              <w:t>Question Score</w:t>
            </w:r>
          </w:p>
        </w:tc>
      </w:tr>
      <w:tr w:rsidR="00131F7A" w:rsidRPr="00DB0D75" w14:paraId="62922D20" w14:textId="77777777" w:rsidTr="00913D65">
        <w:trPr>
          <w:trHeight w:val="380"/>
        </w:trPr>
        <w:tc>
          <w:tcPr>
            <w:tcW w:w="1985" w:type="dxa"/>
            <w:vMerge w:val="restart"/>
            <w:tcBorders>
              <w:top w:val="single" w:sz="4" w:space="0" w:color="FFFFFF" w:themeColor="background1"/>
            </w:tcBorders>
          </w:tcPr>
          <w:p w14:paraId="27E85A70" w14:textId="77777777" w:rsidR="00131F7A" w:rsidRPr="00085CC5" w:rsidRDefault="00131F7A" w:rsidP="009746A6">
            <w:pPr>
              <w:pStyle w:val="Tablebodytext"/>
              <w:keepNext w:val="0"/>
              <w:rPr>
                <w:lang w:eastAsia="en-AU"/>
              </w:rPr>
            </w:pPr>
            <w:r w:rsidRPr="00085CC5">
              <w:rPr>
                <w:lang w:eastAsia="en-AU"/>
              </w:rPr>
              <w:t xml:space="preserve">11. What were the topics of focus for the Key Performance Indicators monitored by this business? </w:t>
            </w:r>
          </w:p>
          <w:p w14:paraId="17E23F1A" w14:textId="77777777" w:rsidR="00131F7A" w:rsidRPr="00085CC5" w:rsidRDefault="00131F7A" w:rsidP="009746A6">
            <w:pPr>
              <w:pStyle w:val="Tablebodytext"/>
              <w:keepNext w:val="0"/>
              <w:rPr>
                <w:lang w:eastAsia="en-AU"/>
              </w:rPr>
            </w:pPr>
          </w:p>
        </w:tc>
        <w:tc>
          <w:tcPr>
            <w:tcW w:w="1418" w:type="dxa"/>
            <w:vMerge w:val="restart"/>
            <w:tcBorders>
              <w:top w:val="single" w:sz="4" w:space="0" w:color="FFFFFF" w:themeColor="background1"/>
            </w:tcBorders>
          </w:tcPr>
          <w:p w14:paraId="5D9B75B3" w14:textId="77777777" w:rsidR="00131F7A" w:rsidRPr="00085CC5" w:rsidRDefault="00131F7A" w:rsidP="009746A6">
            <w:pPr>
              <w:pStyle w:val="Tablebodytext"/>
              <w:keepNext w:val="0"/>
              <w:rPr>
                <w:lang w:eastAsia="en-AU"/>
              </w:rPr>
            </w:pPr>
            <w:r w:rsidRPr="00085CC5">
              <w:rPr>
                <w:lang w:eastAsia="en-AU"/>
              </w:rPr>
              <w:t>List</w:t>
            </w:r>
          </w:p>
        </w:tc>
        <w:tc>
          <w:tcPr>
            <w:tcW w:w="992" w:type="dxa"/>
            <w:vMerge w:val="restart"/>
            <w:tcBorders>
              <w:top w:val="single" w:sz="4" w:space="0" w:color="FFFFFF" w:themeColor="background1"/>
            </w:tcBorders>
          </w:tcPr>
          <w:p w14:paraId="2FFF4924" w14:textId="77777777" w:rsidR="00131F7A" w:rsidRPr="00085CC5" w:rsidRDefault="00131F7A" w:rsidP="009746A6">
            <w:pPr>
              <w:pStyle w:val="Tablebodytext"/>
              <w:keepNext w:val="0"/>
              <w:rPr>
                <w:lang w:eastAsia="en-AU"/>
              </w:rPr>
            </w:pPr>
            <w:r w:rsidRPr="00085CC5">
              <w:rPr>
                <w:lang w:eastAsia="en-AU"/>
              </w:rPr>
              <w:t>f</w:t>
            </w:r>
          </w:p>
        </w:tc>
        <w:tc>
          <w:tcPr>
            <w:tcW w:w="2693" w:type="dxa"/>
            <w:vMerge w:val="restart"/>
            <w:tcBorders>
              <w:top w:val="single" w:sz="4" w:space="0" w:color="FFFFFF" w:themeColor="background1"/>
            </w:tcBorders>
          </w:tcPr>
          <w:p w14:paraId="6FA5C03E" w14:textId="77777777" w:rsidR="00131F7A" w:rsidRPr="00085CC5" w:rsidRDefault="00131F7A" w:rsidP="009746A6">
            <w:pPr>
              <w:pStyle w:val="Tablebodytext"/>
              <w:keepNext w:val="0"/>
              <w:rPr>
                <w:lang w:eastAsia="en-AU"/>
              </w:rPr>
            </w:pPr>
            <w:r w:rsidRPr="00085CC5">
              <w:rPr>
                <w:lang w:eastAsia="en-AU"/>
              </w:rPr>
              <w:t>Environmental measures</w:t>
            </w:r>
          </w:p>
        </w:tc>
        <w:tc>
          <w:tcPr>
            <w:tcW w:w="993" w:type="dxa"/>
            <w:tcBorders>
              <w:top w:val="single" w:sz="4" w:space="0" w:color="FFFFFF" w:themeColor="background1"/>
            </w:tcBorders>
          </w:tcPr>
          <w:p w14:paraId="44CD0661" w14:textId="77777777" w:rsidR="00131F7A" w:rsidRPr="00DB0D75" w:rsidRDefault="00131F7A" w:rsidP="009746A6">
            <w:pPr>
              <w:pStyle w:val="Tablebodytext"/>
              <w:keepNext w:val="0"/>
              <w:rPr>
                <w:lang w:eastAsia="en-AU"/>
              </w:rPr>
            </w:pPr>
            <w:r w:rsidRPr="00DB0D75">
              <w:rPr>
                <w:lang w:eastAsia="en-AU"/>
              </w:rPr>
              <w:t>1 (Yes)</w:t>
            </w:r>
          </w:p>
        </w:tc>
        <w:tc>
          <w:tcPr>
            <w:tcW w:w="1070" w:type="dxa"/>
            <w:vMerge w:val="restart"/>
            <w:tcBorders>
              <w:top w:val="single" w:sz="4" w:space="0" w:color="FFFFFF" w:themeColor="background1"/>
            </w:tcBorders>
          </w:tcPr>
          <w:p w14:paraId="087A9AD2" w14:textId="77777777" w:rsidR="00131F7A" w:rsidRPr="00DB0D75" w:rsidRDefault="00131F7A" w:rsidP="009746A6">
            <w:pPr>
              <w:pStyle w:val="Tablebodytext"/>
              <w:keepNext w:val="0"/>
              <w:rPr>
                <w:lang w:eastAsia="en-AU"/>
              </w:rPr>
            </w:pPr>
            <w:r w:rsidRPr="00DB0D75">
              <w:rPr>
                <w:lang w:eastAsia="en-AU"/>
              </w:rPr>
              <w:t>0.135</w:t>
            </w:r>
          </w:p>
        </w:tc>
      </w:tr>
      <w:tr w:rsidR="00131F7A" w:rsidRPr="00DB0D75" w14:paraId="6BF5E3EC" w14:textId="77777777" w:rsidTr="003E3F4F">
        <w:trPr>
          <w:trHeight w:val="380"/>
        </w:trPr>
        <w:tc>
          <w:tcPr>
            <w:tcW w:w="1985" w:type="dxa"/>
            <w:vMerge/>
          </w:tcPr>
          <w:p w14:paraId="1CD9FF5E" w14:textId="77777777" w:rsidR="00131F7A" w:rsidRPr="00085CC5" w:rsidRDefault="00131F7A" w:rsidP="009746A6">
            <w:pPr>
              <w:pStyle w:val="Tablebodytext"/>
              <w:keepNext w:val="0"/>
              <w:rPr>
                <w:lang w:eastAsia="en-AU"/>
              </w:rPr>
            </w:pPr>
          </w:p>
        </w:tc>
        <w:tc>
          <w:tcPr>
            <w:tcW w:w="1418" w:type="dxa"/>
            <w:vMerge/>
          </w:tcPr>
          <w:p w14:paraId="72266B59" w14:textId="77777777" w:rsidR="00131F7A" w:rsidRPr="00085CC5" w:rsidRDefault="00131F7A" w:rsidP="009746A6">
            <w:pPr>
              <w:pStyle w:val="Tablebodytext"/>
              <w:keepNext w:val="0"/>
              <w:rPr>
                <w:lang w:eastAsia="en-AU"/>
              </w:rPr>
            </w:pPr>
          </w:p>
        </w:tc>
        <w:tc>
          <w:tcPr>
            <w:tcW w:w="992" w:type="dxa"/>
            <w:vMerge/>
          </w:tcPr>
          <w:p w14:paraId="46F129FF" w14:textId="77777777" w:rsidR="00131F7A" w:rsidRPr="00085CC5" w:rsidRDefault="00131F7A" w:rsidP="009746A6">
            <w:pPr>
              <w:pStyle w:val="Tablebodytext"/>
              <w:keepNext w:val="0"/>
              <w:rPr>
                <w:lang w:eastAsia="en-AU"/>
              </w:rPr>
            </w:pPr>
          </w:p>
        </w:tc>
        <w:tc>
          <w:tcPr>
            <w:tcW w:w="2693" w:type="dxa"/>
            <w:vMerge/>
          </w:tcPr>
          <w:p w14:paraId="2CE4EE6F" w14:textId="77777777" w:rsidR="00131F7A" w:rsidRPr="00085CC5" w:rsidRDefault="00131F7A" w:rsidP="009746A6">
            <w:pPr>
              <w:pStyle w:val="Tablebodytext"/>
              <w:keepNext w:val="0"/>
              <w:rPr>
                <w:lang w:eastAsia="en-AU"/>
              </w:rPr>
            </w:pPr>
          </w:p>
        </w:tc>
        <w:tc>
          <w:tcPr>
            <w:tcW w:w="993" w:type="dxa"/>
          </w:tcPr>
          <w:p w14:paraId="659BE726" w14:textId="77777777" w:rsidR="00131F7A" w:rsidRPr="00DB0D75" w:rsidRDefault="00131F7A" w:rsidP="009746A6">
            <w:pPr>
              <w:pStyle w:val="Tablebodytext"/>
              <w:keepNext w:val="0"/>
              <w:rPr>
                <w:lang w:eastAsia="en-AU"/>
              </w:rPr>
            </w:pPr>
            <w:r w:rsidRPr="00DB0D75">
              <w:rPr>
                <w:lang w:eastAsia="en-AU"/>
              </w:rPr>
              <w:t>0 (No)</w:t>
            </w:r>
          </w:p>
        </w:tc>
        <w:tc>
          <w:tcPr>
            <w:tcW w:w="1070" w:type="dxa"/>
            <w:vMerge/>
          </w:tcPr>
          <w:p w14:paraId="28FF79F1" w14:textId="77777777" w:rsidR="00131F7A" w:rsidRPr="00DB0D75" w:rsidRDefault="00131F7A" w:rsidP="009746A6">
            <w:pPr>
              <w:pStyle w:val="Tablebodytext"/>
              <w:keepNext w:val="0"/>
              <w:rPr>
                <w:lang w:eastAsia="en-AU"/>
              </w:rPr>
            </w:pPr>
          </w:p>
        </w:tc>
      </w:tr>
      <w:tr w:rsidR="00131F7A" w:rsidRPr="00DB0D75" w14:paraId="58002050" w14:textId="77777777" w:rsidTr="003E3F4F">
        <w:trPr>
          <w:trHeight w:val="380"/>
        </w:trPr>
        <w:tc>
          <w:tcPr>
            <w:tcW w:w="1985" w:type="dxa"/>
            <w:vMerge w:val="restart"/>
          </w:tcPr>
          <w:p w14:paraId="5335B89D" w14:textId="77777777" w:rsidR="00131F7A" w:rsidRPr="00085CC5" w:rsidRDefault="00131F7A" w:rsidP="009746A6">
            <w:pPr>
              <w:pStyle w:val="Tablebodytext"/>
              <w:keepNext w:val="0"/>
              <w:rPr>
                <w:lang w:eastAsia="en-AU"/>
              </w:rPr>
            </w:pPr>
            <w:r w:rsidRPr="00085CC5">
              <w:rPr>
                <w:lang w:eastAsia="en-AU"/>
              </w:rPr>
              <w:t xml:space="preserve">20. How frequently were each of the following activities influenced by data analysis at this business? </w:t>
            </w:r>
          </w:p>
          <w:p w14:paraId="4EF83DD2" w14:textId="77777777" w:rsidR="00131F7A" w:rsidRPr="00085CC5" w:rsidRDefault="00131F7A" w:rsidP="009746A6">
            <w:pPr>
              <w:pStyle w:val="Tablebodytext"/>
              <w:keepNext w:val="0"/>
              <w:rPr>
                <w:lang w:eastAsia="en-AU"/>
              </w:rPr>
            </w:pPr>
          </w:p>
        </w:tc>
        <w:tc>
          <w:tcPr>
            <w:tcW w:w="1418" w:type="dxa"/>
            <w:vMerge w:val="restart"/>
          </w:tcPr>
          <w:p w14:paraId="24687283" w14:textId="77777777" w:rsidR="00131F7A" w:rsidRPr="00085CC5" w:rsidRDefault="00131F7A" w:rsidP="009746A6">
            <w:pPr>
              <w:pStyle w:val="Tablebodytext"/>
              <w:keepNext w:val="0"/>
              <w:rPr>
                <w:lang w:eastAsia="en-AU"/>
              </w:rPr>
            </w:pPr>
            <w:r w:rsidRPr="00085CC5">
              <w:rPr>
                <w:lang w:eastAsia="en-AU"/>
              </w:rPr>
              <w:t>Scaled</w:t>
            </w:r>
          </w:p>
        </w:tc>
        <w:tc>
          <w:tcPr>
            <w:tcW w:w="992" w:type="dxa"/>
            <w:vMerge w:val="restart"/>
          </w:tcPr>
          <w:p w14:paraId="55FDE188" w14:textId="77777777" w:rsidR="00131F7A" w:rsidRPr="00085CC5" w:rsidRDefault="00131F7A" w:rsidP="009746A6">
            <w:pPr>
              <w:pStyle w:val="Tablebodytext"/>
              <w:keepNext w:val="0"/>
              <w:rPr>
                <w:color w:val="000000"/>
                <w:lang w:eastAsia="en-AU"/>
              </w:rPr>
            </w:pPr>
            <w:r w:rsidRPr="00085CC5">
              <w:rPr>
                <w:color w:val="000000"/>
                <w:lang w:eastAsia="en-AU"/>
              </w:rPr>
              <w:t>d</w:t>
            </w:r>
          </w:p>
        </w:tc>
        <w:tc>
          <w:tcPr>
            <w:tcW w:w="2693" w:type="dxa"/>
            <w:vAlign w:val="center"/>
          </w:tcPr>
          <w:p w14:paraId="07C2055D" w14:textId="77777777" w:rsidR="00131F7A" w:rsidRPr="00085CC5" w:rsidRDefault="00131F7A" w:rsidP="009746A6">
            <w:pPr>
              <w:pStyle w:val="Tablebodytext"/>
              <w:keepNext w:val="0"/>
              <w:rPr>
                <w:lang w:eastAsia="en-AU"/>
              </w:rPr>
            </w:pPr>
            <w:r w:rsidRPr="00085CC5">
              <w:rPr>
                <w:color w:val="000000"/>
                <w:lang w:eastAsia="en-AU"/>
              </w:rPr>
              <w:t>Environmental management - Not at all</w:t>
            </w:r>
          </w:p>
        </w:tc>
        <w:tc>
          <w:tcPr>
            <w:tcW w:w="993" w:type="dxa"/>
            <w:vAlign w:val="center"/>
          </w:tcPr>
          <w:p w14:paraId="395463ED" w14:textId="77777777" w:rsidR="00131F7A" w:rsidRPr="00DB0D75" w:rsidRDefault="00131F7A" w:rsidP="009746A6">
            <w:pPr>
              <w:pStyle w:val="Tablebodytext"/>
              <w:keepNext w:val="0"/>
              <w:rPr>
                <w:lang w:eastAsia="en-AU"/>
              </w:rPr>
            </w:pPr>
            <w:r w:rsidRPr="00DB0D75">
              <w:rPr>
                <w:lang w:eastAsia="en-AU"/>
              </w:rPr>
              <w:t>0</w:t>
            </w:r>
          </w:p>
        </w:tc>
        <w:tc>
          <w:tcPr>
            <w:tcW w:w="1070" w:type="dxa"/>
            <w:vMerge w:val="restart"/>
            <w:vAlign w:val="center"/>
          </w:tcPr>
          <w:p w14:paraId="758A5C34" w14:textId="77777777" w:rsidR="00131F7A" w:rsidRPr="00DB0D75" w:rsidRDefault="00131F7A" w:rsidP="009746A6">
            <w:pPr>
              <w:pStyle w:val="Tablebodytext"/>
              <w:keepNext w:val="0"/>
              <w:rPr>
                <w:lang w:eastAsia="en-AU"/>
              </w:rPr>
            </w:pPr>
            <w:r w:rsidRPr="00DB0D75">
              <w:rPr>
                <w:lang w:eastAsia="en-AU"/>
              </w:rPr>
              <w:t>0.422</w:t>
            </w:r>
          </w:p>
        </w:tc>
      </w:tr>
      <w:tr w:rsidR="00131F7A" w:rsidRPr="00DB0D75" w14:paraId="5F6C81E7" w14:textId="77777777" w:rsidTr="003E3F4F">
        <w:trPr>
          <w:trHeight w:val="380"/>
        </w:trPr>
        <w:tc>
          <w:tcPr>
            <w:tcW w:w="1985" w:type="dxa"/>
            <w:vMerge/>
          </w:tcPr>
          <w:p w14:paraId="17E48CC9" w14:textId="77777777" w:rsidR="00131F7A" w:rsidRPr="00085CC5" w:rsidRDefault="00131F7A" w:rsidP="009746A6">
            <w:pPr>
              <w:pStyle w:val="Tablebodytext"/>
              <w:keepNext w:val="0"/>
              <w:rPr>
                <w:lang w:eastAsia="en-AU"/>
              </w:rPr>
            </w:pPr>
          </w:p>
        </w:tc>
        <w:tc>
          <w:tcPr>
            <w:tcW w:w="1418" w:type="dxa"/>
            <w:vMerge/>
          </w:tcPr>
          <w:p w14:paraId="35F9A7D4" w14:textId="77777777" w:rsidR="00131F7A" w:rsidRPr="00085CC5" w:rsidRDefault="00131F7A" w:rsidP="009746A6">
            <w:pPr>
              <w:pStyle w:val="Tablebodytext"/>
              <w:keepNext w:val="0"/>
              <w:rPr>
                <w:lang w:eastAsia="en-AU"/>
              </w:rPr>
            </w:pPr>
          </w:p>
        </w:tc>
        <w:tc>
          <w:tcPr>
            <w:tcW w:w="992" w:type="dxa"/>
            <w:vMerge/>
          </w:tcPr>
          <w:p w14:paraId="45A83B52" w14:textId="77777777" w:rsidR="00131F7A" w:rsidRPr="00085CC5" w:rsidRDefault="00131F7A" w:rsidP="009746A6">
            <w:pPr>
              <w:pStyle w:val="Tablebodytext"/>
              <w:keepNext w:val="0"/>
              <w:rPr>
                <w:lang w:eastAsia="en-AU"/>
              </w:rPr>
            </w:pPr>
          </w:p>
        </w:tc>
        <w:tc>
          <w:tcPr>
            <w:tcW w:w="2693" w:type="dxa"/>
            <w:vAlign w:val="center"/>
          </w:tcPr>
          <w:p w14:paraId="61F88151" w14:textId="77777777" w:rsidR="00131F7A" w:rsidRPr="00085CC5" w:rsidRDefault="00131F7A" w:rsidP="009746A6">
            <w:pPr>
              <w:pStyle w:val="Tablebodytext"/>
              <w:keepNext w:val="0"/>
              <w:rPr>
                <w:lang w:eastAsia="en-AU"/>
              </w:rPr>
            </w:pPr>
            <w:r w:rsidRPr="00085CC5">
              <w:rPr>
                <w:color w:val="000000"/>
                <w:lang w:eastAsia="en-AU"/>
              </w:rPr>
              <w:t>Environmental management - Daily</w:t>
            </w:r>
          </w:p>
        </w:tc>
        <w:tc>
          <w:tcPr>
            <w:tcW w:w="993" w:type="dxa"/>
            <w:vAlign w:val="center"/>
          </w:tcPr>
          <w:p w14:paraId="1585FA0A" w14:textId="77777777" w:rsidR="00131F7A" w:rsidRPr="00DB0D75" w:rsidRDefault="00131F7A" w:rsidP="009746A6">
            <w:pPr>
              <w:pStyle w:val="Tablebodytext"/>
              <w:keepNext w:val="0"/>
              <w:rPr>
                <w:lang w:eastAsia="en-AU"/>
              </w:rPr>
            </w:pPr>
            <w:r w:rsidRPr="00DB0D75">
              <w:rPr>
                <w:lang w:eastAsia="en-AU"/>
              </w:rPr>
              <w:t>1</w:t>
            </w:r>
          </w:p>
        </w:tc>
        <w:tc>
          <w:tcPr>
            <w:tcW w:w="1070" w:type="dxa"/>
            <w:vMerge/>
            <w:vAlign w:val="center"/>
          </w:tcPr>
          <w:p w14:paraId="4FD5FD8A" w14:textId="77777777" w:rsidR="00131F7A" w:rsidRPr="00DB0D75" w:rsidRDefault="00131F7A" w:rsidP="009746A6">
            <w:pPr>
              <w:pStyle w:val="Tablebodytext"/>
              <w:keepNext w:val="0"/>
              <w:rPr>
                <w:lang w:eastAsia="en-AU"/>
              </w:rPr>
            </w:pPr>
          </w:p>
        </w:tc>
      </w:tr>
      <w:tr w:rsidR="00131F7A" w:rsidRPr="00DB0D75" w14:paraId="4608F174" w14:textId="77777777" w:rsidTr="003E3F4F">
        <w:trPr>
          <w:trHeight w:val="380"/>
        </w:trPr>
        <w:tc>
          <w:tcPr>
            <w:tcW w:w="1985" w:type="dxa"/>
            <w:vMerge/>
          </w:tcPr>
          <w:p w14:paraId="60C074E6" w14:textId="77777777" w:rsidR="00131F7A" w:rsidRPr="00085CC5" w:rsidRDefault="00131F7A" w:rsidP="009746A6">
            <w:pPr>
              <w:pStyle w:val="Tablebodytext"/>
              <w:keepNext w:val="0"/>
              <w:rPr>
                <w:lang w:eastAsia="en-AU"/>
              </w:rPr>
            </w:pPr>
          </w:p>
        </w:tc>
        <w:tc>
          <w:tcPr>
            <w:tcW w:w="1418" w:type="dxa"/>
            <w:vMerge/>
          </w:tcPr>
          <w:p w14:paraId="525190AB" w14:textId="77777777" w:rsidR="00131F7A" w:rsidRPr="00085CC5" w:rsidRDefault="00131F7A" w:rsidP="009746A6">
            <w:pPr>
              <w:pStyle w:val="Tablebodytext"/>
              <w:keepNext w:val="0"/>
              <w:rPr>
                <w:lang w:eastAsia="en-AU"/>
              </w:rPr>
            </w:pPr>
          </w:p>
        </w:tc>
        <w:tc>
          <w:tcPr>
            <w:tcW w:w="992" w:type="dxa"/>
            <w:vMerge/>
          </w:tcPr>
          <w:p w14:paraId="1E27C64B" w14:textId="77777777" w:rsidR="00131F7A" w:rsidRPr="00085CC5" w:rsidRDefault="00131F7A" w:rsidP="009746A6">
            <w:pPr>
              <w:pStyle w:val="Tablebodytext"/>
              <w:keepNext w:val="0"/>
              <w:rPr>
                <w:lang w:eastAsia="en-AU"/>
              </w:rPr>
            </w:pPr>
          </w:p>
        </w:tc>
        <w:tc>
          <w:tcPr>
            <w:tcW w:w="2693" w:type="dxa"/>
            <w:vAlign w:val="center"/>
          </w:tcPr>
          <w:p w14:paraId="76EEDA5F" w14:textId="77777777" w:rsidR="00131F7A" w:rsidRPr="00085CC5" w:rsidRDefault="00131F7A" w:rsidP="009746A6">
            <w:pPr>
              <w:pStyle w:val="Tablebodytext"/>
              <w:keepNext w:val="0"/>
              <w:rPr>
                <w:lang w:eastAsia="en-AU"/>
              </w:rPr>
            </w:pPr>
            <w:r w:rsidRPr="00085CC5">
              <w:rPr>
                <w:color w:val="000000"/>
                <w:lang w:eastAsia="en-AU"/>
              </w:rPr>
              <w:t>Environmental management - Weekly</w:t>
            </w:r>
          </w:p>
        </w:tc>
        <w:tc>
          <w:tcPr>
            <w:tcW w:w="993" w:type="dxa"/>
            <w:vAlign w:val="center"/>
          </w:tcPr>
          <w:p w14:paraId="443C7861" w14:textId="77777777" w:rsidR="00131F7A" w:rsidRPr="00DB0D75" w:rsidRDefault="00131F7A" w:rsidP="009746A6">
            <w:pPr>
              <w:pStyle w:val="Tablebodytext"/>
              <w:keepNext w:val="0"/>
              <w:rPr>
                <w:lang w:eastAsia="en-AU"/>
              </w:rPr>
            </w:pPr>
            <w:r w:rsidRPr="00DB0D75">
              <w:rPr>
                <w:lang w:eastAsia="en-AU"/>
              </w:rPr>
              <w:t>3/4</w:t>
            </w:r>
          </w:p>
        </w:tc>
        <w:tc>
          <w:tcPr>
            <w:tcW w:w="1070" w:type="dxa"/>
            <w:vMerge/>
            <w:vAlign w:val="center"/>
          </w:tcPr>
          <w:p w14:paraId="5EE30378" w14:textId="77777777" w:rsidR="00131F7A" w:rsidRPr="00DB0D75" w:rsidRDefault="00131F7A" w:rsidP="009746A6">
            <w:pPr>
              <w:pStyle w:val="Tablebodytext"/>
              <w:keepNext w:val="0"/>
              <w:rPr>
                <w:lang w:eastAsia="en-AU"/>
              </w:rPr>
            </w:pPr>
          </w:p>
        </w:tc>
      </w:tr>
      <w:tr w:rsidR="00131F7A" w:rsidRPr="00DB0D75" w14:paraId="7D3C155B" w14:textId="77777777" w:rsidTr="003E3F4F">
        <w:trPr>
          <w:trHeight w:val="380"/>
        </w:trPr>
        <w:tc>
          <w:tcPr>
            <w:tcW w:w="1985" w:type="dxa"/>
            <w:vMerge/>
          </w:tcPr>
          <w:p w14:paraId="6023C754" w14:textId="77777777" w:rsidR="00131F7A" w:rsidRPr="00085CC5" w:rsidRDefault="00131F7A" w:rsidP="009746A6">
            <w:pPr>
              <w:pStyle w:val="Tablebodytext"/>
              <w:keepNext w:val="0"/>
              <w:rPr>
                <w:lang w:eastAsia="en-AU"/>
              </w:rPr>
            </w:pPr>
          </w:p>
        </w:tc>
        <w:tc>
          <w:tcPr>
            <w:tcW w:w="1418" w:type="dxa"/>
            <w:vMerge/>
          </w:tcPr>
          <w:p w14:paraId="57A2D9B3" w14:textId="77777777" w:rsidR="00131F7A" w:rsidRPr="00085CC5" w:rsidRDefault="00131F7A" w:rsidP="009746A6">
            <w:pPr>
              <w:pStyle w:val="Tablebodytext"/>
              <w:keepNext w:val="0"/>
              <w:rPr>
                <w:lang w:eastAsia="en-AU"/>
              </w:rPr>
            </w:pPr>
          </w:p>
        </w:tc>
        <w:tc>
          <w:tcPr>
            <w:tcW w:w="992" w:type="dxa"/>
            <w:vMerge/>
          </w:tcPr>
          <w:p w14:paraId="1D868F5B" w14:textId="77777777" w:rsidR="00131F7A" w:rsidRPr="00085CC5" w:rsidRDefault="00131F7A" w:rsidP="009746A6">
            <w:pPr>
              <w:pStyle w:val="Tablebodytext"/>
              <w:keepNext w:val="0"/>
              <w:rPr>
                <w:lang w:eastAsia="en-AU"/>
              </w:rPr>
            </w:pPr>
          </w:p>
        </w:tc>
        <w:tc>
          <w:tcPr>
            <w:tcW w:w="2693" w:type="dxa"/>
            <w:vAlign w:val="center"/>
          </w:tcPr>
          <w:p w14:paraId="4E365C0B" w14:textId="77777777" w:rsidR="00131F7A" w:rsidRPr="00085CC5" w:rsidRDefault="00131F7A" w:rsidP="009746A6">
            <w:pPr>
              <w:pStyle w:val="Tablebodytext"/>
              <w:keepNext w:val="0"/>
              <w:rPr>
                <w:lang w:eastAsia="en-AU"/>
              </w:rPr>
            </w:pPr>
            <w:r w:rsidRPr="00085CC5">
              <w:rPr>
                <w:color w:val="000000"/>
                <w:lang w:eastAsia="en-AU"/>
              </w:rPr>
              <w:t>Environmental management - Monthly</w:t>
            </w:r>
          </w:p>
        </w:tc>
        <w:tc>
          <w:tcPr>
            <w:tcW w:w="993" w:type="dxa"/>
            <w:vAlign w:val="center"/>
          </w:tcPr>
          <w:p w14:paraId="1675DE80" w14:textId="77777777" w:rsidR="00131F7A" w:rsidRPr="00DB0D75" w:rsidRDefault="00131F7A" w:rsidP="009746A6">
            <w:pPr>
              <w:pStyle w:val="Tablebodytext"/>
              <w:keepNext w:val="0"/>
              <w:rPr>
                <w:lang w:eastAsia="en-AU"/>
              </w:rPr>
            </w:pPr>
            <w:r w:rsidRPr="00DB0D75">
              <w:rPr>
                <w:lang w:eastAsia="en-AU"/>
              </w:rPr>
              <w:t>3/4</w:t>
            </w:r>
          </w:p>
        </w:tc>
        <w:tc>
          <w:tcPr>
            <w:tcW w:w="1070" w:type="dxa"/>
            <w:vMerge/>
            <w:vAlign w:val="center"/>
          </w:tcPr>
          <w:p w14:paraId="42E5996F" w14:textId="77777777" w:rsidR="00131F7A" w:rsidRPr="00DB0D75" w:rsidRDefault="00131F7A" w:rsidP="009746A6">
            <w:pPr>
              <w:pStyle w:val="Tablebodytext"/>
              <w:keepNext w:val="0"/>
              <w:rPr>
                <w:lang w:eastAsia="en-AU"/>
              </w:rPr>
            </w:pPr>
          </w:p>
        </w:tc>
      </w:tr>
      <w:tr w:rsidR="00131F7A" w:rsidRPr="00DB0D75" w14:paraId="7463FC5C" w14:textId="77777777" w:rsidTr="003E3F4F">
        <w:trPr>
          <w:trHeight w:val="380"/>
        </w:trPr>
        <w:tc>
          <w:tcPr>
            <w:tcW w:w="1985" w:type="dxa"/>
            <w:vMerge/>
          </w:tcPr>
          <w:p w14:paraId="050C42B1" w14:textId="77777777" w:rsidR="00131F7A" w:rsidRPr="00085CC5" w:rsidRDefault="00131F7A" w:rsidP="009746A6">
            <w:pPr>
              <w:pStyle w:val="Tablebodytext"/>
              <w:keepNext w:val="0"/>
              <w:rPr>
                <w:lang w:eastAsia="en-AU"/>
              </w:rPr>
            </w:pPr>
          </w:p>
        </w:tc>
        <w:tc>
          <w:tcPr>
            <w:tcW w:w="1418" w:type="dxa"/>
            <w:vMerge/>
          </w:tcPr>
          <w:p w14:paraId="426732E1" w14:textId="77777777" w:rsidR="00131F7A" w:rsidRPr="00085CC5" w:rsidRDefault="00131F7A" w:rsidP="009746A6">
            <w:pPr>
              <w:pStyle w:val="Tablebodytext"/>
              <w:keepNext w:val="0"/>
              <w:rPr>
                <w:lang w:eastAsia="en-AU"/>
              </w:rPr>
            </w:pPr>
          </w:p>
        </w:tc>
        <w:tc>
          <w:tcPr>
            <w:tcW w:w="992" w:type="dxa"/>
            <w:vMerge/>
          </w:tcPr>
          <w:p w14:paraId="0C17AC85" w14:textId="77777777" w:rsidR="00131F7A" w:rsidRPr="00085CC5" w:rsidRDefault="00131F7A" w:rsidP="009746A6">
            <w:pPr>
              <w:pStyle w:val="Tablebodytext"/>
              <w:keepNext w:val="0"/>
              <w:rPr>
                <w:lang w:eastAsia="en-AU"/>
              </w:rPr>
            </w:pPr>
          </w:p>
        </w:tc>
        <w:tc>
          <w:tcPr>
            <w:tcW w:w="2693" w:type="dxa"/>
            <w:vAlign w:val="center"/>
          </w:tcPr>
          <w:p w14:paraId="03422870" w14:textId="77777777" w:rsidR="00131F7A" w:rsidRPr="00085CC5" w:rsidRDefault="00131F7A" w:rsidP="009746A6">
            <w:pPr>
              <w:pStyle w:val="Tablebodytext"/>
              <w:keepNext w:val="0"/>
              <w:rPr>
                <w:lang w:eastAsia="en-AU"/>
              </w:rPr>
            </w:pPr>
            <w:r w:rsidRPr="00085CC5">
              <w:rPr>
                <w:color w:val="000000"/>
                <w:lang w:eastAsia="en-AU"/>
              </w:rPr>
              <w:t>Environmental management - Quarterly</w:t>
            </w:r>
          </w:p>
        </w:tc>
        <w:tc>
          <w:tcPr>
            <w:tcW w:w="993" w:type="dxa"/>
            <w:vAlign w:val="center"/>
          </w:tcPr>
          <w:p w14:paraId="1C15F40E" w14:textId="77777777" w:rsidR="00131F7A" w:rsidRPr="00DB0D75" w:rsidRDefault="00131F7A" w:rsidP="009746A6">
            <w:pPr>
              <w:pStyle w:val="Tablebodytext"/>
              <w:keepNext w:val="0"/>
              <w:rPr>
                <w:lang w:eastAsia="en-AU"/>
              </w:rPr>
            </w:pPr>
            <w:r w:rsidRPr="00DB0D75">
              <w:rPr>
                <w:lang w:eastAsia="en-AU"/>
              </w:rPr>
              <w:t>3/4</w:t>
            </w:r>
          </w:p>
        </w:tc>
        <w:tc>
          <w:tcPr>
            <w:tcW w:w="1070" w:type="dxa"/>
            <w:vMerge/>
            <w:vAlign w:val="center"/>
          </w:tcPr>
          <w:p w14:paraId="11408CBD" w14:textId="77777777" w:rsidR="00131F7A" w:rsidRPr="00DB0D75" w:rsidRDefault="00131F7A" w:rsidP="009746A6">
            <w:pPr>
              <w:pStyle w:val="Tablebodytext"/>
              <w:keepNext w:val="0"/>
              <w:rPr>
                <w:lang w:eastAsia="en-AU"/>
              </w:rPr>
            </w:pPr>
          </w:p>
        </w:tc>
      </w:tr>
      <w:tr w:rsidR="00131F7A" w:rsidRPr="00DB0D75" w14:paraId="04D8F25E" w14:textId="77777777" w:rsidTr="003E3F4F">
        <w:trPr>
          <w:trHeight w:val="380"/>
        </w:trPr>
        <w:tc>
          <w:tcPr>
            <w:tcW w:w="1985" w:type="dxa"/>
            <w:vMerge/>
          </w:tcPr>
          <w:p w14:paraId="3AD53D20" w14:textId="77777777" w:rsidR="00131F7A" w:rsidRPr="00085CC5" w:rsidRDefault="00131F7A" w:rsidP="009746A6">
            <w:pPr>
              <w:pStyle w:val="Tablebodytext"/>
              <w:keepNext w:val="0"/>
              <w:rPr>
                <w:lang w:eastAsia="en-AU"/>
              </w:rPr>
            </w:pPr>
          </w:p>
        </w:tc>
        <w:tc>
          <w:tcPr>
            <w:tcW w:w="1418" w:type="dxa"/>
            <w:vMerge/>
          </w:tcPr>
          <w:p w14:paraId="2196B717" w14:textId="77777777" w:rsidR="00131F7A" w:rsidRPr="00085CC5" w:rsidRDefault="00131F7A" w:rsidP="009746A6">
            <w:pPr>
              <w:pStyle w:val="Tablebodytext"/>
              <w:keepNext w:val="0"/>
              <w:rPr>
                <w:lang w:eastAsia="en-AU"/>
              </w:rPr>
            </w:pPr>
          </w:p>
        </w:tc>
        <w:tc>
          <w:tcPr>
            <w:tcW w:w="992" w:type="dxa"/>
            <w:vMerge/>
          </w:tcPr>
          <w:p w14:paraId="2DFAA541" w14:textId="77777777" w:rsidR="00131F7A" w:rsidRPr="00085CC5" w:rsidRDefault="00131F7A" w:rsidP="009746A6">
            <w:pPr>
              <w:pStyle w:val="Tablebodytext"/>
              <w:keepNext w:val="0"/>
              <w:rPr>
                <w:lang w:eastAsia="en-AU"/>
              </w:rPr>
            </w:pPr>
          </w:p>
        </w:tc>
        <w:tc>
          <w:tcPr>
            <w:tcW w:w="2693" w:type="dxa"/>
            <w:vAlign w:val="center"/>
          </w:tcPr>
          <w:p w14:paraId="03A2756D" w14:textId="77777777" w:rsidR="00131F7A" w:rsidRPr="00085CC5" w:rsidRDefault="00131F7A" w:rsidP="009746A6">
            <w:pPr>
              <w:pStyle w:val="Tablebodytext"/>
              <w:keepNext w:val="0"/>
              <w:rPr>
                <w:lang w:eastAsia="en-AU"/>
              </w:rPr>
            </w:pPr>
            <w:r w:rsidRPr="00085CC5">
              <w:rPr>
                <w:color w:val="000000"/>
                <w:lang w:eastAsia="en-AU"/>
              </w:rPr>
              <w:t>Environmental management - Annually</w:t>
            </w:r>
          </w:p>
        </w:tc>
        <w:tc>
          <w:tcPr>
            <w:tcW w:w="993" w:type="dxa"/>
            <w:vAlign w:val="center"/>
          </w:tcPr>
          <w:p w14:paraId="0A7F7CAA" w14:textId="77777777" w:rsidR="00131F7A" w:rsidRPr="00DB0D75" w:rsidRDefault="00131F7A" w:rsidP="009746A6">
            <w:pPr>
              <w:pStyle w:val="Tablebodytext"/>
              <w:keepNext w:val="0"/>
              <w:rPr>
                <w:lang w:eastAsia="en-AU"/>
              </w:rPr>
            </w:pPr>
            <w:r w:rsidRPr="00DB0D75">
              <w:rPr>
                <w:lang w:eastAsia="en-AU"/>
              </w:rPr>
              <w:t>2/4</w:t>
            </w:r>
          </w:p>
        </w:tc>
        <w:tc>
          <w:tcPr>
            <w:tcW w:w="1070" w:type="dxa"/>
            <w:vMerge/>
            <w:vAlign w:val="center"/>
          </w:tcPr>
          <w:p w14:paraId="57DE43B9" w14:textId="77777777" w:rsidR="00131F7A" w:rsidRPr="00DB0D75" w:rsidRDefault="00131F7A" w:rsidP="009746A6">
            <w:pPr>
              <w:pStyle w:val="Tablebodytext"/>
              <w:keepNext w:val="0"/>
              <w:rPr>
                <w:lang w:eastAsia="en-AU"/>
              </w:rPr>
            </w:pPr>
          </w:p>
        </w:tc>
      </w:tr>
      <w:tr w:rsidR="00131F7A" w:rsidRPr="00DB0D75" w14:paraId="310D5F0F" w14:textId="77777777" w:rsidTr="003E3F4F">
        <w:trPr>
          <w:trHeight w:val="380"/>
        </w:trPr>
        <w:tc>
          <w:tcPr>
            <w:tcW w:w="1985" w:type="dxa"/>
            <w:vMerge/>
          </w:tcPr>
          <w:p w14:paraId="11D6B1AE" w14:textId="77777777" w:rsidR="00131F7A" w:rsidRPr="00085CC5" w:rsidRDefault="00131F7A" w:rsidP="009746A6">
            <w:pPr>
              <w:pStyle w:val="Tablebodytext"/>
              <w:keepNext w:val="0"/>
              <w:rPr>
                <w:lang w:eastAsia="en-AU"/>
              </w:rPr>
            </w:pPr>
          </w:p>
        </w:tc>
        <w:tc>
          <w:tcPr>
            <w:tcW w:w="1418" w:type="dxa"/>
            <w:vMerge/>
          </w:tcPr>
          <w:p w14:paraId="746B1628" w14:textId="77777777" w:rsidR="00131F7A" w:rsidRPr="00085CC5" w:rsidRDefault="00131F7A" w:rsidP="009746A6">
            <w:pPr>
              <w:pStyle w:val="Tablebodytext"/>
              <w:keepNext w:val="0"/>
              <w:rPr>
                <w:lang w:eastAsia="en-AU"/>
              </w:rPr>
            </w:pPr>
          </w:p>
        </w:tc>
        <w:tc>
          <w:tcPr>
            <w:tcW w:w="992" w:type="dxa"/>
            <w:vMerge/>
          </w:tcPr>
          <w:p w14:paraId="4B3DF457" w14:textId="77777777" w:rsidR="00131F7A" w:rsidRPr="00085CC5" w:rsidRDefault="00131F7A" w:rsidP="009746A6">
            <w:pPr>
              <w:pStyle w:val="Tablebodytext"/>
              <w:keepNext w:val="0"/>
              <w:rPr>
                <w:lang w:eastAsia="en-AU"/>
              </w:rPr>
            </w:pPr>
          </w:p>
        </w:tc>
        <w:tc>
          <w:tcPr>
            <w:tcW w:w="2693" w:type="dxa"/>
            <w:vAlign w:val="center"/>
          </w:tcPr>
          <w:p w14:paraId="22D39888" w14:textId="77777777" w:rsidR="00131F7A" w:rsidRPr="00085CC5" w:rsidRDefault="00131F7A" w:rsidP="009746A6">
            <w:pPr>
              <w:pStyle w:val="Tablebodytext"/>
              <w:keepNext w:val="0"/>
              <w:rPr>
                <w:lang w:eastAsia="en-AU"/>
              </w:rPr>
            </w:pPr>
            <w:r w:rsidRPr="00085CC5">
              <w:rPr>
                <w:color w:val="000000"/>
                <w:lang w:eastAsia="en-AU"/>
              </w:rPr>
              <w:t>Environmental management - Ad hoc</w:t>
            </w:r>
          </w:p>
        </w:tc>
        <w:tc>
          <w:tcPr>
            <w:tcW w:w="993" w:type="dxa"/>
            <w:vAlign w:val="center"/>
          </w:tcPr>
          <w:p w14:paraId="2A8F549A" w14:textId="77777777" w:rsidR="00131F7A" w:rsidRPr="00DB0D75" w:rsidRDefault="00131F7A" w:rsidP="009746A6">
            <w:pPr>
              <w:pStyle w:val="Tablebodytext"/>
              <w:keepNext w:val="0"/>
              <w:rPr>
                <w:lang w:eastAsia="en-AU"/>
              </w:rPr>
            </w:pPr>
            <w:r w:rsidRPr="00DB0D75">
              <w:rPr>
                <w:lang w:eastAsia="en-AU"/>
              </w:rPr>
              <w:t>1/4</w:t>
            </w:r>
          </w:p>
        </w:tc>
        <w:tc>
          <w:tcPr>
            <w:tcW w:w="1070" w:type="dxa"/>
            <w:vMerge/>
            <w:vAlign w:val="center"/>
          </w:tcPr>
          <w:p w14:paraId="57AD5E74" w14:textId="77777777" w:rsidR="00131F7A" w:rsidRPr="00DB0D75" w:rsidRDefault="00131F7A" w:rsidP="009746A6">
            <w:pPr>
              <w:pStyle w:val="Tablebodytext"/>
              <w:keepNext w:val="0"/>
              <w:rPr>
                <w:lang w:eastAsia="en-AU"/>
              </w:rPr>
            </w:pPr>
          </w:p>
        </w:tc>
      </w:tr>
      <w:tr w:rsidR="00131F7A" w:rsidRPr="00DB0D75" w14:paraId="45AEA433" w14:textId="77777777" w:rsidTr="003E3F4F">
        <w:trPr>
          <w:trHeight w:val="380"/>
        </w:trPr>
        <w:tc>
          <w:tcPr>
            <w:tcW w:w="1985" w:type="dxa"/>
            <w:vMerge w:val="restart"/>
          </w:tcPr>
          <w:p w14:paraId="690490E6" w14:textId="77777777" w:rsidR="00131F7A" w:rsidRPr="00085CC5" w:rsidRDefault="00131F7A" w:rsidP="009746A6">
            <w:pPr>
              <w:pStyle w:val="Tablebodytext"/>
              <w:keepNext w:val="0"/>
              <w:rPr>
                <w:lang w:eastAsia="en-AU"/>
              </w:rPr>
            </w:pPr>
            <w:r w:rsidRPr="00085CC5">
              <w:rPr>
                <w:lang w:eastAsia="en-AU"/>
              </w:rPr>
              <w:t>31. What areas were covered in this business’s strategic plan or policy?</w:t>
            </w:r>
          </w:p>
        </w:tc>
        <w:tc>
          <w:tcPr>
            <w:tcW w:w="1418" w:type="dxa"/>
            <w:vMerge w:val="restart"/>
          </w:tcPr>
          <w:p w14:paraId="6F37A836" w14:textId="77777777" w:rsidR="00131F7A" w:rsidRPr="00085CC5" w:rsidRDefault="00131F7A" w:rsidP="009746A6">
            <w:pPr>
              <w:pStyle w:val="Tablebodytext"/>
              <w:keepNext w:val="0"/>
              <w:rPr>
                <w:lang w:eastAsia="en-AU"/>
              </w:rPr>
            </w:pPr>
            <w:r w:rsidRPr="00085CC5">
              <w:rPr>
                <w:lang w:eastAsia="en-AU"/>
              </w:rPr>
              <w:t>List</w:t>
            </w:r>
          </w:p>
        </w:tc>
        <w:tc>
          <w:tcPr>
            <w:tcW w:w="992" w:type="dxa"/>
            <w:vMerge w:val="restart"/>
            <w:vAlign w:val="center"/>
          </w:tcPr>
          <w:p w14:paraId="453D0598" w14:textId="77777777" w:rsidR="00131F7A" w:rsidRPr="00085CC5" w:rsidRDefault="00131F7A" w:rsidP="009746A6">
            <w:pPr>
              <w:pStyle w:val="Tablebodytext"/>
              <w:keepNext w:val="0"/>
              <w:rPr>
                <w:color w:val="000000"/>
                <w:lang w:eastAsia="en-AU"/>
              </w:rPr>
            </w:pPr>
            <w:r w:rsidRPr="00085CC5">
              <w:rPr>
                <w:lang w:eastAsia="en-AU"/>
              </w:rPr>
              <w:t>h</w:t>
            </w:r>
          </w:p>
        </w:tc>
        <w:tc>
          <w:tcPr>
            <w:tcW w:w="2693" w:type="dxa"/>
            <w:vMerge w:val="restart"/>
            <w:vAlign w:val="center"/>
          </w:tcPr>
          <w:p w14:paraId="510C7A4D" w14:textId="77777777" w:rsidR="00131F7A" w:rsidRPr="00085CC5" w:rsidRDefault="00131F7A" w:rsidP="009746A6">
            <w:pPr>
              <w:pStyle w:val="Tablebodytext"/>
              <w:keepNext w:val="0"/>
              <w:rPr>
                <w:color w:val="000000"/>
                <w:lang w:eastAsia="en-AU"/>
              </w:rPr>
            </w:pPr>
            <w:r w:rsidRPr="00085CC5">
              <w:rPr>
                <w:lang w:eastAsia="en-AU"/>
              </w:rPr>
              <w:t>Environmental</w:t>
            </w:r>
          </w:p>
        </w:tc>
        <w:tc>
          <w:tcPr>
            <w:tcW w:w="993" w:type="dxa"/>
            <w:vAlign w:val="center"/>
          </w:tcPr>
          <w:p w14:paraId="66BCACE5" w14:textId="77777777" w:rsidR="00131F7A" w:rsidRPr="00DB0D75" w:rsidRDefault="00131F7A" w:rsidP="009746A6">
            <w:pPr>
              <w:pStyle w:val="Tablebodytext"/>
              <w:keepNext w:val="0"/>
              <w:rPr>
                <w:color w:val="000000"/>
                <w:lang w:eastAsia="en-AU"/>
              </w:rPr>
            </w:pPr>
            <w:r w:rsidRPr="00DB0D75">
              <w:rPr>
                <w:lang w:eastAsia="en-AU"/>
              </w:rPr>
              <w:t>1 (Yes)</w:t>
            </w:r>
          </w:p>
        </w:tc>
        <w:tc>
          <w:tcPr>
            <w:tcW w:w="1070" w:type="dxa"/>
            <w:vMerge w:val="restart"/>
            <w:vAlign w:val="center"/>
          </w:tcPr>
          <w:p w14:paraId="6F41AD9F" w14:textId="77777777" w:rsidR="00131F7A" w:rsidRPr="00DB0D75" w:rsidRDefault="00131F7A" w:rsidP="009746A6">
            <w:pPr>
              <w:pStyle w:val="Tablebodytext"/>
              <w:keepNext w:val="0"/>
              <w:rPr>
                <w:lang w:eastAsia="en-AU"/>
              </w:rPr>
            </w:pPr>
            <w:r w:rsidRPr="00DB0D75">
              <w:rPr>
                <w:lang w:eastAsia="en-AU"/>
              </w:rPr>
              <w:t>0.126</w:t>
            </w:r>
          </w:p>
        </w:tc>
      </w:tr>
      <w:tr w:rsidR="00131F7A" w:rsidRPr="00DB0D75" w14:paraId="2E705F2D" w14:textId="77777777" w:rsidTr="003E3F4F">
        <w:trPr>
          <w:trHeight w:val="380"/>
        </w:trPr>
        <w:tc>
          <w:tcPr>
            <w:tcW w:w="1985" w:type="dxa"/>
            <w:vMerge/>
          </w:tcPr>
          <w:p w14:paraId="57DE00AF" w14:textId="77777777" w:rsidR="00131F7A" w:rsidRPr="00085CC5" w:rsidRDefault="00131F7A" w:rsidP="009746A6">
            <w:pPr>
              <w:pStyle w:val="Tablebodytext"/>
              <w:keepNext w:val="0"/>
              <w:rPr>
                <w:color w:val="000000"/>
                <w:lang w:eastAsia="en-AU"/>
              </w:rPr>
            </w:pPr>
          </w:p>
        </w:tc>
        <w:tc>
          <w:tcPr>
            <w:tcW w:w="1418" w:type="dxa"/>
            <w:vMerge/>
          </w:tcPr>
          <w:p w14:paraId="7ACD1057" w14:textId="77777777" w:rsidR="00131F7A" w:rsidRPr="00085CC5" w:rsidRDefault="00131F7A" w:rsidP="009746A6">
            <w:pPr>
              <w:pStyle w:val="Tablebodytext"/>
              <w:keepNext w:val="0"/>
              <w:rPr>
                <w:color w:val="000000"/>
                <w:lang w:eastAsia="en-AU"/>
              </w:rPr>
            </w:pPr>
          </w:p>
        </w:tc>
        <w:tc>
          <w:tcPr>
            <w:tcW w:w="992" w:type="dxa"/>
            <w:vMerge/>
            <w:vAlign w:val="center"/>
          </w:tcPr>
          <w:p w14:paraId="27F8C07C" w14:textId="77777777" w:rsidR="00131F7A" w:rsidRPr="00085CC5" w:rsidRDefault="00131F7A" w:rsidP="009746A6">
            <w:pPr>
              <w:pStyle w:val="Tablebodytext"/>
              <w:keepNext w:val="0"/>
              <w:rPr>
                <w:color w:val="000000"/>
                <w:lang w:eastAsia="en-AU"/>
              </w:rPr>
            </w:pPr>
          </w:p>
        </w:tc>
        <w:tc>
          <w:tcPr>
            <w:tcW w:w="2693" w:type="dxa"/>
            <w:vMerge/>
            <w:vAlign w:val="center"/>
          </w:tcPr>
          <w:p w14:paraId="0CFD17A9" w14:textId="77777777" w:rsidR="00131F7A" w:rsidRPr="00085CC5" w:rsidRDefault="00131F7A" w:rsidP="009746A6">
            <w:pPr>
              <w:pStyle w:val="Tablebodytext"/>
              <w:keepNext w:val="0"/>
              <w:rPr>
                <w:color w:val="000000"/>
                <w:lang w:eastAsia="en-AU"/>
              </w:rPr>
            </w:pPr>
          </w:p>
        </w:tc>
        <w:tc>
          <w:tcPr>
            <w:tcW w:w="993" w:type="dxa"/>
            <w:vAlign w:val="center"/>
          </w:tcPr>
          <w:p w14:paraId="6481743A" w14:textId="77777777" w:rsidR="00131F7A" w:rsidRPr="00DB0D75" w:rsidRDefault="00131F7A" w:rsidP="009746A6">
            <w:pPr>
              <w:pStyle w:val="Tablebodytext"/>
              <w:keepNext w:val="0"/>
              <w:rPr>
                <w:color w:val="000000"/>
                <w:lang w:eastAsia="en-AU"/>
              </w:rPr>
            </w:pPr>
            <w:r w:rsidRPr="00DB0D75">
              <w:rPr>
                <w:lang w:eastAsia="en-AU"/>
              </w:rPr>
              <w:t>0 (No)</w:t>
            </w:r>
          </w:p>
        </w:tc>
        <w:tc>
          <w:tcPr>
            <w:tcW w:w="1070" w:type="dxa"/>
            <w:vMerge/>
            <w:vAlign w:val="center"/>
          </w:tcPr>
          <w:p w14:paraId="5554B9FF" w14:textId="77777777" w:rsidR="00131F7A" w:rsidRPr="00DB0D75" w:rsidRDefault="00131F7A" w:rsidP="009746A6">
            <w:pPr>
              <w:pStyle w:val="Tablebodytext"/>
              <w:keepNext w:val="0"/>
              <w:rPr>
                <w:lang w:eastAsia="en-AU"/>
              </w:rPr>
            </w:pPr>
          </w:p>
        </w:tc>
      </w:tr>
      <w:tr w:rsidR="00131F7A" w:rsidRPr="00DB0D75" w14:paraId="279A16EA" w14:textId="77777777" w:rsidTr="003E3F4F">
        <w:trPr>
          <w:trHeight w:val="260"/>
        </w:trPr>
        <w:tc>
          <w:tcPr>
            <w:tcW w:w="1985" w:type="dxa"/>
            <w:vMerge w:val="restart"/>
          </w:tcPr>
          <w:p w14:paraId="28001EA3" w14:textId="77777777" w:rsidR="00131F7A" w:rsidRPr="00085CC5" w:rsidRDefault="00131F7A" w:rsidP="009746A6">
            <w:pPr>
              <w:pStyle w:val="Tablebodytext"/>
              <w:keepNext w:val="0"/>
              <w:rPr>
                <w:lang w:eastAsia="en-AU"/>
              </w:rPr>
            </w:pPr>
            <w:r w:rsidRPr="00085CC5">
              <w:rPr>
                <w:lang w:eastAsia="en-AU"/>
              </w:rPr>
              <w:t xml:space="preserve">46. Did this business undertake any of the following environmental management activities? </w:t>
            </w:r>
          </w:p>
        </w:tc>
        <w:tc>
          <w:tcPr>
            <w:tcW w:w="1418" w:type="dxa"/>
            <w:vMerge w:val="restart"/>
          </w:tcPr>
          <w:p w14:paraId="27A40C2A" w14:textId="77777777" w:rsidR="00131F7A" w:rsidRPr="00085CC5" w:rsidRDefault="00131F7A" w:rsidP="009746A6">
            <w:pPr>
              <w:pStyle w:val="Tablebodytext"/>
              <w:keepNext w:val="0"/>
              <w:rPr>
                <w:lang w:eastAsia="en-AU"/>
              </w:rPr>
            </w:pPr>
            <w:r w:rsidRPr="00085CC5">
              <w:rPr>
                <w:lang w:eastAsia="en-AU"/>
              </w:rPr>
              <w:t>List</w:t>
            </w:r>
          </w:p>
        </w:tc>
        <w:tc>
          <w:tcPr>
            <w:tcW w:w="992" w:type="dxa"/>
            <w:vAlign w:val="center"/>
          </w:tcPr>
          <w:p w14:paraId="5B735C88" w14:textId="77777777" w:rsidR="00131F7A" w:rsidRPr="00085CC5" w:rsidRDefault="00131F7A" w:rsidP="009746A6">
            <w:pPr>
              <w:pStyle w:val="Tablebodytext"/>
              <w:keepNext w:val="0"/>
              <w:rPr>
                <w:color w:val="000000"/>
                <w:lang w:eastAsia="en-AU"/>
              </w:rPr>
            </w:pPr>
            <w:r w:rsidRPr="00085CC5">
              <w:rPr>
                <w:color w:val="000000"/>
                <w:lang w:eastAsia="en-AU"/>
              </w:rPr>
              <w:t>a</w:t>
            </w:r>
          </w:p>
        </w:tc>
        <w:tc>
          <w:tcPr>
            <w:tcW w:w="2693" w:type="dxa"/>
            <w:vAlign w:val="center"/>
          </w:tcPr>
          <w:p w14:paraId="73B1ACDD" w14:textId="77777777" w:rsidR="00131F7A" w:rsidRPr="00085CC5" w:rsidRDefault="00131F7A" w:rsidP="009746A6">
            <w:pPr>
              <w:pStyle w:val="Tablebodytext"/>
              <w:keepNext w:val="0"/>
              <w:rPr>
                <w:color w:val="000000"/>
                <w:lang w:eastAsia="en-AU"/>
              </w:rPr>
            </w:pPr>
            <w:r w:rsidRPr="00085CC5">
              <w:rPr>
                <w:color w:val="000000"/>
                <w:lang w:eastAsia="en-AU"/>
              </w:rPr>
              <w:t>Measures to reduce material resource inputs and/or improve material resource efficiency</w:t>
            </w:r>
          </w:p>
        </w:tc>
        <w:tc>
          <w:tcPr>
            <w:tcW w:w="993" w:type="dxa"/>
            <w:vAlign w:val="center"/>
          </w:tcPr>
          <w:p w14:paraId="024183DD" w14:textId="214E786D"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266C6637" w14:textId="77777777" w:rsidR="00131F7A" w:rsidRPr="00DB0D75" w:rsidRDefault="00131F7A" w:rsidP="009746A6">
            <w:pPr>
              <w:pStyle w:val="Tablebodytext"/>
              <w:keepNext w:val="0"/>
              <w:rPr>
                <w:lang w:eastAsia="en-AU"/>
              </w:rPr>
            </w:pPr>
            <w:r w:rsidRPr="00DB0D75">
              <w:rPr>
                <w:lang w:eastAsia="en-AU"/>
              </w:rPr>
              <w:t>0.159</w:t>
            </w:r>
          </w:p>
        </w:tc>
      </w:tr>
      <w:tr w:rsidR="00131F7A" w:rsidRPr="00DB0D75" w14:paraId="76F4196D" w14:textId="77777777" w:rsidTr="003E3F4F">
        <w:trPr>
          <w:trHeight w:val="260"/>
        </w:trPr>
        <w:tc>
          <w:tcPr>
            <w:tcW w:w="1985" w:type="dxa"/>
            <w:vMerge/>
          </w:tcPr>
          <w:p w14:paraId="5D6DCBB3" w14:textId="77777777" w:rsidR="00131F7A" w:rsidRPr="00DB0D75" w:rsidRDefault="00131F7A" w:rsidP="009746A6">
            <w:pPr>
              <w:pStyle w:val="Tablebodytext"/>
              <w:keepNext w:val="0"/>
              <w:rPr>
                <w:lang w:eastAsia="en-AU"/>
              </w:rPr>
            </w:pPr>
          </w:p>
        </w:tc>
        <w:tc>
          <w:tcPr>
            <w:tcW w:w="1418" w:type="dxa"/>
            <w:vMerge/>
          </w:tcPr>
          <w:p w14:paraId="582C70CF" w14:textId="77777777" w:rsidR="00131F7A" w:rsidRPr="00DB0D75" w:rsidRDefault="00131F7A" w:rsidP="009746A6">
            <w:pPr>
              <w:pStyle w:val="Tablebodytext"/>
              <w:keepNext w:val="0"/>
              <w:rPr>
                <w:lang w:eastAsia="en-AU"/>
              </w:rPr>
            </w:pPr>
          </w:p>
        </w:tc>
        <w:tc>
          <w:tcPr>
            <w:tcW w:w="992" w:type="dxa"/>
            <w:vAlign w:val="center"/>
          </w:tcPr>
          <w:p w14:paraId="3BF0ACC9" w14:textId="77777777" w:rsidR="00131F7A" w:rsidRPr="00DB0D75" w:rsidRDefault="00131F7A" w:rsidP="009746A6">
            <w:pPr>
              <w:pStyle w:val="Tablebodytext"/>
              <w:keepNext w:val="0"/>
              <w:rPr>
                <w:color w:val="000000"/>
                <w:lang w:eastAsia="en-AU"/>
              </w:rPr>
            </w:pPr>
            <w:r w:rsidRPr="00DB0D75">
              <w:rPr>
                <w:color w:val="000000"/>
                <w:lang w:eastAsia="en-AU"/>
              </w:rPr>
              <w:t>b</w:t>
            </w:r>
          </w:p>
        </w:tc>
        <w:tc>
          <w:tcPr>
            <w:tcW w:w="2693" w:type="dxa"/>
            <w:vAlign w:val="center"/>
          </w:tcPr>
          <w:p w14:paraId="1B2170F7" w14:textId="77777777" w:rsidR="00131F7A" w:rsidRPr="00DB0D75" w:rsidRDefault="00131F7A" w:rsidP="009746A6">
            <w:pPr>
              <w:pStyle w:val="Tablebodytext"/>
              <w:keepNext w:val="0"/>
              <w:rPr>
                <w:color w:val="000000"/>
                <w:lang w:eastAsia="en-AU"/>
              </w:rPr>
            </w:pPr>
            <w:r w:rsidRPr="00DB0D75">
              <w:rPr>
                <w:color w:val="000000"/>
                <w:lang w:eastAsia="en-AU"/>
              </w:rPr>
              <w:t>Measures to reduce energy consumption and/or improve energy efficiency</w:t>
            </w:r>
          </w:p>
        </w:tc>
        <w:tc>
          <w:tcPr>
            <w:tcW w:w="993" w:type="dxa"/>
            <w:vAlign w:val="center"/>
          </w:tcPr>
          <w:p w14:paraId="6CF77451" w14:textId="5A6EA7E4"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6C36374B" w14:textId="77777777" w:rsidR="00131F7A" w:rsidRPr="00DB0D75" w:rsidRDefault="00131F7A" w:rsidP="009746A6">
            <w:pPr>
              <w:pStyle w:val="Tablebodytext"/>
              <w:keepNext w:val="0"/>
              <w:rPr>
                <w:lang w:eastAsia="en-AU"/>
              </w:rPr>
            </w:pPr>
            <w:r w:rsidRPr="00DB0D75">
              <w:rPr>
                <w:lang w:eastAsia="en-AU"/>
              </w:rPr>
              <w:t>0.284</w:t>
            </w:r>
          </w:p>
        </w:tc>
      </w:tr>
      <w:tr w:rsidR="00131F7A" w:rsidRPr="00DB0D75" w14:paraId="6C4C12A0" w14:textId="77777777" w:rsidTr="003E3F4F">
        <w:trPr>
          <w:trHeight w:val="260"/>
        </w:trPr>
        <w:tc>
          <w:tcPr>
            <w:tcW w:w="1985" w:type="dxa"/>
            <w:vMerge/>
          </w:tcPr>
          <w:p w14:paraId="0D805B12" w14:textId="77777777" w:rsidR="00131F7A" w:rsidRPr="00DB0D75" w:rsidRDefault="00131F7A" w:rsidP="009746A6">
            <w:pPr>
              <w:pStyle w:val="Tablebodytext"/>
              <w:keepNext w:val="0"/>
              <w:rPr>
                <w:lang w:eastAsia="en-AU"/>
              </w:rPr>
            </w:pPr>
          </w:p>
        </w:tc>
        <w:tc>
          <w:tcPr>
            <w:tcW w:w="1418" w:type="dxa"/>
            <w:vMerge/>
          </w:tcPr>
          <w:p w14:paraId="10326762" w14:textId="77777777" w:rsidR="00131F7A" w:rsidRPr="00DB0D75" w:rsidRDefault="00131F7A" w:rsidP="009746A6">
            <w:pPr>
              <w:pStyle w:val="Tablebodytext"/>
              <w:keepNext w:val="0"/>
              <w:rPr>
                <w:lang w:eastAsia="en-AU"/>
              </w:rPr>
            </w:pPr>
          </w:p>
        </w:tc>
        <w:tc>
          <w:tcPr>
            <w:tcW w:w="992" w:type="dxa"/>
            <w:vAlign w:val="center"/>
          </w:tcPr>
          <w:p w14:paraId="78B4C3A9" w14:textId="77777777" w:rsidR="00131F7A" w:rsidRPr="00DB0D75" w:rsidRDefault="00131F7A" w:rsidP="009746A6">
            <w:pPr>
              <w:pStyle w:val="Tablebodytext"/>
              <w:keepNext w:val="0"/>
              <w:rPr>
                <w:color w:val="000000"/>
                <w:lang w:eastAsia="en-AU"/>
              </w:rPr>
            </w:pPr>
            <w:r w:rsidRPr="00DB0D75">
              <w:rPr>
                <w:color w:val="000000"/>
                <w:lang w:eastAsia="en-AU"/>
              </w:rPr>
              <w:t>c</w:t>
            </w:r>
          </w:p>
        </w:tc>
        <w:tc>
          <w:tcPr>
            <w:tcW w:w="2693" w:type="dxa"/>
            <w:vAlign w:val="center"/>
          </w:tcPr>
          <w:p w14:paraId="49C318EA" w14:textId="77777777" w:rsidR="00131F7A" w:rsidRPr="00DB0D75" w:rsidRDefault="00131F7A" w:rsidP="009746A6">
            <w:pPr>
              <w:pStyle w:val="Tablebodytext"/>
              <w:keepNext w:val="0"/>
              <w:rPr>
                <w:color w:val="000000"/>
                <w:lang w:eastAsia="en-AU"/>
              </w:rPr>
            </w:pPr>
            <w:r w:rsidRPr="00DB0D75">
              <w:rPr>
                <w:color w:val="000000"/>
                <w:lang w:eastAsia="en-AU"/>
              </w:rPr>
              <w:t>Measures to reduce water consumption and/or improve water efficiency</w:t>
            </w:r>
          </w:p>
        </w:tc>
        <w:tc>
          <w:tcPr>
            <w:tcW w:w="993" w:type="dxa"/>
            <w:vAlign w:val="center"/>
          </w:tcPr>
          <w:p w14:paraId="5C9F9FD9" w14:textId="622BBBCE"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72C435AD" w14:textId="77777777" w:rsidR="00131F7A" w:rsidRPr="00DB0D75" w:rsidRDefault="00131F7A" w:rsidP="009746A6">
            <w:pPr>
              <w:pStyle w:val="Tablebodytext"/>
              <w:keepNext w:val="0"/>
              <w:rPr>
                <w:lang w:eastAsia="en-AU"/>
              </w:rPr>
            </w:pPr>
            <w:r w:rsidRPr="00DB0D75">
              <w:rPr>
                <w:lang w:eastAsia="en-AU"/>
              </w:rPr>
              <w:t>0.146</w:t>
            </w:r>
          </w:p>
        </w:tc>
      </w:tr>
      <w:tr w:rsidR="00131F7A" w:rsidRPr="00DB0D75" w14:paraId="4CF7C0AD" w14:textId="77777777" w:rsidTr="003E3F4F">
        <w:trPr>
          <w:trHeight w:val="260"/>
        </w:trPr>
        <w:tc>
          <w:tcPr>
            <w:tcW w:w="1985" w:type="dxa"/>
            <w:vMerge/>
          </w:tcPr>
          <w:p w14:paraId="3D7369CE" w14:textId="77777777" w:rsidR="00131F7A" w:rsidRPr="00DB0D75" w:rsidRDefault="00131F7A" w:rsidP="009746A6">
            <w:pPr>
              <w:pStyle w:val="Tablebodytext"/>
              <w:keepNext w:val="0"/>
              <w:rPr>
                <w:lang w:eastAsia="en-AU"/>
              </w:rPr>
            </w:pPr>
          </w:p>
        </w:tc>
        <w:tc>
          <w:tcPr>
            <w:tcW w:w="1418" w:type="dxa"/>
            <w:vMerge/>
          </w:tcPr>
          <w:p w14:paraId="0FAECA0C" w14:textId="77777777" w:rsidR="00131F7A" w:rsidRPr="00DB0D75" w:rsidRDefault="00131F7A" w:rsidP="009746A6">
            <w:pPr>
              <w:pStyle w:val="Tablebodytext"/>
              <w:keepNext w:val="0"/>
              <w:rPr>
                <w:lang w:eastAsia="en-AU"/>
              </w:rPr>
            </w:pPr>
          </w:p>
        </w:tc>
        <w:tc>
          <w:tcPr>
            <w:tcW w:w="992" w:type="dxa"/>
            <w:vAlign w:val="center"/>
          </w:tcPr>
          <w:p w14:paraId="3F89E967" w14:textId="77777777" w:rsidR="00131F7A" w:rsidRPr="00DB0D75" w:rsidRDefault="00131F7A" w:rsidP="009746A6">
            <w:pPr>
              <w:pStyle w:val="Tablebodytext"/>
              <w:keepNext w:val="0"/>
              <w:rPr>
                <w:color w:val="000000"/>
                <w:lang w:eastAsia="en-AU"/>
              </w:rPr>
            </w:pPr>
            <w:r w:rsidRPr="00DB0D75">
              <w:rPr>
                <w:color w:val="000000"/>
                <w:lang w:eastAsia="en-AU"/>
              </w:rPr>
              <w:t>d.1</w:t>
            </w:r>
          </w:p>
        </w:tc>
        <w:tc>
          <w:tcPr>
            <w:tcW w:w="2693" w:type="dxa"/>
            <w:vAlign w:val="center"/>
          </w:tcPr>
          <w:p w14:paraId="28CBF35B" w14:textId="77777777" w:rsidR="00131F7A" w:rsidRPr="00DB0D75" w:rsidRDefault="00131F7A" w:rsidP="009746A6">
            <w:pPr>
              <w:pStyle w:val="Tablebodytext"/>
              <w:keepNext w:val="0"/>
              <w:rPr>
                <w:color w:val="000000"/>
                <w:lang w:eastAsia="en-AU"/>
              </w:rPr>
            </w:pPr>
            <w:r w:rsidRPr="00DB0D75">
              <w:rPr>
                <w:color w:val="000000"/>
                <w:lang w:eastAsia="en-AU"/>
              </w:rPr>
              <w:t>Reduced environmental footprint through: research and development</w:t>
            </w:r>
          </w:p>
        </w:tc>
        <w:tc>
          <w:tcPr>
            <w:tcW w:w="993" w:type="dxa"/>
            <w:vAlign w:val="center"/>
          </w:tcPr>
          <w:p w14:paraId="3343A2DB" w14:textId="42D0AFD8"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44CB7942" w14:textId="77777777" w:rsidR="00131F7A" w:rsidRPr="00DB0D75" w:rsidRDefault="00131F7A" w:rsidP="009746A6">
            <w:pPr>
              <w:pStyle w:val="Tablebodytext"/>
              <w:keepNext w:val="0"/>
              <w:rPr>
                <w:lang w:eastAsia="en-AU"/>
              </w:rPr>
            </w:pPr>
            <w:r w:rsidRPr="00DB0D75">
              <w:rPr>
                <w:lang w:eastAsia="en-AU"/>
              </w:rPr>
              <w:t>0.049</w:t>
            </w:r>
          </w:p>
        </w:tc>
      </w:tr>
      <w:tr w:rsidR="00131F7A" w:rsidRPr="00DB0D75" w14:paraId="3A444E7A" w14:textId="77777777" w:rsidTr="003E3F4F">
        <w:trPr>
          <w:trHeight w:val="260"/>
        </w:trPr>
        <w:tc>
          <w:tcPr>
            <w:tcW w:w="1985" w:type="dxa"/>
            <w:vMerge/>
          </w:tcPr>
          <w:p w14:paraId="57A795AC" w14:textId="77777777" w:rsidR="00131F7A" w:rsidRPr="00DB0D75" w:rsidRDefault="00131F7A" w:rsidP="009746A6">
            <w:pPr>
              <w:pStyle w:val="Tablebodytext"/>
              <w:keepNext w:val="0"/>
              <w:rPr>
                <w:lang w:eastAsia="en-AU"/>
              </w:rPr>
            </w:pPr>
          </w:p>
        </w:tc>
        <w:tc>
          <w:tcPr>
            <w:tcW w:w="1418" w:type="dxa"/>
            <w:vMerge/>
          </w:tcPr>
          <w:p w14:paraId="5325C5BE" w14:textId="77777777" w:rsidR="00131F7A" w:rsidRPr="00DB0D75" w:rsidRDefault="00131F7A" w:rsidP="009746A6">
            <w:pPr>
              <w:pStyle w:val="Tablebodytext"/>
              <w:keepNext w:val="0"/>
              <w:rPr>
                <w:lang w:eastAsia="en-AU"/>
              </w:rPr>
            </w:pPr>
          </w:p>
        </w:tc>
        <w:tc>
          <w:tcPr>
            <w:tcW w:w="992" w:type="dxa"/>
            <w:vAlign w:val="center"/>
          </w:tcPr>
          <w:p w14:paraId="6B1FF731" w14:textId="77777777" w:rsidR="00131F7A" w:rsidRPr="00DB0D75" w:rsidRDefault="00131F7A" w:rsidP="009746A6">
            <w:pPr>
              <w:pStyle w:val="Tablebodytext"/>
              <w:keepNext w:val="0"/>
              <w:rPr>
                <w:color w:val="000000"/>
                <w:lang w:eastAsia="en-AU"/>
              </w:rPr>
            </w:pPr>
            <w:r w:rsidRPr="00DB0D75">
              <w:rPr>
                <w:color w:val="000000"/>
                <w:lang w:eastAsia="en-AU"/>
              </w:rPr>
              <w:t>d.2</w:t>
            </w:r>
          </w:p>
        </w:tc>
        <w:tc>
          <w:tcPr>
            <w:tcW w:w="2693" w:type="dxa"/>
            <w:vAlign w:val="center"/>
          </w:tcPr>
          <w:p w14:paraId="445B0597" w14:textId="77777777" w:rsidR="00131F7A" w:rsidRPr="00DB0D75" w:rsidRDefault="00131F7A" w:rsidP="009746A6">
            <w:pPr>
              <w:pStyle w:val="Tablebodytext"/>
              <w:keepNext w:val="0"/>
              <w:rPr>
                <w:color w:val="000000"/>
                <w:lang w:eastAsia="en-AU"/>
              </w:rPr>
            </w:pPr>
            <w:r w:rsidRPr="00DB0D75">
              <w:rPr>
                <w:color w:val="000000"/>
                <w:lang w:eastAsia="en-AU"/>
              </w:rPr>
              <w:t>Reduced environmental footprint through: any new or improved good, service, operational process or management practice</w:t>
            </w:r>
          </w:p>
        </w:tc>
        <w:tc>
          <w:tcPr>
            <w:tcW w:w="993" w:type="dxa"/>
            <w:vAlign w:val="center"/>
          </w:tcPr>
          <w:p w14:paraId="72F2562F" w14:textId="5AF6BB6C"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55E12B3B" w14:textId="77777777" w:rsidR="00131F7A" w:rsidRPr="00DB0D75" w:rsidRDefault="00131F7A" w:rsidP="009746A6">
            <w:pPr>
              <w:pStyle w:val="Tablebodytext"/>
              <w:keepNext w:val="0"/>
              <w:rPr>
                <w:lang w:eastAsia="en-AU"/>
              </w:rPr>
            </w:pPr>
            <w:r w:rsidRPr="00DB0D75">
              <w:rPr>
                <w:lang w:eastAsia="en-AU"/>
              </w:rPr>
              <w:t>0.088</w:t>
            </w:r>
          </w:p>
        </w:tc>
      </w:tr>
      <w:tr w:rsidR="00131F7A" w:rsidRPr="00DB0D75" w14:paraId="741E90E2" w14:textId="77777777" w:rsidTr="003E3F4F">
        <w:trPr>
          <w:trHeight w:val="260"/>
        </w:trPr>
        <w:tc>
          <w:tcPr>
            <w:tcW w:w="1985" w:type="dxa"/>
            <w:vMerge/>
          </w:tcPr>
          <w:p w14:paraId="69836234" w14:textId="77777777" w:rsidR="00131F7A" w:rsidRPr="00DB0D75" w:rsidRDefault="00131F7A" w:rsidP="009746A6">
            <w:pPr>
              <w:pStyle w:val="Tablebodytext"/>
              <w:keepNext w:val="0"/>
              <w:rPr>
                <w:lang w:eastAsia="en-AU"/>
              </w:rPr>
            </w:pPr>
          </w:p>
        </w:tc>
        <w:tc>
          <w:tcPr>
            <w:tcW w:w="1418" w:type="dxa"/>
            <w:vMerge/>
          </w:tcPr>
          <w:p w14:paraId="705B5475" w14:textId="77777777" w:rsidR="00131F7A" w:rsidRPr="00DB0D75" w:rsidRDefault="00131F7A" w:rsidP="009746A6">
            <w:pPr>
              <w:pStyle w:val="Tablebodytext"/>
              <w:keepNext w:val="0"/>
              <w:rPr>
                <w:lang w:eastAsia="en-AU"/>
              </w:rPr>
            </w:pPr>
          </w:p>
        </w:tc>
        <w:tc>
          <w:tcPr>
            <w:tcW w:w="992" w:type="dxa"/>
            <w:vAlign w:val="center"/>
          </w:tcPr>
          <w:p w14:paraId="7AC3F819" w14:textId="77777777" w:rsidR="00131F7A" w:rsidRPr="00DB0D75" w:rsidRDefault="00131F7A" w:rsidP="009746A6">
            <w:pPr>
              <w:pStyle w:val="Tablebodytext"/>
              <w:keepNext w:val="0"/>
              <w:rPr>
                <w:color w:val="000000"/>
                <w:lang w:eastAsia="en-AU"/>
              </w:rPr>
            </w:pPr>
            <w:r w:rsidRPr="00DB0D75">
              <w:rPr>
                <w:color w:val="000000"/>
                <w:lang w:eastAsia="en-AU"/>
              </w:rPr>
              <w:t>e</w:t>
            </w:r>
          </w:p>
        </w:tc>
        <w:tc>
          <w:tcPr>
            <w:tcW w:w="2693" w:type="dxa"/>
            <w:vAlign w:val="center"/>
          </w:tcPr>
          <w:p w14:paraId="4B11D0FD" w14:textId="77777777" w:rsidR="00131F7A" w:rsidRPr="00DB0D75" w:rsidRDefault="00131F7A" w:rsidP="009746A6">
            <w:pPr>
              <w:pStyle w:val="Tablebodytext"/>
              <w:keepNext w:val="0"/>
              <w:rPr>
                <w:color w:val="000000"/>
                <w:lang w:eastAsia="en-AU"/>
              </w:rPr>
            </w:pPr>
            <w:r w:rsidRPr="00DB0D75">
              <w:rPr>
                <w:color w:val="000000"/>
                <w:lang w:eastAsia="en-AU"/>
              </w:rPr>
              <w:t>Measures to encourage environmental sustainability in customers and/or consumers</w:t>
            </w:r>
          </w:p>
        </w:tc>
        <w:tc>
          <w:tcPr>
            <w:tcW w:w="993" w:type="dxa"/>
            <w:vAlign w:val="center"/>
          </w:tcPr>
          <w:p w14:paraId="058B6822" w14:textId="468102CA"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50269B3F" w14:textId="77777777" w:rsidR="00131F7A" w:rsidRPr="00DB0D75" w:rsidRDefault="00131F7A" w:rsidP="009746A6">
            <w:pPr>
              <w:pStyle w:val="Tablebodytext"/>
              <w:keepNext w:val="0"/>
              <w:rPr>
                <w:lang w:eastAsia="en-AU"/>
              </w:rPr>
            </w:pPr>
            <w:r w:rsidRPr="00DB0D75">
              <w:rPr>
                <w:lang w:eastAsia="en-AU"/>
              </w:rPr>
              <w:t>0.083</w:t>
            </w:r>
          </w:p>
        </w:tc>
      </w:tr>
      <w:tr w:rsidR="00131F7A" w:rsidRPr="00DB0D75" w14:paraId="5FA97ABC" w14:textId="77777777" w:rsidTr="003E3F4F">
        <w:trPr>
          <w:trHeight w:val="260"/>
        </w:trPr>
        <w:tc>
          <w:tcPr>
            <w:tcW w:w="1985" w:type="dxa"/>
            <w:vMerge/>
          </w:tcPr>
          <w:p w14:paraId="53A91580" w14:textId="77777777" w:rsidR="00131F7A" w:rsidRPr="00DB0D75" w:rsidRDefault="00131F7A" w:rsidP="009746A6">
            <w:pPr>
              <w:pStyle w:val="Tablebodytext"/>
              <w:keepNext w:val="0"/>
              <w:rPr>
                <w:lang w:eastAsia="en-AU"/>
              </w:rPr>
            </w:pPr>
          </w:p>
        </w:tc>
        <w:tc>
          <w:tcPr>
            <w:tcW w:w="1418" w:type="dxa"/>
            <w:vMerge/>
          </w:tcPr>
          <w:p w14:paraId="18AAC2D1" w14:textId="77777777" w:rsidR="00131F7A" w:rsidRPr="00DB0D75" w:rsidRDefault="00131F7A" w:rsidP="009746A6">
            <w:pPr>
              <w:pStyle w:val="Tablebodytext"/>
              <w:keepNext w:val="0"/>
              <w:rPr>
                <w:lang w:eastAsia="en-AU"/>
              </w:rPr>
            </w:pPr>
          </w:p>
        </w:tc>
        <w:tc>
          <w:tcPr>
            <w:tcW w:w="992" w:type="dxa"/>
            <w:vAlign w:val="center"/>
          </w:tcPr>
          <w:p w14:paraId="6A00944E" w14:textId="77777777" w:rsidR="00131F7A" w:rsidRPr="00DB0D75" w:rsidRDefault="00131F7A" w:rsidP="009746A6">
            <w:pPr>
              <w:pStyle w:val="Tablebodytext"/>
              <w:keepNext w:val="0"/>
              <w:rPr>
                <w:color w:val="000000"/>
                <w:lang w:eastAsia="en-AU"/>
              </w:rPr>
            </w:pPr>
            <w:r w:rsidRPr="00DB0D75">
              <w:rPr>
                <w:color w:val="000000"/>
                <w:lang w:eastAsia="en-AU"/>
              </w:rPr>
              <w:t>f</w:t>
            </w:r>
          </w:p>
        </w:tc>
        <w:tc>
          <w:tcPr>
            <w:tcW w:w="2693" w:type="dxa"/>
            <w:vAlign w:val="center"/>
          </w:tcPr>
          <w:p w14:paraId="33466002" w14:textId="77777777" w:rsidR="00131F7A" w:rsidRPr="00DB0D75" w:rsidRDefault="00131F7A" w:rsidP="009746A6">
            <w:pPr>
              <w:pStyle w:val="Tablebodytext"/>
              <w:keepNext w:val="0"/>
              <w:rPr>
                <w:color w:val="000000"/>
                <w:lang w:eastAsia="en-AU"/>
              </w:rPr>
            </w:pPr>
            <w:r w:rsidRPr="00DB0D75">
              <w:rPr>
                <w:color w:val="000000"/>
                <w:lang w:eastAsia="en-AU"/>
              </w:rPr>
              <w:t>Recycling or reuse of materials</w:t>
            </w:r>
          </w:p>
        </w:tc>
        <w:tc>
          <w:tcPr>
            <w:tcW w:w="993" w:type="dxa"/>
            <w:vAlign w:val="center"/>
          </w:tcPr>
          <w:p w14:paraId="2DDE073E" w14:textId="5E54D014"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39C8992F" w14:textId="77777777" w:rsidR="00131F7A" w:rsidRPr="00DB0D75" w:rsidRDefault="00131F7A" w:rsidP="009746A6">
            <w:pPr>
              <w:pStyle w:val="Tablebodytext"/>
              <w:keepNext w:val="0"/>
              <w:rPr>
                <w:lang w:eastAsia="en-AU"/>
              </w:rPr>
            </w:pPr>
            <w:r w:rsidRPr="00DB0D75">
              <w:rPr>
                <w:lang w:eastAsia="en-AU"/>
              </w:rPr>
              <w:t>0.361</w:t>
            </w:r>
          </w:p>
        </w:tc>
      </w:tr>
      <w:tr w:rsidR="00131F7A" w:rsidRPr="00DB0D75" w14:paraId="2822D1C2" w14:textId="77777777" w:rsidTr="003E3F4F">
        <w:trPr>
          <w:trHeight w:val="260"/>
        </w:trPr>
        <w:tc>
          <w:tcPr>
            <w:tcW w:w="1985" w:type="dxa"/>
            <w:vMerge/>
          </w:tcPr>
          <w:p w14:paraId="03D67643" w14:textId="77777777" w:rsidR="00131F7A" w:rsidRPr="00DB0D75" w:rsidRDefault="00131F7A" w:rsidP="009746A6">
            <w:pPr>
              <w:pStyle w:val="Tablebodytext"/>
              <w:keepNext w:val="0"/>
              <w:rPr>
                <w:lang w:eastAsia="en-AU"/>
              </w:rPr>
            </w:pPr>
          </w:p>
        </w:tc>
        <w:tc>
          <w:tcPr>
            <w:tcW w:w="1418" w:type="dxa"/>
            <w:vMerge/>
          </w:tcPr>
          <w:p w14:paraId="55839466" w14:textId="77777777" w:rsidR="00131F7A" w:rsidRPr="00DB0D75" w:rsidRDefault="00131F7A" w:rsidP="009746A6">
            <w:pPr>
              <w:pStyle w:val="Tablebodytext"/>
              <w:keepNext w:val="0"/>
              <w:rPr>
                <w:lang w:eastAsia="en-AU"/>
              </w:rPr>
            </w:pPr>
          </w:p>
        </w:tc>
        <w:tc>
          <w:tcPr>
            <w:tcW w:w="992" w:type="dxa"/>
            <w:vAlign w:val="center"/>
          </w:tcPr>
          <w:p w14:paraId="33E0DF67" w14:textId="77777777" w:rsidR="00131F7A" w:rsidRPr="00DB0D75" w:rsidRDefault="00131F7A" w:rsidP="009746A6">
            <w:pPr>
              <w:pStyle w:val="Tablebodytext"/>
              <w:keepNext w:val="0"/>
              <w:rPr>
                <w:color w:val="000000"/>
                <w:lang w:eastAsia="en-AU"/>
              </w:rPr>
            </w:pPr>
            <w:r w:rsidRPr="00DB0D75">
              <w:rPr>
                <w:color w:val="000000"/>
                <w:lang w:eastAsia="en-AU"/>
              </w:rPr>
              <w:t>g</w:t>
            </w:r>
          </w:p>
        </w:tc>
        <w:tc>
          <w:tcPr>
            <w:tcW w:w="2693" w:type="dxa"/>
            <w:vAlign w:val="center"/>
          </w:tcPr>
          <w:p w14:paraId="54E73DCB" w14:textId="77777777" w:rsidR="00131F7A" w:rsidRPr="00DB0D75" w:rsidRDefault="00131F7A" w:rsidP="009746A6">
            <w:pPr>
              <w:pStyle w:val="Tablebodytext"/>
              <w:keepNext w:val="0"/>
              <w:rPr>
                <w:color w:val="000000"/>
                <w:lang w:eastAsia="en-AU"/>
              </w:rPr>
            </w:pPr>
            <w:r w:rsidRPr="00DB0D75">
              <w:rPr>
                <w:color w:val="000000"/>
                <w:lang w:eastAsia="en-AU"/>
              </w:rPr>
              <w:t>Environmental or green purchasing activities</w:t>
            </w:r>
          </w:p>
        </w:tc>
        <w:tc>
          <w:tcPr>
            <w:tcW w:w="993" w:type="dxa"/>
            <w:vAlign w:val="center"/>
          </w:tcPr>
          <w:p w14:paraId="463A8A9C" w14:textId="76BF8127"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4EE451CC" w14:textId="77777777" w:rsidR="00131F7A" w:rsidRPr="00DB0D75" w:rsidRDefault="00131F7A" w:rsidP="009746A6">
            <w:pPr>
              <w:pStyle w:val="Tablebodytext"/>
              <w:keepNext w:val="0"/>
              <w:rPr>
                <w:lang w:eastAsia="en-AU"/>
              </w:rPr>
            </w:pPr>
            <w:r w:rsidRPr="00DB0D75">
              <w:rPr>
                <w:lang w:eastAsia="en-AU"/>
              </w:rPr>
              <w:t>0.097</w:t>
            </w:r>
          </w:p>
        </w:tc>
      </w:tr>
      <w:tr w:rsidR="00131F7A" w:rsidRPr="00DB0D75" w14:paraId="245E1DB9" w14:textId="77777777" w:rsidTr="003E3F4F">
        <w:trPr>
          <w:trHeight w:val="260"/>
        </w:trPr>
        <w:tc>
          <w:tcPr>
            <w:tcW w:w="1985" w:type="dxa"/>
            <w:vMerge/>
          </w:tcPr>
          <w:p w14:paraId="5AD5C05D" w14:textId="77777777" w:rsidR="00131F7A" w:rsidRPr="00DB0D75" w:rsidRDefault="00131F7A" w:rsidP="009746A6">
            <w:pPr>
              <w:pStyle w:val="Tablebodytext"/>
              <w:keepNext w:val="0"/>
              <w:rPr>
                <w:lang w:eastAsia="en-AU"/>
              </w:rPr>
            </w:pPr>
          </w:p>
        </w:tc>
        <w:tc>
          <w:tcPr>
            <w:tcW w:w="1418" w:type="dxa"/>
            <w:vMerge/>
          </w:tcPr>
          <w:p w14:paraId="5541952A" w14:textId="77777777" w:rsidR="00131F7A" w:rsidRPr="00DB0D75" w:rsidRDefault="00131F7A" w:rsidP="009746A6">
            <w:pPr>
              <w:pStyle w:val="Tablebodytext"/>
              <w:keepNext w:val="0"/>
              <w:rPr>
                <w:lang w:eastAsia="en-AU"/>
              </w:rPr>
            </w:pPr>
          </w:p>
        </w:tc>
        <w:tc>
          <w:tcPr>
            <w:tcW w:w="992" w:type="dxa"/>
            <w:vAlign w:val="center"/>
          </w:tcPr>
          <w:p w14:paraId="50043CE1" w14:textId="77777777" w:rsidR="00131F7A" w:rsidRPr="00DB0D75" w:rsidRDefault="00131F7A" w:rsidP="009746A6">
            <w:pPr>
              <w:pStyle w:val="Tablebodytext"/>
              <w:keepNext w:val="0"/>
              <w:rPr>
                <w:color w:val="000000"/>
                <w:lang w:eastAsia="en-AU"/>
              </w:rPr>
            </w:pPr>
            <w:r w:rsidRPr="00DB0D75">
              <w:rPr>
                <w:color w:val="000000"/>
                <w:lang w:eastAsia="en-AU"/>
              </w:rPr>
              <w:t>h</w:t>
            </w:r>
          </w:p>
        </w:tc>
        <w:tc>
          <w:tcPr>
            <w:tcW w:w="2693" w:type="dxa"/>
            <w:vAlign w:val="center"/>
          </w:tcPr>
          <w:p w14:paraId="4DA06EA9" w14:textId="77777777" w:rsidR="00131F7A" w:rsidRPr="00DB0D75" w:rsidRDefault="00131F7A" w:rsidP="009746A6">
            <w:pPr>
              <w:pStyle w:val="Tablebodytext"/>
              <w:keepNext w:val="0"/>
              <w:rPr>
                <w:color w:val="000000"/>
                <w:lang w:eastAsia="en-AU"/>
              </w:rPr>
            </w:pPr>
            <w:r w:rsidRPr="00DB0D75">
              <w:rPr>
                <w:color w:val="000000"/>
                <w:lang w:eastAsia="en-AU"/>
              </w:rPr>
              <w:t>Environmental education and training of staff</w:t>
            </w:r>
          </w:p>
        </w:tc>
        <w:tc>
          <w:tcPr>
            <w:tcW w:w="993" w:type="dxa"/>
            <w:vAlign w:val="center"/>
          </w:tcPr>
          <w:p w14:paraId="1EC22AF4" w14:textId="2BCAB8F8"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19F69927" w14:textId="77777777" w:rsidR="00131F7A" w:rsidRPr="00DB0D75" w:rsidRDefault="00131F7A" w:rsidP="009746A6">
            <w:pPr>
              <w:pStyle w:val="Tablebodytext"/>
              <w:keepNext w:val="0"/>
              <w:rPr>
                <w:lang w:eastAsia="en-AU"/>
              </w:rPr>
            </w:pPr>
            <w:r w:rsidRPr="00DB0D75">
              <w:rPr>
                <w:lang w:eastAsia="en-AU"/>
              </w:rPr>
              <w:t>0.111</w:t>
            </w:r>
          </w:p>
        </w:tc>
      </w:tr>
      <w:tr w:rsidR="00131F7A" w:rsidRPr="00DB0D75" w14:paraId="31D86DF1" w14:textId="77777777" w:rsidTr="003E3F4F">
        <w:trPr>
          <w:trHeight w:val="260"/>
        </w:trPr>
        <w:tc>
          <w:tcPr>
            <w:tcW w:w="1985" w:type="dxa"/>
            <w:vMerge/>
          </w:tcPr>
          <w:p w14:paraId="49A710A8" w14:textId="77777777" w:rsidR="00131F7A" w:rsidRPr="00DB0D75" w:rsidRDefault="00131F7A" w:rsidP="009746A6">
            <w:pPr>
              <w:pStyle w:val="Tablebodytext"/>
              <w:keepNext w:val="0"/>
              <w:rPr>
                <w:lang w:eastAsia="en-AU"/>
              </w:rPr>
            </w:pPr>
          </w:p>
        </w:tc>
        <w:tc>
          <w:tcPr>
            <w:tcW w:w="1418" w:type="dxa"/>
            <w:vMerge/>
          </w:tcPr>
          <w:p w14:paraId="2936DDB1" w14:textId="77777777" w:rsidR="00131F7A" w:rsidRPr="00DB0D75" w:rsidRDefault="00131F7A" w:rsidP="009746A6">
            <w:pPr>
              <w:pStyle w:val="Tablebodytext"/>
              <w:keepNext w:val="0"/>
              <w:rPr>
                <w:lang w:eastAsia="en-AU"/>
              </w:rPr>
            </w:pPr>
          </w:p>
        </w:tc>
        <w:tc>
          <w:tcPr>
            <w:tcW w:w="992" w:type="dxa"/>
            <w:vAlign w:val="center"/>
          </w:tcPr>
          <w:p w14:paraId="38E38EEA" w14:textId="77777777" w:rsidR="00131F7A" w:rsidRPr="00DB0D75" w:rsidRDefault="00131F7A" w:rsidP="009746A6">
            <w:pPr>
              <w:pStyle w:val="Tablebodytext"/>
              <w:keepNext w:val="0"/>
              <w:rPr>
                <w:color w:val="000000"/>
                <w:lang w:eastAsia="en-AU"/>
              </w:rPr>
            </w:pPr>
            <w:r w:rsidRPr="00DB0D75">
              <w:rPr>
                <w:color w:val="000000"/>
                <w:lang w:eastAsia="en-AU"/>
              </w:rPr>
              <w:t>i</w:t>
            </w:r>
          </w:p>
        </w:tc>
        <w:tc>
          <w:tcPr>
            <w:tcW w:w="2693" w:type="dxa"/>
            <w:vAlign w:val="center"/>
          </w:tcPr>
          <w:p w14:paraId="0CEE8904" w14:textId="77777777" w:rsidR="00131F7A" w:rsidRPr="00DB0D75" w:rsidRDefault="00131F7A" w:rsidP="009746A6">
            <w:pPr>
              <w:pStyle w:val="Tablebodytext"/>
              <w:keepNext w:val="0"/>
              <w:rPr>
                <w:color w:val="000000"/>
                <w:lang w:eastAsia="en-AU"/>
              </w:rPr>
            </w:pPr>
            <w:r w:rsidRPr="00DB0D75">
              <w:rPr>
                <w:color w:val="000000"/>
                <w:lang w:eastAsia="en-AU"/>
              </w:rPr>
              <w:t>Environmental impact assessment/risk assessment</w:t>
            </w:r>
          </w:p>
        </w:tc>
        <w:tc>
          <w:tcPr>
            <w:tcW w:w="993" w:type="dxa"/>
            <w:vAlign w:val="center"/>
          </w:tcPr>
          <w:p w14:paraId="360B2869" w14:textId="1B26C90E"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651A0255" w14:textId="77777777" w:rsidR="00131F7A" w:rsidRPr="00DB0D75" w:rsidRDefault="00131F7A" w:rsidP="009746A6">
            <w:pPr>
              <w:pStyle w:val="Tablebodytext"/>
              <w:keepNext w:val="0"/>
              <w:rPr>
                <w:lang w:eastAsia="en-AU"/>
              </w:rPr>
            </w:pPr>
            <w:r w:rsidRPr="00DB0D75">
              <w:rPr>
                <w:lang w:eastAsia="en-AU"/>
              </w:rPr>
              <w:t>0.094</w:t>
            </w:r>
          </w:p>
        </w:tc>
      </w:tr>
      <w:tr w:rsidR="00131F7A" w:rsidRPr="00DB0D75" w14:paraId="54580ECE" w14:textId="77777777" w:rsidTr="003E3F4F">
        <w:trPr>
          <w:trHeight w:val="260"/>
        </w:trPr>
        <w:tc>
          <w:tcPr>
            <w:tcW w:w="1985" w:type="dxa"/>
            <w:vMerge/>
          </w:tcPr>
          <w:p w14:paraId="56FE8214" w14:textId="77777777" w:rsidR="00131F7A" w:rsidRPr="00DB0D75" w:rsidRDefault="00131F7A" w:rsidP="009746A6">
            <w:pPr>
              <w:pStyle w:val="Tablebodytext"/>
              <w:keepNext w:val="0"/>
              <w:rPr>
                <w:lang w:eastAsia="en-AU"/>
              </w:rPr>
            </w:pPr>
          </w:p>
        </w:tc>
        <w:tc>
          <w:tcPr>
            <w:tcW w:w="1418" w:type="dxa"/>
            <w:vMerge/>
          </w:tcPr>
          <w:p w14:paraId="7CD116B3" w14:textId="77777777" w:rsidR="00131F7A" w:rsidRPr="00DB0D75" w:rsidRDefault="00131F7A" w:rsidP="009746A6">
            <w:pPr>
              <w:pStyle w:val="Tablebodytext"/>
              <w:keepNext w:val="0"/>
              <w:rPr>
                <w:lang w:eastAsia="en-AU"/>
              </w:rPr>
            </w:pPr>
          </w:p>
        </w:tc>
        <w:tc>
          <w:tcPr>
            <w:tcW w:w="992" w:type="dxa"/>
            <w:vAlign w:val="center"/>
          </w:tcPr>
          <w:p w14:paraId="7C60BE45" w14:textId="77777777" w:rsidR="00131F7A" w:rsidRPr="00DB0D75" w:rsidRDefault="00131F7A" w:rsidP="009746A6">
            <w:pPr>
              <w:pStyle w:val="Tablebodytext"/>
              <w:keepNext w:val="0"/>
              <w:rPr>
                <w:color w:val="000000"/>
                <w:lang w:eastAsia="en-AU"/>
              </w:rPr>
            </w:pPr>
            <w:r w:rsidRPr="00DB0D75">
              <w:rPr>
                <w:color w:val="000000"/>
                <w:lang w:eastAsia="en-AU"/>
              </w:rPr>
              <w:t>j</w:t>
            </w:r>
          </w:p>
        </w:tc>
        <w:tc>
          <w:tcPr>
            <w:tcW w:w="2693" w:type="dxa"/>
            <w:vAlign w:val="center"/>
          </w:tcPr>
          <w:p w14:paraId="267056FA" w14:textId="77777777" w:rsidR="00131F7A" w:rsidRPr="00DB0D75" w:rsidRDefault="00131F7A" w:rsidP="009746A6">
            <w:pPr>
              <w:pStyle w:val="Tablebodytext"/>
              <w:keepNext w:val="0"/>
              <w:rPr>
                <w:color w:val="000000"/>
                <w:lang w:eastAsia="en-AU"/>
              </w:rPr>
            </w:pPr>
            <w:r w:rsidRPr="00DB0D75">
              <w:rPr>
                <w:color w:val="000000"/>
                <w:lang w:eastAsia="en-AU"/>
              </w:rPr>
              <w:t>Waste audit</w:t>
            </w:r>
          </w:p>
        </w:tc>
        <w:tc>
          <w:tcPr>
            <w:tcW w:w="993" w:type="dxa"/>
            <w:vAlign w:val="center"/>
          </w:tcPr>
          <w:p w14:paraId="3EC57CAD" w14:textId="39FBD216"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394CDA1B" w14:textId="77777777" w:rsidR="00131F7A" w:rsidRPr="00DB0D75" w:rsidRDefault="00131F7A" w:rsidP="009746A6">
            <w:pPr>
              <w:pStyle w:val="Tablebodytext"/>
              <w:keepNext w:val="0"/>
              <w:rPr>
                <w:lang w:eastAsia="en-AU"/>
              </w:rPr>
            </w:pPr>
            <w:r w:rsidRPr="00DB0D75">
              <w:rPr>
                <w:lang w:eastAsia="en-AU"/>
              </w:rPr>
              <w:t>0.083</w:t>
            </w:r>
          </w:p>
        </w:tc>
      </w:tr>
      <w:tr w:rsidR="00131F7A" w:rsidRPr="00DB0D75" w14:paraId="443CA32C" w14:textId="77777777" w:rsidTr="003E3F4F">
        <w:trPr>
          <w:trHeight w:val="260"/>
        </w:trPr>
        <w:tc>
          <w:tcPr>
            <w:tcW w:w="1985" w:type="dxa"/>
            <w:vMerge/>
          </w:tcPr>
          <w:p w14:paraId="513CDC3C" w14:textId="77777777" w:rsidR="00131F7A" w:rsidRPr="00DB0D75" w:rsidRDefault="00131F7A" w:rsidP="009746A6">
            <w:pPr>
              <w:pStyle w:val="Tablebodytext"/>
              <w:keepNext w:val="0"/>
              <w:rPr>
                <w:lang w:eastAsia="en-AU"/>
              </w:rPr>
            </w:pPr>
          </w:p>
        </w:tc>
        <w:tc>
          <w:tcPr>
            <w:tcW w:w="1418" w:type="dxa"/>
            <w:vMerge/>
          </w:tcPr>
          <w:p w14:paraId="26D9DD1D" w14:textId="77777777" w:rsidR="00131F7A" w:rsidRPr="00DB0D75" w:rsidRDefault="00131F7A" w:rsidP="009746A6">
            <w:pPr>
              <w:pStyle w:val="Tablebodytext"/>
              <w:keepNext w:val="0"/>
              <w:rPr>
                <w:lang w:eastAsia="en-AU"/>
              </w:rPr>
            </w:pPr>
          </w:p>
        </w:tc>
        <w:tc>
          <w:tcPr>
            <w:tcW w:w="992" w:type="dxa"/>
            <w:vAlign w:val="center"/>
          </w:tcPr>
          <w:p w14:paraId="0F0469EB" w14:textId="77777777" w:rsidR="00131F7A" w:rsidRPr="00DB0D75" w:rsidRDefault="00131F7A" w:rsidP="009746A6">
            <w:pPr>
              <w:pStyle w:val="Tablebodytext"/>
              <w:keepNext w:val="0"/>
              <w:rPr>
                <w:color w:val="000000"/>
                <w:lang w:eastAsia="en-AU"/>
              </w:rPr>
            </w:pPr>
            <w:r w:rsidRPr="00DB0D75">
              <w:rPr>
                <w:color w:val="000000"/>
                <w:lang w:eastAsia="en-AU"/>
              </w:rPr>
              <w:t>k</w:t>
            </w:r>
          </w:p>
        </w:tc>
        <w:tc>
          <w:tcPr>
            <w:tcW w:w="2693" w:type="dxa"/>
            <w:vAlign w:val="center"/>
          </w:tcPr>
          <w:p w14:paraId="376021AE" w14:textId="77777777" w:rsidR="00131F7A" w:rsidRPr="00DB0D75" w:rsidRDefault="00131F7A" w:rsidP="009746A6">
            <w:pPr>
              <w:pStyle w:val="Tablebodytext"/>
              <w:keepNext w:val="0"/>
              <w:rPr>
                <w:color w:val="000000"/>
                <w:lang w:eastAsia="en-AU"/>
              </w:rPr>
            </w:pPr>
            <w:r w:rsidRPr="00DB0D75">
              <w:rPr>
                <w:color w:val="000000"/>
                <w:lang w:eastAsia="en-AU"/>
              </w:rPr>
              <w:t>Measures to reduce pollution of soil, water and waterways</w:t>
            </w:r>
          </w:p>
        </w:tc>
        <w:tc>
          <w:tcPr>
            <w:tcW w:w="993" w:type="dxa"/>
            <w:vAlign w:val="center"/>
          </w:tcPr>
          <w:p w14:paraId="7DF8EAB9" w14:textId="0CB77215"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5151A53B" w14:textId="77777777" w:rsidR="00131F7A" w:rsidRPr="00DB0D75" w:rsidRDefault="00131F7A" w:rsidP="009746A6">
            <w:pPr>
              <w:pStyle w:val="Tablebodytext"/>
              <w:keepNext w:val="0"/>
              <w:rPr>
                <w:lang w:eastAsia="en-AU"/>
              </w:rPr>
            </w:pPr>
            <w:r w:rsidRPr="00DB0D75">
              <w:rPr>
                <w:lang w:eastAsia="en-AU"/>
              </w:rPr>
              <w:t>0.088</w:t>
            </w:r>
          </w:p>
        </w:tc>
      </w:tr>
      <w:tr w:rsidR="00131F7A" w:rsidRPr="00DB0D75" w14:paraId="06B9323B" w14:textId="77777777" w:rsidTr="003E3F4F">
        <w:trPr>
          <w:trHeight w:val="260"/>
        </w:trPr>
        <w:tc>
          <w:tcPr>
            <w:tcW w:w="1985" w:type="dxa"/>
            <w:vMerge/>
          </w:tcPr>
          <w:p w14:paraId="654CA78C" w14:textId="77777777" w:rsidR="00131F7A" w:rsidRPr="00DB0D75" w:rsidRDefault="00131F7A" w:rsidP="009746A6">
            <w:pPr>
              <w:pStyle w:val="Tablebodytext"/>
              <w:keepNext w:val="0"/>
              <w:rPr>
                <w:lang w:eastAsia="en-AU"/>
              </w:rPr>
            </w:pPr>
          </w:p>
        </w:tc>
        <w:tc>
          <w:tcPr>
            <w:tcW w:w="1418" w:type="dxa"/>
            <w:vMerge/>
          </w:tcPr>
          <w:p w14:paraId="48C49A86" w14:textId="77777777" w:rsidR="00131F7A" w:rsidRPr="00DB0D75" w:rsidRDefault="00131F7A" w:rsidP="009746A6">
            <w:pPr>
              <w:pStyle w:val="Tablebodytext"/>
              <w:keepNext w:val="0"/>
              <w:rPr>
                <w:lang w:eastAsia="en-AU"/>
              </w:rPr>
            </w:pPr>
          </w:p>
        </w:tc>
        <w:tc>
          <w:tcPr>
            <w:tcW w:w="992" w:type="dxa"/>
            <w:vAlign w:val="center"/>
          </w:tcPr>
          <w:p w14:paraId="3968D967" w14:textId="77777777" w:rsidR="00131F7A" w:rsidRPr="00DB0D75" w:rsidRDefault="00131F7A" w:rsidP="009746A6">
            <w:pPr>
              <w:pStyle w:val="Tablebodytext"/>
              <w:keepNext w:val="0"/>
              <w:rPr>
                <w:color w:val="000000"/>
                <w:lang w:eastAsia="en-AU"/>
              </w:rPr>
            </w:pPr>
            <w:r w:rsidRPr="00DB0D75">
              <w:rPr>
                <w:color w:val="000000"/>
                <w:lang w:eastAsia="en-AU"/>
              </w:rPr>
              <w:t>l</w:t>
            </w:r>
          </w:p>
        </w:tc>
        <w:tc>
          <w:tcPr>
            <w:tcW w:w="2693" w:type="dxa"/>
            <w:vAlign w:val="center"/>
          </w:tcPr>
          <w:p w14:paraId="06690C47" w14:textId="77777777" w:rsidR="00131F7A" w:rsidRPr="00DB0D75" w:rsidRDefault="00131F7A" w:rsidP="009746A6">
            <w:pPr>
              <w:pStyle w:val="Tablebodytext"/>
              <w:keepNext w:val="0"/>
              <w:rPr>
                <w:color w:val="000000"/>
                <w:lang w:eastAsia="en-AU"/>
              </w:rPr>
            </w:pPr>
            <w:r w:rsidRPr="00DB0D75">
              <w:rPr>
                <w:color w:val="000000"/>
                <w:lang w:eastAsia="en-AU"/>
              </w:rPr>
              <w:t>Life cycle assessment, management or product stewardship</w:t>
            </w:r>
          </w:p>
        </w:tc>
        <w:tc>
          <w:tcPr>
            <w:tcW w:w="993" w:type="dxa"/>
            <w:vAlign w:val="center"/>
          </w:tcPr>
          <w:p w14:paraId="0708BAB1" w14:textId="74A04C2B"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74EEC2EF" w14:textId="77777777" w:rsidR="00131F7A" w:rsidRPr="00DB0D75" w:rsidRDefault="00131F7A" w:rsidP="009746A6">
            <w:pPr>
              <w:pStyle w:val="Tablebodytext"/>
              <w:keepNext w:val="0"/>
              <w:rPr>
                <w:lang w:eastAsia="en-AU"/>
              </w:rPr>
            </w:pPr>
            <w:r w:rsidRPr="00DB0D75">
              <w:rPr>
                <w:lang w:eastAsia="en-AU"/>
              </w:rPr>
              <w:t>0.032</w:t>
            </w:r>
          </w:p>
        </w:tc>
      </w:tr>
      <w:tr w:rsidR="00131F7A" w:rsidRPr="00DB0D75" w14:paraId="2DD238A3" w14:textId="77777777" w:rsidTr="003E3F4F">
        <w:trPr>
          <w:trHeight w:val="260"/>
        </w:trPr>
        <w:tc>
          <w:tcPr>
            <w:tcW w:w="1985" w:type="dxa"/>
            <w:vMerge/>
          </w:tcPr>
          <w:p w14:paraId="09C8A806" w14:textId="77777777" w:rsidR="00131F7A" w:rsidRPr="00DB0D75" w:rsidRDefault="00131F7A" w:rsidP="009746A6">
            <w:pPr>
              <w:pStyle w:val="Tablebodytext"/>
              <w:keepNext w:val="0"/>
              <w:rPr>
                <w:lang w:eastAsia="en-AU"/>
              </w:rPr>
            </w:pPr>
          </w:p>
        </w:tc>
        <w:tc>
          <w:tcPr>
            <w:tcW w:w="1418" w:type="dxa"/>
            <w:vMerge/>
          </w:tcPr>
          <w:p w14:paraId="71E2B68F" w14:textId="77777777" w:rsidR="00131F7A" w:rsidRPr="00DB0D75" w:rsidRDefault="00131F7A" w:rsidP="009746A6">
            <w:pPr>
              <w:pStyle w:val="Tablebodytext"/>
              <w:keepNext w:val="0"/>
              <w:rPr>
                <w:lang w:eastAsia="en-AU"/>
              </w:rPr>
            </w:pPr>
          </w:p>
        </w:tc>
        <w:tc>
          <w:tcPr>
            <w:tcW w:w="992" w:type="dxa"/>
            <w:vAlign w:val="center"/>
          </w:tcPr>
          <w:p w14:paraId="218277A0" w14:textId="77777777" w:rsidR="00131F7A" w:rsidRPr="00DB0D75" w:rsidRDefault="00131F7A" w:rsidP="009746A6">
            <w:pPr>
              <w:pStyle w:val="Tablebodytext"/>
              <w:keepNext w:val="0"/>
              <w:rPr>
                <w:color w:val="000000"/>
                <w:lang w:eastAsia="en-AU"/>
              </w:rPr>
            </w:pPr>
            <w:r w:rsidRPr="00DB0D75">
              <w:rPr>
                <w:color w:val="000000"/>
                <w:lang w:eastAsia="en-AU"/>
              </w:rPr>
              <w:t>m</w:t>
            </w:r>
          </w:p>
        </w:tc>
        <w:tc>
          <w:tcPr>
            <w:tcW w:w="2693" w:type="dxa"/>
            <w:vAlign w:val="center"/>
          </w:tcPr>
          <w:p w14:paraId="2533E95A" w14:textId="77777777" w:rsidR="00131F7A" w:rsidRPr="00DB0D75" w:rsidRDefault="00131F7A" w:rsidP="009746A6">
            <w:pPr>
              <w:pStyle w:val="Tablebodytext"/>
              <w:keepNext w:val="0"/>
              <w:rPr>
                <w:color w:val="000000"/>
                <w:lang w:eastAsia="en-AU"/>
              </w:rPr>
            </w:pPr>
            <w:r w:rsidRPr="00DB0D75">
              <w:rPr>
                <w:color w:val="000000"/>
                <w:lang w:eastAsia="en-AU"/>
              </w:rPr>
              <w:t>Product design or reformulation to reduce environmental impacts</w:t>
            </w:r>
          </w:p>
        </w:tc>
        <w:tc>
          <w:tcPr>
            <w:tcW w:w="993" w:type="dxa"/>
            <w:vAlign w:val="center"/>
          </w:tcPr>
          <w:p w14:paraId="538BEC53" w14:textId="449704D5"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39F602B2" w14:textId="77777777" w:rsidR="00131F7A" w:rsidRPr="00DB0D75" w:rsidRDefault="00131F7A" w:rsidP="009746A6">
            <w:pPr>
              <w:pStyle w:val="Tablebodytext"/>
              <w:keepNext w:val="0"/>
              <w:rPr>
                <w:lang w:eastAsia="en-AU"/>
              </w:rPr>
            </w:pPr>
            <w:r w:rsidRPr="00DB0D75">
              <w:rPr>
                <w:lang w:eastAsia="en-AU"/>
              </w:rPr>
              <w:t>0.043</w:t>
            </w:r>
          </w:p>
        </w:tc>
      </w:tr>
      <w:tr w:rsidR="00131F7A" w:rsidRPr="00DB0D75" w14:paraId="2175AA44" w14:textId="77777777" w:rsidTr="003E3F4F">
        <w:trPr>
          <w:trHeight w:val="260"/>
        </w:trPr>
        <w:tc>
          <w:tcPr>
            <w:tcW w:w="1985" w:type="dxa"/>
            <w:vMerge/>
          </w:tcPr>
          <w:p w14:paraId="74D3941D" w14:textId="77777777" w:rsidR="00131F7A" w:rsidRPr="00DB0D75" w:rsidRDefault="00131F7A" w:rsidP="009746A6">
            <w:pPr>
              <w:pStyle w:val="Tablebodytext"/>
              <w:keepNext w:val="0"/>
              <w:rPr>
                <w:lang w:eastAsia="en-AU"/>
              </w:rPr>
            </w:pPr>
          </w:p>
        </w:tc>
        <w:tc>
          <w:tcPr>
            <w:tcW w:w="1418" w:type="dxa"/>
            <w:vMerge/>
          </w:tcPr>
          <w:p w14:paraId="73E600A3" w14:textId="77777777" w:rsidR="00131F7A" w:rsidRPr="00DB0D75" w:rsidRDefault="00131F7A" w:rsidP="009746A6">
            <w:pPr>
              <w:pStyle w:val="Tablebodytext"/>
              <w:keepNext w:val="0"/>
              <w:rPr>
                <w:lang w:eastAsia="en-AU"/>
              </w:rPr>
            </w:pPr>
          </w:p>
        </w:tc>
        <w:tc>
          <w:tcPr>
            <w:tcW w:w="992" w:type="dxa"/>
            <w:vAlign w:val="center"/>
          </w:tcPr>
          <w:p w14:paraId="59B360D4" w14:textId="77777777" w:rsidR="00131F7A" w:rsidRPr="00DB0D75" w:rsidRDefault="00131F7A" w:rsidP="009746A6">
            <w:pPr>
              <w:pStyle w:val="Tablebodytext"/>
              <w:keepNext w:val="0"/>
              <w:rPr>
                <w:color w:val="000000"/>
                <w:lang w:eastAsia="en-AU"/>
              </w:rPr>
            </w:pPr>
            <w:r w:rsidRPr="00DB0D75">
              <w:rPr>
                <w:color w:val="000000"/>
                <w:lang w:eastAsia="en-AU"/>
              </w:rPr>
              <w:t>n</w:t>
            </w:r>
          </w:p>
        </w:tc>
        <w:tc>
          <w:tcPr>
            <w:tcW w:w="2693" w:type="dxa"/>
            <w:vAlign w:val="center"/>
          </w:tcPr>
          <w:p w14:paraId="51968958" w14:textId="77777777" w:rsidR="00131F7A" w:rsidRPr="00DB0D75" w:rsidRDefault="00131F7A" w:rsidP="009746A6">
            <w:pPr>
              <w:pStyle w:val="Tablebodytext"/>
              <w:keepNext w:val="0"/>
              <w:rPr>
                <w:color w:val="000000"/>
                <w:lang w:eastAsia="en-AU"/>
              </w:rPr>
            </w:pPr>
            <w:r w:rsidRPr="00DB0D75">
              <w:rPr>
                <w:color w:val="000000"/>
                <w:lang w:eastAsia="en-AU"/>
              </w:rPr>
              <w:t>Implemented or improved an environmental policy, plan or system</w:t>
            </w:r>
          </w:p>
        </w:tc>
        <w:tc>
          <w:tcPr>
            <w:tcW w:w="993" w:type="dxa"/>
            <w:vAlign w:val="center"/>
          </w:tcPr>
          <w:p w14:paraId="171FD721" w14:textId="70A138EA"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3B8CBE84" w14:textId="77777777" w:rsidR="00131F7A" w:rsidRPr="00DB0D75" w:rsidRDefault="00131F7A" w:rsidP="009746A6">
            <w:pPr>
              <w:pStyle w:val="Tablebodytext"/>
              <w:keepNext w:val="0"/>
              <w:rPr>
                <w:lang w:eastAsia="en-AU"/>
              </w:rPr>
            </w:pPr>
            <w:r w:rsidRPr="00DB0D75">
              <w:rPr>
                <w:lang w:eastAsia="en-AU"/>
              </w:rPr>
              <w:t>0.066</w:t>
            </w:r>
          </w:p>
        </w:tc>
      </w:tr>
      <w:tr w:rsidR="00131F7A" w:rsidRPr="00DB0D75" w14:paraId="7CE3E084" w14:textId="77777777" w:rsidTr="003E3F4F">
        <w:trPr>
          <w:trHeight w:val="260"/>
        </w:trPr>
        <w:tc>
          <w:tcPr>
            <w:tcW w:w="1985" w:type="dxa"/>
            <w:vMerge/>
          </w:tcPr>
          <w:p w14:paraId="3A11C427" w14:textId="77777777" w:rsidR="00131F7A" w:rsidRPr="00DB0D75" w:rsidRDefault="00131F7A" w:rsidP="009746A6">
            <w:pPr>
              <w:pStyle w:val="Tablebodytext"/>
              <w:keepNext w:val="0"/>
              <w:rPr>
                <w:lang w:eastAsia="en-AU"/>
              </w:rPr>
            </w:pPr>
          </w:p>
        </w:tc>
        <w:tc>
          <w:tcPr>
            <w:tcW w:w="1418" w:type="dxa"/>
            <w:vMerge/>
          </w:tcPr>
          <w:p w14:paraId="569ED0A7" w14:textId="77777777" w:rsidR="00131F7A" w:rsidRPr="00DB0D75" w:rsidRDefault="00131F7A" w:rsidP="009746A6">
            <w:pPr>
              <w:pStyle w:val="Tablebodytext"/>
              <w:keepNext w:val="0"/>
              <w:rPr>
                <w:lang w:eastAsia="en-AU"/>
              </w:rPr>
            </w:pPr>
          </w:p>
        </w:tc>
        <w:tc>
          <w:tcPr>
            <w:tcW w:w="992" w:type="dxa"/>
            <w:vAlign w:val="center"/>
          </w:tcPr>
          <w:p w14:paraId="25B77142" w14:textId="77777777" w:rsidR="00131F7A" w:rsidRPr="00DB0D75" w:rsidRDefault="00131F7A" w:rsidP="009746A6">
            <w:pPr>
              <w:pStyle w:val="Tablebodytext"/>
              <w:keepNext w:val="0"/>
              <w:rPr>
                <w:color w:val="000000"/>
                <w:lang w:eastAsia="en-AU"/>
              </w:rPr>
            </w:pPr>
            <w:r w:rsidRPr="00DB0D75">
              <w:rPr>
                <w:color w:val="000000"/>
                <w:lang w:eastAsia="en-AU"/>
              </w:rPr>
              <w:t>o</w:t>
            </w:r>
          </w:p>
        </w:tc>
        <w:tc>
          <w:tcPr>
            <w:tcW w:w="2693" w:type="dxa"/>
            <w:vAlign w:val="center"/>
          </w:tcPr>
          <w:p w14:paraId="0980BB9C" w14:textId="77777777" w:rsidR="00131F7A" w:rsidRPr="00DB0D75" w:rsidRDefault="00131F7A" w:rsidP="009746A6">
            <w:pPr>
              <w:pStyle w:val="Tablebodytext"/>
              <w:keepNext w:val="0"/>
              <w:rPr>
                <w:color w:val="000000"/>
                <w:lang w:eastAsia="en-AU"/>
              </w:rPr>
            </w:pPr>
            <w:r w:rsidRPr="00DB0D75">
              <w:rPr>
                <w:color w:val="000000"/>
                <w:lang w:eastAsia="en-AU"/>
              </w:rPr>
              <w:t>Employment of staff with explicit responsibility for environmental management</w:t>
            </w:r>
          </w:p>
        </w:tc>
        <w:tc>
          <w:tcPr>
            <w:tcW w:w="993" w:type="dxa"/>
            <w:vAlign w:val="center"/>
          </w:tcPr>
          <w:p w14:paraId="2AA9FFDA" w14:textId="74116B88"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56C9202A" w14:textId="77777777" w:rsidR="00131F7A" w:rsidRPr="00DB0D75" w:rsidRDefault="00131F7A" w:rsidP="009746A6">
            <w:pPr>
              <w:pStyle w:val="Tablebodytext"/>
              <w:keepNext w:val="0"/>
              <w:rPr>
                <w:lang w:eastAsia="en-AU"/>
              </w:rPr>
            </w:pPr>
            <w:r w:rsidRPr="00DB0D75">
              <w:rPr>
                <w:lang w:eastAsia="en-AU"/>
              </w:rPr>
              <w:t>0.052</w:t>
            </w:r>
          </w:p>
        </w:tc>
      </w:tr>
      <w:tr w:rsidR="00131F7A" w:rsidRPr="00DB0D75" w14:paraId="405B4950" w14:textId="77777777" w:rsidTr="003E3F4F">
        <w:trPr>
          <w:trHeight w:val="260"/>
        </w:trPr>
        <w:tc>
          <w:tcPr>
            <w:tcW w:w="1985" w:type="dxa"/>
            <w:vMerge/>
          </w:tcPr>
          <w:p w14:paraId="4D29326C" w14:textId="77777777" w:rsidR="00131F7A" w:rsidRPr="00DB0D75" w:rsidRDefault="00131F7A" w:rsidP="009746A6">
            <w:pPr>
              <w:pStyle w:val="Tablebodytext"/>
              <w:keepNext w:val="0"/>
              <w:rPr>
                <w:lang w:eastAsia="en-AU"/>
              </w:rPr>
            </w:pPr>
          </w:p>
        </w:tc>
        <w:tc>
          <w:tcPr>
            <w:tcW w:w="1418" w:type="dxa"/>
            <w:vMerge/>
          </w:tcPr>
          <w:p w14:paraId="4080267C" w14:textId="77777777" w:rsidR="00131F7A" w:rsidRPr="00DB0D75" w:rsidRDefault="00131F7A" w:rsidP="009746A6">
            <w:pPr>
              <w:pStyle w:val="Tablebodytext"/>
              <w:keepNext w:val="0"/>
              <w:rPr>
                <w:lang w:eastAsia="en-AU"/>
              </w:rPr>
            </w:pPr>
          </w:p>
        </w:tc>
        <w:tc>
          <w:tcPr>
            <w:tcW w:w="992" w:type="dxa"/>
            <w:vAlign w:val="center"/>
          </w:tcPr>
          <w:p w14:paraId="0F51474E" w14:textId="77777777" w:rsidR="00131F7A" w:rsidRPr="00DB0D75" w:rsidRDefault="00131F7A" w:rsidP="009746A6">
            <w:pPr>
              <w:pStyle w:val="Tablebodytext"/>
              <w:keepNext w:val="0"/>
              <w:rPr>
                <w:color w:val="000000"/>
                <w:lang w:eastAsia="en-AU"/>
              </w:rPr>
            </w:pPr>
            <w:r w:rsidRPr="00DB0D75">
              <w:rPr>
                <w:color w:val="000000"/>
                <w:lang w:eastAsia="en-AU"/>
              </w:rPr>
              <w:t>p</w:t>
            </w:r>
          </w:p>
        </w:tc>
        <w:tc>
          <w:tcPr>
            <w:tcW w:w="2693" w:type="dxa"/>
            <w:vAlign w:val="center"/>
          </w:tcPr>
          <w:p w14:paraId="3C293029" w14:textId="77777777" w:rsidR="00131F7A" w:rsidRPr="00DB0D75" w:rsidRDefault="00131F7A" w:rsidP="009746A6">
            <w:pPr>
              <w:pStyle w:val="Tablebodytext"/>
              <w:keepNext w:val="0"/>
              <w:rPr>
                <w:color w:val="000000"/>
                <w:lang w:eastAsia="en-AU"/>
              </w:rPr>
            </w:pPr>
            <w:r w:rsidRPr="00DB0D75">
              <w:rPr>
                <w:color w:val="000000"/>
                <w:lang w:eastAsia="en-AU"/>
              </w:rPr>
              <w:t>Measures to reduce air pollution including greenhouse gas emissions</w:t>
            </w:r>
          </w:p>
        </w:tc>
        <w:tc>
          <w:tcPr>
            <w:tcW w:w="993" w:type="dxa"/>
            <w:vAlign w:val="center"/>
          </w:tcPr>
          <w:p w14:paraId="132970E9" w14:textId="5B572A6E" w:rsidR="00131F7A" w:rsidRPr="00DB0D75" w:rsidRDefault="00131F7A" w:rsidP="009746A6">
            <w:pPr>
              <w:pStyle w:val="Tablebodytext"/>
              <w:keepNext w:val="0"/>
              <w:rPr>
                <w:lang w:eastAsia="en-AU"/>
              </w:rPr>
            </w:pPr>
            <w:r w:rsidRPr="00DB0D75">
              <w:rPr>
                <w:lang w:eastAsia="en-AU"/>
              </w:rPr>
              <w:t>1</w:t>
            </w:r>
          </w:p>
        </w:tc>
        <w:tc>
          <w:tcPr>
            <w:tcW w:w="1070" w:type="dxa"/>
            <w:vAlign w:val="center"/>
          </w:tcPr>
          <w:p w14:paraId="37DD5038" w14:textId="77777777" w:rsidR="00131F7A" w:rsidRPr="00DB0D75" w:rsidRDefault="00131F7A" w:rsidP="009746A6">
            <w:pPr>
              <w:pStyle w:val="Tablebodytext"/>
              <w:keepNext w:val="0"/>
              <w:rPr>
                <w:lang w:eastAsia="en-AU"/>
              </w:rPr>
            </w:pPr>
            <w:r w:rsidRPr="00DB0D75">
              <w:rPr>
                <w:lang w:eastAsia="en-AU"/>
              </w:rPr>
              <w:t>0.048</w:t>
            </w:r>
          </w:p>
        </w:tc>
      </w:tr>
      <w:tr w:rsidR="00131F7A" w:rsidRPr="00DB0D75" w14:paraId="5E161021" w14:textId="77777777" w:rsidTr="003E3F4F">
        <w:trPr>
          <w:trHeight w:val="260"/>
        </w:trPr>
        <w:tc>
          <w:tcPr>
            <w:tcW w:w="1985" w:type="dxa"/>
            <w:vMerge/>
          </w:tcPr>
          <w:p w14:paraId="09185B28" w14:textId="77777777" w:rsidR="00131F7A" w:rsidRPr="00DB0D75" w:rsidRDefault="00131F7A" w:rsidP="009746A6">
            <w:pPr>
              <w:pStyle w:val="Tablebodytext"/>
              <w:keepNext w:val="0"/>
              <w:rPr>
                <w:lang w:eastAsia="en-AU"/>
              </w:rPr>
            </w:pPr>
          </w:p>
        </w:tc>
        <w:tc>
          <w:tcPr>
            <w:tcW w:w="1418" w:type="dxa"/>
            <w:vMerge/>
          </w:tcPr>
          <w:p w14:paraId="066DBFE3" w14:textId="77777777" w:rsidR="00131F7A" w:rsidRPr="00DB0D75" w:rsidRDefault="00131F7A" w:rsidP="009746A6">
            <w:pPr>
              <w:pStyle w:val="Tablebodytext"/>
              <w:keepNext w:val="0"/>
              <w:rPr>
                <w:lang w:eastAsia="en-AU"/>
              </w:rPr>
            </w:pPr>
          </w:p>
        </w:tc>
        <w:tc>
          <w:tcPr>
            <w:tcW w:w="992" w:type="dxa"/>
            <w:vAlign w:val="center"/>
          </w:tcPr>
          <w:p w14:paraId="3B671D57" w14:textId="77777777" w:rsidR="00131F7A" w:rsidRPr="00DB0D75" w:rsidRDefault="00131F7A" w:rsidP="009746A6">
            <w:pPr>
              <w:pStyle w:val="Tablebodytext"/>
              <w:keepNext w:val="0"/>
              <w:rPr>
                <w:color w:val="000000"/>
                <w:lang w:eastAsia="en-AU"/>
              </w:rPr>
            </w:pPr>
            <w:r w:rsidRPr="00DB0D75">
              <w:rPr>
                <w:color w:val="000000"/>
                <w:lang w:eastAsia="en-AU"/>
              </w:rPr>
              <w:t>q</w:t>
            </w:r>
          </w:p>
        </w:tc>
        <w:tc>
          <w:tcPr>
            <w:tcW w:w="2693" w:type="dxa"/>
            <w:vAlign w:val="center"/>
          </w:tcPr>
          <w:p w14:paraId="7DDD5D15" w14:textId="77777777" w:rsidR="00131F7A" w:rsidRPr="00DB0D75" w:rsidRDefault="00131F7A" w:rsidP="009746A6">
            <w:pPr>
              <w:pStyle w:val="Tablebodytext"/>
              <w:keepNext w:val="0"/>
              <w:rPr>
                <w:color w:val="000000"/>
                <w:lang w:eastAsia="en-AU"/>
              </w:rPr>
            </w:pPr>
            <w:r w:rsidRPr="00DB0D75">
              <w:rPr>
                <w:color w:val="000000"/>
                <w:lang w:eastAsia="en-AU"/>
              </w:rPr>
              <w:t>None of the above</w:t>
            </w:r>
          </w:p>
        </w:tc>
        <w:tc>
          <w:tcPr>
            <w:tcW w:w="993" w:type="dxa"/>
            <w:vAlign w:val="center"/>
          </w:tcPr>
          <w:p w14:paraId="3048DD99" w14:textId="77777777" w:rsidR="00131F7A" w:rsidRPr="00DB0D75" w:rsidRDefault="00131F7A" w:rsidP="009746A6">
            <w:pPr>
              <w:pStyle w:val="Tablebodytext"/>
              <w:keepNext w:val="0"/>
              <w:rPr>
                <w:lang w:eastAsia="en-AU"/>
              </w:rPr>
            </w:pPr>
            <w:r w:rsidRPr="00DB0D75">
              <w:rPr>
                <w:lang w:eastAsia="en-AU"/>
              </w:rPr>
              <w:t>Exclude</w:t>
            </w:r>
          </w:p>
        </w:tc>
        <w:tc>
          <w:tcPr>
            <w:tcW w:w="1070" w:type="dxa"/>
            <w:vAlign w:val="center"/>
          </w:tcPr>
          <w:p w14:paraId="766A10DE" w14:textId="77777777" w:rsidR="00131F7A" w:rsidRPr="00DB0D75" w:rsidRDefault="00131F7A" w:rsidP="009746A6">
            <w:pPr>
              <w:pStyle w:val="Tablebodytext"/>
              <w:keepNext w:val="0"/>
              <w:rPr>
                <w:lang w:eastAsia="en-AU"/>
              </w:rPr>
            </w:pPr>
          </w:p>
        </w:tc>
      </w:tr>
      <w:tr w:rsidR="00131F7A" w:rsidRPr="00DB0D75" w14:paraId="04CC3716" w14:textId="77777777" w:rsidTr="003E3F4F">
        <w:trPr>
          <w:trHeight w:val="380"/>
        </w:trPr>
        <w:tc>
          <w:tcPr>
            <w:tcW w:w="8081" w:type="dxa"/>
            <w:gridSpan w:val="5"/>
          </w:tcPr>
          <w:p w14:paraId="0F75A905" w14:textId="77777777" w:rsidR="00131F7A" w:rsidRPr="00085CC5" w:rsidRDefault="00131F7A" w:rsidP="009746A6">
            <w:pPr>
              <w:pStyle w:val="Tablebodytext"/>
              <w:keepNext w:val="0"/>
              <w:rPr>
                <w:lang w:eastAsia="en-AU"/>
              </w:rPr>
            </w:pPr>
            <w:r w:rsidRPr="00085CC5">
              <w:rPr>
                <w:lang w:eastAsia="en-AU"/>
              </w:rPr>
              <w:t xml:space="preserve">Total Average Environmental Management Capability (EMC) Score  </w:t>
            </w:r>
          </w:p>
        </w:tc>
        <w:tc>
          <w:tcPr>
            <w:tcW w:w="1070" w:type="dxa"/>
            <w:vAlign w:val="center"/>
          </w:tcPr>
          <w:p w14:paraId="2FE1CEED" w14:textId="77777777" w:rsidR="00131F7A" w:rsidRPr="00085CC5" w:rsidRDefault="00131F7A" w:rsidP="009746A6">
            <w:pPr>
              <w:pStyle w:val="Tablebodytext"/>
              <w:keepNext w:val="0"/>
              <w:rPr>
                <w:lang w:eastAsia="en-AU"/>
              </w:rPr>
            </w:pPr>
            <w:r w:rsidRPr="00085CC5">
              <w:rPr>
                <w:lang w:eastAsia="en-AU"/>
              </w:rPr>
              <w:t>0.125</w:t>
            </w:r>
          </w:p>
        </w:tc>
      </w:tr>
    </w:tbl>
    <w:p w14:paraId="278C4564" w14:textId="569BB52C" w:rsidR="00131F7A" w:rsidRPr="00C62F3A" w:rsidRDefault="00131F7A" w:rsidP="00676610">
      <w:pPr>
        <w:pStyle w:val="NoteWide"/>
        <w:spacing w:line="240" w:lineRule="auto"/>
      </w:pPr>
      <w:r w:rsidRPr="00C62F3A">
        <w:t>Note</w:t>
      </w:r>
      <w:r>
        <w:t xml:space="preserve">s: </w:t>
      </w:r>
      <w:r w:rsidRPr="00733572">
        <w:t>*  Average score based on use of ABS Microdata</w:t>
      </w:r>
      <w:r>
        <w:t xml:space="preserve"> </w:t>
      </w:r>
    </w:p>
    <w:p w14:paraId="4B4ED82E" w14:textId="0D7DB368" w:rsidR="00131F7A" w:rsidRDefault="00131F7A" w:rsidP="00676610">
      <w:pPr>
        <w:pStyle w:val="SourceWide"/>
        <w:spacing w:line="240" w:lineRule="auto"/>
      </w:pPr>
      <w:r>
        <w:t xml:space="preserve">Source:  </w:t>
      </w:r>
      <w:r w:rsidRPr="00733572">
        <w:t>Australian Bureau of Statistics 2016, Management and Organisational Capabilities of Australian Business, 2015</w:t>
      </w:r>
      <w:r>
        <w:t>–</w:t>
      </w:r>
      <w:r w:rsidRPr="00733572">
        <w:t>16. Expanded Confidentialised Unit Record File (CURF), ABS DataLab</w:t>
      </w:r>
    </w:p>
    <w:p w14:paraId="247A5812" w14:textId="74C8FEBC" w:rsidR="00131F7A" w:rsidRDefault="00131F7A" w:rsidP="00611018">
      <w:pPr>
        <w:pStyle w:val="Heading6"/>
        <w:ind w:left="426" w:hanging="2269"/>
        <w:rPr>
          <w:lang w:val="en" w:eastAsia="en-AU"/>
        </w:rPr>
      </w:pPr>
      <w:r>
        <w:rPr>
          <w:lang w:val="en" w:eastAsia="en-AU"/>
        </w:rPr>
        <w:lastRenderedPageBreak/>
        <w:t>Methodology for developing comparative scores of structured management practices for Australian and US firms</w:t>
      </w:r>
    </w:p>
    <w:p w14:paraId="5DE17472" w14:textId="4149C705" w:rsidR="00131F7A" w:rsidRPr="000618FB" w:rsidRDefault="00131F7A" w:rsidP="00F23552">
      <w:pPr>
        <w:pStyle w:val="CaptionWide"/>
        <w:ind w:left="-1843"/>
      </w:pPr>
      <w:r w:rsidRPr="000618FB">
        <w:t xml:space="preserve">Table </w:t>
      </w:r>
      <w:r w:rsidR="00FC594E">
        <w:rPr>
          <w:noProof/>
        </w:rPr>
        <w:fldChar w:fldCharType="begin"/>
      </w:r>
      <w:r w:rsidR="00FC594E">
        <w:rPr>
          <w:noProof/>
        </w:rPr>
        <w:instrText xml:space="preserve"> STYLEREF 6 \s </w:instrText>
      </w:r>
      <w:r w:rsidR="00FC594E">
        <w:rPr>
          <w:noProof/>
        </w:rPr>
        <w:fldChar w:fldCharType="separate"/>
      </w:r>
      <w:r w:rsidR="00111F76">
        <w:rPr>
          <w:noProof/>
        </w:rPr>
        <w:t>D</w:t>
      </w:r>
      <w:r w:rsidR="00FC594E">
        <w:rPr>
          <w:noProof/>
        </w:rPr>
        <w:fldChar w:fldCharType="end"/>
      </w:r>
      <w:r>
        <w:rPr>
          <w:noProof/>
        </w:rPr>
        <w:fldChar w:fldCharType="begin"/>
      </w:r>
      <w:r>
        <w:rPr>
          <w:noProof/>
        </w:rPr>
        <w:instrText xml:space="preserve"> SEQ Table \* ARABIC \s 6 </w:instrText>
      </w:r>
      <w:r>
        <w:rPr>
          <w:noProof/>
        </w:rPr>
        <w:fldChar w:fldCharType="separate"/>
      </w:r>
      <w:r w:rsidR="00111F76">
        <w:rPr>
          <w:noProof/>
        </w:rPr>
        <w:t>1</w:t>
      </w:r>
      <w:r>
        <w:rPr>
          <w:noProof/>
        </w:rPr>
        <w:fldChar w:fldCharType="end"/>
      </w:r>
      <w:r>
        <w:t>: US MOPS and MCM comparison survey results</w:t>
      </w:r>
    </w:p>
    <w:tbl>
      <w:tblPr>
        <w:tblW w:w="6384" w:type="pc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00" w:firstRow="0" w:lastRow="0" w:firstColumn="0" w:lastColumn="0" w:noHBand="0" w:noVBand="1"/>
        <w:tblCaption w:val="Table D1: US MOPS and MCM comparison survey results"/>
        <w:tblDescription w:val="Table D1 shows in detail a comparison of the results of the 12 comparable questions between the US Management and Organisational Practices Survey (MOPS) and the Australian Management Capability Module. The comparison includes: type of response, weight of the response and percentage of respondents that answered each part of the question in both the US and Australian sample."/>
      </w:tblPr>
      <w:tblGrid>
        <w:gridCol w:w="2061"/>
        <w:gridCol w:w="2338"/>
        <w:gridCol w:w="1078"/>
        <w:gridCol w:w="1470"/>
        <w:gridCol w:w="1842"/>
      </w:tblGrid>
      <w:tr w:rsidR="00131F7A" w:rsidRPr="00EB2544" w14:paraId="2A991973" w14:textId="77777777" w:rsidTr="00876AD4">
        <w:trPr>
          <w:trHeight w:val="396"/>
          <w:tblHeader/>
        </w:trPr>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4E6129F1" w14:textId="77777777" w:rsidR="00131F7A" w:rsidRPr="00EB2544" w:rsidRDefault="00131F7A" w:rsidP="009746A6">
            <w:pPr>
              <w:pStyle w:val="Tableheadertext"/>
              <w:keepNext w:val="0"/>
              <w:rPr>
                <w:lang w:eastAsia="en-AU"/>
              </w:rPr>
            </w:pPr>
            <w:r w:rsidRPr="00EB2544">
              <w:rPr>
                <w:lang w:eastAsia="en-AU"/>
              </w:rPr>
              <w:t>MCM Question Number</w:t>
            </w:r>
          </w:p>
        </w:tc>
        <w:tc>
          <w:tcPr>
            <w:tcW w:w="13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0092D068" w14:textId="77777777" w:rsidR="00131F7A" w:rsidRPr="00EB2544" w:rsidRDefault="00131F7A" w:rsidP="009746A6">
            <w:pPr>
              <w:pStyle w:val="Tableheadertext"/>
              <w:keepNext w:val="0"/>
              <w:rPr>
                <w:lang w:eastAsia="en-AU"/>
              </w:rPr>
            </w:pPr>
            <w:r w:rsidRPr="00EB2544">
              <w:rPr>
                <w:lang w:eastAsia="en-AU"/>
              </w:rPr>
              <w:t>Response</w:t>
            </w:r>
          </w:p>
        </w:tc>
        <w:tc>
          <w:tcPr>
            <w:tcW w:w="6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1B51CEB2" w14:textId="77777777" w:rsidR="00131F7A" w:rsidRPr="00EB2544" w:rsidRDefault="00131F7A" w:rsidP="009746A6">
            <w:pPr>
              <w:pStyle w:val="Tableheadertext"/>
              <w:keepNext w:val="0"/>
              <w:rPr>
                <w:lang w:eastAsia="en-AU"/>
              </w:rPr>
            </w:pPr>
            <w:r w:rsidRPr="00EB2544">
              <w:rPr>
                <w:lang w:eastAsia="en-AU"/>
              </w:rPr>
              <w:t>Weight</w:t>
            </w:r>
          </w:p>
        </w:tc>
        <w:tc>
          <w:tcPr>
            <w:tcW w:w="8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2C733CE3" w14:textId="77777777" w:rsidR="00131F7A" w:rsidRPr="00EB2544" w:rsidRDefault="00131F7A" w:rsidP="009746A6">
            <w:pPr>
              <w:pStyle w:val="Tableheadertext"/>
              <w:keepNext w:val="0"/>
              <w:rPr>
                <w:lang w:eastAsia="en-AU"/>
              </w:rPr>
            </w:pPr>
            <w:r>
              <w:rPr>
                <w:lang w:eastAsia="en-AU"/>
              </w:rPr>
              <w:t>AU p</w:t>
            </w:r>
            <w:r w:rsidRPr="00EB2544">
              <w:rPr>
                <w:lang w:eastAsia="en-AU"/>
              </w:rPr>
              <w:t>er</w:t>
            </w:r>
            <w:r>
              <w:rPr>
                <w:lang w:eastAsia="en-AU"/>
              </w:rPr>
              <w:t> </w:t>
            </w:r>
            <w:r w:rsidRPr="00EB2544">
              <w:rPr>
                <w:lang w:eastAsia="en-AU"/>
              </w:rPr>
              <w:t xml:space="preserve">cent of </w:t>
            </w:r>
            <w:r>
              <w:rPr>
                <w:lang w:eastAsia="en-AU"/>
              </w:rPr>
              <w:t>r</w:t>
            </w:r>
            <w:r w:rsidRPr="00EB2544">
              <w:rPr>
                <w:lang w:eastAsia="en-AU"/>
              </w:rPr>
              <w:t>espondents (%)</w:t>
            </w:r>
          </w:p>
        </w:tc>
        <w:tc>
          <w:tcPr>
            <w:tcW w:w="10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CAF" w:themeFill="accent1"/>
          </w:tcPr>
          <w:p w14:paraId="5BF3949C" w14:textId="77777777" w:rsidR="00131F7A" w:rsidRPr="00EB2544" w:rsidRDefault="00131F7A" w:rsidP="009746A6">
            <w:pPr>
              <w:pStyle w:val="Tableheadertext"/>
              <w:keepNext w:val="0"/>
              <w:rPr>
                <w:lang w:eastAsia="en-AU"/>
              </w:rPr>
            </w:pPr>
            <w:r w:rsidRPr="00EB2544">
              <w:rPr>
                <w:lang w:eastAsia="en-AU"/>
              </w:rPr>
              <w:t>U</w:t>
            </w:r>
            <w:r>
              <w:rPr>
                <w:lang w:eastAsia="en-AU"/>
              </w:rPr>
              <w:t>S p</w:t>
            </w:r>
            <w:r w:rsidRPr="00EB2544">
              <w:rPr>
                <w:lang w:eastAsia="en-AU"/>
              </w:rPr>
              <w:t>er</w:t>
            </w:r>
            <w:r>
              <w:rPr>
                <w:lang w:eastAsia="en-AU"/>
              </w:rPr>
              <w:t> </w:t>
            </w:r>
            <w:r w:rsidRPr="00EB2544">
              <w:rPr>
                <w:lang w:eastAsia="en-AU"/>
              </w:rPr>
              <w:t xml:space="preserve">cent of </w:t>
            </w:r>
            <w:r>
              <w:rPr>
                <w:lang w:eastAsia="en-AU"/>
              </w:rPr>
              <w:t>r</w:t>
            </w:r>
            <w:r w:rsidRPr="00EB2544">
              <w:rPr>
                <w:lang w:eastAsia="en-AU"/>
              </w:rPr>
              <w:t>espondents (%)</w:t>
            </w:r>
          </w:p>
        </w:tc>
      </w:tr>
      <w:tr w:rsidR="00131F7A" w:rsidRPr="00EB2544" w14:paraId="3D744C05" w14:textId="77777777" w:rsidTr="00876AD4">
        <w:trPr>
          <w:trHeight w:val="20"/>
        </w:trPr>
        <w:tc>
          <w:tcPr>
            <w:tcW w:w="1173" w:type="pct"/>
            <w:vMerge w:val="restart"/>
            <w:tcBorders>
              <w:top w:val="single" w:sz="4" w:space="0" w:color="FFFFFF" w:themeColor="background1"/>
            </w:tcBorders>
          </w:tcPr>
          <w:p w14:paraId="4E721ACE" w14:textId="77777777" w:rsidR="00131F7A" w:rsidRPr="00EB2544" w:rsidRDefault="00131F7A" w:rsidP="009746A6">
            <w:pPr>
              <w:pStyle w:val="Tablebodytext"/>
              <w:keepNext w:val="0"/>
              <w:rPr>
                <w:lang w:eastAsia="en-AU"/>
              </w:rPr>
            </w:pPr>
            <w:r w:rsidRPr="00EB2544">
              <w:rPr>
                <w:lang w:eastAsia="en-AU"/>
              </w:rPr>
              <w:t>10</w:t>
            </w:r>
          </w:p>
        </w:tc>
        <w:tc>
          <w:tcPr>
            <w:tcW w:w="1330" w:type="pct"/>
            <w:tcBorders>
              <w:top w:val="single" w:sz="4" w:space="0" w:color="FFFFFF" w:themeColor="background1"/>
            </w:tcBorders>
          </w:tcPr>
          <w:p w14:paraId="0A7B3C5D" w14:textId="77777777" w:rsidR="00131F7A" w:rsidRPr="00EB2544" w:rsidRDefault="00131F7A" w:rsidP="009746A6">
            <w:pPr>
              <w:pStyle w:val="Tablebodytext"/>
              <w:keepNext w:val="0"/>
              <w:rPr>
                <w:lang w:eastAsia="en-AU"/>
              </w:rPr>
            </w:pPr>
            <w:r w:rsidRPr="00EB2544">
              <w:rPr>
                <w:lang w:eastAsia="en-AU"/>
              </w:rPr>
              <w:t>1 or 2</w:t>
            </w:r>
          </w:p>
        </w:tc>
        <w:tc>
          <w:tcPr>
            <w:tcW w:w="613" w:type="pct"/>
            <w:tcBorders>
              <w:top w:val="single" w:sz="4" w:space="0" w:color="FFFFFF" w:themeColor="background1"/>
            </w:tcBorders>
          </w:tcPr>
          <w:p w14:paraId="34C76200" w14:textId="77777777" w:rsidR="00131F7A" w:rsidRPr="00EB2544" w:rsidRDefault="00131F7A" w:rsidP="009746A6">
            <w:pPr>
              <w:pStyle w:val="Tablebodytext"/>
              <w:keepNext w:val="0"/>
              <w:rPr>
                <w:lang w:eastAsia="en-AU"/>
              </w:rPr>
            </w:pPr>
            <w:r w:rsidRPr="00EB2544">
              <w:rPr>
                <w:lang w:eastAsia="en-AU"/>
              </w:rPr>
              <w:t>0.33</w:t>
            </w:r>
          </w:p>
        </w:tc>
        <w:tc>
          <w:tcPr>
            <w:tcW w:w="836" w:type="pct"/>
            <w:tcBorders>
              <w:top w:val="single" w:sz="4" w:space="0" w:color="FFFFFF" w:themeColor="background1"/>
            </w:tcBorders>
            <w:tcMar>
              <w:top w:w="100" w:type="dxa"/>
              <w:left w:w="100" w:type="dxa"/>
              <w:bottom w:w="100" w:type="dxa"/>
              <w:right w:w="100" w:type="dxa"/>
            </w:tcMar>
          </w:tcPr>
          <w:p w14:paraId="600765E7" w14:textId="77777777" w:rsidR="00131F7A" w:rsidRPr="00EB2544" w:rsidRDefault="00131F7A" w:rsidP="009746A6">
            <w:pPr>
              <w:pStyle w:val="Tablebodytext"/>
              <w:keepNext w:val="0"/>
              <w:rPr>
                <w:lang w:eastAsia="en-AU"/>
              </w:rPr>
            </w:pPr>
            <w:r w:rsidRPr="00EB2544">
              <w:rPr>
                <w:lang w:eastAsia="en-AU"/>
              </w:rPr>
              <w:t>15.90</w:t>
            </w:r>
          </w:p>
        </w:tc>
        <w:tc>
          <w:tcPr>
            <w:tcW w:w="1048" w:type="pct"/>
            <w:tcBorders>
              <w:top w:val="single" w:sz="4" w:space="0" w:color="FFFFFF" w:themeColor="background1"/>
            </w:tcBorders>
            <w:tcMar>
              <w:top w:w="100" w:type="dxa"/>
              <w:left w:w="100" w:type="dxa"/>
              <w:bottom w:w="100" w:type="dxa"/>
              <w:right w:w="100" w:type="dxa"/>
            </w:tcMar>
          </w:tcPr>
          <w:p w14:paraId="16DD28D6" w14:textId="77777777" w:rsidR="00131F7A" w:rsidRPr="00EB2544" w:rsidRDefault="00131F7A" w:rsidP="009746A6">
            <w:pPr>
              <w:pStyle w:val="Tablebodytext"/>
              <w:keepNext w:val="0"/>
              <w:rPr>
                <w:lang w:eastAsia="en-AU"/>
              </w:rPr>
            </w:pPr>
            <w:r w:rsidRPr="00EB2544">
              <w:rPr>
                <w:lang w:eastAsia="en-AU"/>
              </w:rPr>
              <w:t>7.95</w:t>
            </w:r>
          </w:p>
        </w:tc>
      </w:tr>
      <w:tr w:rsidR="00131F7A" w:rsidRPr="00EB2544" w14:paraId="37BAF01D" w14:textId="77777777" w:rsidTr="00611018">
        <w:trPr>
          <w:trHeight w:val="20"/>
        </w:trPr>
        <w:tc>
          <w:tcPr>
            <w:tcW w:w="1173" w:type="pct"/>
            <w:vMerge/>
          </w:tcPr>
          <w:p w14:paraId="31953116" w14:textId="77777777" w:rsidR="00131F7A" w:rsidRPr="00EB2544" w:rsidRDefault="00131F7A" w:rsidP="009746A6">
            <w:pPr>
              <w:pStyle w:val="Tablebodytext"/>
              <w:keepNext w:val="0"/>
              <w:rPr>
                <w:lang w:eastAsia="en-AU"/>
              </w:rPr>
            </w:pPr>
          </w:p>
        </w:tc>
        <w:tc>
          <w:tcPr>
            <w:tcW w:w="1330" w:type="pct"/>
          </w:tcPr>
          <w:p w14:paraId="4388E798" w14:textId="77777777" w:rsidR="00131F7A" w:rsidRPr="00EB2544" w:rsidRDefault="00131F7A" w:rsidP="009746A6">
            <w:pPr>
              <w:pStyle w:val="Tablebodytext"/>
              <w:keepNext w:val="0"/>
              <w:rPr>
                <w:lang w:eastAsia="en-AU"/>
              </w:rPr>
            </w:pPr>
            <w:r w:rsidRPr="00EB2544">
              <w:rPr>
                <w:lang w:eastAsia="en-AU"/>
              </w:rPr>
              <w:t>3 to 9</w:t>
            </w:r>
          </w:p>
        </w:tc>
        <w:tc>
          <w:tcPr>
            <w:tcW w:w="613" w:type="pct"/>
          </w:tcPr>
          <w:p w14:paraId="76297A72" w14:textId="77777777" w:rsidR="00131F7A" w:rsidRPr="00EB2544" w:rsidRDefault="00131F7A" w:rsidP="009746A6">
            <w:pPr>
              <w:pStyle w:val="Tablebodytext"/>
              <w:keepNext w:val="0"/>
              <w:rPr>
                <w:lang w:eastAsia="en-AU"/>
              </w:rPr>
            </w:pPr>
            <w:r w:rsidRPr="00EB2544">
              <w:rPr>
                <w:lang w:eastAsia="en-AU"/>
              </w:rPr>
              <w:t>0.67</w:t>
            </w:r>
          </w:p>
        </w:tc>
        <w:tc>
          <w:tcPr>
            <w:tcW w:w="836" w:type="pct"/>
            <w:tcMar>
              <w:top w:w="100" w:type="dxa"/>
              <w:left w:w="100" w:type="dxa"/>
              <w:bottom w:w="100" w:type="dxa"/>
              <w:right w:w="100" w:type="dxa"/>
            </w:tcMar>
          </w:tcPr>
          <w:p w14:paraId="304B6B84" w14:textId="77777777" w:rsidR="00131F7A" w:rsidRPr="00EB2544" w:rsidRDefault="00131F7A" w:rsidP="009746A6">
            <w:pPr>
              <w:pStyle w:val="Tablebodytext"/>
              <w:keepNext w:val="0"/>
              <w:rPr>
                <w:lang w:eastAsia="en-AU"/>
              </w:rPr>
            </w:pPr>
            <w:r w:rsidRPr="00EB2544">
              <w:rPr>
                <w:lang w:eastAsia="en-AU"/>
              </w:rPr>
              <w:t>24.30</w:t>
            </w:r>
          </w:p>
        </w:tc>
        <w:tc>
          <w:tcPr>
            <w:tcW w:w="1048" w:type="pct"/>
            <w:tcMar>
              <w:top w:w="100" w:type="dxa"/>
              <w:left w:w="100" w:type="dxa"/>
              <w:bottom w:w="100" w:type="dxa"/>
              <w:right w:w="100" w:type="dxa"/>
            </w:tcMar>
          </w:tcPr>
          <w:p w14:paraId="5868636B" w14:textId="77777777" w:rsidR="00131F7A" w:rsidRPr="00EB2544" w:rsidRDefault="00131F7A" w:rsidP="009746A6">
            <w:pPr>
              <w:pStyle w:val="Tablebodytext"/>
              <w:keepNext w:val="0"/>
              <w:rPr>
                <w:lang w:eastAsia="en-AU"/>
              </w:rPr>
            </w:pPr>
            <w:r w:rsidRPr="00EB2544">
              <w:rPr>
                <w:lang w:eastAsia="en-AU"/>
              </w:rPr>
              <w:t>47.97</w:t>
            </w:r>
          </w:p>
        </w:tc>
      </w:tr>
      <w:tr w:rsidR="00131F7A" w:rsidRPr="00EB2544" w14:paraId="52C09933" w14:textId="77777777" w:rsidTr="00611018">
        <w:trPr>
          <w:trHeight w:val="20"/>
        </w:trPr>
        <w:tc>
          <w:tcPr>
            <w:tcW w:w="1173" w:type="pct"/>
            <w:vMerge/>
          </w:tcPr>
          <w:p w14:paraId="199A6620" w14:textId="77777777" w:rsidR="00131F7A" w:rsidRPr="00EB2544" w:rsidRDefault="00131F7A" w:rsidP="009746A6">
            <w:pPr>
              <w:pStyle w:val="Tablebodytext"/>
              <w:keepNext w:val="0"/>
              <w:rPr>
                <w:lang w:eastAsia="en-AU"/>
              </w:rPr>
            </w:pPr>
          </w:p>
        </w:tc>
        <w:tc>
          <w:tcPr>
            <w:tcW w:w="1330" w:type="pct"/>
          </w:tcPr>
          <w:p w14:paraId="534C8814" w14:textId="77777777" w:rsidR="00131F7A" w:rsidRPr="00EB2544" w:rsidRDefault="00131F7A" w:rsidP="009746A6">
            <w:pPr>
              <w:pStyle w:val="Tablebodytext"/>
              <w:keepNext w:val="0"/>
              <w:rPr>
                <w:lang w:eastAsia="en-AU"/>
              </w:rPr>
            </w:pPr>
            <w:r w:rsidRPr="00EB2544">
              <w:rPr>
                <w:lang w:eastAsia="en-AU"/>
              </w:rPr>
              <w:t>10 or more</w:t>
            </w:r>
          </w:p>
        </w:tc>
        <w:tc>
          <w:tcPr>
            <w:tcW w:w="613" w:type="pct"/>
          </w:tcPr>
          <w:p w14:paraId="3A0D58C8"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2D13D19D" w14:textId="77777777" w:rsidR="00131F7A" w:rsidRPr="00EB2544" w:rsidRDefault="00131F7A" w:rsidP="009746A6">
            <w:pPr>
              <w:pStyle w:val="Tablebodytext"/>
              <w:keepNext w:val="0"/>
              <w:rPr>
                <w:lang w:eastAsia="en-AU"/>
              </w:rPr>
            </w:pPr>
            <w:r w:rsidRPr="00EB2544">
              <w:rPr>
                <w:lang w:eastAsia="en-AU"/>
              </w:rPr>
              <w:t>10.70</w:t>
            </w:r>
          </w:p>
        </w:tc>
        <w:tc>
          <w:tcPr>
            <w:tcW w:w="1048" w:type="pct"/>
            <w:tcMar>
              <w:top w:w="100" w:type="dxa"/>
              <w:left w:w="100" w:type="dxa"/>
              <w:bottom w:w="100" w:type="dxa"/>
              <w:right w:w="100" w:type="dxa"/>
            </w:tcMar>
          </w:tcPr>
          <w:p w14:paraId="6C5D4F85" w14:textId="77777777" w:rsidR="00131F7A" w:rsidRPr="00EB2544" w:rsidRDefault="00131F7A" w:rsidP="009746A6">
            <w:pPr>
              <w:pStyle w:val="Tablebodytext"/>
              <w:keepNext w:val="0"/>
              <w:rPr>
                <w:lang w:eastAsia="en-AU"/>
              </w:rPr>
            </w:pPr>
            <w:r w:rsidRPr="00EB2544">
              <w:rPr>
                <w:lang w:eastAsia="en-AU"/>
              </w:rPr>
              <w:t>34.65</w:t>
            </w:r>
          </w:p>
        </w:tc>
      </w:tr>
      <w:tr w:rsidR="00131F7A" w:rsidRPr="00EB2544" w14:paraId="4BF88D17" w14:textId="77777777" w:rsidTr="00611018">
        <w:trPr>
          <w:trHeight w:val="20"/>
        </w:trPr>
        <w:tc>
          <w:tcPr>
            <w:tcW w:w="1173" w:type="pct"/>
            <w:vMerge/>
          </w:tcPr>
          <w:p w14:paraId="41C22B58" w14:textId="77777777" w:rsidR="00131F7A" w:rsidRPr="00EB2544" w:rsidRDefault="00131F7A" w:rsidP="009746A6">
            <w:pPr>
              <w:pStyle w:val="Tablebodytext"/>
              <w:keepNext w:val="0"/>
              <w:rPr>
                <w:lang w:eastAsia="en-AU"/>
              </w:rPr>
            </w:pPr>
          </w:p>
        </w:tc>
        <w:tc>
          <w:tcPr>
            <w:tcW w:w="1330" w:type="pct"/>
          </w:tcPr>
          <w:p w14:paraId="5105A56F" w14:textId="77777777" w:rsidR="00131F7A" w:rsidRPr="00EB2544" w:rsidRDefault="00131F7A" w:rsidP="009746A6">
            <w:pPr>
              <w:pStyle w:val="Tablebodytext"/>
              <w:keepNext w:val="0"/>
              <w:rPr>
                <w:lang w:eastAsia="en-AU"/>
              </w:rPr>
            </w:pPr>
            <w:r w:rsidRPr="00EB2544">
              <w:rPr>
                <w:lang w:eastAsia="en-AU"/>
              </w:rPr>
              <w:t xml:space="preserve">No Key Performance Indicators monitored </w:t>
            </w:r>
          </w:p>
        </w:tc>
        <w:tc>
          <w:tcPr>
            <w:tcW w:w="613" w:type="pct"/>
          </w:tcPr>
          <w:p w14:paraId="60A884B0"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3BF74D52" w14:textId="77777777" w:rsidR="00131F7A" w:rsidRPr="00EB2544" w:rsidRDefault="00131F7A" w:rsidP="009746A6">
            <w:pPr>
              <w:pStyle w:val="Tablebodytext"/>
              <w:keepNext w:val="0"/>
              <w:rPr>
                <w:lang w:eastAsia="en-AU"/>
              </w:rPr>
            </w:pPr>
            <w:r w:rsidRPr="00EB2544">
              <w:rPr>
                <w:lang w:eastAsia="en-AU"/>
              </w:rPr>
              <w:t>49.20</w:t>
            </w:r>
          </w:p>
        </w:tc>
        <w:tc>
          <w:tcPr>
            <w:tcW w:w="1048" w:type="pct"/>
            <w:tcMar>
              <w:top w:w="100" w:type="dxa"/>
              <w:left w:w="100" w:type="dxa"/>
              <w:bottom w:w="100" w:type="dxa"/>
              <w:right w:w="100" w:type="dxa"/>
            </w:tcMar>
          </w:tcPr>
          <w:p w14:paraId="195E2685" w14:textId="77777777" w:rsidR="00131F7A" w:rsidRPr="00EB2544" w:rsidRDefault="00131F7A" w:rsidP="009746A6">
            <w:pPr>
              <w:pStyle w:val="Tablebodytext"/>
              <w:keepNext w:val="0"/>
              <w:rPr>
                <w:lang w:eastAsia="en-AU"/>
              </w:rPr>
            </w:pPr>
            <w:r w:rsidRPr="00EB2544">
              <w:rPr>
                <w:lang w:eastAsia="en-AU"/>
              </w:rPr>
              <w:t>9.43</w:t>
            </w:r>
          </w:p>
        </w:tc>
      </w:tr>
      <w:tr w:rsidR="00131F7A" w:rsidRPr="00EB2544" w14:paraId="47135F76" w14:textId="77777777" w:rsidTr="00611018">
        <w:trPr>
          <w:trHeight w:val="20"/>
        </w:trPr>
        <w:tc>
          <w:tcPr>
            <w:tcW w:w="1173" w:type="pct"/>
            <w:vMerge/>
          </w:tcPr>
          <w:p w14:paraId="19497DDB" w14:textId="77777777" w:rsidR="00131F7A" w:rsidRPr="00EB2544" w:rsidRDefault="00131F7A" w:rsidP="009746A6">
            <w:pPr>
              <w:pStyle w:val="Tablebodytext"/>
              <w:keepNext w:val="0"/>
              <w:rPr>
                <w:lang w:eastAsia="en-AU"/>
              </w:rPr>
            </w:pPr>
          </w:p>
        </w:tc>
        <w:tc>
          <w:tcPr>
            <w:tcW w:w="1330" w:type="pct"/>
          </w:tcPr>
          <w:p w14:paraId="336DED83" w14:textId="77777777" w:rsidR="00131F7A" w:rsidRPr="00EB2544" w:rsidRDefault="00131F7A" w:rsidP="009746A6">
            <w:pPr>
              <w:pStyle w:val="Tablebodytext"/>
              <w:keepNext w:val="0"/>
              <w:rPr>
                <w:lang w:eastAsia="en-AU"/>
              </w:rPr>
            </w:pPr>
            <w:r w:rsidRPr="00EB2544">
              <w:rPr>
                <w:lang w:eastAsia="en-AU"/>
              </w:rPr>
              <w:t xml:space="preserve">Don't know </w:t>
            </w:r>
          </w:p>
        </w:tc>
        <w:tc>
          <w:tcPr>
            <w:tcW w:w="613" w:type="pct"/>
          </w:tcPr>
          <w:p w14:paraId="1B3D81D9"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21AB31B5" w14:textId="77777777" w:rsidR="00131F7A" w:rsidRPr="00EB2544" w:rsidRDefault="00131F7A" w:rsidP="009746A6">
            <w:pPr>
              <w:pStyle w:val="Tablebodytext"/>
              <w:keepNext w:val="0"/>
              <w:rPr>
                <w:lang w:eastAsia="en-AU"/>
              </w:rPr>
            </w:pPr>
            <w:r w:rsidRPr="00EB2544">
              <w:rPr>
                <w:lang w:eastAsia="en-AU"/>
              </w:rPr>
              <w:t>-</w:t>
            </w:r>
          </w:p>
        </w:tc>
        <w:tc>
          <w:tcPr>
            <w:tcW w:w="1048" w:type="pct"/>
          </w:tcPr>
          <w:p w14:paraId="3F9EB85B" w14:textId="77777777" w:rsidR="00131F7A" w:rsidRPr="00EB2544" w:rsidRDefault="00131F7A" w:rsidP="009746A6">
            <w:pPr>
              <w:pStyle w:val="Tablebodytext"/>
              <w:keepNext w:val="0"/>
              <w:rPr>
                <w:lang w:eastAsia="en-AU"/>
              </w:rPr>
            </w:pPr>
            <w:r w:rsidRPr="00EB2544">
              <w:rPr>
                <w:lang w:eastAsia="en-AU"/>
              </w:rPr>
              <w:t>-</w:t>
            </w:r>
          </w:p>
        </w:tc>
      </w:tr>
      <w:tr w:rsidR="00131F7A" w:rsidRPr="00EB2544" w14:paraId="6DE37260" w14:textId="77777777" w:rsidTr="00611018">
        <w:trPr>
          <w:trHeight w:val="20"/>
        </w:trPr>
        <w:tc>
          <w:tcPr>
            <w:tcW w:w="1173" w:type="pct"/>
            <w:vMerge w:val="restart"/>
          </w:tcPr>
          <w:p w14:paraId="4D421AFE" w14:textId="77777777" w:rsidR="00131F7A" w:rsidRPr="00EB2544" w:rsidRDefault="00131F7A" w:rsidP="009746A6">
            <w:pPr>
              <w:pStyle w:val="Tablebodytext"/>
              <w:keepNext w:val="0"/>
              <w:rPr>
                <w:lang w:eastAsia="en-AU"/>
              </w:rPr>
            </w:pPr>
            <w:r w:rsidRPr="00EB2544">
              <w:rPr>
                <w:lang w:eastAsia="en-AU"/>
              </w:rPr>
              <w:t>13 - Non-managers*</w:t>
            </w:r>
          </w:p>
        </w:tc>
        <w:tc>
          <w:tcPr>
            <w:tcW w:w="1330" w:type="pct"/>
          </w:tcPr>
          <w:p w14:paraId="7C12560A" w14:textId="77777777" w:rsidR="00131F7A" w:rsidRPr="00EB2544" w:rsidRDefault="00131F7A" w:rsidP="009746A6">
            <w:pPr>
              <w:pStyle w:val="Tablebodytext"/>
              <w:keepNext w:val="0"/>
              <w:rPr>
                <w:lang w:eastAsia="en-AU"/>
              </w:rPr>
            </w:pPr>
            <w:r w:rsidRPr="00EB2544">
              <w:rPr>
                <w:lang w:eastAsia="en-AU"/>
              </w:rPr>
              <w:t>Annually / Biannually</w:t>
            </w:r>
          </w:p>
        </w:tc>
        <w:tc>
          <w:tcPr>
            <w:tcW w:w="613" w:type="pct"/>
          </w:tcPr>
          <w:p w14:paraId="667BC0AE" w14:textId="77777777" w:rsidR="00131F7A" w:rsidRPr="00EB2544" w:rsidRDefault="00131F7A" w:rsidP="009746A6">
            <w:pPr>
              <w:pStyle w:val="Tablebodytext"/>
              <w:keepNext w:val="0"/>
              <w:rPr>
                <w:lang w:eastAsia="en-AU"/>
              </w:rPr>
            </w:pPr>
            <w:r w:rsidRPr="00EB2544">
              <w:rPr>
                <w:lang w:eastAsia="en-AU"/>
              </w:rPr>
              <w:t>0.17</w:t>
            </w:r>
          </w:p>
        </w:tc>
        <w:tc>
          <w:tcPr>
            <w:tcW w:w="836" w:type="pct"/>
            <w:tcMar>
              <w:top w:w="100" w:type="dxa"/>
              <w:left w:w="100" w:type="dxa"/>
              <w:bottom w:w="100" w:type="dxa"/>
              <w:right w:w="100" w:type="dxa"/>
            </w:tcMar>
          </w:tcPr>
          <w:p w14:paraId="349BC793" w14:textId="77777777" w:rsidR="00131F7A" w:rsidRPr="00EB2544" w:rsidRDefault="00131F7A" w:rsidP="009746A6">
            <w:pPr>
              <w:pStyle w:val="Tablebodytext"/>
              <w:keepNext w:val="0"/>
              <w:rPr>
                <w:lang w:eastAsia="en-AU"/>
              </w:rPr>
            </w:pPr>
            <w:r w:rsidRPr="00EB2544">
              <w:rPr>
                <w:lang w:eastAsia="en-AU"/>
              </w:rPr>
              <w:t>4.49</w:t>
            </w:r>
          </w:p>
        </w:tc>
        <w:tc>
          <w:tcPr>
            <w:tcW w:w="1048" w:type="pct"/>
            <w:tcMar>
              <w:top w:w="100" w:type="dxa"/>
              <w:left w:w="100" w:type="dxa"/>
              <w:bottom w:w="100" w:type="dxa"/>
              <w:right w:w="100" w:type="dxa"/>
            </w:tcMar>
          </w:tcPr>
          <w:p w14:paraId="57442F9D" w14:textId="77777777" w:rsidR="00131F7A" w:rsidRPr="00EB2544" w:rsidRDefault="00131F7A" w:rsidP="009746A6">
            <w:pPr>
              <w:pStyle w:val="Tablebodytext"/>
              <w:keepNext w:val="0"/>
              <w:rPr>
                <w:lang w:eastAsia="en-AU"/>
              </w:rPr>
            </w:pPr>
            <w:r w:rsidRPr="00EB2544">
              <w:rPr>
                <w:lang w:eastAsia="en-AU"/>
              </w:rPr>
              <w:t>14.31</w:t>
            </w:r>
          </w:p>
        </w:tc>
      </w:tr>
      <w:tr w:rsidR="00131F7A" w:rsidRPr="00EB2544" w14:paraId="5834E4A4" w14:textId="77777777" w:rsidTr="00611018">
        <w:trPr>
          <w:trHeight w:val="85"/>
        </w:trPr>
        <w:tc>
          <w:tcPr>
            <w:tcW w:w="1173" w:type="pct"/>
            <w:vMerge/>
          </w:tcPr>
          <w:p w14:paraId="49A7ACA2" w14:textId="77777777" w:rsidR="00131F7A" w:rsidRPr="00EB2544" w:rsidRDefault="00131F7A" w:rsidP="009746A6">
            <w:pPr>
              <w:pStyle w:val="Tablebodytext"/>
              <w:keepNext w:val="0"/>
              <w:rPr>
                <w:lang w:eastAsia="en-AU"/>
              </w:rPr>
            </w:pPr>
          </w:p>
        </w:tc>
        <w:tc>
          <w:tcPr>
            <w:tcW w:w="1330" w:type="pct"/>
          </w:tcPr>
          <w:p w14:paraId="4096A216" w14:textId="77777777" w:rsidR="00131F7A" w:rsidRPr="00EB2544" w:rsidRDefault="00131F7A" w:rsidP="009746A6">
            <w:pPr>
              <w:pStyle w:val="Tablebodytext"/>
              <w:keepNext w:val="0"/>
              <w:rPr>
                <w:lang w:eastAsia="en-AU"/>
              </w:rPr>
            </w:pPr>
            <w:r w:rsidRPr="00EB2544">
              <w:rPr>
                <w:lang w:eastAsia="en-AU"/>
              </w:rPr>
              <w:t xml:space="preserve">Quarterly </w:t>
            </w:r>
          </w:p>
        </w:tc>
        <w:tc>
          <w:tcPr>
            <w:tcW w:w="613" w:type="pct"/>
          </w:tcPr>
          <w:p w14:paraId="6DD4FAA9" w14:textId="77777777" w:rsidR="00131F7A" w:rsidRPr="00EB2544" w:rsidRDefault="00131F7A" w:rsidP="009746A6">
            <w:pPr>
              <w:pStyle w:val="Tablebodytext"/>
              <w:keepNext w:val="0"/>
              <w:rPr>
                <w:lang w:eastAsia="en-AU"/>
              </w:rPr>
            </w:pPr>
            <w:r w:rsidRPr="00EB2544">
              <w:rPr>
                <w:lang w:eastAsia="en-AU"/>
              </w:rPr>
              <w:t>0.33</w:t>
            </w:r>
          </w:p>
        </w:tc>
        <w:tc>
          <w:tcPr>
            <w:tcW w:w="836" w:type="pct"/>
            <w:tcMar>
              <w:top w:w="100" w:type="dxa"/>
              <w:left w:w="100" w:type="dxa"/>
              <w:bottom w:w="100" w:type="dxa"/>
              <w:right w:w="100" w:type="dxa"/>
            </w:tcMar>
          </w:tcPr>
          <w:p w14:paraId="1EA108FA" w14:textId="77777777" w:rsidR="00131F7A" w:rsidRPr="00EB2544" w:rsidRDefault="00131F7A" w:rsidP="009746A6">
            <w:pPr>
              <w:pStyle w:val="Tablebodytext"/>
              <w:keepNext w:val="0"/>
              <w:rPr>
                <w:lang w:eastAsia="en-AU"/>
              </w:rPr>
            </w:pPr>
            <w:r w:rsidRPr="00EB2544">
              <w:rPr>
                <w:lang w:eastAsia="en-AU"/>
              </w:rPr>
              <w:t>3.58</w:t>
            </w:r>
          </w:p>
        </w:tc>
        <w:tc>
          <w:tcPr>
            <w:tcW w:w="1048" w:type="pct"/>
            <w:tcMar>
              <w:top w:w="100" w:type="dxa"/>
              <w:left w:w="100" w:type="dxa"/>
              <w:bottom w:w="100" w:type="dxa"/>
              <w:right w:w="100" w:type="dxa"/>
            </w:tcMar>
          </w:tcPr>
          <w:p w14:paraId="22E221BC" w14:textId="77777777" w:rsidR="00131F7A" w:rsidRPr="00EB2544" w:rsidRDefault="00131F7A" w:rsidP="009746A6">
            <w:pPr>
              <w:pStyle w:val="Tablebodytext"/>
              <w:keepNext w:val="0"/>
              <w:rPr>
                <w:lang w:eastAsia="en-AU"/>
              </w:rPr>
            </w:pPr>
            <w:r w:rsidRPr="00EB2544">
              <w:rPr>
                <w:lang w:eastAsia="en-AU"/>
              </w:rPr>
              <w:t>18.97</w:t>
            </w:r>
          </w:p>
        </w:tc>
      </w:tr>
      <w:tr w:rsidR="00131F7A" w:rsidRPr="00EB2544" w14:paraId="55D6FC91" w14:textId="77777777" w:rsidTr="00611018">
        <w:trPr>
          <w:trHeight w:val="135"/>
        </w:trPr>
        <w:tc>
          <w:tcPr>
            <w:tcW w:w="1173" w:type="pct"/>
            <w:vMerge/>
          </w:tcPr>
          <w:p w14:paraId="00343C07" w14:textId="77777777" w:rsidR="00131F7A" w:rsidRPr="00EB2544" w:rsidRDefault="00131F7A" w:rsidP="009746A6">
            <w:pPr>
              <w:pStyle w:val="Tablebodytext"/>
              <w:keepNext w:val="0"/>
              <w:rPr>
                <w:lang w:eastAsia="en-AU"/>
              </w:rPr>
            </w:pPr>
          </w:p>
        </w:tc>
        <w:tc>
          <w:tcPr>
            <w:tcW w:w="1330" w:type="pct"/>
          </w:tcPr>
          <w:p w14:paraId="6EEF80DA" w14:textId="77777777" w:rsidR="00131F7A" w:rsidRPr="00EB2544" w:rsidRDefault="00131F7A" w:rsidP="009746A6">
            <w:pPr>
              <w:pStyle w:val="Tablebodytext"/>
              <w:keepNext w:val="0"/>
              <w:rPr>
                <w:lang w:eastAsia="en-AU"/>
              </w:rPr>
            </w:pPr>
            <w:r w:rsidRPr="00EB2544">
              <w:rPr>
                <w:lang w:eastAsia="en-AU"/>
              </w:rPr>
              <w:t xml:space="preserve">Monthly </w:t>
            </w:r>
          </w:p>
        </w:tc>
        <w:tc>
          <w:tcPr>
            <w:tcW w:w="613" w:type="pct"/>
          </w:tcPr>
          <w:p w14:paraId="752F20C2" w14:textId="77777777" w:rsidR="00131F7A" w:rsidRPr="00EB2544" w:rsidRDefault="00131F7A" w:rsidP="009746A6">
            <w:pPr>
              <w:pStyle w:val="Tablebodytext"/>
              <w:keepNext w:val="0"/>
              <w:rPr>
                <w:lang w:eastAsia="en-AU"/>
              </w:rPr>
            </w:pPr>
            <w:r w:rsidRPr="00EB2544">
              <w:rPr>
                <w:lang w:eastAsia="en-AU"/>
              </w:rPr>
              <w:t>0.50</w:t>
            </w:r>
          </w:p>
        </w:tc>
        <w:tc>
          <w:tcPr>
            <w:tcW w:w="836" w:type="pct"/>
            <w:tcMar>
              <w:top w:w="100" w:type="dxa"/>
              <w:left w:w="100" w:type="dxa"/>
              <w:bottom w:w="100" w:type="dxa"/>
              <w:right w:w="100" w:type="dxa"/>
            </w:tcMar>
          </w:tcPr>
          <w:p w14:paraId="2C089A8E" w14:textId="77777777" w:rsidR="00131F7A" w:rsidRPr="00EB2544" w:rsidRDefault="00131F7A" w:rsidP="009746A6">
            <w:pPr>
              <w:pStyle w:val="Tablebodytext"/>
              <w:keepNext w:val="0"/>
              <w:rPr>
                <w:lang w:eastAsia="en-AU"/>
              </w:rPr>
            </w:pPr>
            <w:r w:rsidRPr="00EB2544">
              <w:rPr>
                <w:lang w:eastAsia="en-AU"/>
              </w:rPr>
              <w:t>8.79</w:t>
            </w:r>
          </w:p>
        </w:tc>
        <w:tc>
          <w:tcPr>
            <w:tcW w:w="1048" w:type="pct"/>
            <w:tcMar>
              <w:top w:w="100" w:type="dxa"/>
              <w:left w:w="100" w:type="dxa"/>
              <w:bottom w:w="100" w:type="dxa"/>
              <w:right w:w="100" w:type="dxa"/>
            </w:tcMar>
          </w:tcPr>
          <w:p w14:paraId="611DF899" w14:textId="77777777" w:rsidR="00131F7A" w:rsidRPr="00EB2544" w:rsidRDefault="00131F7A" w:rsidP="009746A6">
            <w:pPr>
              <w:pStyle w:val="Tablebodytext"/>
              <w:keepNext w:val="0"/>
              <w:rPr>
                <w:lang w:eastAsia="en-AU"/>
              </w:rPr>
            </w:pPr>
            <w:r w:rsidRPr="00EB2544">
              <w:rPr>
                <w:lang w:eastAsia="en-AU"/>
              </w:rPr>
              <w:t>27.74</w:t>
            </w:r>
          </w:p>
        </w:tc>
      </w:tr>
      <w:tr w:rsidR="00131F7A" w:rsidRPr="00EB2544" w14:paraId="4CFA95F3" w14:textId="77777777" w:rsidTr="00611018">
        <w:trPr>
          <w:trHeight w:val="43"/>
        </w:trPr>
        <w:tc>
          <w:tcPr>
            <w:tcW w:w="1173" w:type="pct"/>
            <w:vMerge/>
          </w:tcPr>
          <w:p w14:paraId="33A43199" w14:textId="77777777" w:rsidR="00131F7A" w:rsidRPr="00EB2544" w:rsidRDefault="00131F7A" w:rsidP="009746A6">
            <w:pPr>
              <w:pStyle w:val="Tablebodytext"/>
              <w:keepNext w:val="0"/>
              <w:rPr>
                <w:lang w:eastAsia="en-AU"/>
              </w:rPr>
            </w:pPr>
          </w:p>
        </w:tc>
        <w:tc>
          <w:tcPr>
            <w:tcW w:w="1330" w:type="pct"/>
          </w:tcPr>
          <w:p w14:paraId="3D0F9C24" w14:textId="77777777" w:rsidR="00131F7A" w:rsidRPr="00EB2544" w:rsidRDefault="00131F7A" w:rsidP="009746A6">
            <w:pPr>
              <w:pStyle w:val="Tablebodytext"/>
              <w:keepNext w:val="0"/>
              <w:rPr>
                <w:lang w:eastAsia="en-AU"/>
              </w:rPr>
            </w:pPr>
            <w:r w:rsidRPr="00EB2544">
              <w:rPr>
                <w:lang w:eastAsia="en-AU"/>
              </w:rPr>
              <w:t xml:space="preserve">Weekly </w:t>
            </w:r>
          </w:p>
        </w:tc>
        <w:tc>
          <w:tcPr>
            <w:tcW w:w="613" w:type="pct"/>
          </w:tcPr>
          <w:p w14:paraId="1AE5D797" w14:textId="77777777" w:rsidR="00131F7A" w:rsidRPr="00EB2544" w:rsidRDefault="00131F7A" w:rsidP="009746A6">
            <w:pPr>
              <w:pStyle w:val="Tablebodytext"/>
              <w:keepNext w:val="0"/>
              <w:rPr>
                <w:lang w:eastAsia="en-AU"/>
              </w:rPr>
            </w:pPr>
            <w:r w:rsidRPr="00EB2544">
              <w:rPr>
                <w:lang w:eastAsia="en-AU"/>
              </w:rPr>
              <w:t>0.67</w:t>
            </w:r>
          </w:p>
        </w:tc>
        <w:tc>
          <w:tcPr>
            <w:tcW w:w="836" w:type="pct"/>
            <w:tcMar>
              <w:top w:w="100" w:type="dxa"/>
              <w:left w:w="100" w:type="dxa"/>
              <w:bottom w:w="100" w:type="dxa"/>
              <w:right w:w="100" w:type="dxa"/>
            </w:tcMar>
          </w:tcPr>
          <w:p w14:paraId="7E8C6C68" w14:textId="77777777" w:rsidR="00131F7A" w:rsidRPr="00EB2544" w:rsidRDefault="00131F7A" w:rsidP="009746A6">
            <w:pPr>
              <w:pStyle w:val="Tablebodytext"/>
              <w:keepNext w:val="0"/>
              <w:rPr>
                <w:lang w:eastAsia="en-AU"/>
              </w:rPr>
            </w:pPr>
            <w:r w:rsidRPr="00EB2544">
              <w:rPr>
                <w:lang w:eastAsia="en-AU"/>
              </w:rPr>
              <w:t>5.62</w:t>
            </w:r>
          </w:p>
        </w:tc>
        <w:tc>
          <w:tcPr>
            <w:tcW w:w="1048" w:type="pct"/>
            <w:tcMar>
              <w:top w:w="100" w:type="dxa"/>
              <w:left w:w="100" w:type="dxa"/>
              <w:bottom w:w="100" w:type="dxa"/>
              <w:right w:w="100" w:type="dxa"/>
            </w:tcMar>
          </w:tcPr>
          <w:p w14:paraId="6C27C698" w14:textId="77777777" w:rsidR="00131F7A" w:rsidRPr="00EB2544" w:rsidRDefault="00131F7A" w:rsidP="009746A6">
            <w:pPr>
              <w:pStyle w:val="Tablebodytext"/>
              <w:keepNext w:val="0"/>
              <w:rPr>
                <w:lang w:eastAsia="en-AU"/>
              </w:rPr>
            </w:pPr>
            <w:r w:rsidRPr="00EB2544">
              <w:rPr>
                <w:lang w:eastAsia="en-AU"/>
              </w:rPr>
              <w:t>17.27</w:t>
            </w:r>
          </w:p>
        </w:tc>
      </w:tr>
      <w:tr w:rsidR="00131F7A" w:rsidRPr="00EB2544" w14:paraId="0F2D81E8" w14:textId="77777777" w:rsidTr="00611018">
        <w:trPr>
          <w:trHeight w:val="94"/>
        </w:trPr>
        <w:tc>
          <w:tcPr>
            <w:tcW w:w="1173" w:type="pct"/>
            <w:vMerge/>
          </w:tcPr>
          <w:p w14:paraId="4457784C" w14:textId="77777777" w:rsidR="00131F7A" w:rsidRPr="00EB2544" w:rsidRDefault="00131F7A" w:rsidP="009746A6">
            <w:pPr>
              <w:pStyle w:val="Tablebodytext"/>
              <w:keepNext w:val="0"/>
              <w:rPr>
                <w:lang w:eastAsia="en-AU"/>
              </w:rPr>
            </w:pPr>
          </w:p>
        </w:tc>
        <w:tc>
          <w:tcPr>
            <w:tcW w:w="1330" w:type="pct"/>
          </w:tcPr>
          <w:p w14:paraId="6AAEE076" w14:textId="77777777" w:rsidR="00131F7A" w:rsidRPr="00EB2544" w:rsidRDefault="00131F7A" w:rsidP="009746A6">
            <w:pPr>
              <w:pStyle w:val="Tablebodytext"/>
              <w:keepNext w:val="0"/>
              <w:rPr>
                <w:lang w:eastAsia="en-AU"/>
              </w:rPr>
            </w:pPr>
            <w:r w:rsidRPr="00EB2544">
              <w:rPr>
                <w:lang w:eastAsia="en-AU"/>
              </w:rPr>
              <w:t xml:space="preserve">Daily </w:t>
            </w:r>
          </w:p>
        </w:tc>
        <w:tc>
          <w:tcPr>
            <w:tcW w:w="613" w:type="pct"/>
          </w:tcPr>
          <w:p w14:paraId="51E5FB70" w14:textId="77777777" w:rsidR="00131F7A" w:rsidRPr="00EB2544" w:rsidRDefault="00131F7A" w:rsidP="009746A6">
            <w:pPr>
              <w:pStyle w:val="Tablebodytext"/>
              <w:keepNext w:val="0"/>
              <w:rPr>
                <w:lang w:eastAsia="en-AU"/>
              </w:rPr>
            </w:pPr>
            <w:r w:rsidRPr="00EB2544">
              <w:rPr>
                <w:lang w:eastAsia="en-AU"/>
              </w:rPr>
              <w:t>0.83</w:t>
            </w:r>
          </w:p>
        </w:tc>
        <w:tc>
          <w:tcPr>
            <w:tcW w:w="836" w:type="pct"/>
            <w:tcMar>
              <w:top w:w="100" w:type="dxa"/>
              <w:left w:w="100" w:type="dxa"/>
              <w:bottom w:w="100" w:type="dxa"/>
              <w:right w:w="100" w:type="dxa"/>
            </w:tcMar>
          </w:tcPr>
          <w:p w14:paraId="7EEBD917" w14:textId="77777777" w:rsidR="00131F7A" w:rsidRPr="00EB2544" w:rsidRDefault="00131F7A" w:rsidP="009746A6">
            <w:pPr>
              <w:pStyle w:val="Tablebodytext"/>
              <w:keepNext w:val="0"/>
              <w:rPr>
                <w:lang w:eastAsia="en-AU"/>
              </w:rPr>
            </w:pPr>
            <w:r w:rsidRPr="00EB2544">
              <w:rPr>
                <w:lang w:eastAsia="en-AU"/>
              </w:rPr>
              <w:t>7.24</w:t>
            </w:r>
          </w:p>
        </w:tc>
        <w:tc>
          <w:tcPr>
            <w:tcW w:w="1048" w:type="pct"/>
            <w:tcMar>
              <w:top w:w="100" w:type="dxa"/>
              <w:left w:w="100" w:type="dxa"/>
              <w:bottom w:w="100" w:type="dxa"/>
              <w:right w:w="100" w:type="dxa"/>
            </w:tcMar>
          </w:tcPr>
          <w:p w14:paraId="38F44CA7" w14:textId="77777777" w:rsidR="00131F7A" w:rsidRPr="00EB2544" w:rsidRDefault="00131F7A" w:rsidP="009746A6">
            <w:pPr>
              <w:pStyle w:val="Tablebodytext"/>
              <w:keepNext w:val="0"/>
              <w:rPr>
                <w:lang w:eastAsia="en-AU"/>
              </w:rPr>
            </w:pPr>
            <w:r w:rsidRPr="00EB2544">
              <w:rPr>
                <w:lang w:eastAsia="en-AU"/>
              </w:rPr>
              <w:t>17.74</w:t>
            </w:r>
          </w:p>
        </w:tc>
      </w:tr>
      <w:tr w:rsidR="00131F7A" w:rsidRPr="00EB2544" w14:paraId="01CDDC11" w14:textId="77777777" w:rsidTr="00611018">
        <w:trPr>
          <w:trHeight w:val="20"/>
        </w:trPr>
        <w:tc>
          <w:tcPr>
            <w:tcW w:w="1173" w:type="pct"/>
            <w:vMerge/>
          </w:tcPr>
          <w:p w14:paraId="5FDD4F96" w14:textId="77777777" w:rsidR="00131F7A" w:rsidRPr="00EB2544" w:rsidRDefault="00131F7A" w:rsidP="009746A6">
            <w:pPr>
              <w:pStyle w:val="Tablebodytext"/>
              <w:keepNext w:val="0"/>
              <w:rPr>
                <w:lang w:eastAsia="en-AU"/>
              </w:rPr>
            </w:pPr>
          </w:p>
        </w:tc>
        <w:tc>
          <w:tcPr>
            <w:tcW w:w="1330" w:type="pct"/>
          </w:tcPr>
          <w:p w14:paraId="48431112" w14:textId="77777777" w:rsidR="00131F7A" w:rsidRPr="00EB2544" w:rsidRDefault="00131F7A" w:rsidP="009746A6">
            <w:pPr>
              <w:pStyle w:val="Tablebodytext"/>
              <w:keepNext w:val="0"/>
              <w:rPr>
                <w:lang w:eastAsia="en-AU"/>
              </w:rPr>
            </w:pPr>
            <w:r w:rsidRPr="00EB2544">
              <w:rPr>
                <w:lang w:eastAsia="en-AU"/>
              </w:rPr>
              <w:t xml:space="preserve">Hourly or more frequently </w:t>
            </w:r>
          </w:p>
        </w:tc>
        <w:tc>
          <w:tcPr>
            <w:tcW w:w="613" w:type="pct"/>
          </w:tcPr>
          <w:p w14:paraId="4FF2C8BD"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300BD566" w14:textId="77777777" w:rsidR="00131F7A" w:rsidRPr="00EB2544" w:rsidRDefault="00131F7A" w:rsidP="009746A6">
            <w:pPr>
              <w:pStyle w:val="Tablebodytext"/>
              <w:keepNext w:val="0"/>
              <w:rPr>
                <w:lang w:eastAsia="en-AU"/>
              </w:rPr>
            </w:pPr>
            <w:r w:rsidRPr="00EB2544">
              <w:rPr>
                <w:lang w:eastAsia="en-AU"/>
              </w:rPr>
              <w:t>1.13</w:t>
            </w:r>
          </w:p>
        </w:tc>
        <w:tc>
          <w:tcPr>
            <w:tcW w:w="1048" w:type="pct"/>
            <w:tcMar>
              <w:top w:w="100" w:type="dxa"/>
              <w:left w:w="100" w:type="dxa"/>
              <w:bottom w:w="100" w:type="dxa"/>
              <w:right w:w="100" w:type="dxa"/>
            </w:tcMar>
          </w:tcPr>
          <w:p w14:paraId="5106829F" w14:textId="77777777" w:rsidR="00131F7A" w:rsidRPr="00EB2544" w:rsidRDefault="00131F7A" w:rsidP="009746A6">
            <w:pPr>
              <w:pStyle w:val="Tablebodytext"/>
              <w:keepNext w:val="0"/>
              <w:rPr>
                <w:lang w:eastAsia="en-AU"/>
              </w:rPr>
            </w:pPr>
            <w:r w:rsidRPr="00EB2544">
              <w:rPr>
                <w:lang w:eastAsia="en-AU"/>
              </w:rPr>
              <w:t>4.08</w:t>
            </w:r>
          </w:p>
        </w:tc>
      </w:tr>
      <w:tr w:rsidR="00131F7A" w:rsidRPr="00EB2544" w14:paraId="1A265CC0" w14:textId="77777777" w:rsidTr="00611018">
        <w:trPr>
          <w:trHeight w:val="51"/>
        </w:trPr>
        <w:tc>
          <w:tcPr>
            <w:tcW w:w="1173" w:type="pct"/>
            <w:vMerge/>
          </w:tcPr>
          <w:p w14:paraId="51802488" w14:textId="77777777" w:rsidR="00131F7A" w:rsidRPr="00EB2544" w:rsidRDefault="00131F7A" w:rsidP="009746A6">
            <w:pPr>
              <w:pStyle w:val="Tablebodytext"/>
              <w:keepNext w:val="0"/>
              <w:rPr>
                <w:lang w:eastAsia="en-AU"/>
              </w:rPr>
            </w:pPr>
          </w:p>
        </w:tc>
        <w:tc>
          <w:tcPr>
            <w:tcW w:w="1330" w:type="pct"/>
          </w:tcPr>
          <w:p w14:paraId="3C0663A1" w14:textId="77777777" w:rsidR="00131F7A" w:rsidRPr="00EB2544" w:rsidRDefault="00131F7A" w:rsidP="009746A6">
            <w:pPr>
              <w:pStyle w:val="Tablebodytext"/>
              <w:keepNext w:val="0"/>
              <w:rPr>
                <w:lang w:eastAsia="en-AU"/>
              </w:rPr>
            </w:pPr>
            <w:r w:rsidRPr="00EB2544">
              <w:rPr>
                <w:lang w:eastAsia="en-AU"/>
              </w:rPr>
              <w:t xml:space="preserve">Never </w:t>
            </w:r>
          </w:p>
        </w:tc>
        <w:tc>
          <w:tcPr>
            <w:tcW w:w="613" w:type="pct"/>
          </w:tcPr>
          <w:p w14:paraId="5C28E962"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288E42E6" w14:textId="77777777" w:rsidR="00131F7A" w:rsidRPr="00EB2544" w:rsidRDefault="00131F7A" w:rsidP="009746A6">
            <w:pPr>
              <w:pStyle w:val="Tablebodytext"/>
              <w:keepNext w:val="0"/>
              <w:rPr>
                <w:lang w:eastAsia="en-AU"/>
              </w:rPr>
            </w:pPr>
            <w:r w:rsidRPr="00EB2544">
              <w:rPr>
                <w:lang w:eastAsia="en-AU"/>
              </w:rPr>
              <w:t>69.20</w:t>
            </w:r>
          </w:p>
        </w:tc>
        <w:tc>
          <w:tcPr>
            <w:tcW w:w="1048" w:type="pct"/>
            <w:tcMar>
              <w:top w:w="100" w:type="dxa"/>
              <w:left w:w="100" w:type="dxa"/>
              <w:bottom w:w="100" w:type="dxa"/>
              <w:right w:w="100" w:type="dxa"/>
            </w:tcMar>
          </w:tcPr>
          <w:p w14:paraId="74A9336A" w14:textId="77777777" w:rsidR="00131F7A" w:rsidRPr="00EB2544" w:rsidRDefault="00131F7A" w:rsidP="009746A6">
            <w:pPr>
              <w:pStyle w:val="Tablebodytext"/>
              <w:keepNext w:val="0"/>
              <w:rPr>
                <w:lang w:eastAsia="en-AU"/>
              </w:rPr>
            </w:pPr>
            <w:r w:rsidRPr="00EB2544">
              <w:rPr>
                <w:lang w:eastAsia="en-AU"/>
              </w:rPr>
              <w:t>26.51</w:t>
            </w:r>
          </w:p>
        </w:tc>
      </w:tr>
      <w:tr w:rsidR="00131F7A" w:rsidRPr="00EB2544" w14:paraId="46CBE61C" w14:textId="77777777" w:rsidTr="00611018">
        <w:trPr>
          <w:trHeight w:val="229"/>
        </w:trPr>
        <w:tc>
          <w:tcPr>
            <w:tcW w:w="1173" w:type="pct"/>
            <w:vMerge/>
          </w:tcPr>
          <w:p w14:paraId="4CC0F350" w14:textId="77777777" w:rsidR="00131F7A" w:rsidRPr="00EB2544" w:rsidRDefault="00131F7A" w:rsidP="009746A6">
            <w:pPr>
              <w:pStyle w:val="Tablebodytext"/>
              <w:keepNext w:val="0"/>
              <w:rPr>
                <w:lang w:eastAsia="en-AU"/>
              </w:rPr>
            </w:pPr>
          </w:p>
        </w:tc>
        <w:tc>
          <w:tcPr>
            <w:tcW w:w="1330" w:type="pct"/>
          </w:tcPr>
          <w:p w14:paraId="21431B6E" w14:textId="77777777" w:rsidR="00131F7A" w:rsidRPr="00EB2544" w:rsidRDefault="00131F7A" w:rsidP="009746A6">
            <w:pPr>
              <w:pStyle w:val="Tablebodytext"/>
              <w:keepNext w:val="0"/>
              <w:rPr>
                <w:lang w:eastAsia="en-AU"/>
              </w:rPr>
            </w:pPr>
            <w:r w:rsidRPr="00EB2544">
              <w:rPr>
                <w:lang w:eastAsia="en-AU"/>
              </w:rPr>
              <w:t xml:space="preserve">Other review period(s) </w:t>
            </w:r>
          </w:p>
        </w:tc>
        <w:tc>
          <w:tcPr>
            <w:tcW w:w="613" w:type="pct"/>
          </w:tcPr>
          <w:p w14:paraId="26801CDC"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1BDFEBDB" w14:textId="77777777" w:rsidR="00131F7A" w:rsidRPr="00EB2544" w:rsidRDefault="00131F7A" w:rsidP="009746A6">
            <w:pPr>
              <w:pStyle w:val="Tablebodytext"/>
              <w:keepNext w:val="0"/>
              <w:rPr>
                <w:lang w:eastAsia="en-AU"/>
              </w:rPr>
            </w:pPr>
            <w:r w:rsidRPr="00EB2544">
              <w:rPr>
                <w:lang w:eastAsia="en-AU"/>
              </w:rPr>
              <w:t>-</w:t>
            </w:r>
          </w:p>
        </w:tc>
        <w:tc>
          <w:tcPr>
            <w:tcW w:w="1048" w:type="pct"/>
          </w:tcPr>
          <w:p w14:paraId="7867F26B" w14:textId="77777777" w:rsidR="00131F7A" w:rsidRPr="00EB2544" w:rsidRDefault="00131F7A" w:rsidP="009746A6">
            <w:pPr>
              <w:pStyle w:val="Tablebodytext"/>
              <w:keepNext w:val="0"/>
              <w:rPr>
                <w:lang w:eastAsia="en-AU"/>
              </w:rPr>
            </w:pPr>
            <w:r w:rsidRPr="00EB2544">
              <w:rPr>
                <w:lang w:eastAsia="en-AU"/>
              </w:rPr>
              <w:t>-</w:t>
            </w:r>
          </w:p>
        </w:tc>
      </w:tr>
      <w:tr w:rsidR="00131F7A" w:rsidRPr="00EB2544" w14:paraId="1BE2E032" w14:textId="77777777" w:rsidTr="00611018">
        <w:trPr>
          <w:trHeight w:val="123"/>
        </w:trPr>
        <w:tc>
          <w:tcPr>
            <w:tcW w:w="1173" w:type="pct"/>
            <w:vMerge w:val="restart"/>
          </w:tcPr>
          <w:p w14:paraId="1747A81A" w14:textId="77777777" w:rsidR="00131F7A" w:rsidRPr="00EB2544" w:rsidRDefault="00131F7A" w:rsidP="009746A6">
            <w:pPr>
              <w:pStyle w:val="Tablebodytext"/>
              <w:keepNext w:val="0"/>
              <w:rPr>
                <w:lang w:eastAsia="en-AU"/>
              </w:rPr>
            </w:pPr>
            <w:r w:rsidRPr="00EB2544">
              <w:rPr>
                <w:lang w:eastAsia="en-AU"/>
              </w:rPr>
              <w:t>13 - Managers*</w:t>
            </w:r>
          </w:p>
        </w:tc>
        <w:tc>
          <w:tcPr>
            <w:tcW w:w="1330" w:type="pct"/>
          </w:tcPr>
          <w:p w14:paraId="33089E73" w14:textId="77777777" w:rsidR="00131F7A" w:rsidRPr="00EB2544" w:rsidRDefault="00131F7A" w:rsidP="009746A6">
            <w:pPr>
              <w:pStyle w:val="Tablebodytext"/>
              <w:keepNext w:val="0"/>
              <w:rPr>
                <w:lang w:eastAsia="en-AU"/>
              </w:rPr>
            </w:pPr>
            <w:r w:rsidRPr="00EB2544">
              <w:rPr>
                <w:lang w:eastAsia="en-AU"/>
              </w:rPr>
              <w:t>Annually / Biannually</w:t>
            </w:r>
          </w:p>
        </w:tc>
        <w:tc>
          <w:tcPr>
            <w:tcW w:w="613" w:type="pct"/>
          </w:tcPr>
          <w:p w14:paraId="6CB373AC" w14:textId="77777777" w:rsidR="00131F7A" w:rsidRPr="00EB2544" w:rsidRDefault="00131F7A" w:rsidP="009746A6">
            <w:pPr>
              <w:pStyle w:val="Tablebodytext"/>
              <w:keepNext w:val="0"/>
              <w:rPr>
                <w:lang w:eastAsia="en-AU"/>
              </w:rPr>
            </w:pPr>
            <w:r w:rsidRPr="00EB2544">
              <w:rPr>
                <w:lang w:eastAsia="en-AU"/>
              </w:rPr>
              <w:t>0.17</w:t>
            </w:r>
          </w:p>
        </w:tc>
        <w:tc>
          <w:tcPr>
            <w:tcW w:w="836" w:type="pct"/>
            <w:tcMar>
              <w:top w:w="100" w:type="dxa"/>
              <w:left w:w="100" w:type="dxa"/>
              <w:bottom w:w="100" w:type="dxa"/>
              <w:right w:w="100" w:type="dxa"/>
            </w:tcMar>
          </w:tcPr>
          <w:p w14:paraId="3B697BC8" w14:textId="77777777" w:rsidR="00131F7A" w:rsidRPr="00EB2544" w:rsidRDefault="00131F7A" w:rsidP="009746A6">
            <w:pPr>
              <w:pStyle w:val="Tablebodytext"/>
              <w:keepNext w:val="0"/>
              <w:rPr>
                <w:lang w:eastAsia="en-AU"/>
              </w:rPr>
            </w:pPr>
            <w:r w:rsidRPr="00EB2544">
              <w:rPr>
                <w:lang w:eastAsia="en-AU"/>
              </w:rPr>
              <w:t>6.41</w:t>
            </w:r>
          </w:p>
        </w:tc>
        <w:tc>
          <w:tcPr>
            <w:tcW w:w="1048" w:type="pct"/>
            <w:tcMar>
              <w:top w:w="100" w:type="dxa"/>
              <w:left w:w="100" w:type="dxa"/>
              <w:bottom w:w="100" w:type="dxa"/>
              <w:right w:w="100" w:type="dxa"/>
            </w:tcMar>
          </w:tcPr>
          <w:p w14:paraId="58BE6984" w14:textId="77777777" w:rsidR="00131F7A" w:rsidRPr="00EB2544" w:rsidRDefault="00131F7A" w:rsidP="009746A6">
            <w:pPr>
              <w:pStyle w:val="Tablebodytext"/>
              <w:keepNext w:val="0"/>
              <w:rPr>
                <w:lang w:eastAsia="en-AU"/>
              </w:rPr>
            </w:pPr>
            <w:r w:rsidRPr="00EB2544">
              <w:rPr>
                <w:lang w:eastAsia="en-AU"/>
              </w:rPr>
              <w:t>18.74</w:t>
            </w:r>
          </w:p>
        </w:tc>
      </w:tr>
      <w:tr w:rsidR="00131F7A" w:rsidRPr="00EB2544" w14:paraId="1CB54053" w14:textId="77777777" w:rsidTr="00611018">
        <w:trPr>
          <w:trHeight w:val="199"/>
        </w:trPr>
        <w:tc>
          <w:tcPr>
            <w:tcW w:w="1173" w:type="pct"/>
            <w:vMerge/>
          </w:tcPr>
          <w:p w14:paraId="69BF9F93" w14:textId="77777777" w:rsidR="00131F7A" w:rsidRPr="00EB2544" w:rsidRDefault="00131F7A" w:rsidP="009746A6">
            <w:pPr>
              <w:pStyle w:val="Tablebodytext"/>
              <w:keepNext w:val="0"/>
              <w:rPr>
                <w:lang w:eastAsia="en-AU"/>
              </w:rPr>
            </w:pPr>
          </w:p>
        </w:tc>
        <w:tc>
          <w:tcPr>
            <w:tcW w:w="1330" w:type="pct"/>
          </w:tcPr>
          <w:p w14:paraId="7759BA31" w14:textId="77777777" w:rsidR="00131F7A" w:rsidRPr="00EB2544" w:rsidRDefault="00131F7A" w:rsidP="009746A6">
            <w:pPr>
              <w:pStyle w:val="Tablebodytext"/>
              <w:keepNext w:val="0"/>
              <w:rPr>
                <w:lang w:eastAsia="en-AU"/>
              </w:rPr>
            </w:pPr>
            <w:r w:rsidRPr="00EB2544">
              <w:rPr>
                <w:lang w:eastAsia="en-AU"/>
              </w:rPr>
              <w:t xml:space="preserve">Quarterly </w:t>
            </w:r>
          </w:p>
        </w:tc>
        <w:tc>
          <w:tcPr>
            <w:tcW w:w="613" w:type="pct"/>
          </w:tcPr>
          <w:p w14:paraId="4848EA4D" w14:textId="77777777" w:rsidR="00131F7A" w:rsidRPr="00EB2544" w:rsidRDefault="00131F7A" w:rsidP="009746A6">
            <w:pPr>
              <w:pStyle w:val="Tablebodytext"/>
              <w:keepNext w:val="0"/>
              <w:rPr>
                <w:lang w:eastAsia="en-AU"/>
              </w:rPr>
            </w:pPr>
            <w:r w:rsidRPr="00EB2544">
              <w:rPr>
                <w:lang w:eastAsia="en-AU"/>
              </w:rPr>
              <w:t>0.33</w:t>
            </w:r>
          </w:p>
        </w:tc>
        <w:tc>
          <w:tcPr>
            <w:tcW w:w="836" w:type="pct"/>
            <w:tcMar>
              <w:top w:w="100" w:type="dxa"/>
              <w:left w:w="100" w:type="dxa"/>
              <w:bottom w:w="100" w:type="dxa"/>
              <w:right w:w="100" w:type="dxa"/>
            </w:tcMar>
          </w:tcPr>
          <w:p w14:paraId="30517998" w14:textId="77777777" w:rsidR="00131F7A" w:rsidRPr="00EB2544" w:rsidRDefault="00131F7A" w:rsidP="009746A6">
            <w:pPr>
              <w:pStyle w:val="Tablebodytext"/>
              <w:keepNext w:val="0"/>
              <w:rPr>
                <w:lang w:eastAsia="en-AU"/>
              </w:rPr>
            </w:pPr>
            <w:r w:rsidRPr="00EB2544">
              <w:rPr>
                <w:lang w:eastAsia="en-AU"/>
              </w:rPr>
              <w:t>7.09</w:t>
            </w:r>
          </w:p>
        </w:tc>
        <w:tc>
          <w:tcPr>
            <w:tcW w:w="1048" w:type="pct"/>
            <w:tcMar>
              <w:top w:w="100" w:type="dxa"/>
              <w:left w:w="100" w:type="dxa"/>
              <w:bottom w:w="100" w:type="dxa"/>
              <w:right w:w="100" w:type="dxa"/>
            </w:tcMar>
          </w:tcPr>
          <w:p w14:paraId="40B28C18" w14:textId="77777777" w:rsidR="00131F7A" w:rsidRPr="00EB2544" w:rsidRDefault="00131F7A" w:rsidP="009746A6">
            <w:pPr>
              <w:pStyle w:val="Tablebodytext"/>
              <w:keepNext w:val="0"/>
              <w:rPr>
                <w:lang w:eastAsia="en-AU"/>
              </w:rPr>
            </w:pPr>
            <w:r w:rsidRPr="00EB2544">
              <w:rPr>
                <w:lang w:eastAsia="en-AU"/>
              </w:rPr>
              <w:t>22.19</w:t>
            </w:r>
          </w:p>
        </w:tc>
      </w:tr>
      <w:tr w:rsidR="00131F7A" w:rsidRPr="00EB2544" w14:paraId="378C9711" w14:textId="77777777" w:rsidTr="00611018">
        <w:trPr>
          <w:trHeight w:val="235"/>
        </w:trPr>
        <w:tc>
          <w:tcPr>
            <w:tcW w:w="1173" w:type="pct"/>
            <w:vMerge/>
          </w:tcPr>
          <w:p w14:paraId="70716E31" w14:textId="77777777" w:rsidR="00131F7A" w:rsidRPr="00EB2544" w:rsidRDefault="00131F7A" w:rsidP="009746A6">
            <w:pPr>
              <w:pStyle w:val="Tablebodytext"/>
              <w:keepNext w:val="0"/>
              <w:rPr>
                <w:lang w:eastAsia="en-AU"/>
              </w:rPr>
            </w:pPr>
          </w:p>
        </w:tc>
        <w:tc>
          <w:tcPr>
            <w:tcW w:w="1330" w:type="pct"/>
          </w:tcPr>
          <w:p w14:paraId="4A9D36ED" w14:textId="77777777" w:rsidR="00131F7A" w:rsidRPr="00EB2544" w:rsidRDefault="00131F7A" w:rsidP="009746A6">
            <w:pPr>
              <w:pStyle w:val="Tablebodytext"/>
              <w:keepNext w:val="0"/>
              <w:rPr>
                <w:lang w:eastAsia="en-AU"/>
              </w:rPr>
            </w:pPr>
            <w:r w:rsidRPr="00EB2544">
              <w:rPr>
                <w:lang w:eastAsia="en-AU"/>
              </w:rPr>
              <w:t xml:space="preserve">Monthly </w:t>
            </w:r>
          </w:p>
        </w:tc>
        <w:tc>
          <w:tcPr>
            <w:tcW w:w="613" w:type="pct"/>
          </w:tcPr>
          <w:p w14:paraId="0C50F5F2" w14:textId="77777777" w:rsidR="00131F7A" w:rsidRPr="00EB2544" w:rsidRDefault="00131F7A" w:rsidP="009746A6">
            <w:pPr>
              <w:pStyle w:val="Tablebodytext"/>
              <w:keepNext w:val="0"/>
              <w:rPr>
                <w:lang w:eastAsia="en-AU"/>
              </w:rPr>
            </w:pPr>
            <w:r w:rsidRPr="00EB2544">
              <w:rPr>
                <w:lang w:eastAsia="en-AU"/>
              </w:rPr>
              <w:t>0.50</w:t>
            </w:r>
          </w:p>
        </w:tc>
        <w:tc>
          <w:tcPr>
            <w:tcW w:w="836" w:type="pct"/>
            <w:tcMar>
              <w:top w:w="100" w:type="dxa"/>
              <w:left w:w="100" w:type="dxa"/>
              <w:bottom w:w="100" w:type="dxa"/>
              <w:right w:w="100" w:type="dxa"/>
            </w:tcMar>
          </w:tcPr>
          <w:p w14:paraId="18F80235" w14:textId="77777777" w:rsidR="00131F7A" w:rsidRPr="00EB2544" w:rsidRDefault="00131F7A" w:rsidP="009746A6">
            <w:pPr>
              <w:pStyle w:val="Tablebodytext"/>
              <w:keepNext w:val="0"/>
              <w:rPr>
                <w:lang w:eastAsia="en-AU"/>
              </w:rPr>
            </w:pPr>
            <w:r w:rsidRPr="00EB2544">
              <w:rPr>
                <w:lang w:eastAsia="en-AU"/>
              </w:rPr>
              <w:t>20.80</w:t>
            </w:r>
          </w:p>
        </w:tc>
        <w:tc>
          <w:tcPr>
            <w:tcW w:w="1048" w:type="pct"/>
            <w:tcMar>
              <w:top w:w="100" w:type="dxa"/>
              <w:left w:w="100" w:type="dxa"/>
              <w:bottom w:w="100" w:type="dxa"/>
              <w:right w:w="100" w:type="dxa"/>
            </w:tcMar>
          </w:tcPr>
          <w:p w14:paraId="7D79750E" w14:textId="77777777" w:rsidR="00131F7A" w:rsidRPr="00EB2544" w:rsidRDefault="00131F7A" w:rsidP="009746A6">
            <w:pPr>
              <w:pStyle w:val="Tablebodytext"/>
              <w:keepNext w:val="0"/>
              <w:rPr>
                <w:lang w:eastAsia="en-AU"/>
              </w:rPr>
            </w:pPr>
            <w:r w:rsidRPr="00EB2544">
              <w:rPr>
                <w:lang w:eastAsia="en-AU"/>
              </w:rPr>
              <w:t>39.97</w:t>
            </w:r>
          </w:p>
        </w:tc>
      </w:tr>
      <w:tr w:rsidR="00131F7A" w:rsidRPr="00EB2544" w14:paraId="49DFF2D5" w14:textId="77777777" w:rsidTr="00611018">
        <w:trPr>
          <w:trHeight w:val="129"/>
        </w:trPr>
        <w:tc>
          <w:tcPr>
            <w:tcW w:w="1173" w:type="pct"/>
            <w:vMerge/>
          </w:tcPr>
          <w:p w14:paraId="278C401E" w14:textId="77777777" w:rsidR="00131F7A" w:rsidRPr="00EB2544" w:rsidRDefault="00131F7A" w:rsidP="009746A6">
            <w:pPr>
              <w:pStyle w:val="Tablebodytext"/>
              <w:keepNext w:val="0"/>
              <w:rPr>
                <w:lang w:eastAsia="en-AU"/>
              </w:rPr>
            </w:pPr>
          </w:p>
        </w:tc>
        <w:tc>
          <w:tcPr>
            <w:tcW w:w="1330" w:type="pct"/>
          </w:tcPr>
          <w:p w14:paraId="4A8489AD" w14:textId="77777777" w:rsidR="00131F7A" w:rsidRPr="00EB2544" w:rsidRDefault="00131F7A" w:rsidP="009746A6">
            <w:pPr>
              <w:pStyle w:val="Tablebodytext"/>
              <w:keepNext w:val="0"/>
              <w:rPr>
                <w:lang w:eastAsia="en-AU"/>
              </w:rPr>
            </w:pPr>
            <w:r w:rsidRPr="00EB2544">
              <w:rPr>
                <w:lang w:eastAsia="en-AU"/>
              </w:rPr>
              <w:t xml:space="preserve">Weekly </w:t>
            </w:r>
          </w:p>
        </w:tc>
        <w:tc>
          <w:tcPr>
            <w:tcW w:w="613" w:type="pct"/>
          </w:tcPr>
          <w:p w14:paraId="59A29653" w14:textId="77777777" w:rsidR="00131F7A" w:rsidRPr="00EB2544" w:rsidRDefault="00131F7A" w:rsidP="009746A6">
            <w:pPr>
              <w:pStyle w:val="Tablebodytext"/>
              <w:keepNext w:val="0"/>
              <w:rPr>
                <w:lang w:eastAsia="en-AU"/>
              </w:rPr>
            </w:pPr>
            <w:r w:rsidRPr="00EB2544">
              <w:rPr>
                <w:lang w:eastAsia="en-AU"/>
              </w:rPr>
              <w:t>0.67</w:t>
            </w:r>
          </w:p>
        </w:tc>
        <w:tc>
          <w:tcPr>
            <w:tcW w:w="836" w:type="pct"/>
            <w:tcMar>
              <w:top w:w="100" w:type="dxa"/>
              <w:left w:w="100" w:type="dxa"/>
              <w:bottom w:w="100" w:type="dxa"/>
              <w:right w:w="100" w:type="dxa"/>
            </w:tcMar>
          </w:tcPr>
          <w:p w14:paraId="4D6DDE3F" w14:textId="77777777" w:rsidR="00131F7A" w:rsidRPr="00EB2544" w:rsidRDefault="00131F7A" w:rsidP="009746A6">
            <w:pPr>
              <w:pStyle w:val="Tablebodytext"/>
              <w:keepNext w:val="0"/>
              <w:rPr>
                <w:lang w:eastAsia="en-AU"/>
              </w:rPr>
            </w:pPr>
            <w:r w:rsidRPr="00EB2544">
              <w:rPr>
                <w:lang w:eastAsia="en-AU"/>
              </w:rPr>
              <w:t>9.99</w:t>
            </w:r>
          </w:p>
        </w:tc>
        <w:tc>
          <w:tcPr>
            <w:tcW w:w="1048" w:type="pct"/>
            <w:tcMar>
              <w:top w:w="100" w:type="dxa"/>
              <w:left w:w="100" w:type="dxa"/>
              <w:bottom w:w="100" w:type="dxa"/>
              <w:right w:w="100" w:type="dxa"/>
            </w:tcMar>
          </w:tcPr>
          <w:p w14:paraId="0AF3E68A" w14:textId="77777777" w:rsidR="00131F7A" w:rsidRPr="00EB2544" w:rsidRDefault="00131F7A" w:rsidP="009746A6">
            <w:pPr>
              <w:pStyle w:val="Tablebodytext"/>
              <w:keepNext w:val="0"/>
              <w:rPr>
                <w:lang w:eastAsia="en-AU"/>
              </w:rPr>
            </w:pPr>
            <w:r w:rsidRPr="00EB2544">
              <w:rPr>
                <w:lang w:eastAsia="en-AU"/>
              </w:rPr>
              <w:t>27.99</w:t>
            </w:r>
          </w:p>
        </w:tc>
      </w:tr>
      <w:tr w:rsidR="00131F7A" w:rsidRPr="00EB2544" w14:paraId="515AED6B" w14:textId="77777777" w:rsidTr="00611018">
        <w:trPr>
          <w:trHeight w:val="193"/>
        </w:trPr>
        <w:tc>
          <w:tcPr>
            <w:tcW w:w="1173" w:type="pct"/>
            <w:vMerge/>
          </w:tcPr>
          <w:p w14:paraId="2F739FC9" w14:textId="77777777" w:rsidR="00131F7A" w:rsidRPr="00EB2544" w:rsidRDefault="00131F7A" w:rsidP="009746A6">
            <w:pPr>
              <w:pStyle w:val="Tablebodytext"/>
              <w:keepNext w:val="0"/>
              <w:rPr>
                <w:lang w:eastAsia="en-AU"/>
              </w:rPr>
            </w:pPr>
          </w:p>
        </w:tc>
        <w:tc>
          <w:tcPr>
            <w:tcW w:w="1330" w:type="pct"/>
          </w:tcPr>
          <w:p w14:paraId="01C5A3A9" w14:textId="77777777" w:rsidR="00131F7A" w:rsidRPr="00EB2544" w:rsidRDefault="00131F7A" w:rsidP="009746A6">
            <w:pPr>
              <w:pStyle w:val="Tablebodytext"/>
              <w:keepNext w:val="0"/>
              <w:rPr>
                <w:lang w:eastAsia="en-AU"/>
              </w:rPr>
            </w:pPr>
            <w:r w:rsidRPr="00EB2544">
              <w:rPr>
                <w:lang w:eastAsia="en-AU"/>
              </w:rPr>
              <w:t xml:space="preserve">Daily </w:t>
            </w:r>
          </w:p>
        </w:tc>
        <w:tc>
          <w:tcPr>
            <w:tcW w:w="613" w:type="pct"/>
          </w:tcPr>
          <w:p w14:paraId="1624425E" w14:textId="77777777" w:rsidR="00131F7A" w:rsidRPr="00EB2544" w:rsidRDefault="00131F7A" w:rsidP="009746A6">
            <w:pPr>
              <w:pStyle w:val="Tablebodytext"/>
              <w:keepNext w:val="0"/>
              <w:rPr>
                <w:lang w:eastAsia="en-AU"/>
              </w:rPr>
            </w:pPr>
            <w:r w:rsidRPr="00EB2544">
              <w:rPr>
                <w:lang w:eastAsia="en-AU"/>
              </w:rPr>
              <w:t>0.83</w:t>
            </w:r>
          </w:p>
        </w:tc>
        <w:tc>
          <w:tcPr>
            <w:tcW w:w="836" w:type="pct"/>
            <w:tcMar>
              <w:top w:w="100" w:type="dxa"/>
              <w:left w:w="100" w:type="dxa"/>
              <w:bottom w:w="100" w:type="dxa"/>
              <w:right w:w="100" w:type="dxa"/>
            </w:tcMar>
          </w:tcPr>
          <w:p w14:paraId="0812DDEE" w14:textId="77777777" w:rsidR="00131F7A" w:rsidRPr="00EB2544" w:rsidRDefault="00131F7A" w:rsidP="009746A6">
            <w:pPr>
              <w:pStyle w:val="Tablebodytext"/>
              <w:keepNext w:val="0"/>
              <w:rPr>
                <w:lang w:eastAsia="en-AU"/>
              </w:rPr>
            </w:pPr>
            <w:r w:rsidRPr="00EB2544">
              <w:rPr>
                <w:lang w:eastAsia="en-AU"/>
              </w:rPr>
              <w:t>8.33</w:t>
            </w:r>
          </w:p>
        </w:tc>
        <w:tc>
          <w:tcPr>
            <w:tcW w:w="1048" w:type="pct"/>
            <w:tcMar>
              <w:top w:w="100" w:type="dxa"/>
              <w:left w:w="100" w:type="dxa"/>
              <w:bottom w:w="100" w:type="dxa"/>
              <w:right w:w="100" w:type="dxa"/>
            </w:tcMar>
          </w:tcPr>
          <w:p w14:paraId="56D8AC68" w14:textId="77777777" w:rsidR="00131F7A" w:rsidRPr="00EB2544" w:rsidRDefault="00131F7A" w:rsidP="009746A6">
            <w:pPr>
              <w:pStyle w:val="Tablebodytext"/>
              <w:keepNext w:val="0"/>
              <w:rPr>
                <w:lang w:eastAsia="en-AU"/>
              </w:rPr>
            </w:pPr>
            <w:r w:rsidRPr="00EB2544">
              <w:rPr>
                <w:lang w:eastAsia="en-AU"/>
              </w:rPr>
              <w:t>25.65</w:t>
            </w:r>
          </w:p>
        </w:tc>
      </w:tr>
      <w:tr w:rsidR="00131F7A" w:rsidRPr="00EB2544" w14:paraId="24B51E6D" w14:textId="77777777" w:rsidTr="00611018">
        <w:trPr>
          <w:trHeight w:val="87"/>
        </w:trPr>
        <w:tc>
          <w:tcPr>
            <w:tcW w:w="1173" w:type="pct"/>
            <w:vMerge/>
          </w:tcPr>
          <w:p w14:paraId="28530155" w14:textId="77777777" w:rsidR="00131F7A" w:rsidRPr="00EB2544" w:rsidRDefault="00131F7A" w:rsidP="009746A6">
            <w:pPr>
              <w:pStyle w:val="Tablebodytext"/>
              <w:keepNext w:val="0"/>
              <w:rPr>
                <w:lang w:eastAsia="en-AU"/>
              </w:rPr>
            </w:pPr>
          </w:p>
        </w:tc>
        <w:tc>
          <w:tcPr>
            <w:tcW w:w="1330" w:type="pct"/>
          </w:tcPr>
          <w:p w14:paraId="1366DD18" w14:textId="77777777" w:rsidR="00131F7A" w:rsidRPr="00EB2544" w:rsidRDefault="00131F7A" w:rsidP="009746A6">
            <w:pPr>
              <w:pStyle w:val="Tablebodytext"/>
              <w:keepNext w:val="0"/>
              <w:rPr>
                <w:lang w:eastAsia="en-AU"/>
              </w:rPr>
            </w:pPr>
            <w:r w:rsidRPr="00EB2544">
              <w:rPr>
                <w:lang w:eastAsia="en-AU"/>
              </w:rPr>
              <w:t xml:space="preserve">Hourly or more frequently </w:t>
            </w:r>
          </w:p>
        </w:tc>
        <w:tc>
          <w:tcPr>
            <w:tcW w:w="613" w:type="pct"/>
          </w:tcPr>
          <w:p w14:paraId="6C3C9292"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6ACFD55C" w14:textId="77777777" w:rsidR="00131F7A" w:rsidRPr="00EB2544" w:rsidRDefault="00131F7A" w:rsidP="009746A6">
            <w:pPr>
              <w:pStyle w:val="Tablebodytext"/>
              <w:keepNext w:val="0"/>
              <w:rPr>
                <w:lang w:eastAsia="en-AU"/>
              </w:rPr>
            </w:pPr>
            <w:r w:rsidRPr="00EB2544">
              <w:rPr>
                <w:lang w:eastAsia="en-AU"/>
              </w:rPr>
              <w:t>0.87</w:t>
            </w:r>
          </w:p>
        </w:tc>
        <w:tc>
          <w:tcPr>
            <w:tcW w:w="1048" w:type="pct"/>
            <w:tcMar>
              <w:top w:w="100" w:type="dxa"/>
              <w:left w:w="100" w:type="dxa"/>
              <w:bottom w:w="100" w:type="dxa"/>
              <w:right w:w="100" w:type="dxa"/>
            </w:tcMar>
          </w:tcPr>
          <w:p w14:paraId="42392109" w14:textId="77777777" w:rsidR="00131F7A" w:rsidRPr="00EB2544" w:rsidRDefault="00131F7A" w:rsidP="009746A6">
            <w:pPr>
              <w:pStyle w:val="Tablebodytext"/>
              <w:keepNext w:val="0"/>
              <w:rPr>
                <w:lang w:eastAsia="en-AU"/>
              </w:rPr>
            </w:pPr>
            <w:r w:rsidRPr="00EB2544">
              <w:rPr>
                <w:lang w:eastAsia="en-AU"/>
              </w:rPr>
              <w:t>3.51</w:t>
            </w:r>
          </w:p>
        </w:tc>
      </w:tr>
      <w:tr w:rsidR="00131F7A" w:rsidRPr="00EB2544" w14:paraId="50065687" w14:textId="77777777" w:rsidTr="00611018">
        <w:trPr>
          <w:trHeight w:val="137"/>
        </w:trPr>
        <w:tc>
          <w:tcPr>
            <w:tcW w:w="1173" w:type="pct"/>
            <w:vMerge/>
          </w:tcPr>
          <w:p w14:paraId="535D125D" w14:textId="77777777" w:rsidR="00131F7A" w:rsidRPr="00EB2544" w:rsidRDefault="00131F7A" w:rsidP="009746A6">
            <w:pPr>
              <w:pStyle w:val="Tablebodytext"/>
              <w:keepNext w:val="0"/>
              <w:rPr>
                <w:lang w:eastAsia="en-AU"/>
              </w:rPr>
            </w:pPr>
          </w:p>
        </w:tc>
        <w:tc>
          <w:tcPr>
            <w:tcW w:w="1330" w:type="pct"/>
          </w:tcPr>
          <w:p w14:paraId="349660AA" w14:textId="77777777" w:rsidR="00131F7A" w:rsidRPr="00EB2544" w:rsidRDefault="00131F7A" w:rsidP="009746A6">
            <w:pPr>
              <w:pStyle w:val="Tablebodytext"/>
              <w:keepNext w:val="0"/>
              <w:rPr>
                <w:lang w:eastAsia="en-AU"/>
              </w:rPr>
            </w:pPr>
            <w:r w:rsidRPr="00EB2544">
              <w:rPr>
                <w:lang w:eastAsia="en-AU"/>
              </w:rPr>
              <w:t xml:space="preserve">Never </w:t>
            </w:r>
          </w:p>
        </w:tc>
        <w:tc>
          <w:tcPr>
            <w:tcW w:w="613" w:type="pct"/>
          </w:tcPr>
          <w:p w14:paraId="08071C4C"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13D54E7A" w14:textId="77777777" w:rsidR="00131F7A" w:rsidRPr="00EB2544" w:rsidRDefault="00131F7A" w:rsidP="009746A6">
            <w:pPr>
              <w:pStyle w:val="Tablebodytext"/>
              <w:keepNext w:val="0"/>
              <w:rPr>
                <w:lang w:eastAsia="en-AU"/>
              </w:rPr>
            </w:pPr>
            <w:r w:rsidRPr="00EB2544">
              <w:rPr>
                <w:lang w:eastAsia="en-AU"/>
              </w:rPr>
              <w:t>46.50</w:t>
            </w:r>
          </w:p>
        </w:tc>
        <w:tc>
          <w:tcPr>
            <w:tcW w:w="1048" w:type="pct"/>
            <w:tcMar>
              <w:top w:w="100" w:type="dxa"/>
              <w:left w:w="100" w:type="dxa"/>
              <w:bottom w:w="100" w:type="dxa"/>
              <w:right w:w="100" w:type="dxa"/>
            </w:tcMar>
          </w:tcPr>
          <w:p w14:paraId="79306101" w14:textId="77777777" w:rsidR="00131F7A" w:rsidRPr="00EB2544" w:rsidRDefault="00131F7A" w:rsidP="009746A6">
            <w:pPr>
              <w:pStyle w:val="Tablebodytext"/>
              <w:keepNext w:val="0"/>
              <w:rPr>
                <w:lang w:eastAsia="en-AU"/>
              </w:rPr>
            </w:pPr>
            <w:r w:rsidRPr="00EB2544">
              <w:rPr>
                <w:lang w:eastAsia="en-AU"/>
              </w:rPr>
              <w:t>9.64</w:t>
            </w:r>
          </w:p>
        </w:tc>
      </w:tr>
      <w:tr w:rsidR="00131F7A" w:rsidRPr="00EB2544" w14:paraId="13FEF92E" w14:textId="77777777" w:rsidTr="00611018">
        <w:trPr>
          <w:trHeight w:val="20"/>
        </w:trPr>
        <w:tc>
          <w:tcPr>
            <w:tcW w:w="1173" w:type="pct"/>
            <w:vMerge/>
          </w:tcPr>
          <w:p w14:paraId="1E3259ED" w14:textId="77777777" w:rsidR="00131F7A" w:rsidRPr="00EB2544" w:rsidRDefault="00131F7A" w:rsidP="009746A6">
            <w:pPr>
              <w:pStyle w:val="Tablebodytext"/>
              <w:keepNext w:val="0"/>
              <w:rPr>
                <w:lang w:eastAsia="en-AU"/>
              </w:rPr>
            </w:pPr>
          </w:p>
        </w:tc>
        <w:tc>
          <w:tcPr>
            <w:tcW w:w="1330" w:type="pct"/>
          </w:tcPr>
          <w:p w14:paraId="0CB0AD9F" w14:textId="77777777" w:rsidR="00131F7A" w:rsidRPr="00EB2544" w:rsidRDefault="00131F7A" w:rsidP="009746A6">
            <w:pPr>
              <w:pStyle w:val="Tablebodytext"/>
              <w:keepNext w:val="0"/>
              <w:rPr>
                <w:lang w:eastAsia="en-AU"/>
              </w:rPr>
            </w:pPr>
            <w:r w:rsidRPr="00EB2544">
              <w:rPr>
                <w:lang w:eastAsia="en-AU"/>
              </w:rPr>
              <w:t xml:space="preserve">Other review period(s) </w:t>
            </w:r>
          </w:p>
        </w:tc>
        <w:tc>
          <w:tcPr>
            <w:tcW w:w="613" w:type="pct"/>
          </w:tcPr>
          <w:p w14:paraId="71015C0A"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5C34DD13" w14:textId="77777777" w:rsidR="00131F7A" w:rsidRPr="00EB2544" w:rsidRDefault="00131F7A" w:rsidP="009746A6">
            <w:pPr>
              <w:pStyle w:val="Tablebodytext"/>
              <w:keepNext w:val="0"/>
              <w:rPr>
                <w:lang w:eastAsia="en-AU"/>
              </w:rPr>
            </w:pPr>
            <w:r w:rsidRPr="00EB2544">
              <w:rPr>
                <w:lang w:eastAsia="en-AU"/>
              </w:rPr>
              <w:t>-</w:t>
            </w:r>
          </w:p>
        </w:tc>
        <w:tc>
          <w:tcPr>
            <w:tcW w:w="1048" w:type="pct"/>
          </w:tcPr>
          <w:p w14:paraId="7311FC0A" w14:textId="77777777" w:rsidR="00131F7A" w:rsidRPr="00EB2544" w:rsidRDefault="00131F7A" w:rsidP="009746A6">
            <w:pPr>
              <w:pStyle w:val="Tablebodytext"/>
              <w:keepNext w:val="0"/>
              <w:rPr>
                <w:lang w:eastAsia="en-AU"/>
              </w:rPr>
            </w:pPr>
            <w:r w:rsidRPr="00EB2544">
              <w:rPr>
                <w:lang w:eastAsia="en-AU"/>
              </w:rPr>
              <w:t>-</w:t>
            </w:r>
          </w:p>
        </w:tc>
      </w:tr>
      <w:tr w:rsidR="00131F7A" w:rsidRPr="00EB2544" w14:paraId="6124AF7F" w14:textId="77777777" w:rsidTr="00611018">
        <w:trPr>
          <w:trHeight w:val="300"/>
        </w:trPr>
        <w:tc>
          <w:tcPr>
            <w:tcW w:w="1173" w:type="pct"/>
            <w:vMerge w:val="restart"/>
          </w:tcPr>
          <w:p w14:paraId="37AA22C4" w14:textId="77777777" w:rsidR="00131F7A" w:rsidRPr="00EB2544" w:rsidRDefault="00131F7A" w:rsidP="009746A6">
            <w:pPr>
              <w:pStyle w:val="Tablebodytext"/>
              <w:keepNext w:val="0"/>
              <w:rPr>
                <w:lang w:eastAsia="en-AU"/>
              </w:rPr>
            </w:pPr>
            <w:r w:rsidRPr="00EB2544">
              <w:rPr>
                <w:lang w:eastAsia="en-AU"/>
              </w:rPr>
              <w:t>12</w:t>
            </w:r>
          </w:p>
        </w:tc>
        <w:tc>
          <w:tcPr>
            <w:tcW w:w="1330" w:type="pct"/>
          </w:tcPr>
          <w:p w14:paraId="150496DE" w14:textId="77777777" w:rsidR="00131F7A" w:rsidRPr="00EB2544" w:rsidRDefault="00131F7A" w:rsidP="009746A6">
            <w:pPr>
              <w:pStyle w:val="Tablebodytext"/>
              <w:keepNext w:val="0"/>
              <w:rPr>
                <w:lang w:eastAsia="en-AU"/>
              </w:rPr>
            </w:pPr>
            <w:r w:rsidRPr="00EB2544">
              <w:rPr>
                <w:lang w:eastAsia="en-AU"/>
              </w:rPr>
              <w:t xml:space="preserve">Short-term (up to one year) Key Performance Indicators </w:t>
            </w:r>
          </w:p>
        </w:tc>
        <w:tc>
          <w:tcPr>
            <w:tcW w:w="613" w:type="pct"/>
          </w:tcPr>
          <w:p w14:paraId="6C1C7812" w14:textId="77777777" w:rsidR="00131F7A" w:rsidRPr="00EB2544" w:rsidRDefault="00131F7A" w:rsidP="009746A6">
            <w:pPr>
              <w:pStyle w:val="Tablebodytext"/>
              <w:keepNext w:val="0"/>
              <w:rPr>
                <w:lang w:eastAsia="en-AU"/>
              </w:rPr>
            </w:pPr>
            <w:r w:rsidRPr="00EB2544">
              <w:rPr>
                <w:lang w:eastAsia="en-AU"/>
              </w:rPr>
              <w:t>0.33</w:t>
            </w:r>
          </w:p>
        </w:tc>
        <w:tc>
          <w:tcPr>
            <w:tcW w:w="836" w:type="pct"/>
            <w:tcMar>
              <w:top w:w="100" w:type="dxa"/>
              <w:left w:w="100" w:type="dxa"/>
              <w:bottom w:w="100" w:type="dxa"/>
              <w:right w:w="100" w:type="dxa"/>
            </w:tcMar>
          </w:tcPr>
          <w:p w14:paraId="1B3737F0" w14:textId="77777777" w:rsidR="00131F7A" w:rsidRPr="00EB2544" w:rsidRDefault="00131F7A" w:rsidP="009746A6">
            <w:pPr>
              <w:pStyle w:val="Tablebodytext"/>
              <w:keepNext w:val="0"/>
              <w:rPr>
                <w:lang w:eastAsia="en-AU"/>
              </w:rPr>
            </w:pPr>
            <w:r w:rsidRPr="00EB2544">
              <w:rPr>
                <w:lang w:eastAsia="en-AU"/>
              </w:rPr>
              <w:t>35.20</w:t>
            </w:r>
          </w:p>
        </w:tc>
        <w:tc>
          <w:tcPr>
            <w:tcW w:w="1048" w:type="pct"/>
            <w:tcMar>
              <w:top w:w="100" w:type="dxa"/>
              <w:left w:w="100" w:type="dxa"/>
              <w:bottom w:w="100" w:type="dxa"/>
              <w:right w:w="100" w:type="dxa"/>
            </w:tcMar>
          </w:tcPr>
          <w:p w14:paraId="3069AD28" w14:textId="77777777" w:rsidR="00131F7A" w:rsidRPr="00EB2544" w:rsidRDefault="00131F7A" w:rsidP="009746A6">
            <w:pPr>
              <w:pStyle w:val="Tablebodytext"/>
              <w:keepNext w:val="0"/>
              <w:rPr>
                <w:lang w:eastAsia="en-AU"/>
              </w:rPr>
            </w:pPr>
            <w:r w:rsidRPr="00EB2544">
              <w:rPr>
                <w:lang w:eastAsia="en-AU"/>
              </w:rPr>
              <w:t>34.29</w:t>
            </w:r>
          </w:p>
        </w:tc>
      </w:tr>
      <w:tr w:rsidR="00131F7A" w:rsidRPr="00EB2544" w14:paraId="4DD9C6A9" w14:textId="77777777" w:rsidTr="00611018">
        <w:trPr>
          <w:trHeight w:val="300"/>
        </w:trPr>
        <w:tc>
          <w:tcPr>
            <w:tcW w:w="1173" w:type="pct"/>
            <w:vMerge/>
          </w:tcPr>
          <w:p w14:paraId="576D7E6A" w14:textId="77777777" w:rsidR="00131F7A" w:rsidRPr="00EB2544" w:rsidRDefault="00131F7A" w:rsidP="009746A6">
            <w:pPr>
              <w:pStyle w:val="Tablebodytext"/>
              <w:keepNext w:val="0"/>
              <w:rPr>
                <w:lang w:eastAsia="en-AU"/>
              </w:rPr>
            </w:pPr>
          </w:p>
        </w:tc>
        <w:tc>
          <w:tcPr>
            <w:tcW w:w="1330" w:type="pct"/>
          </w:tcPr>
          <w:p w14:paraId="1E979C33" w14:textId="77777777" w:rsidR="00131F7A" w:rsidRPr="00EB2544" w:rsidRDefault="00131F7A" w:rsidP="009746A6">
            <w:pPr>
              <w:pStyle w:val="Tablebodytext"/>
              <w:keepNext w:val="0"/>
              <w:rPr>
                <w:lang w:eastAsia="en-AU"/>
              </w:rPr>
            </w:pPr>
            <w:r w:rsidRPr="00EB2544">
              <w:rPr>
                <w:lang w:eastAsia="en-AU"/>
              </w:rPr>
              <w:t xml:space="preserve"> Long-term (more than one year) Key Performance Indicators </w:t>
            </w:r>
          </w:p>
        </w:tc>
        <w:tc>
          <w:tcPr>
            <w:tcW w:w="613" w:type="pct"/>
          </w:tcPr>
          <w:p w14:paraId="39501563" w14:textId="77777777" w:rsidR="00131F7A" w:rsidRPr="00EB2544" w:rsidRDefault="00131F7A" w:rsidP="009746A6">
            <w:pPr>
              <w:pStyle w:val="Tablebodytext"/>
              <w:keepNext w:val="0"/>
              <w:rPr>
                <w:lang w:eastAsia="en-AU"/>
              </w:rPr>
            </w:pPr>
            <w:r w:rsidRPr="00EB2544">
              <w:rPr>
                <w:lang w:eastAsia="en-AU"/>
              </w:rPr>
              <w:t>0.67</w:t>
            </w:r>
          </w:p>
        </w:tc>
        <w:tc>
          <w:tcPr>
            <w:tcW w:w="836" w:type="pct"/>
            <w:tcMar>
              <w:top w:w="100" w:type="dxa"/>
              <w:left w:w="100" w:type="dxa"/>
              <w:bottom w:w="100" w:type="dxa"/>
              <w:right w:w="100" w:type="dxa"/>
            </w:tcMar>
          </w:tcPr>
          <w:p w14:paraId="50514E08" w14:textId="77777777" w:rsidR="00131F7A" w:rsidRPr="00EB2544" w:rsidRDefault="00131F7A" w:rsidP="009746A6">
            <w:pPr>
              <w:pStyle w:val="Tablebodytext"/>
              <w:keepNext w:val="0"/>
              <w:rPr>
                <w:lang w:eastAsia="en-AU"/>
              </w:rPr>
            </w:pPr>
            <w:r w:rsidRPr="00EB2544">
              <w:rPr>
                <w:lang w:eastAsia="en-AU"/>
              </w:rPr>
              <w:t>8.89</w:t>
            </w:r>
          </w:p>
        </w:tc>
        <w:tc>
          <w:tcPr>
            <w:tcW w:w="1048" w:type="pct"/>
            <w:tcMar>
              <w:top w:w="100" w:type="dxa"/>
              <w:left w:w="100" w:type="dxa"/>
              <w:bottom w:w="100" w:type="dxa"/>
              <w:right w:w="100" w:type="dxa"/>
            </w:tcMar>
          </w:tcPr>
          <w:p w14:paraId="5A2B654B" w14:textId="77777777" w:rsidR="00131F7A" w:rsidRPr="00EB2544" w:rsidRDefault="00131F7A" w:rsidP="009746A6">
            <w:pPr>
              <w:pStyle w:val="Tablebodytext"/>
              <w:keepNext w:val="0"/>
              <w:rPr>
                <w:lang w:eastAsia="en-AU"/>
              </w:rPr>
            </w:pPr>
            <w:r w:rsidRPr="00EB2544">
              <w:rPr>
                <w:lang w:eastAsia="en-AU"/>
              </w:rPr>
              <w:t>2.92</w:t>
            </w:r>
          </w:p>
        </w:tc>
      </w:tr>
      <w:tr w:rsidR="00131F7A" w:rsidRPr="00EB2544" w14:paraId="118D2F8A" w14:textId="77777777" w:rsidTr="00611018">
        <w:trPr>
          <w:trHeight w:val="300"/>
        </w:trPr>
        <w:tc>
          <w:tcPr>
            <w:tcW w:w="1173" w:type="pct"/>
            <w:vMerge/>
          </w:tcPr>
          <w:p w14:paraId="36A7281F" w14:textId="77777777" w:rsidR="00131F7A" w:rsidRPr="00EB2544" w:rsidRDefault="00131F7A" w:rsidP="009746A6">
            <w:pPr>
              <w:pStyle w:val="Tablebodytext"/>
              <w:keepNext w:val="0"/>
              <w:rPr>
                <w:lang w:eastAsia="en-AU"/>
              </w:rPr>
            </w:pPr>
          </w:p>
        </w:tc>
        <w:tc>
          <w:tcPr>
            <w:tcW w:w="1330" w:type="pct"/>
          </w:tcPr>
          <w:p w14:paraId="45BB083A" w14:textId="77777777" w:rsidR="00131F7A" w:rsidRPr="00EB2544" w:rsidRDefault="00131F7A" w:rsidP="009746A6">
            <w:pPr>
              <w:pStyle w:val="Tablebodytext"/>
              <w:keepNext w:val="0"/>
              <w:rPr>
                <w:lang w:eastAsia="en-AU"/>
              </w:rPr>
            </w:pPr>
            <w:r w:rsidRPr="00EB2544">
              <w:rPr>
                <w:lang w:eastAsia="en-AU"/>
              </w:rPr>
              <w:t xml:space="preserve">Combination of short-term and long-term Key Performance Indicators </w:t>
            </w:r>
          </w:p>
        </w:tc>
        <w:tc>
          <w:tcPr>
            <w:tcW w:w="613" w:type="pct"/>
          </w:tcPr>
          <w:p w14:paraId="3337602E"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6E7186A5" w14:textId="77777777" w:rsidR="00131F7A" w:rsidRPr="00EB2544" w:rsidRDefault="00131F7A" w:rsidP="009746A6">
            <w:pPr>
              <w:pStyle w:val="Tablebodytext"/>
              <w:keepNext w:val="0"/>
              <w:rPr>
                <w:lang w:eastAsia="en-AU"/>
              </w:rPr>
            </w:pPr>
            <w:r w:rsidRPr="00EB2544">
              <w:rPr>
                <w:lang w:eastAsia="en-AU"/>
              </w:rPr>
              <w:t>46.40</w:t>
            </w:r>
          </w:p>
        </w:tc>
        <w:tc>
          <w:tcPr>
            <w:tcW w:w="1048" w:type="pct"/>
            <w:tcMar>
              <w:top w:w="100" w:type="dxa"/>
              <w:left w:w="100" w:type="dxa"/>
              <w:bottom w:w="100" w:type="dxa"/>
              <w:right w:w="100" w:type="dxa"/>
            </w:tcMar>
          </w:tcPr>
          <w:p w14:paraId="14476227" w14:textId="77777777" w:rsidR="00131F7A" w:rsidRPr="00EB2544" w:rsidRDefault="00131F7A" w:rsidP="009746A6">
            <w:pPr>
              <w:pStyle w:val="Tablebodytext"/>
              <w:keepNext w:val="0"/>
              <w:rPr>
                <w:lang w:eastAsia="en-AU"/>
              </w:rPr>
            </w:pPr>
            <w:r w:rsidRPr="00EB2544">
              <w:rPr>
                <w:lang w:eastAsia="en-AU"/>
              </w:rPr>
              <w:t>50.85</w:t>
            </w:r>
          </w:p>
        </w:tc>
      </w:tr>
      <w:tr w:rsidR="00131F7A" w:rsidRPr="00EB2544" w14:paraId="043093D8" w14:textId="77777777" w:rsidTr="00611018">
        <w:trPr>
          <w:trHeight w:val="22"/>
        </w:trPr>
        <w:tc>
          <w:tcPr>
            <w:tcW w:w="1173" w:type="pct"/>
            <w:vMerge/>
          </w:tcPr>
          <w:p w14:paraId="70656B8A" w14:textId="77777777" w:rsidR="00131F7A" w:rsidRPr="00EB2544" w:rsidRDefault="00131F7A" w:rsidP="009746A6">
            <w:pPr>
              <w:pStyle w:val="Tablebodytext"/>
              <w:keepNext w:val="0"/>
              <w:rPr>
                <w:lang w:eastAsia="en-AU"/>
              </w:rPr>
            </w:pPr>
          </w:p>
        </w:tc>
        <w:tc>
          <w:tcPr>
            <w:tcW w:w="1330" w:type="pct"/>
          </w:tcPr>
          <w:p w14:paraId="7DDB85FD" w14:textId="77777777" w:rsidR="00131F7A" w:rsidRPr="00EB2544" w:rsidRDefault="00131F7A" w:rsidP="009746A6">
            <w:pPr>
              <w:pStyle w:val="Tablebodytext"/>
              <w:keepNext w:val="0"/>
              <w:rPr>
                <w:lang w:eastAsia="en-AU"/>
              </w:rPr>
            </w:pPr>
            <w:r w:rsidRPr="00EB2544">
              <w:rPr>
                <w:lang w:eastAsia="en-AU"/>
              </w:rPr>
              <w:t xml:space="preserve">None of the above </w:t>
            </w:r>
          </w:p>
        </w:tc>
        <w:tc>
          <w:tcPr>
            <w:tcW w:w="613" w:type="pct"/>
          </w:tcPr>
          <w:p w14:paraId="69B03AA9"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28C75A0F" w14:textId="77777777" w:rsidR="00131F7A" w:rsidRPr="00EB2544" w:rsidRDefault="00131F7A" w:rsidP="009746A6">
            <w:pPr>
              <w:pStyle w:val="Tablebodytext"/>
              <w:keepNext w:val="0"/>
              <w:rPr>
                <w:lang w:eastAsia="en-AU"/>
              </w:rPr>
            </w:pPr>
            <w:r w:rsidRPr="00EB2544">
              <w:rPr>
                <w:lang w:eastAsia="en-AU"/>
              </w:rPr>
              <w:t>9.52</w:t>
            </w:r>
          </w:p>
        </w:tc>
        <w:tc>
          <w:tcPr>
            <w:tcW w:w="1048" w:type="pct"/>
            <w:tcMar>
              <w:top w:w="100" w:type="dxa"/>
              <w:left w:w="100" w:type="dxa"/>
              <w:bottom w:w="100" w:type="dxa"/>
              <w:right w:w="100" w:type="dxa"/>
            </w:tcMar>
          </w:tcPr>
          <w:p w14:paraId="02D6C42D" w14:textId="77777777" w:rsidR="00131F7A" w:rsidRPr="00EB2544" w:rsidRDefault="00131F7A" w:rsidP="009746A6">
            <w:pPr>
              <w:pStyle w:val="Tablebodytext"/>
              <w:keepNext w:val="0"/>
              <w:rPr>
                <w:lang w:eastAsia="en-AU"/>
              </w:rPr>
            </w:pPr>
            <w:r w:rsidRPr="00EB2544">
              <w:rPr>
                <w:lang w:eastAsia="en-AU"/>
              </w:rPr>
              <w:t>11.94</w:t>
            </w:r>
          </w:p>
        </w:tc>
      </w:tr>
      <w:tr w:rsidR="00131F7A" w:rsidRPr="00EB2544" w14:paraId="11917BF6" w14:textId="77777777" w:rsidTr="00611018">
        <w:trPr>
          <w:trHeight w:val="20"/>
        </w:trPr>
        <w:tc>
          <w:tcPr>
            <w:tcW w:w="1173" w:type="pct"/>
            <w:vMerge/>
          </w:tcPr>
          <w:p w14:paraId="56A4805D" w14:textId="77777777" w:rsidR="00131F7A" w:rsidRPr="00EB2544" w:rsidRDefault="00131F7A" w:rsidP="009746A6">
            <w:pPr>
              <w:pStyle w:val="Tablebodytext"/>
              <w:keepNext w:val="0"/>
              <w:rPr>
                <w:lang w:eastAsia="en-AU"/>
              </w:rPr>
            </w:pPr>
          </w:p>
        </w:tc>
        <w:tc>
          <w:tcPr>
            <w:tcW w:w="1330" w:type="pct"/>
          </w:tcPr>
          <w:p w14:paraId="7FDD57C6" w14:textId="77777777" w:rsidR="00131F7A" w:rsidRPr="00EB2544" w:rsidRDefault="00131F7A" w:rsidP="009746A6">
            <w:pPr>
              <w:pStyle w:val="Tablebodytext"/>
              <w:keepNext w:val="0"/>
              <w:rPr>
                <w:lang w:eastAsia="en-AU"/>
              </w:rPr>
            </w:pPr>
            <w:r w:rsidRPr="00EB2544">
              <w:rPr>
                <w:lang w:eastAsia="en-AU"/>
              </w:rPr>
              <w:t>No response</w:t>
            </w:r>
          </w:p>
        </w:tc>
        <w:tc>
          <w:tcPr>
            <w:tcW w:w="613" w:type="pct"/>
          </w:tcPr>
          <w:p w14:paraId="697D3C57"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0480C7BA" w14:textId="77777777" w:rsidR="00131F7A" w:rsidRPr="00EB2544" w:rsidRDefault="00131F7A" w:rsidP="009746A6">
            <w:pPr>
              <w:pStyle w:val="Tablebodytext"/>
              <w:keepNext w:val="0"/>
              <w:rPr>
                <w:lang w:eastAsia="en-AU"/>
              </w:rPr>
            </w:pPr>
          </w:p>
        </w:tc>
        <w:tc>
          <w:tcPr>
            <w:tcW w:w="1048" w:type="pct"/>
          </w:tcPr>
          <w:p w14:paraId="5B7AD02F" w14:textId="77777777" w:rsidR="00131F7A" w:rsidRPr="00EB2544" w:rsidRDefault="00131F7A" w:rsidP="009746A6">
            <w:pPr>
              <w:pStyle w:val="Tablebodytext"/>
              <w:keepNext w:val="0"/>
              <w:rPr>
                <w:lang w:eastAsia="en-AU"/>
              </w:rPr>
            </w:pPr>
          </w:p>
        </w:tc>
      </w:tr>
      <w:tr w:rsidR="00131F7A" w:rsidRPr="00EB2544" w14:paraId="7936219D" w14:textId="77777777" w:rsidTr="00611018">
        <w:trPr>
          <w:trHeight w:val="320"/>
        </w:trPr>
        <w:tc>
          <w:tcPr>
            <w:tcW w:w="1173" w:type="pct"/>
            <w:vMerge w:val="restart"/>
          </w:tcPr>
          <w:p w14:paraId="154D3A87" w14:textId="77777777" w:rsidR="00131F7A" w:rsidRPr="00EB2544" w:rsidRDefault="00131F7A" w:rsidP="009746A6">
            <w:pPr>
              <w:pStyle w:val="Tablebodytext"/>
              <w:keepNext w:val="0"/>
              <w:rPr>
                <w:lang w:eastAsia="en-AU"/>
              </w:rPr>
            </w:pPr>
            <w:r w:rsidRPr="00EB2544">
              <w:rPr>
                <w:lang w:eastAsia="en-AU"/>
              </w:rPr>
              <w:t>14 - Non-managers*</w:t>
            </w:r>
          </w:p>
        </w:tc>
        <w:tc>
          <w:tcPr>
            <w:tcW w:w="1330" w:type="pct"/>
          </w:tcPr>
          <w:p w14:paraId="4ECAFC52" w14:textId="77777777" w:rsidR="00131F7A" w:rsidRPr="00EB2544" w:rsidRDefault="00131F7A" w:rsidP="009746A6">
            <w:pPr>
              <w:pStyle w:val="Tablebodytext"/>
              <w:keepNext w:val="0"/>
              <w:rPr>
                <w:lang w:eastAsia="en-AU"/>
              </w:rPr>
            </w:pPr>
            <w:r w:rsidRPr="00EB2544">
              <w:rPr>
                <w:lang w:eastAsia="en-AU"/>
              </w:rPr>
              <w:t>Based on their own performance as measured by KPIs</w:t>
            </w:r>
          </w:p>
        </w:tc>
        <w:tc>
          <w:tcPr>
            <w:tcW w:w="613" w:type="pct"/>
          </w:tcPr>
          <w:p w14:paraId="5C3EC73B"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6F6DFC6B" w14:textId="77777777" w:rsidR="00131F7A" w:rsidRPr="00EB2544" w:rsidRDefault="00131F7A" w:rsidP="009746A6">
            <w:pPr>
              <w:pStyle w:val="Tablebodytext"/>
              <w:keepNext w:val="0"/>
              <w:rPr>
                <w:lang w:eastAsia="en-AU"/>
              </w:rPr>
            </w:pPr>
            <w:r w:rsidRPr="00EB2544">
              <w:rPr>
                <w:lang w:eastAsia="en-AU"/>
              </w:rPr>
              <w:t>8.18</w:t>
            </w:r>
          </w:p>
        </w:tc>
        <w:tc>
          <w:tcPr>
            <w:tcW w:w="1048" w:type="pct"/>
            <w:tcMar>
              <w:top w:w="100" w:type="dxa"/>
              <w:left w:w="100" w:type="dxa"/>
              <w:bottom w:w="100" w:type="dxa"/>
              <w:right w:w="100" w:type="dxa"/>
            </w:tcMar>
          </w:tcPr>
          <w:p w14:paraId="69799AD7" w14:textId="77777777" w:rsidR="00131F7A" w:rsidRPr="00EB2544" w:rsidRDefault="00131F7A" w:rsidP="009746A6">
            <w:pPr>
              <w:pStyle w:val="Tablebodytext"/>
              <w:keepNext w:val="0"/>
              <w:rPr>
                <w:lang w:eastAsia="en-AU"/>
              </w:rPr>
            </w:pPr>
            <w:r w:rsidRPr="00EB2544">
              <w:rPr>
                <w:lang w:eastAsia="en-AU"/>
              </w:rPr>
              <w:t>13.16</w:t>
            </w:r>
          </w:p>
        </w:tc>
      </w:tr>
      <w:tr w:rsidR="00131F7A" w:rsidRPr="00EB2544" w14:paraId="3B62F6C8" w14:textId="77777777" w:rsidTr="00611018">
        <w:trPr>
          <w:trHeight w:val="300"/>
        </w:trPr>
        <w:tc>
          <w:tcPr>
            <w:tcW w:w="1173" w:type="pct"/>
            <w:vMerge/>
          </w:tcPr>
          <w:p w14:paraId="2CB47960" w14:textId="77777777" w:rsidR="00131F7A" w:rsidRPr="00EB2544" w:rsidRDefault="00131F7A" w:rsidP="009746A6">
            <w:pPr>
              <w:pStyle w:val="Tablebodytext"/>
              <w:keepNext w:val="0"/>
              <w:rPr>
                <w:lang w:eastAsia="en-AU"/>
              </w:rPr>
            </w:pPr>
          </w:p>
        </w:tc>
        <w:tc>
          <w:tcPr>
            <w:tcW w:w="1330" w:type="pct"/>
          </w:tcPr>
          <w:p w14:paraId="22A11CBC" w14:textId="77777777" w:rsidR="00131F7A" w:rsidRPr="00EB2544" w:rsidRDefault="00131F7A" w:rsidP="009746A6">
            <w:pPr>
              <w:pStyle w:val="Tablebodytext"/>
              <w:keepNext w:val="0"/>
              <w:rPr>
                <w:lang w:eastAsia="en-AU"/>
              </w:rPr>
            </w:pPr>
            <w:r w:rsidRPr="00EB2544">
              <w:rPr>
                <w:lang w:eastAsia="en-AU"/>
              </w:rPr>
              <w:t>Based on their team or shift performance as measured by the KPIs</w:t>
            </w:r>
          </w:p>
        </w:tc>
        <w:tc>
          <w:tcPr>
            <w:tcW w:w="613" w:type="pct"/>
          </w:tcPr>
          <w:p w14:paraId="19D82F5E" w14:textId="77777777" w:rsidR="00131F7A" w:rsidRPr="00EB2544" w:rsidRDefault="00131F7A" w:rsidP="009746A6">
            <w:pPr>
              <w:pStyle w:val="Tablebodytext"/>
              <w:keepNext w:val="0"/>
              <w:rPr>
                <w:lang w:eastAsia="en-AU"/>
              </w:rPr>
            </w:pPr>
            <w:r w:rsidRPr="00EB2544">
              <w:rPr>
                <w:lang w:eastAsia="en-AU"/>
              </w:rPr>
              <w:t>0.67</w:t>
            </w:r>
          </w:p>
        </w:tc>
        <w:tc>
          <w:tcPr>
            <w:tcW w:w="836" w:type="pct"/>
            <w:tcMar>
              <w:top w:w="100" w:type="dxa"/>
              <w:left w:w="100" w:type="dxa"/>
              <w:bottom w:w="100" w:type="dxa"/>
              <w:right w:w="100" w:type="dxa"/>
            </w:tcMar>
          </w:tcPr>
          <w:p w14:paraId="159DDF2D" w14:textId="77777777" w:rsidR="00131F7A" w:rsidRPr="00EB2544" w:rsidRDefault="00131F7A" w:rsidP="009746A6">
            <w:pPr>
              <w:pStyle w:val="Tablebodytext"/>
              <w:keepNext w:val="0"/>
              <w:rPr>
                <w:lang w:eastAsia="en-AU"/>
              </w:rPr>
            </w:pPr>
            <w:r w:rsidRPr="00EB2544">
              <w:rPr>
                <w:lang w:eastAsia="en-AU"/>
              </w:rPr>
              <w:t>1.77</w:t>
            </w:r>
          </w:p>
        </w:tc>
        <w:tc>
          <w:tcPr>
            <w:tcW w:w="1048" w:type="pct"/>
            <w:tcMar>
              <w:top w:w="100" w:type="dxa"/>
              <w:left w:w="100" w:type="dxa"/>
              <w:bottom w:w="100" w:type="dxa"/>
              <w:right w:w="100" w:type="dxa"/>
            </w:tcMar>
          </w:tcPr>
          <w:p w14:paraId="64877366" w14:textId="77777777" w:rsidR="00131F7A" w:rsidRPr="00EB2544" w:rsidRDefault="00131F7A" w:rsidP="009746A6">
            <w:pPr>
              <w:pStyle w:val="Tablebodytext"/>
              <w:keepNext w:val="0"/>
              <w:rPr>
                <w:lang w:eastAsia="en-AU"/>
              </w:rPr>
            </w:pPr>
            <w:r w:rsidRPr="00EB2544">
              <w:rPr>
                <w:lang w:eastAsia="en-AU"/>
              </w:rPr>
              <w:t>6.84</w:t>
            </w:r>
          </w:p>
        </w:tc>
      </w:tr>
      <w:tr w:rsidR="00131F7A" w:rsidRPr="00EB2544" w14:paraId="087015AD" w14:textId="77777777" w:rsidTr="00611018">
        <w:trPr>
          <w:trHeight w:val="300"/>
        </w:trPr>
        <w:tc>
          <w:tcPr>
            <w:tcW w:w="1173" w:type="pct"/>
            <w:vMerge/>
          </w:tcPr>
          <w:p w14:paraId="5EA2319E" w14:textId="77777777" w:rsidR="00131F7A" w:rsidRPr="00EB2544" w:rsidRDefault="00131F7A" w:rsidP="009746A6">
            <w:pPr>
              <w:pStyle w:val="Tablebodytext"/>
              <w:keepNext w:val="0"/>
              <w:rPr>
                <w:lang w:eastAsia="en-AU"/>
              </w:rPr>
            </w:pPr>
          </w:p>
        </w:tc>
        <w:tc>
          <w:tcPr>
            <w:tcW w:w="1330" w:type="pct"/>
          </w:tcPr>
          <w:p w14:paraId="0F5667DF" w14:textId="77777777" w:rsidR="00131F7A" w:rsidRPr="00EB2544" w:rsidRDefault="00131F7A" w:rsidP="009746A6">
            <w:pPr>
              <w:pStyle w:val="Tablebodytext"/>
              <w:keepNext w:val="0"/>
              <w:rPr>
                <w:lang w:eastAsia="en-AU"/>
              </w:rPr>
            </w:pPr>
            <w:r w:rsidRPr="00EB2544">
              <w:rPr>
                <w:lang w:eastAsia="en-AU"/>
              </w:rPr>
              <w:t>Based on the business's performance as measured by KPIs</w:t>
            </w:r>
          </w:p>
        </w:tc>
        <w:tc>
          <w:tcPr>
            <w:tcW w:w="613" w:type="pct"/>
          </w:tcPr>
          <w:p w14:paraId="00DB97F4" w14:textId="77777777" w:rsidR="00131F7A" w:rsidRPr="00EB2544" w:rsidRDefault="00131F7A" w:rsidP="009746A6">
            <w:pPr>
              <w:pStyle w:val="Tablebodytext"/>
              <w:keepNext w:val="0"/>
              <w:rPr>
                <w:lang w:eastAsia="en-AU"/>
              </w:rPr>
            </w:pPr>
            <w:r w:rsidRPr="00EB2544">
              <w:rPr>
                <w:lang w:eastAsia="en-AU"/>
              </w:rPr>
              <w:t>0.33</w:t>
            </w:r>
          </w:p>
        </w:tc>
        <w:tc>
          <w:tcPr>
            <w:tcW w:w="836" w:type="pct"/>
            <w:tcMar>
              <w:top w:w="100" w:type="dxa"/>
              <w:left w:w="100" w:type="dxa"/>
              <w:bottom w:w="100" w:type="dxa"/>
              <w:right w:w="100" w:type="dxa"/>
            </w:tcMar>
          </w:tcPr>
          <w:p w14:paraId="03611920" w14:textId="77777777" w:rsidR="00131F7A" w:rsidRPr="00EB2544" w:rsidRDefault="00131F7A" w:rsidP="009746A6">
            <w:pPr>
              <w:pStyle w:val="Tablebodytext"/>
              <w:keepNext w:val="0"/>
              <w:rPr>
                <w:lang w:eastAsia="en-AU"/>
              </w:rPr>
            </w:pPr>
            <w:r w:rsidRPr="00EB2544">
              <w:rPr>
                <w:lang w:eastAsia="en-AU"/>
              </w:rPr>
              <w:t>5.32</w:t>
            </w:r>
          </w:p>
        </w:tc>
        <w:tc>
          <w:tcPr>
            <w:tcW w:w="1048" w:type="pct"/>
            <w:tcMar>
              <w:top w:w="100" w:type="dxa"/>
              <w:left w:w="100" w:type="dxa"/>
              <w:bottom w:w="100" w:type="dxa"/>
              <w:right w:w="100" w:type="dxa"/>
            </w:tcMar>
          </w:tcPr>
          <w:p w14:paraId="3F0D9DEB" w14:textId="77777777" w:rsidR="00131F7A" w:rsidRPr="00EB2544" w:rsidRDefault="00131F7A" w:rsidP="009746A6">
            <w:pPr>
              <w:pStyle w:val="Tablebodytext"/>
              <w:keepNext w:val="0"/>
              <w:rPr>
                <w:lang w:eastAsia="en-AU"/>
              </w:rPr>
            </w:pPr>
            <w:r w:rsidRPr="00EB2544">
              <w:rPr>
                <w:lang w:eastAsia="en-AU"/>
              </w:rPr>
              <w:t>38.99</w:t>
            </w:r>
          </w:p>
        </w:tc>
      </w:tr>
      <w:tr w:rsidR="00131F7A" w:rsidRPr="00EB2544" w14:paraId="22A6B713" w14:textId="77777777" w:rsidTr="00611018">
        <w:trPr>
          <w:trHeight w:val="300"/>
        </w:trPr>
        <w:tc>
          <w:tcPr>
            <w:tcW w:w="1173" w:type="pct"/>
            <w:vMerge/>
          </w:tcPr>
          <w:p w14:paraId="4EFC4525" w14:textId="77777777" w:rsidR="00131F7A" w:rsidRPr="00EB2544" w:rsidRDefault="00131F7A" w:rsidP="009746A6">
            <w:pPr>
              <w:pStyle w:val="Tablebodytext"/>
              <w:keepNext w:val="0"/>
              <w:rPr>
                <w:lang w:eastAsia="en-AU"/>
              </w:rPr>
            </w:pPr>
          </w:p>
        </w:tc>
        <w:tc>
          <w:tcPr>
            <w:tcW w:w="1330" w:type="pct"/>
          </w:tcPr>
          <w:p w14:paraId="3EF5783B" w14:textId="77777777" w:rsidR="00131F7A" w:rsidRPr="00EB2544" w:rsidRDefault="00131F7A" w:rsidP="009746A6">
            <w:pPr>
              <w:pStyle w:val="Tablebodytext"/>
              <w:keepNext w:val="0"/>
              <w:rPr>
                <w:lang w:eastAsia="en-AU"/>
              </w:rPr>
            </w:pPr>
            <w:r w:rsidRPr="00EB2544">
              <w:rPr>
                <w:lang w:eastAsia="en-AU"/>
              </w:rPr>
              <w:t>No performance bonus system</w:t>
            </w:r>
          </w:p>
        </w:tc>
        <w:tc>
          <w:tcPr>
            <w:tcW w:w="613" w:type="pct"/>
          </w:tcPr>
          <w:p w14:paraId="6A123677"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57C05490" w14:textId="77777777" w:rsidR="00131F7A" w:rsidRPr="00EB2544" w:rsidRDefault="00131F7A" w:rsidP="009746A6">
            <w:pPr>
              <w:pStyle w:val="Tablebodytext"/>
              <w:keepNext w:val="0"/>
              <w:rPr>
                <w:lang w:eastAsia="en-AU"/>
              </w:rPr>
            </w:pPr>
            <w:r w:rsidRPr="00EB2544">
              <w:rPr>
                <w:lang w:eastAsia="en-AU"/>
              </w:rPr>
              <w:t>84.70</w:t>
            </w:r>
          </w:p>
        </w:tc>
        <w:tc>
          <w:tcPr>
            <w:tcW w:w="1048" w:type="pct"/>
            <w:tcMar>
              <w:top w:w="100" w:type="dxa"/>
              <w:left w:w="100" w:type="dxa"/>
              <w:bottom w:w="100" w:type="dxa"/>
              <w:right w:w="100" w:type="dxa"/>
            </w:tcMar>
          </w:tcPr>
          <w:p w14:paraId="0878F048" w14:textId="77777777" w:rsidR="00131F7A" w:rsidRPr="00EB2544" w:rsidRDefault="00131F7A" w:rsidP="009746A6">
            <w:pPr>
              <w:pStyle w:val="Tablebodytext"/>
              <w:keepNext w:val="0"/>
              <w:rPr>
                <w:lang w:eastAsia="en-AU"/>
              </w:rPr>
            </w:pPr>
            <w:r w:rsidRPr="00EB2544">
              <w:rPr>
                <w:lang w:eastAsia="en-AU"/>
              </w:rPr>
              <w:t>54.40</w:t>
            </w:r>
          </w:p>
        </w:tc>
      </w:tr>
      <w:tr w:rsidR="00131F7A" w:rsidRPr="00EB2544" w14:paraId="5FDA80CE" w14:textId="77777777" w:rsidTr="00611018">
        <w:trPr>
          <w:trHeight w:val="91"/>
        </w:trPr>
        <w:tc>
          <w:tcPr>
            <w:tcW w:w="1173" w:type="pct"/>
            <w:vMerge/>
          </w:tcPr>
          <w:p w14:paraId="70CA213A" w14:textId="77777777" w:rsidR="00131F7A" w:rsidRPr="00EB2544" w:rsidRDefault="00131F7A" w:rsidP="009746A6">
            <w:pPr>
              <w:pStyle w:val="Tablebodytext"/>
              <w:keepNext w:val="0"/>
              <w:rPr>
                <w:lang w:eastAsia="en-AU"/>
              </w:rPr>
            </w:pPr>
          </w:p>
        </w:tc>
        <w:tc>
          <w:tcPr>
            <w:tcW w:w="1330" w:type="pct"/>
          </w:tcPr>
          <w:p w14:paraId="1569994C" w14:textId="77777777" w:rsidR="00131F7A" w:rsidRPr="00EB2544" w:rsidRDefault="00131F7A" w:rsidP="009746A6">
            <w:pPr>
              <w:pStyle w:val="Tablebodytext"/>
              <w:keepNext w:val="0"/>
              <w:rPr>
                <w:lang w:eastAsia="en-AU"/>
              </w:rPr>
            </w:pPr>
            <w:r w:rsidRPr="00EB2544">
              <w:rPr>
                <w:lang w:eastAsia="en-AU"/>
              </w:rPr>
              <w:t>Other</w:t>
            </w:r>
          </w:p>
        </w:tc>
        <w:tc>
          <w:tcPr>
            <w:tcW w:w="613" w:type="pct"/>
          </w:tcPr>
          <w:p w14:paraId="0F2AA964"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72B11E51" w14:textId="77777777" w:rsidR="00131F7A" w:rsidRPr="00EB2544" w:rsidRDefault="00131F7A" w:rsidP="009746A6">
            <w:pPr>
              <w:pStyle w:val="Tablebodytext"/>
              <w:keepNext w:val="0"/>
              <w:rPr>
                <w:lang w:eastAsia="en-AU"/>
              </w:rPr>
            </w:pPr>
            <w:r w:rsidRPr="00EB2544">
              <w:rPr>
                <w:lang w:eastAsia="en-AU"/>
              </w:rPr>
              <w:t>-</w:t>
            </w:r>
          </w:p>
        </w:tc>
        <w:tc>
          <w:tcPr>
            <w:tcW w:w="1048" w:type="pct"/>
          </w:tcPr>
          <w:p w14:paraId="0FE50416" w14:textId="77777777" w:rsidR="00131F7A" w:rsidRPr="00EB2544" w:rsidRDefault="00131F7A" w:rsidP="009746A6">
            <w:pPr>
              <w:pStyle w:val="Tablebodytext"/>
              <w:keepNext w:val="0"/>
              <w:rPr>
                <w:lang w:eastAsia="en-AU"/>
              </w:rPr>
            </w:pPr>
            <w:r w:rsidRPr="00EB2544">
              <w:rPr>
                <w:lang w:eastAsia="en-AU"/>
              </w:rPr>
              <w:t>-</w:t>
            </w:r>
          </w:p>
        </w:tc>
      </w:tr>
      <w:tr w:rsidR="00131F7A" w:rsidRPr="00EB2544" w14:paraId="37C24A54" w14:textId="77777777" w:rsidTr="00611018">
        <w:trPr>
          <w:trHeight w:val="260"/>
        </w:trPr>
        <w:tc>
          <w:tcPr>
            <w:tcW w:w="1173" w:type="pct"/>
            <w:vMerge w:val="restart"/>
          </w:tcPr>
          <w:p w14:paraId="5C8C3D3F" w14:textId="77777777" w:rsidR="00131F7A" w:rsidRPr="00EB2544" w:rsidRDefault="00131F7A" w:rsidP="009746A6">
            <w:pPr>
              <w:pStyle w:val="Tablebodytext"/>
              <w:keepNext w:val="0"/>
              <w:rPr>
                <w:lang w:eastAsia="en-AU"/>
              </w:rPr>
            </w:pPr>
            <w:r w:rsidRPr="00EB2544">
              <w:rPr>
                <w:lang w:eastAsia="en-AU"/>
              </w:rPr>
              <w:t>15- Non-managers</w:t>
            </w:r>
          </w:p>
        </w:tc>
        <w:tc>
          <w:tcPr>
            <w:tcW w:w="1330" w:type="pct"/>
          </w:tcPr>
          <w:p w14:paraId="0B166EA2" w14:textId="77777777" w:rsidR="00131F7A" w:rsidRPr="00EB2544" w:rsidRDefault="00131F7A" w:rsidP="009746A6">
            <w:pPr>
              <w:pStyle w:val="Tablebodytext"/>
              <w:keepNext w:val="0"/>
              <w:rPr>
                <w:lang w:eastAsia="en-AU"/>
              </w:rPr>
            </w:pPr>
            <w:r w:rsidRPr="00EB2544">
              <w:rPr>
                <w:lang w:eastAsia="en-AU"/>
              </w:rPr>
              <w:t>No performance bonus paid</w:t>
            </w:r>
          </w:p>
        </w:tc>
        <w:tc>
          <w:tcPr>
            <w:tcW w:w="613" w:type="pct"/>
          </w:tcPr>
          <w:p w14:paraId="769F0109"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4CF79B59" w14:textId="77777777" w:rsidR="00131F7A" w:rsidRPr="00EB2544" w:rsidRDefault="00131F7A" w:rsidP="009746A6">
            <w:pPr>
              <w:pStyle w:val="Tablebodytext"/>
              <w:keepNext w:val="0"/>
              <w:rPr>
                <w:lang w:eastAsia="en-AU"/>
              </w:rPr>
            </w:pPr>
            <w:r w:rsidRPr="00EB2544">
              <w:rPr>
                <w:lang w:eastAsia="en-AU"/>
              </w:rPr>
              <w:t>86.20</w:t>
            </w:r>
          </w:p>
        </w:tc>
        <w:tc>
          <w:tcPr>
            <w:tcW w:w="1048" w:type="pct"/>
            <w:tcMar>
              <w:top w:w="100" w:type="dxa"/>
              <w:left w:w="100" w:type="dxa"/>
              <w:bottom w:w="100" w:type="dxa"/>
              <w:right w:w="100" w:type="dxa"/>
            </w:tcMar>
          </w:tcPr>
          <w:p w14:paraId="520F8085" w14:textId="77777777" w:rsidR="00131F7A" w:rsidRPr="00EB2544" w:rsidRDefault="00131F7A" w:rsidP="009746A6">
            <w:pPr>
              <w:pStyle w:val="Tablebodytext"/>
              <w:keepNext w:val="0"/>
              <w:rPr>
                <w:lang w:eastAsia="en-AU"/>
              </w:rPr>
            </w:pPr>
            <w:r w:rsidRPr="00EB2544">
              <w:rPr>
                <w:lang w:eastAsia="en-AU"/>
              </w:rPr>
              <w:t>58.02</w:t>
            </w:r>
          </w:p>
        </w:tc>
      </w:tr>
      <w:tr w:rsidR="00131F7A" w:rsidRPr="00EB2544" w14:paraId="468E58A2" w14:textId="77777777" w:rsidTr="00611018">
        <w:trPr>
          <w:trHeight w:val="300"/>
        </w:trPr>
        <w:tc>
          <w:tcPr>
            <w:tcW w:w="1173" w:type="pct"/>
            <w:vMerge/>
          </w:tcPr>
          <w:p w14:paraId="33AA5474" w14:textId="77777777" w:rsidR="00131F7A" w:rsidRPr="00EB2544" w:rsidRDefault="00131F7A" w:rsidP="009746A6">
            <w:pPr>
              <w:pStyle w:val="Tablebodytext"/>
              <w:keepNext w:val="0"/>
              <w:rPr>
                <w:lang w:eastAsia="en-AU"/>
              </w:rPr>
            </w:pPr>
          </w:p>
        </w:tc>
        <w:tc>
          <w:tcPr>
            <w:tcW w:w="1330" w:type="pct"/>
          </w:tcPr>
          <w:p w14:paraId="2876BB1C" w14:textId="77777777" w:rsidR="00131F7A" w:rsidRPr="00EB2544" w:rsidRDefault="00131F7A" w:rsidP="009746A6">
            <w:pPr>
              <w:pStyle w:val="Tablebodytext"/>
              <w:keepNext w:val="0"/>
              <w:rPr>
                <w:lang w:eastAsia="en-AU"/>
              </w:rPr>
            </w:pPr>
            <w:r w:rsidRPr="00EB2544">
              <w:rPr>
                <w:lang w:eastAsia="en-AU"/>
              </w:rPr>
              <w:t>1-33% (up to one third)</w:t>
            </w:r>
          </w:p>
        </w:tc>
        <w:tc>
          <w:tcPr>
            <w:tcW w:w="613" w:type="pct"/>
          </w:tcPr>
          <w:p w14:paraId="6DF4FA42" w14:textId="77777777" w:rsidR="00131F7A" w:rsidRPr="00EB2544" w:rsidRDefault="00131F7A" w:rsidP="009746A6">
            <w:pPr>
              <w:pStyle w:val="Tablebodytext"/>
              <w:keepNext w:val="0"/>
              <w:rPr>
                <w:lang w:eastAsia="en-AU"/>
              </w:rPr>
            </w:pPr>
            <w:r w:rsidRPr="00EB2544">
              <w:rPr>
                <w:lang w:eastAsia="en-AU"/>
              </w:rPr>
              <w:t>0.25</w:t>
            </w:r>
          </w:p>
        </w:tc>
        <w:tc>
          <w:tcPr>
            <w:tcW w:w="836" w:type="pct"/>
            <w:tcMar>
              <w:top w:w="100" w:type="dxa"/>
              <w:left w:w="100" w:type="dxa"/>
              <w:bottom w:w="100" w:type="dxa"/>
              <w:right w:w="100" w:type="dxa"/>
            </w:tcMar>
          </w:tcPr>
          <w:p w14:paraId="6A31B50D" w14:textId="77777777" w:rsidR="00131F7A" w:rsidRPr="00EB2544" w:rsidRDefault="00131F7A" w:rsidP="009746A6">
            <w:pPr>
              <w:pStyle w:val="Tablebodytext"/>
              <w:keepNext w:val="0"/>
              <w:rPr>
                <w:lang w:eastAsia="en-AU"/>
              </w:rPr>
            </w:pPr>
            <w:r w:rsidRPr="00EB2544">
              <w:rPr>
                <w:lang w:eastAsia="en-AU"/>
              </w:rPr>
              <w:t>5.84</w:t>
            </w:r>
          </w:p>
        </w:tc>
        <w:tc>
          <w:tcPr>
            <w:tcW w:w="1048" w:type="pct"/>
            <w:tcMar>
              <w:top w:w="100" w:type="dxa"/>
              <w:left w:w="100" w:type="dxa"/>
              <w:bottom w:w="100" w:type="dxa"/>
              <w:right w:w="100" w:type="dxa"/>
            </w:tcMar>
          </w:tcPr>
          <w:p w14:paraId="0FFBB653" w14:textId="77777777" w:rsidR="00131F7A" w:rsidRPr="00EB2544" w:rsidRDefault="00131F7A" w:rsidP="009746A6">
            <w:pPr>
              <w:pStyle w:val="Tablebodytext"/>
              <w:keepNext w:val="0"/>
              <w:rPr>
                <w:lang w:eastAsia="en-AU"/>
              </w:rPr>
            </w:pPr>
            <w:r w:rsidRPr="00EB2544">
              <w:rPr>
                <w:lang w:eastAsia="en-AU"/>
              </w:rPr>
              <w:t>8.23</w:t>
            </w:r>
          </w:p>
        </w:tc>
      </w:tr>
      <w:tr w:rsidR="00131F7A" w:rsidRPr="00EB2544" w14:paraId="23977021" w14:textId="77777777" w:rsidTr="00611018">
        <w:trPr>
          <w:trHeight w:val="300"/>
        </w:trPr>
        <w:tc>
          <w:tcPr>
            <w:tcW w:w="1173" w:type="pct"/>
            <w:vMerge/>
          </w:tcPr>
          <w:p w14:paraId="5DEB0775" w14:textId="77777777" w:rsidR="00131F7A" w:rsidRPr="00EB2544" w:rsidRDefault="00131F7A" w:rsidP="009746A6">
            <w:pPr>
              <w:pStyle w:val="Tablebodytext"/>
              <w:keepNext w:val="0"/>
              <w:rPr>
                <w:lang w:eastAsia="en-AU"/>
              </w:rPr>
            </w:pPr>
          </w:p>
        </w:tc>
        <w:tc>
          <w:tcPr>
            <w:tcW w:w="1330" w:type="pct"/>
          </w:tcPr>
          <w:p w14:paraId="1C89EDB8" w14:textId="77777777" w:rsidR="00131F7A" w:rsidRPr="00EB2544" w:rsidRDefault="00131F7A" w:rsidP="009746A6">
            <w:pPr>
              <w:pStyle w:val="Tablebodytext"/>
              <w:keepNext w:val="0"/>
              <w:rPr>
                <w:lang w:eastAsia="en-AU"/>
              </w:rPr>
            </w:pPr>
            <w:r w:rsidRPr="00EB2544">
              <w:rPr>
                <w:lang w:eastAsia="en-AU"/>
              </w:rPr>
              <w:t>34-66% (up to two thirds)</w:t>
            </w:r>
          </w:p>
        </w:tc>
        <w:tc>
          <w:tcPr>
            <w:tcW w:w="613" w:type="pct"/>
          </w:tcPr>
          <w:p w14:paraId="727179FE" w14:textId="77777777" w:rsidR="00131F7A" w:rsidRPr="00EB2544" w:rsidRDefault="00131F7A" w:rsidP="009746A6">
            <w:pPr>
              <w:pStyle w:val="Tablebodytext"/>
              <w:keepNext w:val="0"/>
              <w:rPr>
                <w:lang w:eastAsia="en-AU"/>
              </w:rPr>
            </w:pPr>
            <w:r w:rsidRPr="00EB2544">
              <w:rPr>
                <w:lang w:eastAsia="en-AU"/>
              </w:rPr>
              <w:t>0.50</w:t>
            </w:r>
          </w:p>
        </w:tc>
        <w:tc>
          <w:tcPr>
            <w:tcW w:w="836" w:type="pct"/>
            <w:tcMar>
              <w:top w:w="100" w:type="dxa"/>
              <w:left w:w="100" w:type="dxa"/>
              <w:bottom w:w="100" w:type="dxa"/>
              <w:right w:w="100" w:type="dxa"/>
            </w:tcMar>
          </w:tcPr>
          <w:p w14:paraId="0661F06D" w14:textId="77777777" w:rsidR="00131F7A" w:rsidRPr="00EB2544" w:rsidRDefault="00131F7A" w:rsidP="009746A6">
            <w:pPr>
              <w:pStyle w:val="Tablebodytext"/>
              <w:keepNext w:val="0"/>
              <w:rPr>
                <w:lang w:eastAsia="en-AU"/>
              </w:rPr>
            </w:pPr>
            <w:r w:rsidRPr="00EB2544">
              <w:rPr>
                <w:lang w:eastAsia="en-AU"/>
              </w:rPr>
              <w:t>1.58</w:t>
            </w:r>
          </w:p>
        </w:tc>
        <w:tc>
          <w:tcPr>
            <w:tcW w:w="1048" w:type="pct"/>
            <w:tcMar>
              <w:top w:w="100" w:type="dxa"/>
              <w:left w:w="100" w:type="dxa"/>
              <w:bottom w:w="100" w:type="dxa"/>
              <w:right w:w="100" w:type="dxa"/>
            </w:tcMar>
          </w:tcPr>
          <w:p w14:paraId="76512F7B" w14:textId="77777777" w:rsidR="00131F7A" w:rsidRPr="00EB2544" w:rsidRDefault="00131F7A" w:rsidP="009746A6">
            <w:pPr>
              <w:pStyle w:val="Tablebodytext"/>
              <w:keepNext w:val="0"/>
              <w:rPr>
                <w:lang w:eastAsia="en-AU"/>
              </w:rPr>
            </w:pPr>
            <w:r w:rsidRPr="00EB2544">
              <w:rPr>
                <w:lang w:eastAsia="en-AU"/>
              </w:rPr>
              <w:t>2.52</w:t>
            </w:r>
          </w:p>
        </w:tc>
      </w:tr>
      <w:tr w:rsidR="00131F7A" w:rsidRPr="00EB2544" w14:paraId="3CACC8B2" w14:textId="77777777" w:rsidTr="00611018">
        <w:trPr>
          <w:trHeight w:val="300"/>
        </w:trPr>
        <w:tc>
          <w:tcPr>
            <w:tcW w:w="1173" w:type="pct"/>
            <w:vMerge/>
          </w:tcPr>
          <w:p w14:paraId="03B571F1" w14:textId="77777777" w:rsidR="00131F7A" w:rsidRPr="00EB2544" w:rsidRDefault="00131F7A" w:rsidP="009746A6">
            <w:pPr>
              <w:pStyle w:val="Tablebodytext"/>
              <w:keepNext w:val="0"/>
              <w:rPr>
                <w:lang w:eastAsia="en-AU"/>
              </w:rPr>
            </w:pPr>
          </w:p>
        </w:tc>
        <w:tc>
          <w:tcPr>
            <w:tcW w:w="1330" w:type="pct"/>
          </w:tcPr>
          <w:p w14:paraId="62E0D6C2" w14:textId="77777777" w:rsidR="00131F7A" w:rsidRPr="00EB2544" w:rsidRDefault="00131F7A" w:rsidP="009746A6">
            <w:pPr>
              <w:pStyle w:val="Tablebodytext"/>
              <w:keepNext w:val="0"/>
              <w:rPr>
                <w:lang w:eastAsia="en-AU"/>
              </w:rPr>
            </w:pPr>
            <w:r w:rsidRPr="00EB2544">
              <w:rPr>
                <w:lang w:eastAsia="en-AU"/>
              </w:rPr>
              <w:t>67-99% (more than two thirds to almost all)</w:t>
            </w:r>
          </w:p>
        </w:tc>
        <w:tc>
          <w:tcPr>
            <w:tcW w:w="613" w:type="pct"/>
          </w:tcPr>
          <w:p w14:paraId="669BB0C2" w14:textId="77777777" w:rsidR="00131F7A" w:rsidRPr="00EB2544" w:rsidRDefault="00131F7A" w:rsidP="009746A6">
            <w:pPr>
              <w:pStyle w:val="Tablebodytext"/>
              <w:keepNext w:val="0"/>
              <w:rPr>
                <w:lang w:eastAsia="en-AU"/>
              </w:rPr>
            </w:pPr>
            <w:r w:rsidRPr="00EB2544">
              <w:rPr>
                <w:lang w:eastAsia="en-AU"/>
              </w:rPr>
              <w:t>0.75</w:t>
            </w:r>
          </w:p>
        </w:tc>
        <w:tc>
          <w:tcPr>
            <w:tcW w:w="836" w:type="pct"/>
            <w:tcMar>
              <w:top w:w="100" w:type="dxa"/>
              <w:left w:w="100" w:type="dxa"/>
              <w:bottom w:w="100" w:type="dxa"/>
              <w:right w:w="100" w:type="dxa"/>
            </w:tcMar>
          </w:tcPr>
          <w:p w14:paraId="7DD8EBF9" w14:textId="77777777" w:rsidR="00131F7A" w:rsidRPr="00EB2544" w:rsidRDefault="00131F7A" w:rsidP="009746A6">
            <w:pPr>
              <w:pStyle w:val="Tablebodytext"/>
              <w:keepNext w:val="0"/>
              <w:rPr>
                <w:lang w:eastAsia="en-AU"/>
              </w:rPr>
            </w:pPr>
            <w:r w:rsidRPr="00EB2544">
              <w:rPr>
                <w:lang w:eastAsia="en-AU"/>
              </w:rPr>
              <w:t>2.30</w:t>
            </w:r>
          </w:p>
        </w:tc>
        <w:tc>
          <w:tcPr>
            <w:tcW w:w="1048" w:type="pct"/>
            <w:tcMar>
              <w:top w:w="100" w:type="dxa"/>
              <w:left w:w="100" w:type="dxa"/>
              <w:bottom w:w="100" w:type="dxa"/>
              <w:right w:w="100" w:type="dxa"/>
            </w:tcMar>
          </w:tcPr>
          <w:p w14:paraId="05E1A613" w14:textId="77777777" w:rsidR="00131F7A" w:rsidRPr="00EB2544" w:rsidRDefault="00131F7A" w:rsidP="009746A6">
            <w:pPr>
              <w:pStyle w:val="Tablebodytext"/>
              <w:keepNext w:val="0"/>
              <w:rPr>
                <w:lang w:eastAsia="en-AU"/>
              </w:rPr>
            </w:pPr>
            <w:r w:rsidRPr="00EB2544">
              <w:rPr>
                <w:lang w:eastAsia="en-AU"/>
              </w:rPr>
              <w:t>7.87</w:t>
            </w:r>
          </w:p>
        </w:tc>
      </w:tr>
      <w:tr w:rsidR="00131F7A" w:rsidRPr="00EB2544" w14:paraId="53670744" w14:textId="77777777" w:rsidTr="00611018">
        <w:trPr>
          <w:trHeight w:val="300"/>
        </w:trPr>
        <w:tc>
          <w:tcPr>
            <w:tcW w:w="1173" w:type="pct"/>
            <w:vMerge/>
          </w:tcPr>
          <w:p w14:paraId="4B9C2B6E" w14:textId="77777777" w:rsidR="00131F7A" w:rsidRPr="00EB2544" w:rsidRDefault="00131F7A" w:rsidP="009746A6">
            <w:pPr>
              <w:pStyle w:val="Tablebodytext"/>
              <w:keepNext w:val="0"/>
              <w:rPr>
                <w:lang w:eastAsia="en-AU"/>
              </w:rPr>
            </w:pPr>
          </w:p>
        </w:tc>
        <w:tc>
          <w:tcPr>
            <w:tcW w:w="1330" w:type="pct"/>
          </w:tcPr>
          <w:p w14:paraId="413B01D6" w14:textId="77777777" w:rsidR="00131F7A" w:rsidRPr="00EB2544" w:rsidRDefault="00131F7A" w:rsidP="009746A6">
            <w:pPr>
              <w:pStyle w:val="Tablebodytext"/>
              <w:keepNext w:val="0"/>
              <w:rPr>
                <w:lang w:eastAsia="en-AU"/>
              </w:rPr>
            </w:pPr>
            <w:r w:rsidRPr="00EB2544">
              <w:rPr>
                <w:lang w:eastAsia="en-AU"/>
              </w:rPr>
              <w:t>100% (all)</w:t>
            </w:r>
          </w:p>
        </w:tc>
        <w:tc>
          <w:tcPr>
            <w:tcW w:w="613" w:type="pct"/>
          </w:tcPr>
          <w:p w14:paraId="0FC257A5"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2DA913CF" w14:textId="77777777" w:rsidR="00131F7A" w:rsidRPr="00EB2544" w:rsidRDefault="00131F7A" w:rsidP="009746A6">
            <w:pPr>
              <w:pStyle w:val="Tablebodytext"/>
              <w:keepNext w:val="0"/>
              <w:rPr>
                <w:lang w:eastAsia="en-AU"/>
              </w:rPr>
            </w:pPr>
            <w:r w:rsidRPr="00EB2544">
              <w:rPr>
                <w:lang w:eastAsia="en-AU"/>
              </w:rPr>
              <w:t>4.07</w:t>
            </w:r>
          </w:p>
        </w:tc>
        <w:tc>
          <w:tcPr>
            <w:tcW w:w="1048" w:type="pct"/>
            <w:tcMar>
              <w:top w:w="100" w:type="dxa"/>
              <w:left w:w="100" w:type="dxa"/>
              <w:bottom w:w="100" w:type="dxa"/>
              <w:right w:w="100" w:type="dxa"/>
            </w:tcMar>
          </w:tcPr>
          <w:p w14:paraId="4A69AEE3" w14:textId="77777777" w:rsidR="00131F7A" w:rsidRPr="00EB2544" w:rsidRDefault="00131F7A" w:rsidP="009746A6">
            <w:pPr>
              <w:pStyle w:val="Tablebodytext"/>
              <w:keepNext w:val="0"/>
              <w:rPr>
                <w:lang w:eastAsia="en-AU"/>
              </w:rPr>
            </w:pPr>
            <w:r w:rsidRPr="00EB2544">
              <w:rPr>
                <w:lang w:eastAsia="en-AU"/>
              </w:rPr>
              <w:t>23.36</w:t>
            </w:r>
          </w:p>
        </w:tc>
      </w:tr>
      <w:tr w:rsidR="00131F7A" w:rsidRPr="00EB2544" w14:paraId="1DCEC8FD" w14:textId="77777777" w:rsidTr="00611018">
        <w:trPr>
          <w:trHeight w:val="300"/>
        </w:trPr>
        <w:tc>
          <w:tcPr>
            <w:tcW w:w="1173" w:type="pct"/>
            <w:vMerge/>
          </w:tcPr>
          <w:p w14:paraId="328E9C83" w14:textId="77777777" w:rsidR="00131F7A" w:rsidRPr="00EB2544" w:rsidRDefault="00131F7A" w:rsidP="009746A6">
            <w:pPr>
              <w:pStyle w:val="Tablebodytext"/>
              <w:keepNext w:val="0"/>
              <w:rPr>
                <w:lang w:eastAsia="en-AU"/>
              </w:rPr>
            </w:pPr>
          </w:p>
        </w:tc>
        <w:tc>
          <w:tcPr>
            <w:tcW w:w="1330" w:type="pct"/>
          </w:tcPr>
          <w:p w14:paraId="24171B25" w14:textId="77777777" w:rsidR="00131F7A" w:rsidRPr="00EB2544" w:rsidRDefault="00131F7A" w:rsidP="009746A6">
            <w:pPr>
              <w:pStyle w:val="Tablebodytext"/>
              <w:keepNext w:val="0"/>
              <w:rPr>
                <w:lang w:eastAsia="en-AU"/>
              </w:rPr>
            </w:pPr>
            <w:r w:rsidRPr="00EB2544">
              <w:rPr>
                <w:lang w:eastAsia="en-AU"/>
              </w:rPr>
              <w:t>No response</w:t>
            </w:r>
          </w:p>
        </w:tc>
        <w:tc>
          <w:tcPr>
            <w:tcW w:w="613" w:type="pct"/>
          </w:tcPr>
          <w:p w14:paraId="25790DD8"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3014E22C" w14:textId="77777777" w:rsidR="00131F7A" w:rsidRPr="00EB2544" w:rsidRDefault="00131F7A" w:rsidP="009746A6">
            <w:pPr>
              <w:pStyle w:val="Tablebodytext"/>
              <w:keepNext w:val="0"/>
              <w:rPr>
                <w:lang w:eastAsia="en-AU"/>
              </w:rPr>
            </w:pPr>
            <w:r w:rsidRPr="00EB2544">
              <w:rPr>
                <w:lang w:eastAsia="en-AU"/>
              </w:rPr>
              <w:t>-</w:t>
            </w:r>
          </w:p>
        </w:tc>
        <w:tc>
          <w:tcPr>
            <w:tcW w:w="1048" w:type="pct"/>
          </w:tcPr>
          <w:p w14:paraId="2C358F7F" w14:textId="77777777" w:rsidR="00131F7A" w:rsidRPr="00EB2544" w:rsidRDefault="00131F7A" w:rsidP="009746A6">
            <w:pPr>
              <w:pStyle w:val="Tablebodytext"/>
              <w:keepNext w:val="0"/>
              <w:rPr>
                <w:lang w:eastAsia="en-AU"/>
              </w:rPr>
            </w:pPr>
            <w:r w:rsidRPr="00EB2544">
              <w:rPr>
                <w:lang w:eastAsia="en-AU"/>
              </w:rPr>
              <w:t>-</w:t>
            </w:r>
          </w:p>
        </w:tc>
      </w:tr>
      <w:tr w:rsidR="00131F7A" w:rsidRPr="00EB2544" w14:paraId="12FADBF3" w14:textId="77777777" w:rsidTr="00611018">
        <w:trPr>
          <w:trHeight w:val="320"/>
        </w:trPr>
        <w:tc>
          <w:tcPr>
            <w:tcW w:w="1173" w:type="pct"/>
            <w:vMerge w:val="restart"/>
          </w:tcPr>
          <w:p w14:paraId="21016130" w14:textId="77777777" w:rsidR="00131F7A" w:rsidRPr="00EB2544" w:rsidRDefault="00131F7A" w:rsidP="009746A6">
            <w:pPr>
              <w:pStyle w:val="Tablebodytext"/>
              <w:keepNext w:val="0"/>
              <w:rPr>
                <w:lang w:eastAsia="en-AU"/>
              </w:rPr>
            </w:pPr>
            <w:r w:rsidRPr="00EB2544">
              <w:rPr>
                <w:lang w:eastAsia="en-AU"/>
              </w:rPr>
              <w:lastRenderedPageBreak/>
              <w:t>14-Managers*</w:t>
            </w:r>
          </w:p>
        </w:tc>
        <w:tc>
          <w:tcPr>
            <w:tcW w:w="1330" w:type="pct"/>
          </w:tcPr>
          <w:p w14:paraId="4CFA28A8" w14:textId="77777777" w:rsidR="00131F7A" w:rsidRPr="00EB2544" w:rsidRDefault="00131F7A" w:rsidP="009746A6">
            <w:pPr>
              <w:pStyle w:val="Tablebodytext"/>
              <w:keepNext w:val="0"/>
              <w:rPr>
                <w:lang w:eastAsia="en-AU"/>
              </w:rPr>
            </w:pPr>
            <w:r w:rsidRPr="00EB2544">
              <w:rPr>
                <w:lang w:eastAsia="en-AU"/>
              </w:rPr>
              <w:t>Based on their own performance as measured by KPIs</w:t>
            </w:r>
          </w:p>
        </w:tc>
        <w:tc>
          <w:tcPr>
            <w:tcW w:w="613" w:type="pct"/>
          </w:tcPr>
          <w:p w14:paraId="33F6940B"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159A29C3" w14:textId="77777777" w:rsidR="00131F7A" w:rsidRPr="00EB2544" w:rsidRDefault="00131F7A" w:rsidP="009746A6">
            <w:pPr>
              <w:pStyle w:val="Tablebodytext"/>
              <w:keepNext w:val="0"/>
              <w:rPr>
                <w:lang w:eastAsia="en-AU"/>
              </w:rPr>
            </w:pPr>
            <w:r w:rsidRPr="00EB2544">
              <w:rPr>
                <w:lang w:eastAsia="en-AU"/>
              </w:rPr>
              <w:t>9.84</w:t>
            </w:r>
          </w:p>
        </w:tc>
        <w:tc>
          <w:tcPr>
            <w:tcW w:w="1048" w:type="pct"/>
            <w:tcMar>
              <w:top w:w="100" w:type="dxa"/>
              <w:left w:w="100" w:type="dxa"/>
              <w:bottom w:w="100" w:type="dxa"/>
              <w:right w:w="100" w:type="dxa"/>
            </w:tcMar>
          </w:tcPr>
          <w:p w14:paraId="5640E76B" w14:textId="77777777" w:rsidR="00131F7A" w:rsidRPr="00EB2544" w:rsidRDefault="00131F7A" w:rsidP="009746A6">
            <w:pPr>
              <w:pStyle w:val="Tablebodytext"/>
              <w:keepNext w:val="0"/>
              <w:rPr>
                <w:lang w:eastAsia="en-AU"/>
              </w:rPr>
            </w:pPr>
            <w:r w:rsidRPr="00EB2544">
              <w:rPr>
                <w:lang w:eastAsia="en-AU"/>
              </w:rPr>
              <w:t>17.64</w:t>
            </w:r>
          </w:p>
        </w:tc>
      </w:tr>
      <w:tr w:rsidR="00131F7A" w:rsidRPr="00EB2544" w14:paraId="0E699C5F" w14:textId="77777777" w:rsidTr="00611018">
        <w:trPr>
          <w:trHeight w:val="300"/>
        </w:trPr>
        <w:tc>
          <w:tcPr>
            <w:tcW w:w="1173" w:type="pct"/>
            <w:vMerge/>
          </w:tcPr>
          <w:p w14:paraId="3CD4B838" w14:textId="77777777" w:rsidR="00131F7A" w:rsidRPr="00EB2544" w:rsidRDefault="00131F7A" w:rsidP="009746A6">
            <w:pPr>
              <w:pStyle w:val="Tablebodytext"/>
              <w:keepNext w:val="0"/>
              <w:rPr>
                <w:lang w:eastAsia="en-AU"/>
              </w:rPr>
            </w:pPr>
          </w:p>
        </w:tc>
        <w:tc>
          <w:tcPr>
            <w:tcW w:w="1330" w:type="pct"/>
          </w:tcPr>
          <w:p w14:paraId="47AC0600" w14:textId="77777777" w:rsidR="00131F7A" w:rsidRPr="00EB2544" w:rsidRDefault="00131F7A" w:rsidP="009746A6">
            <w:pPr>
              <w:pStyle w:val="Tablebodytext"/>
              <w:keepNext w:val="0"/>
              <w:rPr>
                <w:lang w:eastAsia="en-AU"/>
              </w:rPr>
            </w:pPr>
            <w:r w:rsidRPr="00EB2544">
              <w:rPr>
                <w:lang w:eastAsia="en-AU"/>
              </w:rPr>
              <w:t>Based on their team or shift performance as measured by the KPIs</w:t>
            </w:r>
          </w:p>
        </w:tc>
        <w:tc>
          <w:tcPr>
            <w:tcW w:w="613" w:type="pct"/>
          </w:tcPr>
          <w:p w14:paraId="2D6EF6AF" w14:textId="77777777" w:rsidR="00131F7A" w:rsidRPr="00EB2544" w:rsidRDefault="00131F7A" w:rsidP="009746A6">
            <w:pPr>
              <w:pStyle w:val="Tablebodytext"/>
              <w:keepNext w:val="0"/>
              <w:rPr>
                <w:lang w:eastAsia="en-AU"/>
              </w:rPr>
            </w:pPr>
            <w:r w:rsidRPr="00EB2544">
              <w:rPr>
                <w:lang w:eastAsia="en-AU"/>
              </w:rPr>
              <w:t>0.67</w:t>
            </w:r>
          </w:p>
        </w:tc>
        <w:tc>
          <w:tcPr>
            <w:tcW w:w="836" w:type="pct"/>
            <w:tcMar>
              <w:top w:w="100" w:type="dxa"/>
              <w:left w:w="100" w:type="dxa"/>
              <w:bottom w:w="100" w:type="dxa"/>
              <w:right w:w="100" w:type="dxa"/>
            </w:tcMar>
          </w:tcPr>
          <w:p w14:paraId="14FA5265" w14:textId="77777777" w:rsidR="00131F7A" w:rsidRPr="00EB2544" w:rsidRDefault="00131F7A" w:rsidP="009746A6">
            <w:pPr>
              <w:pStyle w:val="Tablebodytext"/>
              <w:keepNext w:val="0"/>
              <w:rPr>
                <w:lang w:eastAsia="en-AU"/>
              </w:rPr>
            </w:pPr>
            <w:r w:rsidRPr="00EB2544">
              <w:rPr>
                <w:lang w:eastAsia="en-AU"/>
              </w:rPr>
              <w:t>1.28</w:t>
            </w:r>
          </w:p>
        </w:tc>
        <w:tc>
          <w:tcPr>
            <w:tcW w:w="1048" w:type="pct"/>
            <w:tcMar>
              <w:top w:w="100" w:type="dxa"/>
              <w:left w:w="100" w:type="dxa"/>
              <w:bottom w:w="100" w:type="dxa"/>
              <w:right w:w="100" w:type="dxa"/>
            </w:tcMar>
          </w:tcPr>
          <w:p w14:paraId="6237B6B8" w14:textId="77777777" w:rsidR="00131F7A" w:rsidRPr="00EB2544" w:rsidRDefault="00131F7A" w:rsidP="009746A6">
            <w:pPr>
              <w:pStyle w:val="Tablebodytext"/>
              <w:keepNext w:val="0"/>
              <w:rPr>
                <w:lang w:eastAsia="en-AU"/>
              </w:rPr>
            </w:pPr>
            <w:r w:rsidRPr="00EB2544">
              <w:rPr>
                <w:lang w:eastAsia="en-AU"/>
              </w:rPr>
              <w:t>8.48</w:t>
            </w:r>
          </w:p>
        </w:tc>
      </w:tr>
      <w:tr w:rsidR="00131F7A" w:rsidRPr="00EB2544" w14:paraId="4CDBE7C9" w14:textId="77777777" w:rsidTr="00611018">
        <w:trPr>
          <w:trHeight w:val="300"/>
        </w:trPr>
        <w:tc>
          <w:tcPr>
            <w:tcW w:w="1173" w:type="pct"/>
            <w:vMerge/>
          </w:tcPr>
          <w:p w14:paraId="04A08EBB" w14:textId="77777777" w:rsidR="00131F7A" w:rsidRPr="00EB2544" w:rsidRDefault="00131F7A" w:rsidP="009746A6">
            <w:pPr>
              <w:pStyle w:val="Tablebodytext"/>
              <w:keepNext w:val="0"/>
              <w:rPr>
                <w:lang w:eastAsia="en-AU"/>
              </w:rPr>
            </w:pPr>
          </w:p>
        </w:tc>
        <w:tc>
          <w:tcPr>
            <w:tcW w:w="1330" w:type="pct"/>
          </w:tcPr>
          <w:p w14:paraId="1E90417A" w14:textId="77777777" w:rsidR="00131F7A" w:rsidRPr="00EB2544" w:rsidRDefault="00131F7A" w:rsidP="009746A6">
            <w:pPr>
              <w:pStyle w:val="Tablebodytext"/>
              <w:keepNext w:val="0"/>
              <w:rPr>
                <w:lang w:eastAsia="en-AU"/>
              </w:rPr>
            </w:pPr>
            <w:r w:rsidRPr="00EB2544">
              <w:rPr>
                <w:lang w:eastAsia="en-AU"/>
              </w:rPr>
              <w:t>Based on the business's performance as measured by KPIs</w:t>
            </w:r>
          </w:p>
        </w:tc>
        <w:tc>
          <w:tcPr>
            <w:tcW w:w="613" w:type="pct"/>
          </w:tcPr>
          <w:p w14:paraId="1F2C98E0" w14:textId="77777777" w:rsidR="00131F7A" w:rsidRPr="00EB2544" w:rsidRDefault="00131F7A" w:rsidP="009746A6">
            <w:pPr>
              <w:pStyle w:val="Tablebodytext"/>
              <w:keepNext w:val="0"/>
              <w:rPr>
                <w:lang w:eastAsia="en-AU"/>
              </w:rPr>
            </w:pPr>
            <w:r w:rsidRPr="00EB2544">
              <w:rPr>
                <w:lang w:eastAsia="en-AU"/>
              </w:rPr>
              <w:t>0.33</w:t>
            </w:r>
          </w:p>
        </w:tc>
        <w:tc>
          <w:tcPr>
            <w:tcW w:w="836" w:type="pct"/>
            <w:tcMar>
              <w:top w:w="100" w:type="dxa"/>
              <w:left w:w="100" w:type="dxa"/>
              <w:bottom w:w="100" w:type="dxa"/>
              <w:right w:w="100" w:type="dxa"/>
            </w:tcMar>
          </w:tcPr>
          <w:p w14:paraId="0CF17BA8" w14:textId="77777777" w:rsidR="00131F7A" w:rsidRPr="00EB2544" w:rsidRDefault="00131F7A" w:rsidP="009746A6">
            <w:pPr>
              <w:pStyle w:val="Tablebodytext"/>
              <w:keepNext w:val="0"/>
              <w:rPr>
                <w:lang w:eastAsia="en-AU"/>
              </w:rPr>
            </w:pPr>
            <w:r w:rsidRPr="00EB2544">
              <w:rPr>
                <w:lang w:eastAsia="en-AU"/>
              </w:rPr>
              <w:t>9.05</w:t>
            </w:r>
          </w:p>
        </w:tc>
        <w:tc>
          <w:tcPr>
            <w:tcW w:w="1048" w:type="pct"/>
            <w:tcMar>
              <w:top w:w="100" w:type="dxa"/>
              <w:left w:w="100" w:type="dxa"/>
              <w:bottom w:w="100" w:type="dxa"/>
              <w:right w:w="100" w:type="dxa"/>
            </w:tcMar>
          </w:tcPr>
          <w:p w14:paraId="27218AF0" w14:textId="77777777" w:rsidR="00131F7A" w:rsidRPr="00EB2544" w:rsidRDefault="00131F7A" w:rsidP="009746A6">
            <w:pPr>
              <w:pStyle w:val="Tablebodytext"/>
              <w:keepNext w:val="0"/>
              <w:rPr>
                <w:lang w:eastAsia="en-AU"/>
              </w:rPr>
            </w:pPr>
            <w:r w:rsidRPr="00EB2544">
              <w:rPr>
                <w:lang w:eastAsia="en-AU"/>
              </w:rPr>
              <w:t>59.64</w:t>
            </w:r>
          </w:p>
        </w:tc>
      </w:tr>
      <w:tr w:rsidR="00131F7A" w:rsidRPr="00EB2544" w14:paraId="1B3DDCC3" w14:textId="77777777" w:rsidTr="00611018">
        <w:trPr>
          <w:trHeight w:val="300"/>
        </w:trPr>
        <w:tc>
          <w:tcPr>
            <w:tcW w:w="1173" w:type="pct"/>
            <w:vMerge/>
          </w:tcPr>
          <w:p w14:paraId="2B57F89E" w14:textId="77777777" w:rsidR="00131F7A" w:rsidRPr="00EB2544" w:rsidRDefault="00131F7A" w:rsidP="009746A6">
            <w:pPr>
              <w:pStyle w:val="Tablebodytext"/>
              <w:keepNext w:val="0"/>
              <w:rPr>
                <w:lang w:eastAsia="en-AU"/>
              </w:rPr>
            </w:pPr>
          </w:p>
        </w:tc>
        <w:tc>
          <w:tcPr>
            <w:tcW w:w="1330" w:type="pct"/>
          </w:tcPr>
          <w:p w14:paraId="68E97CC5" w14:textId="77777777" w:rsidR="00131F7A" w:rsidRPr="00EB2544" w:rsidRDefault="00131F7A" w:rsidP="009746A6">
            <w:pPr>
              <w:pStyle w:val="Tablebodytext"/>
              <w:keepNext w:val="0"/>
              <w:rPr>
                <w:lang w:eastAsia="en-AU"/>
              </w:rPr>
            </w:pPr>
            <w:r w:rsidRPr="00EB2544">
              <w:rPr>
                <w:lang w:eastAsia="en-AU"/>
              </w:rPr>
              <w:t>No performance bonus system</w:t>
            </w:r>
          </w:p>
        </w:tc>
        <w:tc>
          <w:tcPr>
            <w:tcW w:w="613" w:type="pct"/>
          </w:tcPr>
          <w:p w14:paraId="60647452"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08CF5711" w14:textId="77777777" w:rsidR="00131F7A" w:rsidRPr="00EB2544" w:rsidRDefault="00131F7A" w:rsidP="009746A6">
            <w:pPr>
              <w:pStyle w:val="Tablebodytext"/>
              <w:keepNext w:val="0"/>
              <w:rPr>
                <w:lang w:eastAsia="en-AU"/>
              </w:rPr>
            </w:pPr>
            <w:r w:rsidRPr="00EB2544">
              <w:rPr>
                <w:lang w:eastAsia="en-AU"/>
              </w:rPr>
              <w:t>79.80</w:t>
            </w:r>
          </w:p>
        </w:tc>
        <w:tc>
          <w:tcPr>
            <w:tcW w:w="1048" w:type="pct"/>
            <w:tcMar>
              <w:top w:w="100" w:type="dxa"/>
              <w:left w:w="100" w:type="dxa"/>
              <w:bottom w:w="100" w:type="dxa"/>
              <w:right w:w="100" w:type="dxa"/>
            </w:tcMar>
          </w:tcPr>
          <w:p w14:paraId="154BE286" w14:textId="77777777" w:rsidR="00131F7A" w:rsidRPr="00EB2544" w:rsidRDefault="00131F7A" w:rsidP="009746A6">
            <w:pPr>
              <w:pStyle w:val="Tablebodytext"/>
              <w:keepNext w:val="0"/>
              <w:rPr>
                <w:lang w:eastAsia="en-AU"/>
              </w:rPr>
            </w:pPr>
            <w:r w:rsidRPr="00EB2544">
              <w:rPr>
                <w:lang w:eastAsia="en-AU"/>
              </w:rPr>
              <w:t>41.06</w:t>
            </w:r>
          </w:p>
        </w:tc>
      </w:tr>
      <w:tr w:rsidR="00131F7A" w:rsidRPr="00EB2544" w14:paraId="5D90932E" w14:textId="77777777" w:rsidTr="00611018">
        <w:trPr>
          <w:trHeight w:val="133"/>
        </w:trPr>
        <w:tc>
          <w:tcPr>
            <w:tcW w:w="1173" w:type="pct"/>
            <w:vMerge/>
          </w:tcPr>
          <w:p w14:paraId="2F4AF384" w14:textId="77777777" w:rsidR="00131F7A" w:rsidRPr="00EB2544" w:rsidRDefault="00131F7A" w:rsidP="009746A6">
            <w:pPr>
              <w:pStyle w:val="Tablebodytext"/>
              <w:keepNext w:val="0"/>
              <w:rPr>
                <w:lang w:eastAsia="en-AU"/>
              </w:rPr>
            </w:pPr>
          </w:p>
        </w:tc>
        <w:tc>
          <w:tcPr>
            <w:tcW w:w="1330" w:type="pct"/>
          </w:tcPr>
          <w:p w14:paraId="696CDE26" w14:textId="77777777" w:rsidR="00131F7A" w:rsidRPr="00EB2544" w:rsidRDefault="00131F7A" w:rsidP="009746A6">
            <w:pPr>
              <w:pStyle w:val="Tablebodytext"/>
              <w:keepNext w:val="0"/>
              <w:rPr>
                <w:lang w:eastAsia="en-AU"/>
              </w:rPr>
            </w:pPr>
            <w:r w:rsidRPr="00EB2544">
              <w:rPr>
                <w:lang w:eastAsia="en-AU"/>
              </w:rPr>
              <w:t>Other</w:t>
            </w:r>
          </w:p>
        </w:tc>
        <w:tc>
          <w:tcPr>
            <w:tcW w:w="613" w:type="pct"/>
          </w:tcPr>
          <w:p w14:paraId="109357C9"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7F9B76C8" w14:textId="77777777" w:rsidR="00131F7A" w:rsidRPr="00EB2544" w:rsidRDefault="00131F7A" w:rsidP="009746A6">
            <w:pPr>
              <w:pStyle w:val="Tablebodytext"/>
              <w:keepNext w:val="0"/>
              <w:rPr>
                <w:lang w:eastAsia="en-AU"/>
              </w:rPr>
            </w:pPr>
          </w:p>
        </w:tc>
        <w:tc>
          <w:tcPr>
            <w:tcW w:w="1048" w:type="pct"/>
          </w:tcPr>
          <w:p w14:paraId="0A28E2C7" w14:textId="77777777" w:rsidR="00131F7A" w:rsidRPr="00EB2544" w:rsidRDefault="00131F7A" w:rsidP="009746A6">
            <w:pPr>
              <w:pStyle w:val="Tablebodytext"/>
              <w:keepNext w:val="0"/>
              <w:rPr>
                <w:lang w:eastAsia="en-AU"/>
              </w:rPr>
            </w:pPr>
          </w:p>
        </w:tc>
      </w:tr>
      <w:tr w:rsidR="00131F7A" w:rsidRPr="00EB2544" w14:paraId="087D988A" w14:textId="77777777" w:rsidTr="00611018">
        <w:trPr>
          <w:trHeight w:val="320"/>
        </w:trPr>
        <w:tc>
          <w:tcPr>
            <w:tcW w:w="1173" w:type="pct"/>
            <w:vMerge w:val="restart"/>
          </w:tcPr>
          <w:p w14:paraId="0E6B2FF8" w14:textId="77777777" w:rsidR="00131F7A" w:rsidRPr="00EB2544" w:rsidRDefault="00131F7A" w:rsidP="009746A6">
            <w:pPr>
              <w:pStyle w:val="Tablebodytext"/>
              <w:keepNext w:val="0"/>
              <w:rPr>
                <w:lang w:eastAsia="en-AU"/>
              </w:rPr>
            </w:pPr>
            <w:r w:rsidRPr="00EB2544">
              <w:rPr>
                <w:lang w:eastAsia="en-AU"/>
              </w:rPr>
              <w:t>15 - Managers</w:t>
            </w:r>
          </w:p>
        </w:tc>
        <w:tc>
          <w:tcPr>
            <w:tcW w:w="1330" w:type="pct"/>
          </w:tcPr>
          <w:p w14:paraId="411BF1EB" w14:textId="77777777" w:rsidR="00131F7A" w:rsidRPr="00EB2544" w:rsidRDefault="00131F7A" w:rsidP="009746A6">
            <w:pPr>
              <w:pStyle w:val="Tablebodytext"/>
              <w:keepNext w:val="0"/>
              <w:rPr>
                <w:lang w:eastAsia="en-AU"/>
              </w:rPr>
            </w:pPr>
            <w:r w:rsidRPr="00EB2544">
              <w:rPr>
                <w:lang w:eastAsia="en-AU"/>
              </w:rPr>
              <w:t>No performance bonus paid</w:t>
            </w:r>
          </w:p>
        </w:tc>
        <w:tc>
          <w:tcPr>
            <w:tcW w:w="613" w:type="pct"/>
          </w:tcPr>
          <w:p w14:paraId="681CA062"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2D41AB8A" w14:textId="77777777" w:rsidR="00131F7A" w:rsidRPr="00EB2544" w:rsidRDefault="00131F7A" w:rsidP="009746A6">
            <w:pPr>
              <w:pStyle w:val="Tablebodytext"/>
              <w:keepNext w:val="0"/>
              <w:rPr>
                <w:lang w:eastAsia="en-AU"/>
              </w:rPr>
            </w:pPr>
            <w:r w:rsidRPr="00EB2544">
              <w:rPr>
                <w:lang w:eastAsia="en-AU"/>
              </w:rPr>
              <w:t>83.40</w:t>
            </w:r>
          </w:p>
        </w:tc>
        <w:tc>
          <w:tcPr>
            <w:tcW w:w="1048" w:type="pct"/>
            <w:tcMar>
              <w:top w:w="100" w:type="dxa"/>
              <w:left w:w="100" w:type="dxa"/>
              <w:bottom w:w="100" w:type="dxa"/>
              <w:right w:w="100" w:type="dxa"/>
            </w:tcMar>
          </w:tcPr>
          <w:p w14:paraId="4B5EA21A" w14:textId="77777777" w:rsidR="00131F7A" w:rsidRPr="00EB2544" w:rsidRDefault="00131F7A" w:rsidP="009746A6">
            <w:pPr>
              <w:pStyle w:val="Tablebodytext"/>
              <w:keepNext w:val="0"/>
              <w:rPr>
                <w:lang w:eastAsia="en-AU"/>
              </w:rPr>
            </w:pPr>
            <w:r w:rsidRPr="00EB2544">
              <w:rPr>
                <w:lang w:eastAsia="en-AU"/>
              </w:rPr>
              <w:t>44.27</w:t>
            </w:r>
          </w:p>
        </w:tc>
      </w:tr>
      <w:tr w:rsidR="00131F7A" w:rsidRPr="00EB2544" w14:paraId="0CBFCED5" w14:textId="77777777" w:rsidTr="00611018">
        <w:trPr>
          <w:trHeight w:val="300"/>
        </w:trPr>
        <w:tc>
          <w:tcPr>
            <w:tcW w:w="1173" w:type="pct"/>
            <w:vMerge/>
          </w:tcPr>
          <w:p w14:paraId="5551987C" w14:textId="77777777" w:rsidR="00131F7A" w:rsidRPr="00EB2544" w:rsidRDefault="00131F7A" w:rsidP="009746A6">
            <w:pPr>
              <w:pStyle w:val="Tablebodytext"/>
              <w:keepNext w:val="0"/>
              <w:rPr>
                <w:lang w:eastAsia="en-AU"/>
              </w:rPr>
            </w:pPr>
          </w:p>
        </w:tc>
        <w:tc>
          <w:tcPr>
            <w:tcW w:w="1330" w:type="pct"/>
          </w:tcPr>
          <w:p w14:paraId="3653A949" w14:textId="77777777" w:rsidR="00131F7A" w:rsidRPr="00EB2544" w:rsidRDefault="00131F7A" w:rsidP="009746A6">
            <w:pPr>
              <w:pStyle w:val="Tablebodytext"/>
              <w:keepNext w:val="0"/>
              <w:rPr>
                <w:lang w:eastAsia="en-AU"/>
              </w:rPr>
            </w:pPr>
            <w:r w:rsidRPr="00EB2544">
              <w:rPr>
                <w:lang w:eastAsia="en-AU"/>
              </w:rPr>
              <w:t>1-33% (up to one third)</w:t>
            </w:r>
          </w:p>
        </w:tc>
        <w:tc>
          <w:tcPr>
            <w:tcW w:w="613" w:type="pct"/>
          </w:tcPr>
          <w:p w14:paraId="42922000" w14:textId="77777777" w:rsidR="00131F7A" w:rsidRPr="00EB2544" w:rsidRDefault="00131F7A" w:rsidP="009746A6">
            <w:pPr>
              <w:pStyle w:val="Tablebodytext"/>
              <w:keepNext w:val="0"/>
              <w:rPr>
                <w:lang w:eastAsia="en-AU"/>
              </w:rPr>
            </w:pPr>
            <w:r w:rsidRPr="00EB2544">
              <w:rPr>
                <w:lang w:eastAsia="en-AU"/>
              </w:rPr>
              <w:t>0.25</w:t>
            </w:r>
          </w:p>
        </w:tc>
        <w:tc>
          <w:tcPr>
            <w:tcW w:w="836" w:type="pct"/>
            <w:tcMar>
              <w:top w:w="100" w:type="dxa"/>
              <w:left w:w="100" w:type="dxa"/>
              <w:bottom w:w="100" w:type="dxa"/>
              <w:right w:w="100" w:type="dxa"/>
            </w:tcMar>
          </w:tcPr>
          <w:p w14:paraId="7AE2689A" w14:textId="77777777" w:rsidR="00131F7A" w:rsidRPr="00EB2544" w:rsidRDefault="00131F7A" w:rsidP="009746A6">
            <w:pPr>
              <w:pStyle w:val="Tablebodytext"/>
              <w:keepNext w:val="0"/>
              <w:rPr>
                <w:lang w:eastAsia="en-AU"/>
              </w:rPr>
            </w:pPr>
            <w:r w:rsidRPr="00EB2544">
              <w:rPr>
                <w:lang w:eastAsia="en-AU"/>
              </w:rPr>
              <w:t>6.22</w:t>
            </w:r>
          </w:p>
        </w:tc>
        <w:tc>
          <w:tcPr>
            <w:tcW w:w="1048" w:type="pct"/>
            <w:tcMar>
              <w:top w:w="100" w:type="dxa"/>
              <w:left w:w="100" w:type="dxa"/>
              <w:bottom w:w="100" w:type="dxa"/>
              <w:right w:w="100" w:type="dxa"/>
            </w:tcMar>
          </w:tcPr>
          <w:p w14:paraId="5AD3DC85" w14:textId="77777777" w:rsidR="00131F7A" w:rsidRPr="00EB2544" w:rsidRDefault="00131F7A" w:rsidP="009746A6">
            <w:pPr>
              <w:pStyle w:val="Tablebodytext"/>
              <w:keepNext w:val="0"/>
              <w:rPr>
                <w:lang w:eastAsia="en-AU"/>
              </w:rPr>
            </w:pPr>
            <w:r w:rsidRPr="00EB2544">
              <w:rPr>
                <w:lang w:eastAsia="en-AU"/>
              </w:rPr>
              <w:t>10.75</w:t>
            </w:r>
          </w:p>
        </w:tc>
      </w:tr>
      <w:tr w:rsidR="00131F7A" w:rsidRPr="00EB2544" w14:paraId="4E8F5723" w14:textId="77777777" w:rsidTr="00611018">
        <w:trPr>
          <w:trHeight w:val="22"/>
        </w:trPr>
        <w:tc>
          <w:tcPr>
            <w:tcW w:w="1173" w:type="pct"/>
            <w:vMerge/>
          </w:tcPr>
          <w:p w14:paraId="356E862A" w14:textId="77777777" w:rsidR="00131F7A" w:rsidRPr="00EB2544" w:rsidRDefault="00131F7A" w:rsidP="009746A6">
            <w:pPr>
              <w:pStyle w:val="Tablebodytext"/>
              <w:keepNext w:val="0"/>
              <w:rPr>
                <w:lang w:eastAsia="en-AU"/>
              </w:rPr>
            </w:pPr>
          </w:p>
        </w:tc>
        <w:tc>
          <w:tcPr>
            <w:tcW w:w="1330" w:type="pct"/>
          </w:tcPr>
          <w:p w14:paraId="6C1DC95B" w14:textId="77777777" w:rsidR="00131F7A" w:rsidRPr="00EB2544" w:rsidRDefault="00131F7A" w:rsidP="009746A6">
            <w:pPr>
              <w:pStyle w:val="Tablebodytext"/>
              <w:keepNext w:val="0"/>
              <w:rPr>
                <w:lang w:eastAsia="en-AU"/>
              </w:rPr>
            </w:pPr>
            <w:r w:rsidRPr="00EB2544">
              <w:rPr>
                <w:lang w:eastAsia="en-AU"/>
              </w:rPr>
              <w:t>34-66% (up to two thirds)</w:t>
            </w:r>
          </w:p>
        </w:tc>
        <w:tc>
          <w:tcPr>
            <w:tcW w:w="613" w:type="pct"/>
          </w:tcPr>
          <w:p w14:paraId="4DC28891" w14:textId="77777777" w:rsidR="00131F7A" w:rsidRPr="00EB2544" w:rsidRDefault="00131F7A" w:rsidP="009746A6">
            <w:pPr>
              <w:pStyle w:val="Tablebodytext"/>
              <w:keepNext w:val="0"/>
              <w:rPr>
                <w:lang w:eastAsia="en-AU"/>
              </w:rPr>
            </w:pPr>
            <w:r w:rsidRPr="00EB2544">
              <w:rPr>
                <w:lang w:eastAsia="en-AU"/>
              </w:rPr>
              <w:t>0.50</w:t>
            </w:r>
          </w:p>
        </w:tc>
        <w:tc>
          <w:tcPr>
            <w:tcW w:w="836" w:type="pct"/>
            <w:tcMar>
              <w:top w:w="100" w:type="dxa"/>
              <w:left w:w="100" w:type="dxa"/>
              <w:bottom w:w="100" w:type="dxa"/>
              <w:right w:w="100" w:type="dxa"/>
            </w:tcMar>
          </w:tcPr>
          <w:p w14:paraId="3AFDFAB8" w14:textId="77777777" w:rsidR="00131F7A" w:rsidRPr="00EB2544" w:rsidRDefault="00131F7A" w:rsidP="009746A6">
            <w:pPr>
              <w:pStyle w:val="Tablebodytext"/>
              <w:keepNext w:val="0"/>
              <w:rPr>
                <w:lang w:eastAsia="en-AU"/>
              </w:rPr>
            </w:pPr>
            <w:r w:rsidRPr="00EB2544">
              <w:rPr>
                <w:lang w:eastAsia="en-AU"/>
              </w:rPr>
              <w:t>1.58</w:t>
            </w:r>
          </w:p>
        </w:tc>
        <w:tc>
          <w:tcPr>
            <w:tcW w:w="1048" w:type="pct"/>
            <w:tcMar>
              <w:top w:w="100" w:type="dxa"/>
              <w:left w:w="100" w:type="dxa"/>
              <w:bottom w:w="100" w:type="dxa"/>
              <w:right w:w="100" w:type="dxa"/>
            </w:tcMar>
          </w:tcPr>
          <w:p w14:paraId="3C8828BB" w14:textId="77777777" w:rsidR="00131F7A" w:rsidRPr="00EB2544" w:rsidRDefault="00131F7A" w:rsidP="009746A6">
            <w:pPr>
              <w:pStyle w:val="Tablebodytext"/>
              <w:keepNext w:val="0"/>
              <w:rPr>
                <w:lang w:eastAsia="en-AU"/>
              </w:rPr>
            </w:pPr>
            <w:r w:rsidRPr="00EB2544">
              <w:rPr>
                <w:lang w:eastAsia="en-AU"/>
              </w:rPr>
              <w:t>3.12</w:t>
            </w:r>
          </w:p>
        </w:tc>
      </w:tr>
      <w:tr w:rsidR="00131F7A" w:rsidRPr="00EB2544" w14:paraId="5550B87E" w14:textId="77777777" w:rsidTr="00611018">
        <w:trPr>
          <w:trHeight w:val="58"/>
        </w:trPr>
        <w:tc>
          <w:tcPr>
            <w:tcW w:w="1173" w:type="pct"/>
            <w:vMerge/>
          </w:tcPr>
          <w:p w14:paraId="6C0EC54F" w14:textId="77777777" w:rsidR="00131F7A" w:rsidRPr="00EB2544" w:rsidRDefault="00131F7A" w:rsidP="009746A6">
            <w:pPr>
              <w:pStyle w:val="Tablebodytext"/>
              <w:keepNext w:val="0"/>
              <w:rPr>
                <w:lang w:eastAsia="en-AU"/>
              </w:rPr>
            </w:pPr>
          </w:p>
        </w:tc>
        <w:tc>
          <w:tcPr>
            <w:tcW w:w="1330" w:type="pct"/>
          </w:tcPr>
          <w:p w14:paraId="0DB4619C" w14:textId="77777777" w:rsidR="00131F7A" w:rsidRPr="00EB2544" w:rsidRDefault="00131F7A" w:rsidP="009746A6">
            <w:pPr>
              <w:pStyle w:val="Tablebodytext"/>
              <w:keepNext w:val="0"/>
              <w:rPr>
                <w:lang w:eastAsia="en-AU"/>
              </w:rPr>
            </w:pPr>
            <w:r w:rsidRPr="00EB2544">
              <w:rPr>
                <w:lang w:eastAsia="en-AU"/>
              </w:rPr>
              <w:t>67-99% (more than two thirds to almost all)</w:t>
            </w:r>
          </w:p>
        </w:tc>
        <w:tc>
          <w:tcPr>
            <w:tcW w:w="613" w:type="pct"/>
          </w:tcPr>
          <w:p w14:paraId="5C116587" w14:textId="77777777" w:rsidR="00131F7A" w:rsidRPr="00EB2544" w:rsidRDefault="00131F7A" w:rsidP="009746A6">
            <w:pPr>
              <w:pStyle w:val="Tablebodytext"/>
              <w:keepNext w:val="0"/>
              <w:rPr>
                <w:lang w:eastAsia="en-AU"/>
              </w:rPr>
            </w:pPr>
            <w:r w:rsidRPr="00EB2544">
              <w:rPr>
                <w:lang w:eastAsia="en-AU"/>
              </w:rPr>
              <w:t>0.75</w:t>
            </w:r>
          </w:p>
        </w:tc>
        <w:tc>
          <w:tcPr>
            <w:tcW w:w="836" w:type="pct"/>
            <w:tcMar>
              <w:top w:w="100" w:type="dxa"/>
              <w:left w:w="100" w:type="dxa"/>
              <w:bottom w:w="100" w:type="dxa"/>
              <w:right w:w="100" w:type="dxa"/>
            </w:tcMar>
          </w:tcPr>
          <w:p w14:paraId="2270CD4D" w14:textId="77777777" w:rsidR="00131F7A" w:rsidRPr="00EB2544" w:rsidRDefault="00131F7A" w:rsidP="009746A6">
            <w:pPr>
              <w:pStyle w:val="Tablebodytext"/>
              <w:keepNext w:val="0"/>
              <w:rPr>
                <w:lang w:eastAsia="en-AU"/>
              </w:rPr>
            </w:pPr>
            <w:r w:rsidRPr="00EB2544">
              <w:rPr>
                <w:lang w:eastAsia="en-AU"/>
              </w:rPr>
              <w:t>3.39</w:t>
            </w:r>
          </w:p>
        </w:tc>
        <w:tc>
          <w:tcPr>
            <w:tcW w:w="1048" w:type="pct"/>
            <w:tcMar>
              <w:top w:w="100" w:type="dxa"/>
              <w:left w:w="100" w:type="dxa"/>
              <w:bottom w:w="100" w:type="dxa"/>
              <w:right w:w="100" w:type="dxa"/>
            </w:tcMar>
          </w:tcPr>
          <w:p w14:paraId="5C80D3F8" w14:textId="77777777" w:rsidR="00131F7A" w:rsidRPr="00EB2544" w:rsidRDefault="00131F7A" w:rsidP="009746A6">
            <w:pPr>
              <w:pStyle w:val="Tablebodytext"/>
              <w:keepNext w:val="0"/>
              <w:rPr>
                <w:lang w:eastAsia="en-AU"/>
              </w:rPr>
            </w:pPr>
            <w:r w:rsidRPr="00EB2544">
              <w:rPr>
                <w:lang w:eastAsia="en-AU"/>
              </w:rPr>
              <w:t>9.03</w:t>
            </w:r>
          </w:p>
        </w:tc>
      </w:tr>
      <w:tr w:rsidR="00131F7A" w:rsidRPr="00EB2544" w14:paraId="536CC58B" w14:textId="77777777" w:rsidTr="00611018">
        <w:trPr>
          <w:trHeight w:val="20"/>
        </w:trPr>
        <w:tc>
          <w:tcPr>
            <w:tcW w:w="1173" w:type="pct"/>
            <w:vMerge/>
          </w:tcPr>
          <w:p w14:paraId="14C2AD17" w14:textId="77777777" w:rsidR="00131F7A" w:rsidRPr="00EB2544" w:rsidRDefault="00131F7A" w:rsidP="009746A6">
            <w:pPr>
              <w:pStyle w:val="Tablebodytext"/>
              <w:keepNext w:val="0"/>
              <w:rPr>
                <w:lang w:eastAsia="en-AU"/>
              </w:rPr>
            </w:pPr>
          </w:p>
        </w:tc>
        <w:tc>
          <w:tcPr>
            <w:tcW w:w="1330" w:type="pct"/>
          </w:tcPr>
          <w:p w14:paraId="0B7713BD" w14:textId="77777777" w:rsidR="00131F7A" w:rsidRPr="00EB2544" w:rsidRDefault="00131F7A" w:rsidP="009746A6">
            <w:pPr>
              <w:pStyle w:val="Tablebodytext"/>
              <w:keepNext w:val="0"/>
              <w:rPr>
                <w:lang w:eastAsia="en-AU"/>
              </w:rPr>
            </w:pPr>
            <w:r w:rsidRPr="00EB2544">
              <w:rPr>
                <w:lang w:eastAsia="en-AU"/>
              </w:rPr>
              <w:t>100% (all)</w:t>
            </w:r>
          </w:p>
        </w:tc>
        <w:tc>
          <w:tcPr>
            <w:tcW w:w="613" w:type="pct"/>
          </w:tcPr>
          <w:p w14:paraId="723CFEF7"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290E4A9C" w14:textId="77777777" w:rsidR="00131F7A" w:rsidRPr="00EB2544" w:rsidRDefault="00131F7A" w:rsidP="009746A6">
            <w:pPr>
              <w:pStyle w:val="Tablebodytext"/>
              <w:keepNext w:val="0"/>
              <w:rPr>
                <w:lang w:eastAsia="en-AU"/>
              </w:rPr>
            </w:pPr>
            <w:r w:rsidRPr="00EB2544">
              <w:rPr>
                <w:lang w:eastAsia="en-AU"/>
              </w:rPr>
              <w:t>5.43</w:t>
            </w:r>
          </w:p>
        </w:tc>
        <w:tc>
          <w:tcPr>
            <w:tcW w:w="1048" w:type="pct"/>
            <w:tcMar>
              <w:top w:w="100" w:type="dxa"/>
              <w:left w:w="100" w:type="dxa"/>
              <w:bottom w:w="100" w:type="dxa"/>
              <w:right w:w="100" w:type="dxa"/>
            </w:tcMar>
          </w:tcPr>
          <w:p w14:paraId="24510656" w14:textId="77777777" w:rsidR="00131F7A" w:rsidRPr="00EB2544" w:rsidRDefault="00131F7A" w:rsidP="009746A6">
            <w:pPr>
              <w:pStyle w:val="Tablebodytext"/>
              <w:keepNext w:val="0"/>
              <w:rPr>
                <w:lang w:eastAsia="en-AU"/>
              </w:rPr>
            </w:pPr>
            <w:r w:rsidRPr="00EB2544">
              <w:rPr>
                <w:lang w:eastAsia="en-AU"/>
              </w:rPr>
              <w:t>32.84</w:t>
            </w:r>
          </w:p>
        </w:tc>
      </w:tr>
      <w:tr w:rsidR="00131F7A" w:rsidRPr="00EB2544" w14:paraId="4EC3FFFD" w14:textId="77777777" w:rsidTr="00611018">
        <w:trPr>
          <w:trHeight w:val="20"/>
        </w:trPr>
        <w:tc>
          <w:tcPr>
            <w:tcW w:w="1173" w:type="pct"/>
            <w:vMerge/>
          </w:tcPr>
          <w:p w14:paraId="0EE33719" w14:textId="77777777" w:rsidR="00131F7A" w:rsidRPr="00EB2544" w:rsidRDefault="00131F7A" w:rsidP="009746A6">
            <w:pPr>
              <w:pStyle w:val="Tablebodytext"/>
              <w:keepNext w:val="0"/>
              <w:rPr>
                <w:lang w:eastAsia="en-AU"/>
              </w:rPr>
            </w:pPr>
          </w:p>
        </w:tc>
        <w:tc>
          <w:tcPr>
            <w:tcW w:w="1330" w:type="pct"/>
          </w:tcPr>
          <w:p w14:paraId="3DC56624" w14:textId="77777777" w:rsidR="00131F7A" w:rsidRPr="00EB2544" w:rsidRDefault="00131F7A" w:rsidP="009746A6">
            <w:pPr>
              <w:pStyle w:val="Tablebodytext"/>
              <w:keepNext w:val="0"/>
              <w:rPr>
                <w:lang w:eastAsia="en-AU"/>
              </w:rPr>
            </w:pPr>
            <w:r w:rsidRPr="00EB2544">
              <w:rPr>
                <w:lang w:eastAsia="en-AU"/>
              </w:rPr>
              <w:t>No response</w:t>
            </w:r>
          </w:p>
        </w:tc>
        <w:tc>
          <w:tcPr>
            <w:tcW w:w="613" w:type="pct"/>
          </w:tcPr>
          <w:p w14:paraId="58EC456C"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7B3031F9" w14:textId="77777777" w:rsidR="00131F7A" w:rsidRPr="00EB2544" w:rsidRDefault="00131F7A" w:rsidP="009746A6">
            <w:pPr>
              <w:pStyle w:val="Tablebodytext"/>
              <w:keepNext w:val="0"/>
              <w:rPr>
                <w:lang w:eastAsia="en-AU"/>
              </w:rPr>
            </w:pPr>
            <w:r w:rsidRPr="00EB2544">
              <w:rPr>
                <w:lang w:eastAsia="en-AU"/>
              </w:rPr>
              <w:t>-</w:t>
            </w:r>
          </w:p>
        </w:tc>
        <w:tc>
          <w:tcPr>
            <w:tcW w:w="1048" w:type="pct"/>
          </w:tcPr>
          <w:p w14:paraId="02FA1353" w14:textId="77777777" w:rsidR="00131F7A" w:rsidRPr="00EB2544" w:rsidRDefault="00131F7A" w:rsidP="009746A6">
            <w:pPr>
              <w:pStyle w:val="Tablebodytext"/>
              <w:keepNext w:val="0"/>
              <w:rPr>
                <w:lang w:eastAsia="en-AU"/>
              </w:rPr>
            </w:pPr>
            <w:r w:rsidRPr="00EB2544">
              <w:rPr>
                <w:lang w:eastAsia="en-AU"/>
              </w:rPr>
              <w:t>-</w:t>
            </w:r>
          </w:p>
        </w:tc>
      </w:tr>
      <w:tr w:rsidR="00131F7A" w:rsidRPr="00EB2544" w14:paraId="249F9252" w14:textId="77777777" w:rsidTr="00611018">
        <w:trPr>
          <w:trHeight w:val="231"/>
        </w:trPr>
        <w:tc>
          <w:tcPr>
            <w:tcW w:w="1173" w:type="pct"/>
            <w:vMerge w:val="restart"/>
          </w:tcPr>
          <w:p w14:paraId="50406687" w14:textId="77777777" w:rsidR="00131F7A" w:rsidRPr="00EB2544" w:rsidRDefault="00131F7A" w:rsidP="009746A6">
            <w:pPr>
              <w:pStyle w:val="Tablebodytext"/>
              <w:keepNext w:val="0"/>
              <w:rPr>
                <w:lang w:eastAsia="en-AU"/>
              </w:rPr>
            </w:pPr>
            <w:r w:rsidRPr="00EB2544">
              <w:rPr>
                <w:lang w:eastAsia="en-AU"/>
              </w:rPr>
              <w:t>16 - Non-managers</w:t>
            </w:r>
          </w:p>
        </w:tc>
        <w:tc>
          <w:tcPr>
            <w:tcW w:w="1330" w:type="pct"/>
          </w:tcPr>
          <w:p w14:paraId="51AA1CD0" w14:textId="77777777" w:rsidR="00131F7A" w:rsidRPr="00EB2544" w:rsidRDefault="00131F7A" w:rsidP="009746A6">
            <w:pPr>
              <w:pStyle w:val="Tablebodytext"/>
              <w:keepNext w:val="0"/>
              <w:rPr>
                <w:lang w:eastAsia="en-AU"/>
              </w:rPr>
            </w:pPr>
            <w:r w:rsidRPr="00EB2544">
              <w:rPr>
                <w:lang w:eastAsia="en-AU"/>
              </w:rPr>
              <w:t xml:space="preserve">Promotions were based solely on performance and ability </w:t>
            </w:r>
          </w:p>
        </w:tc>
        <w:tc>
          <w:tcPr>
            <w:tcW w:w="613" w:type="pct"/>
          </w:tcPr>
          <w:p w14:paraId="06203441"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1C81492E" w14:textId="77777777" w:rsidR="00131F7A" w:rsidRPr="00EB2544" w:rsidRDefault="00131F7A" w:rsidP="009746A6">
            <w:pPr>
              <w:pStyle w:val="Tablebodytext"/>
              <w:keepNext w:val="0"/>
              <w:rPr>
                <w:lang w:eastAsia="en-AU"/>
              </w:rPr>
            </w:pPr>
            <w:r w:rsidRPr="00EB2544">
              <w:rPr>
                <w:lang w:eastAsia="en-AU"/>
              </w:rPr>
              <w:t>23.90</w:t>
            </w:r>
          </w:p>
        </w:tc>
        <w:tc>
          <w:tcPr>
            <w:tcW w:w="1048" w:type="pct"/>
            <w:tcMar>
              <w:top w:w="100" w:type="dxa"/>
              <w:left w:w="100" w:type="dxa"/>
              <w:bottom w:w="100" w:type="dxa"/>
              <w:right w:w="100" w:type="dxa"/>
            </w:tcMar>
          </w:tcPr>
          <w:p w14:paraId="26E11998" w14:textId="77777777" w:rsidR="00131F7A" w:rsidRPr="00EB2544" w:rsidRDefault="00131F7A" w:rsidP="009746A6">
            <w:pPr>
              <w:pStyle w:val="Tablebodytext"/>
              <w:keepNext w:val="0"/>
              <w:rPr>
                <w:lang w:eastAsia="en-AU"/>
              </w:rPr>
            </w:pPr>
            <w:r w:rsidRPr="00EB2544">
              <w:rPr>
                <w:lang w:eastAsia="en-AU"/>
              </w:rPr>
              <w:t>68.33</w:t>
            </w:r>
          </w:p>
        </w:tc>
      </w:tr>
      <w:tr w:rsidR="00131F7A" w:rsidRPr="00EB2544" w14:paraId="377EB5C7" w14:textId="77777777" w:rsidTr="00611018">
        <w:trPr>
          <w:trHeight w:val="20"/>
        </w:trPr>
        <w:tc>
          <w:tcPr>
            <w:tcW w:w="1173" w:type="pct"/>
            <w:vMerge/>
          </w:tcPr>
          <w:p w14:paraId="18BD0CD0" w14:textId="77777777" w:rsidR="00131F7A" w:rsidRPr="00EB2544" w:rsidRDefault="00131F7A" w:rsidP="009746A6">
            <w:pPr>
              <w:pStyle w:val="Tablebodytext"/>
              <w:keepNext w:val="0"/>
              <w:rPr>
                <w:lang w:eastAsia="en-AU"/>
              </w:rPr>
            </w:pPr>
          </w:p>
        </w:tc>
        <w:tc>
          <w:tcPr>
            <w:tcW w:w="1330" w:type="pct"/>
          </w:tcPr>
          <w:p w14:paraId="27A143CF" w14:textId="77777777" w:rsidR="00131F7A" w:rsidRPr="00EB2544" w:rsidRDefault="00131F7A" w:rsidP="009746A6">
            <w:pPr>
              <w:pStyle w:val="Tablebodytext"/>
              <w:keepNext w:val="0"/>
              <w:rPr>
                <w:lang w:eastAsia="en-AU"/>
              </w:rPr>
            </w:pPr>
            <w:r w:rsidRPr="00EB2544">
              <w:rPr>
                <w:lang w:eastAsia="en-AU"/>
              </w:rPr>
              <w:t xml:space="preserve">Promotions were based partly on performance and ability and partly on other factors (e.g. tenure/time-in-business) </w:t>
            </w:r>
          </w:p>
        </w:tc>
        <w:tc>
          <w:tcPr>
            <w:tcW w:w="613" w:type="pct"/>
          </w:tcPr>
          <w:p w14:paraId="70B3112C" w14:textId="77777777" w:rsidR="00131F7A" w:rsidRPr="00EB2544" w:rsidRDefault="00131F7A" w:rsidP="009746A6">
            <w:pPr>
              <w:pStyle w:val="Tablebodytext"/>
              <w:keepNext w:val="0"/>
              <w:rPr>
                <w:lang w:eastAsia="en-AU"/>
              </w:rPr>
            </w:pPr>
            <w:r w:rsidRPr="00EB2544">
              <w:rPr>
                <w:lang w:eastAsia="en-AU"/>
              </w:rPr>
              <w:t>0.67</w:t>
            </w:r>
          </w:p>
        </w:tc>
        <w:tc>
          <w:tcPr>
            <w:tcW w:w="836" w:type="pct"/>
            <w:tcMar>
              <w:top w:w="100" w:type="dxa"/>
              <w:left w:w="100" w:type="dxa"/>
              <w:bottom w:w="100" w:type="dxa"/>
              <w:right w:w="100" w:type="dxa"/>
            </w:tcMar>
          </w:tcPr>
          <w:p w14:paraId="20A6AEEF" w14:textId="77777777" w:rsidR="00131F7A" w:rsidRPr="00EB2544" w:rsidRDefault="00131F7A" w:rsidP="009746A6">
            <w:pPr>
              <w:pStyle w:val="Tablebodytext"/>
              <w:keepNext w:val="0"/>
              <w:rPr>
                <w:lang w:eastAsia="en-AU"/>
              </w:rPr>
            </w:pPr>
            <w:r w:rsidRPr="00EB2544">
              <w:rPr>
                <w:lang w:eastAsia="en-AU"/>
              </w:rPr>
              <w:t>11.50</w:t>
            </w:r>
          </w:p>
        </w:tc>
        <w:tc>
          <w:tcPr>
            <w:tcW w:w="1048" w:type="pct"/>
            <w:tcMar>
              <w:top w:w="100" w:type="dxa"/>
              <w:left w:w="100" w:type="dxa"/>
              <w:bottom w:w="100" w:type="dxa"/>
              <w:right w:w="100" w:type="dxa"/>
            </w:tcMar>
          </w:tcPr>
          <w:p w14:paraId="3591DAAC" w14:textId="77777777" w:rsidR="00131F7A" w:rsidRPr="00EB2544" w:rsidRDefault="00131F7A" w:rsidP="009746A6">
            <w:pPr>
              <w:pStyle w:val="Tablebodytext"/>
              <w:keepNext w:val="0"/>
              <w:rPr>
                <w:lang w:eastAsia="en-AU"/>
              </w:rPr>
            </w:pPr>
            <w:r w:rsidRPr="00EB2544">
              <w:rPr>
                <w:lang w:eastAsia="en-AU"/>
              </w:rPr>
              <w:t>13.50</w:t>
            </w:r>
          </w:p>
        </w:tc>
      </w:tr>
      <w:tr w:rsidR="00131F7A" w:rsidRPr="00EB2544" w14:paraId="4B9C7165" w14:textId="77777777" w:rsidTr="00611018">
        <w:trPr>
          <w:trHeight w:val="214"/>
        </w:trPr>
        <w:tc>
          <w:tcPr>
            <w:tcW w:w="1173" w:type="pct"/>
            <w:vMerge/>
          </w:tcPr>
          <w:p w14:paraId="13105D1A" w14:textId="77777777" w:rsidR="00131F7A" w:rsidRPr="00EB2544" w:rsidRDefault="00131F7A" w:rsidP="009746A6">
            <w:pPr>
              <w:pStyle w:val="Tablebodytext"/>
              <w:keepNext w:val="0"/>
              <w:rPr>
                <w:lang w:eastAsia="en-AU"/>
              </w:rPr>
            </w:pPr>
          </w:p>
        </w:tc>
        <w:tc>
          <w:tcPr>
            <w:tcW w:w="1330" w:type="pct"/>
          </w:tcPr>
          <w:p w14:paraId="75D05EB2" w14:textId="77777777" w:rsidR="00131F7A" w:rsidRPr="00EB2544" w:rsidRDefault="00131F7A" w:rsidP="009746A6">
            <w:pPr>
              <w:pStyle w:val="Tablebodytext"/>
              <w:keepNext w:val="0"/>
              <w:rPr>
                <w:lang w:eastAsia="en-AU"/>
              </w:rPr>
            </w:pPr>
            <w:r w:rsidRPr="00EB2544">
              <w:rPr>
                <w:lang w:eastAsia="en-AU"/>
              </w:rPr>
              <w:t>Promotions were based mainly on factors other than performance</w:t>
            </w:r>
          </w:p>
        </w:tc>
        <w:tc>
          <w:tcPr>
            <w:tcW w:w="613" w:type="pct"/>
          </w:tcPr>
          <w:p w14:paraId="55CDD1F7" w14:textId="77777777" w:rsidR="00131F7A" w:rsidRPr="00EB2544" w:rsidRDefault="00131F7A" w:rsidP="009746A6">
            <w:pPr>
              <w:pStyle w:val="Tablebodytext"/>
              <w:keepNext w:val="0"/>
              <w:rPr>
                <w:lang w:eastAsia="en-AU"/>
              </w:rPr>
            </w:pPr>
            <w:r w:rsidRPr="00EB2544">
              <w:rPr>
                <w:lang w:eastAsia="en-AU"/>
              </w:rPr>
              <w:t>0.33</w:t>
            </w:r>
          </w:p>
        </w:tc>
        <w:tc>
          <w:tcPr>
            <w:tcW w:w="836" w:type="pct"/>
            <w:tcMar>
              <w:top w:w="100" w:type="dxa"/>
              <w:left w:w="100" w:type="dxa"/>
              <w:bottom w:w="100" w:type="dxa"/>
              <w:right w:w="100" w:type="dxa"/>
            </w:tcMar>
          </w:tcPr>
          <w:p w14:paraId="53FCE1F2" w14:textId="77777777" w:rsidR="00131F7A" w:rsidRPr="00EB2544" w:rsidRDefault="00131F7A" w:rsidP="009746A6">
            <w:pPr>
              <w:pStyle w:val="Tablebodytext"/>
              <w:keepNext w:val="0"/>
              <w:rPr>
                <w:lang w:eastAsia="en-AU"/>
              </w:rPr>
            </w:pPr>
            <w:r w:rsidRPr="00EB2544">
              <w:rPr>
                <w:lang w:eastAsia="en-AU"/>
              </w:rPr>
              <w:t>1.51</w:t>
            </w:r>
          </w:p>
        </w:tc>
        <w:tc>
          <w:tcPr>
            <w:tcW w:w="1048" w:type="pct"/>
            <w:tcMar>
              <w:top w:w="100" w:type="dxa"/>
              <w:left w:w="100" w:type="dxa"/>
              <w:bottom w:w="100" w:type="dxa"/>
              <w:right w:w="100" w:type="dxa"/>
            </w:tcMar>
          </w:tcPr>
          <w:p w14:paraId="2774EC5D" w14:textId="77777777" w:rsidR="00131F7A" w:rsidRPr="00EB2544" w:rsidRDefault="00131F7A" w:rsidP="009746A6">
            <w:pPr>
              <w:pStyle w:val="Tablebodytext"/>
              <w:keepNext w:val="0"/>
              <w:rPr>
                <w:lang w:eastAsia="en-AU"/>
              </w:rPr>
            </w:pPr>
            <w:r w:rsidRPr="00EB2544">
              <w:rPr>
                <w:lang w:eastAsia="en-AU"/>
              </w:rPr>
              <w:t>1.86</w:t>
            </w:r>
          </w:p>
        </w:tc>
      </w:tr>
      <w:tr w:rsidR="00131F7A" w:rsidRPr="00EB2544" w14:paraId="56EB6B2B" w14:textId="77777777" w:rsidTr="00611018">
        <w:trPr>
          <w:trHeight w:val="20"/>
        </w:trPr>
        <w:tc>
          <w:tcPr>
            <w:tcW w:w="1173" w:type="pct"/>
            <w:vMerge/>
          </w:tcPr>
          <w:p w14:paraId="4BB6FFB7" w14:textId="77777777" w:rsidR="00131F7A" w:rsidRPr="00EB2544" w:rsidRDefault="00131F7A" w:rsidP="009746A6">
            <w:pPr>
              <w:pStyle w:val="Tablebodytext"/>
              <w:keepNext w:val="0"/>
              <w:rPr>
                <w:lang w:eastAsia="en-AU"/>
              </w:rPr>
            </w:pPr>
          </w:p>
        </w:tc>
        <w:tc>
          <w:tcPr>
            <w:tcW w:w="1330" w:type="pct"/>
          </w:tcPr>
          <w:p w14:paraId="467CE905" w14:textId="77777777" w:rsidR="00131F7A" w:rsidRPr="00EB2544" w:rsidRDefault="00131F7A" w:rsidP="009746A6">
            <w:pPr>
              <w:pStyle w:val="Tablebodytext"/>
              <w:keepNext w:val="0"/>
              <w:rPr>
                <w:lang w:eastAsia="en-AU"/>
              </w:rPr>
            </w:pPr>
            <w:r w:rsidRPr="00EB2544">
              <w:rPr>
                <w:lang w:eastAsia="en-AU"/>
              </w:rPr>
              <w:t xml:space="preserve">Staff were not promoted </w:t>
            </w:r>
          </w:p>
        </w:tc>
        <w:tc>
          <w:tcPr>
            <w:tcW w:w="613" w:type="pct"/>
          </w:tcPr>
          <w:p w14:paraId="410440FA"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5B3DA0B1" w14:textId="77777777" w:rsidR="00131F7A" w:rsidRPr="00EB2544" w:rsidRDefault="00131F7A" w:rsidP="009746A6">
            <w:pPr>
              <w:pStyle w:val="Tablebodytext"/>
              <w:keepNext w:val="0"/>
              <w:rPr>
                <w:lang w:eastAsia="en-AU"/>
              </w:rPr>
            </w:pPr>
            <w:r w:rsidRPr="00EB2544">
              <w:rPr>
                <w:lang w:eastAsia="en-AU"/>
              </w:rPr>
              <w:t>63.20</w:t>
            </w:r>
          </w:p>
        </w:tc>
        <w:tc>
          <w:tcPr>
            <w:tcW w:w="1048" w:type="pct"/>
            <w:tcMar>
              <w:top w:w="100" w:type="dxa"/>
              <w:left w:w="100" w:type="dxa"/>
              <w:bottom w:w="100" w:type="dxa"/>
              <w:right w:w="100" w:type="dxa"/>
            </w:tcMar>
          </w:tcPr>
          <w:p w14:paraId="664A9963" w14:textId="77777777" w:rsidR="00131F7A" w:rsidRPr="00EB2544" w:rsidRDefault="00131F7A" w:rsidP="009746A6">
            <w:pPr>
              <w:pStyle w:val="Tablebodytext"/>
              <w:keepNext w:val="0"/>
              <w:rPr>
                <w:lang w:eastAsia="en-AU"/>
              </w:rPr>
            </w:pPr>
            <w:r w:rsidRPr="00EB2544">
              <w:rPr>
                <w:lang w:eastAsia="en-AU"/>
              </w:rPr>
              <w:t>16.31</w:t>
            </w:r>
          </w:p>
        </w:tc>
      </w:tr>
      <w:tr w:rsidR="00131F7A" w:rsidRPr="00EB2544" w14:paraId="613A6F71" w14:textId="77777777" w:rsidTr="00611018">
        <w:trPr>
          <w:trHeight w:val="20"/>
        </w:trPr>
        <w:tc>
          <w:tcPr>
            <w:tcW w:w="1173" w:type="pct"/>
            <w:vMerge/>
          </w:tcPr>
          <w:p w14:paraId="207B224C" w14:textId="77777777" w:rsidR="00131F7A" w:rsidRPr="00EB2544" w:rsidRDefault="00131F7A" w:rsidP="009746A6">
            <w:pPr>
              <w:pStyle w:val="Tablebodytext"/>
              <w:keepNext w:val="0"/>
              <w:rPr>
                <w:lang w:eastAsia="en-AU"/>
              </w:rPr>
            </w:pPr>
          </w:p>
        </w:tc>
        <w:tc>
          <w:tcPr>
            <w:tcW w:w="1330" w:type="pct"/>
          </w:tcPr>
          <w:p w14:paraId="2EDF70A3" w14:textId="77777777" w:rsidR="00131F7A" w:rsidRPr="00EB2544" w:rsidRDefault="00131F7A" w:rsidP="009746A6">
            <w:pPr>
              <w:pStyle w:val="Tablebodytext"/>
              <w:keepNext w:val="0"/>
              <w:rPr>
                <w:lang w:eastAsia="en-AU"/>
              </w:rPr>
            </w:pPr>
            <w:r w:rsidRPr="00EB2544">
              <w:rPr>
                <w:lang w:eastAsia="en-AU"/>
              </w:rPr>
              <w:t>No response</w:t>
            </w:r>
          </w:p>
        </w:tc>
        <w:tc>
          <w:tcPr>
            <w:tcW w:w="613" w:type="pct"/>
          </w:tcPr>
          <w:p w14:paraId="4CF0EB71"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518519CD" w14:textId="77777777" w:rsidR="00131F7A" w:rsidRPr="00EB2544" w:rsidRDefault="00131F7A" w:rsidP="009746A6">
            <w:pPr>
              <w:pStyle w:val="Tablebodytext"/>
              <w:keepNext w:val="0"/>
              <w:rPr>
                <w:lang w:eastAsia="en-AU"/>
              </w:rPr>
            </w:pPr>
          </w:p>
        </w:tc>
        <w:tc>
          <w:tcPr>
            <w:tcW w:w="1048" w:type="pct"/>
          </w:tcPr>
          <w:p w14:paraId="7A3BBFCF" w14:textId="77777777" w:rsidR="00131F7A" w:rsidRPr="00EB2544" w:rsidRDefault="00131F7A" w:rsidP="009746A6">
            <w:pPr>
              <w:pStyle w:val="Tablebodytext"/>
              <w:keepNext w:val="0"/>
              <w:rPr>
                <w:lang w:eastAsia="en-AU"/>
              </w:rPr>
            </w:pPr>
          </w:p>
        </w:tc>
      </w:tr>
      <w:tr w:rsidR="00131F7A" w:rsidRPr="00EB2544" w14:paraId="6AE2BBBA" w14:textId="77777777" w:rsidTr="00611018">
        <w:trPr>
          <w:trHeight w:val="300"/>
        </w:trPr>
        <w:tc>
          <w:tcPr>
            <w:tcW w:w="1173" w:type="pct"/>
            <w:vMerge w:val="restart"/>
          </w:tcPr>
          <w:p w14:paraId="19D23D03" w14:textId="77777777" w:rsidR="00131F7A" w:rsidRPr="00EB2544" w:rsidRDefault="00131F7A" w:rsidP="009746A6">
            <w:pPr>
              <w:pStyle w:val="Tablebodytext"/>
              <w:keepNext w:val="0"/>
              <w:rPr>
                <w:lang w:eastAsia="en-AU"/>
              </w:rPr>
            </w:pPr>
            <w:r w:rsidRPr="00EB2544">
              <w:rPr>
                <w:lang w:eastAsia="en-AU"/>
              </w:rPr>
              <w:lastRenderedPageBreak/>
              <w:t>16 - Managers</w:t>
            </w:r>
          </w:p>
        </w:tc>
        <w:tc>
          <w:tcPr>
            <w:tcW w:w="1330" w:type="pct"/>
          </w:tcPr>
          <w:p w14:paraId="317B5257" w14:textId="77777777" w:rsidR="00131F7A" w:rsidRPr="00EB2544" w:rsidRDefault="00131F7A" w:rsidP="009746A6">
            <w:pPr>
              <w:pStyle w:val="Tablebodytext"/>
              <w:keepNext w:val="0"/>
              <w:rPr>
                <w:lang w:eastAsia="en-AU"/>
              </w:rPr>
            </w:pPr>
            <w:r w:rsidRPr="00EB2544">
              <w:rPr>
                <w:lang w:eastAsia="en-AU"/>
              </w:rPr>
              <w:t xml:space="preserve">Promotions were based solely on performance and ability </w:t>
            </w:r>
          </w:p>
        </w:tc>
        <w:tc>
          <w:tcPr>
            <w:tcW w:w="613" w:type="pct"/>
          </w:tcPr>
          <w:p w14:paraId="63129A90"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5BC060AD" w14:textId="77777777" w:rsidR="00131F7A" w:rsidRPr="00EB2544" w:rsidRDefault="00131F7A" w:rsidP="009746A6">
            <w:pPr>
              <w:pStyle w:val="Tablebodytext"/>
              <w:keepNext w:val="0"/>
              <w:rPr>
                <w:lang w:eastAsia="en-AU"/>
              </w:rPr>
            </w:pPr>
            <w:r w:rsidRPr="00EB2544">
              <w:rPr>
                <w:lang w:eastAsia="en-AU"/>
              </w:rPr>
              <w:t>22.30</w:t>
            </w:r>
          </w:p>
        </w:tc>
        <w:tc>
          <w:tcPr>
            <w:tcW w:w="1048" w:type="pct"/>
            <w:tcMar>
              <w:top w:w="100" w:type="dxa"/>
              <w:left w:w="100" w:type="dxa"/>
              <w:bottom w:w="100" w:type="dxa"/>
              <w:right w:w="100" w:type="dxa"/>
            </w:tcMar>
          </w:tcPr>
          <w:p w14:paraId="7E49A8EE" w14:textId="77777777" w:rsidR="00131F7A" w:rsidRPr="00EB2544" w:rsidRDefault="00131F7A" w:rsidP="009746A6">
            <w:pPr>
              <w:pStyle w:val="Tablebodytext"/>
              <w:keepNext w:val="0"/>
              <w:rPr>
                <w:lang w:eastAsia="en-AU"/>
              </w:rPr>
            </w:pPr>
            <w:r w:rsidRPr="00EB2544">
              <w:rPr>
                <w:lang w:eastAsia="en-AU"/>
              </w:rPr>
              <w:t>65.64</w:t>
            </w:r>
          </w:p>
        </w:tc>
      </w:tr>
      <w:tr w:rsidR="00131F7A" w:rsidRPr="00EB2544" w14:paraId="4AE244E8" w14:textId="77777777" w:rsidTr="00611018">
        <w:trPr>
          <w:trHeight w:val="600"/>
        </w:trPr>
        <w:tc>
          <w:tcPr>
            <w:tcW w:w="1173" w:type="pct"/>
            <w:vMerge/>
          </w:tcPr>
          <w:p w14:paraId="1748C5C9" w14:textId="77777777" w:rsidR="00131F7A" w:rsidRPr="00EB2544" w:rsidRDefault="00131F7A" w:rsidP="009746A6">
            <w:pPr>
              <w:pStyle w:val="Tablebodytext"/>
              <w:keepNext w:val="0"/>
              <w:rPr>
                <w:lang w:eastAsia="en-AU"/>
              </w:rPr>
            </w:pPr>
          </w:p>
        </w:tc>
        <w:tc>
          <w:tcPr>
            <w:tcW w:w="1330" w:type="pct"/>
          </w:tcPr>
          <w:p w14:paraId="5DD86332" w14:textId="77777777" w:rsidR="00131F7A" w:rsidRPr="00EB2544" w:rsidRDefault="00131F7A" w:rsidP="009746A6">
            <w:pPr>
              <w:pStyle w:val="Tablebodytext"/>
              <w:keepNext w:val="0"/>
              <w:rPr>
                <w:lang w:eastAsia="en-AU"/>
              </w:rPr>
            </w:pPr>
            <w:r w:rsidRPr="00EB2544">
              <w:rPr>
                <w:lang w:eastAsia="en-AU"/>
              </w:rPr>
              <w:t xml:space="preserve">Promotions were based partly on performance and ability and partly on other factors (e.g. tenure/time-in-business) </w:t>
            </w:r>
          </w:p>
        </w:tc>
        <w:tc>
          <w:tcPr>
            <w:tcW w:w="613" w:type="pct"/>
          </w:tcPr>
          <w:p w14:paraId="51625153" w14:textId="77777777" w:rsidR="00131F7A" w:rsidRPr="00EB2544" w:rsidRDefault="00131F7A" w:rsidP="009746A6">
            <w:pPr>
              <w:pStyle w:val="Tablebodytext"/>
              <w:keepNext w:val="0"/>
              <w:rPr>
                <w:lang w:eastAsia="en-AU"/>
              </w:rPr>
            </w:pPr>
            <w:r w:rsidRPr="00EB2544">
              <w:rPr>
                <w:lang w:eastAsia="en-AU"/>
              </w:rPr>
              <w:t>0.67</w:t>
            </w:r>
          </w:p>
        </w:tc>
        <w:tc>
          <w:tcPr>
            <w:tcW w:w="836" w:type="pct"/>
            <w:tcMar>
              <w:top w:w="100" w:type="dxa"/>
              <w:left w:w="100" w:type="dxa"/>
              <w:bottom w:w="100" w:type="dxa"/>
              <w:right w:w="100" w:type="dxa"/>
            </w:tcMar>
          </w:tcPr>
          <w:p w14:paraId="43D6C707" w14:textId="77777777" w:rsidR="00131F7A" w:rsidRPr="00EB2544" w:rsidRDefault="00131F7A" w:rsidP="009746A6">
            <w:pPr>
              <w:pStyle w:val="Tablebodytext"/>
              <w:keepNext w:val="0"/>
              <w:rPr>
                <w:lang w:eastAsia="en-AU"/>
              </w:rPr>
            </w:pPr>
            <w:r w:rsidRPr="00EB2544">
              <w:rPr>
                <w:lang w:eastAsia="en-AU"/>
              </w:rPr>
              <w:t>10.20</w:t>
            </w:r>
          </w:p>
        </w:tc>
        <w:tc>
          <w:tcPr>
            <w:tcW w:w="1048" w:type="pct"/>
            <w:tcMar>
              <w:top w:w="100" w:type="dxa"/>
              <w:left w:w="100" w:type="dxa"/>
              <w:bottom w:w="100" w:type="dxa"/>
              <w:right w:w="100" w:type="dxa"/>
            </w:tcMar>
          </w:tcPr>
          <w:p w14:paraId="219E2446" w14:textId="77777777" w:rsidR="00131F7A" w:rsidRPr="00EB2544" w:rsidRDefault="00131F7A" w:rsidP="009746A6">
            <w:pPr>
              <w:pStyle w:val="Tablebodytext"/>
              <w:keepNext w:val="0"/>
              <w:rPr>
                <w:lang w:eastAsia="en-AU"/>
              </w:rPr>
            </w:pPr>
            <w:r w:rsidRPr="00EB2544">
              <w:rPr>
                <w:lang w:eastAsia="en-AU"/>
              </w:rPr>
              <w:t>10.66</w:t>
            </w:r>
          </w:p>
        </w:tc>
      </w:tr>
      <w:tr w:rsidR="00131F7A" w:rsidRPr="00EB2544" w14:paraId="007042E8" w14:textId="77777777" w:rsidTr="00611018">
        <w:trPr>
          <w:trHeight w:val="447"/>
        </w:trPr>
        <w:tc>
          <w:tcPr>
            <w:tcW w:w="1173" w:type="pct"/>
            <w:vMerge/>
          </w:tcPr>
          <w:p w14:paraId="657A49F3" w14:textId="77777777" w:rsidR="00131F7A" w:rsidRPr="00EB2544" w:rsidRDefault="00131F7A" w:rsidP="009746A6">
            <w:pPr>
              <w:pStyle w:val="Tablebodytext"/>
              <w:keepNext w:val="0"/>
              <w:rPr>
                <w:lang w:eastAsia="en-AU"/>
              </w:rPr>
            </w:pPr>
          </w:p>
        </w:tc>
        <w:tc>
          <w:tcPr>
            <w:tcW w:w="1330" w:type="pct"/>
          </w:tcPr>
          <w:p w14:paraId="1F73EF08" w14:textId="77777777" w:rsidR="00131F7A" w:rsidRPr="00EB2544" w:rsidRDefault="00131F7A" w:rsidP="009746A6">
            <w:pPr>
              <w:pStyle w:val="Tablebodytext"/>
              <w:keepNext w:val="0"/>
              <w:rPr>
                <w:lang w:eastAsia="en-AU"/>
              </w:rPr>
            </w:pPr>
            <w:r w:rsidRPr="00EB2544">
              <w:rPr>
                <w:lang w:eastAsia="en-AU"/>
              </w:rPr>
              <w:t>Promotions were based mainly on factors other than performance</w:t>
            </w:r>
          </w:p>
        </w:tc>
        <w:tc>
          <w:tcPr>
            <w:tcW w:w="613" w:type="pct"/>
          </w:tcPr>
          <w:p w14:paraId="3DA5D422" w14:textId="77777777" w:rsidR="00131F7A" w:rsidRPr="00EB2544" w:rsidRDefault="00131F7A" w:rsidP="009746A6">
            <w:pPr>
              <w:pStyle w:val="Tablebodytext"/>
              <w:keepNext w:val="0"/>
              <w:rPr>
                <w:lang w:eastAsia="en-AU"/>
              </w:rPr>
            </w:pPr>
            <w:r w:rsidRPr="00EB2544">
              <w:rPr>
                <w:lang w:eastAsia="en-AU"/>
              </w:rPr>
              <w:t>0.33</w:t>
            </w:r>
          </w:p>
        </w:tc>
        <w:tc>
          <w:tcPr>
            <w:tcW w:w="836" w:type="pct"/>
            <w:tcMar>
              <w:top w:w="100" w:type="dxa"/>
              <w:left w:w="100" w:type="dxa"/>
              <w:bottom w:w="100" w:type="dxa"/>
              <w:right w:w="100" w:type="dxa"/>
            </w:tcMar>
          </w:tcPr>
          <w:p w14:paraId="1DC7E81B" w14:textId="77777777" w:rsidR="00131F7A" w:rsidRPr="00EB2544" w:rsidRDefault="00131F7A" w:rsidP="009746A6">
            <w:pPr>
              <w:pStyle w:val="Tablebodytext"/>
              <w:keepNext w:val="0"/>
              <w:rPr>
                <w:lang w:eastAsia="en-AU"/>
              </w:rPr>
            </w:pPr>
            <w:r w:rsidRPr="00EB2544">
              <w:rPr>
                <w:lang w:eastAsia="en-AU"/>
              </w:rPr>
              <w:t>1.34</w:t>
            </w:r>
          </w:p>
        </w:tc>
        <w:tc>
          <w:tcPr>
            <w:tcW w:w="1048" w:type="pct"/>
            <w:tcMar>
              <w:top w:w="100" w:type="dxa"/>
              <w:left w:w="100" w:type="dxa"/>
              <w:bottom w:w="100" w:type="dxa"/>
              <w:right w:w="100" w:type="dxa"/>
            </w:tcMar>
          </w:tcPr>
          <w:p w14:paraId="19201FCA" w14:textId="77777777" w:rsidR="00131F7A" w:rsidRPr="00EB2544" w:rsidRDefault="00131F7A" w:rsidP="009746A6">
            <w:pPr>
              <w:pStyle w:val="Tablebodytext"/>
              <w:keepNext w:val="0"/>
              <w:rPr>
                <w:lang w:eastAsia="en-AU"/>
              </w:rPr>
            </w:pPr>
            <w:r w:rsidRPr="00EB2544">
              <w:rPr>
                <w:lang w:eastAsia="en-AU"/>
              </w:rPr>
              <w:t>1.44</w:t>
            </w:r>
          </w:p>
        </w:tc>
      </w:tr>
      <w:tr w:rsidR="00131F7A" w:rsidRPr="00EB2544" w14:paraId="6FD12891" w14:textId="77777777" w:rsidTr="00611018">
        <w:trPr>
          <w:trHeight w:val="190"/>
        </w:trPr>
        <w:tc>
          <w:tcPr>
            <w:tcW w:w="1173" w:type="pct"/>
            <w:vMerge/>
          </w:tcPr>
          <w:p w14:paraId="6DC36C6F" w14:textId="77777777" w:rsidR="00131F7A" w:rsidRPr="00EB2544" w:rsidRDefault="00131F7A" w:rsidP="009746A6">
            <w:pPr>
              <w:pStyle w:val="Tablebodytext"/>
              <w:keepNext w:val="0"/>
              <w:rPr>
                <w:lang w:eastAsia="en-AU"/>
              </w:rPr>
            </w:pPr>
          </w:p>
        </w:tc>
        <w:tc>
          <w:tcPr>
            <w:tcW w:w="1330" w:type="pct"/>
          </w:tcPr>
          <w:p w14:paraId="7D23DA54" w14:textId="77777777" w:rsidR="00131F7A" w:rsidRPr="00EB2544" w:rsidRDefault="00131F7A" w:rsidP="009746A6">
            <w:pPr>
              <w:pStyle w:val="Tablebodytext"/>
              <w:keepNext w:val="0"/>
              <w:rPr>
                <w:lang w:eastAsia="en-AU"/>
              </w:rPr>
            </w:pPr>
            <w:r w:rsidRPr="00EB2544">
              <w:rPr>
                <w:lang w:eastAsia="en-AU"/>
              </w:rPr>
              <w:t xml:space="preserve">Staff were not promoted </w:t>
            </w:r>
          </w:p>
        </w:tc>
        <w:tc>
          <w:tcPr>
            <w:tcW w:w="613" w:type="pct"/>
          </w:tcPr>
          <w:p w14:paraId="637BC592" w14:textId="77777777" w:rsidR="00131F7A" w:rsidRPr="00EB2544" w:rsidRDefault="00131F7A" w:rsidP="009746A6">
            <w:pPr>
              <w:pStyle w:val="Tablebodytext"/>
              <w:keepNext w:val="0"/>
              <w:rPr>
                <w:lang w:eastAsia="en-AU"/>
              </w:rPr>
            </w:pPr>
            <w:r w:rsidRPr="00EB2544">
              <w:rPr>
                <w:lang w:eastAsia="en-AU"/>
              </w:rPr>
              <w:t>0.00</w:t>
            </w:r>
          </w:p>
        </w:tc>
        <w:tc>
          <w:tcPr>
            <w:tcW w:w="836" w:type="pct"/>
            <w:tcMar>
              <w:top w:w="100" w:type="dxa"/>
              <w:left w:w="100" w:type="dxa"/>
              <w:bottom w:w="100" w:type="dxa"/>
              <w:right w:w="100" w:type="dxa"/>
            </w:tcMar>
          </w:tcPr>
          <w:p w14:paraId="1E575206" w14:textId="77777777" w:rsidR="00131F7A" w:rsidRPr="00EB2544" w:rsidRDefault="00131F7A" w:rsidP="009746A6">
            <w:pPr>
              <w:pStyle w:val="Tablebodytext"/>
              <w:keepNext w:val="0"/>
              <w:rPr>
                <w:lang w:eastAsia="en-AU"/>
              </w:rPr>
            </w:pPr>
            <w:r w:rsidRPr="00EB2544">
              <w:rPr>
                <w:lang w:eastAsia="en-AU"/>
              </w:rPr>
              <w:t>1.34</w:t>
            </w:r>
          </w:p>
        </w:tc>
        <w:tc>
          <w:tcPr>
            <w:tcW w:w="1048" w:type="pct"/>
            <w:tcMar>
              <w:top w:w="100" w:type="dxa"/>
              <w:left w:w="100" w:type="dxa"/>
              <w:bottom w:w="100" w:type="dxa"/>
              <w:right w:w="100" w:type="dxa"/>
            </w:tcMar>
          </w:tcPr>
          <w:p w14:paraId="16F27DCF" w14:textId="77777777" w:rsidR="00131F7A" w:rsidRPr="00EB2544" w:rsidRDefault="00131F7A" w:rsidP="009746A6">
            <w:pPr>
              <w:pStyle w:val="Tablebodytext"/>
              <w:keepNext w:val="0"/>
              <w:rPr>
                <w:lang w:eastAsia="en-AU"/>
              </w:rPr>
            </w:pPr>
            <w:r w:rsidRPr="00EB2544">
              <w:rPr>
                <w:lang w:eastAsia="en-AU"/>
              </w:rPr>
              <w:t>1.44</w:t>
            </w:r>
          </w:p>
        </w:tc>
      </w:tr>
      <w:tr w:rsidR="00131F7A" w:rsidRPr="00EB2544" w14:paraId="26367EF6" w14:textId="77777777" w:rsidTr="00611018">
        <w:trPr>
          <w:trHeight w:val="20"/>
        </w:trPr>
        <w:tc>
          <w:tcPr>
            <w:tcW w:w="1173" w:type="pct"/>
            <w:vMerge/>
          </w:tcPr>
          <w:p w14:paraId="460E2F9F" w14:textId="77777777" w:rsidR="00131F7A" w:rsidRPr="00EB2544" w:rsidRDefault="00131F7A" w:rsidP="009746A6">
            <w:pPr>
              <w:pStyle w:val="Tablebodytext"/>
              <w:keepNext w:val="0"/>
              <w:rPr>
                <w:lang w:eastAsia="en-AU"/>
              </w:rPr>
            </w:pPr>
          </w:p>
        </w:tc>
        <w:tc>
          <w:tcPr>
            <w:tcW w:w="1330" w:type="pct"/>
          </w:tcPr>
          <w:p w14:paraId="2945C4CC" w14:textId="77777777" w:rsidR="00131F7A" w:rsidRPr="00EB2544" w:rsidRDefault="00131F7A" w:rsidP="009746A6">
            <w:pPr>
              <w:pStyle w:val="Tablebodytext"/>
              <w:keepNext w:val="0"/>
              <w:rPr>
                <w:lang w:eastAsia="en-AU"/>
              </w:rPr>
            </w:pPr>
            <w:r w:rsidRPr="00EB2544">
              <w:rPr>
                <w:lang w:eastAsia="en-AU"/>
              </w:rPr>
              <w:t>No response</w:t>
            </w:r>
          </w:p>
        </w:tc>
        <w:tc>
          <w:tcPr>
            <w:tcW w:w="613" w:type="pct"/>
          </w:tcPr>
          <w:p w14:paraId="749B9E5F" w14:textId="77777777" w:rsidR="00131F7A" w:rsidRPr="00EB2544" w:rsidRDefault="00131F7A" w:rsidP="009746A6">
            <w:pPr>
              <w:pStyle w:val="Tablebodytext"/>
              <w:keepNext w:val="0"/>
              <w:rPr>
                <w:lang w:eastAsia="en-AU"/>
              </w:rPr>
            </w:pPr>
            <w:r w:rsidRPr="00EB2544">
              <w:rPr>
                <w:lang w:eastAsia="en-AU"/>
              </w:rPr>
              <w:t>0.00</w:t>
            </w:r>
          </w:p>
        </w:tc>
        <w:tc>
          <w:tcPr>
            <w:tcW w:w="836" w:type="pct"/>
          </w:tcPr>
          <w:p w14:paraId="1117A1AB" w14:textId="77777777" w:rsidR="00131F7A" w:rsidRPr="00EB2544" w:rsidRDefault="00131F7A" w:rsidP="009746A6">
            <w:pPr>
              <w:pStyle w:val="Tablebodytext"/>
              <w:keepNext w:val="0"/>
              <w:rPr>
                <w:lang w:eastAsia="en-AU"/>
              </w:rPr>
            </w:pPr>
            <w:r w:rsidRPr="00EB2544">
              <w:rPr>
                <w:lang w:eastAsia="en-AU"/>
              </w:rPr>
              <w:t>-</w:t>
            </w:r>
          </w:p>
        </w:tc>
        <w:tc>
          <w:tcPr>
            <w:tcW w:w="1048" w:type="pct"/>
          </w:tcPr>
          <w:p w14:paraId="52A1DA09" w14:textId="77777777" w:rsidR="00131F7A" w:rsidRPr="00EB2544" w:rsidRDefault="00131F7A" w:rsidP="009746A6">
            <w:pPr>
              <w:pStyle w:val="Tablebodytext"/>
              <w:keepNext w:val="0"/>
              <w:rPr>
                <w:lang w:eastAsia="en-AU"/>
              </w:rPr>
            </w:pPr>
            <w:r w:rsidRPr="00EB2544">
              <w:rPr>
                <w:lang w:eastAsia="en-AU"/>
              </w:rPr>
              <w:t>-</w:t>
            </w:r>
          </w:p>
        </w:tc>
      </w:tr>
      <w:tr w:rsidR="00131F7A" w:rsidRPr="00EB2544" w14:paraId="4FCC9D58" w14:textId="77777777" w:rsidTr="00611018">
        <w:trPr>
          <w:trHeight w:val="327"/>
        </w:trPr>
        <w:tc>
          <w:tcPr>
            <w:tcW w:w="1173" w:type="pct"/>
            <w:vMerge w:val="restart"/>
          </w:tcPr>
          <w:p w14:paraId="13B1683B" w14:textId="77777777" w:rsidR="00131F7A" w:rsidRPr="00EB2544" w:rsidRDefault="00131F7A" w:rsidP="009746A6">
            <w:pPr>
              <w:pStyle w:val="Tablebodytext"/>
              <w:keepNext w:val="0"/>
              <w:rPr>
                <w:lang w:eastAsia="en-AU"/>
              </w:rPr>
            </w:pPr>
            <w:r w:rsidRPr="00EB2544">
              <w:rPr>
                <w:lang w:eastAsia="en-AU"/>
              </w:rPr>
              <w:t>17 - Non-managers</w:t>
            </w:r>
          </w:p>
        </w:tc>
        <w:tc>
          <w:tcPr>
            <w:tcW w:w="1330" w:type="pct"/>
          </w:tcPr>
          <w:p w14:paraId="17F85024" w14:textId="77777777" w:rsidR="00131F7A" w:rsidRPr="00EB2544" w:rsidRDefault="00131F7A" w:rsidP="009746A6">
            <w:pPr>
              <w:pStyle w:val="Tablebodytext"/>
              <w:keepNext w:val="0"/>
              <w:rPr>
                <w:lang w:eastAsia="en-AU"/>
              </w:rPr>
            </w:pPr>
            <w:r w:rsidRPr="00EB2544">
              <w:rPr>
                <w:lang w:eastAsia="en-AU"/>
              </w:rPr>
              <w:t xml:space="preserve">Yes, demoted or dismissed within 6 months of identifying under-performance </w:t>
            </w:r>
          </w:p>
        </w:tc>
        <w:tc>
          <w:tcPr>
            <w:tcW w:w="613" w:type="pct"/>
          </w:tcPr>
          <w:p w14:paraId="2C272B1A"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75AD5CDC" w14:textId="77777777" w:rsidR="00131F7A" w:rsidRPr="00EB2544" w:rsidRDefault="00131F7A" w:rsidP="009746A6">
            <w:pPr>
              <w:pStyle w:val="Tablebodytext"/>
              <w:keepNext w:val="0"/>
              <w:rPr>
                <w:lang w:eastAsia="en-AU"/>
              </w:rPr>
            </w:pPr>
            <w:r w:rsidRPr="00EB2544">
              <w:rPr>
                <w:lang w:eastAsia="en-AU"/>
              </w:rPr>
              <w:t>13.00</w:t>
            </w:r>
          </w:p>
        </w:tc>
        <w:tc>
          <w:tcPr>
            <w:tcW w:w="1048" w:type="pct"/>
            <w:tcMar>
              <w:top w:w="100" w:type="dxa"/>
              <w:left w:w="100" w:type="dxa"/>
              <w:bottom w:w="100" w:type="dxa"/>
              <w:right w:w="100" w:type="dxa"/>
            </w:tcMar>
          </w:tcPr>
          <w:p w14:paraId="16D04AA7" w14:textId="77777777" w:rsidR="00131F7A" w:rsidRPr="00EB2544" w:rsidRDefault="00131F7A" w:rsidP="009746A6">
            <w:pPr>
              <w:pStyle w:val="Tablebodytext"/>
              <w:keepNext w:val="0"/>
              <w:rPr>
                <w:lang w:eastAsia="en-AU"/>
              </w:rPr>
            </w:pPr>
            <w:r w:rsidRPr="00EB2544">
              <w:rPr>
                <w:lang w:eastAsia="en-AU"/>
              </w:rPr>
              <w:t>46.62</w:t>
            </w:r>
          </w:p>
        </w:tc>
      </w:tr>
      <w:tr w:rsidR="00131F7A" w:rsidRPr="00EB2544" w14:paraId="057DAA89" w14:textId="77777777" w:rsidTr="00611018">
        <w:trPr>
          <w:trHeight w:val="300"/>
        </w:trPr>
        <w:tc>
          <w:tcPr>
            <w:tcW w:w="1173" w:type="pct"/>
            <w:vMerge/>
          </w:tcPr>
          <w:p w14:paraId="77BD070A" w14:textId="77777777" w:rsidR="00131F7A" w:rsidRPr="00EB2544" w:rsidRDefault="00131F7A" w:rsidP="009746A6">
            <w:pPr>
              <w:pStyle w:val="Tablebodytext"/>
              <w:keepNext w:val="0"/>
              <w:rPr>
                <w:lang w:eastAsia="en-AU"/>
              </w:rPr>
            </w:pPr>
          </w:p>
        </w:tc>
        <w:tc>
          <w:tcPr>
            <w:tcW w:w="1330" w:type="pct"/>
          </w:tcPr>
          <w:p w14:paraId="29C4152D" w14:textId="77777777" w:rsidR="00131F7A" w:rsidRPr="00EB2544" w:rsidRDefault="00131F7A" w:rsidP="009746A6">
            <w:pPr>
              <w:pStyle w:val="Tablebodytext"/>
              <w:keepNext w:val="0"/>
              <w:rPr>
                <w:lang w:eastAsia="en-AU"/>
              </w:rPr>
            </w:pPr>
            <w:r w:rsidRPr="00EB2544">
              <w:rPr>
                <w:lang w:eastAsia="en-AU"/>
              </w:rPr>
              <w:t xml:space="preserve">Yes, demoted or dismissed after 6 months of identifying under-performance </w:t>
            </w:r>
          </w:p>
        </w:tc>
        <w:tc>
          <w:tcPr>
            <w:tcW w:w="613" w:type="pct"/>
          </w:tcPr>
          <w:p w14:paraId="626D33A4" w14:textId="77777777" w:rsidR="00131F7A" w:rsidRPr="00EB2544" w:rsidRDefault="00131F7A" w:rsidP="009746A6">
            <w:pPr>
              <w:pStyle w:val="Tablebodytext"/>
              <w:keepNext w:val="0"/>
              <w:rPr>
                <w:lang w:eastAsia="en-AU"/>
              </w:rPr>
            </w:pPr>
            <w:r w:rsidRPr="00EB2544">
              <w:rPr>
                <w:lang w:eastAsia="en-AU"/>
              </w:rPr>
              <w:t>0.50</w:t>
            </w:r>
          </w:p>
        </w:tc>
        <w:tc>
          <w:tcPr>
            <w:tcW w:w="836" w:type="pct"/>
            <w:tcMar>
              <w:top w:w="100" w:type="dxa"/>
              <w:left w:w="100" w:type="dxa"/>
              <w:bottom w:w="100" w:type="dxa"/>
              <w:right w:w="100" w:type="dxa"/>
            </w:tcMar>
          </w:tcPr>
          <w:p w14:paraId="126301AF" w14:textId="77777777" w:rsidR="00131F7A" w:rsidRPr="00EB2544" w:rsidRDefault="00131F7A" w:rsidP="009746A6">
            <w:pPr>
              <w:pStyle w:val="Tablebodytext"/>
              <w:keepNext w:val="0"/>
              <w:rPr>
                <w:lang w:eastAsia="en-AU"/>
              </w:rPr>
            </w:pPr>
            <w:r w:rsidRPr="00EB2544">
              <w:rPr>
                <w:lang w:eastAsia="en-AU"/>
              </w:rPr>
              <w:t>8.08</w:t>
            </w:r>
          </w:p>
        </w:tc>
        <w:tc>
          <w:tcPr>
            <w:tcW w:w="1048" w:type="pct"/>
            <w:tcMar>
              <w:top w:w="100" w:type="dxa"/>
              <w:left w:w="100" w:type="dxa"/>
              <w:bottom w:w="100" w:type="dxa"/>
              <w:right w:w="100" w:type="dxa"/>
            </w:tcMar>
          </w:tcPr>
          <w:p w14:paraId="7B4447A6" w14:textId="77777777" w:rsidR="00131F7A" w:rsidRPr="00EB2544" w:rsidRDefault="00131F7A" w:rsidP="009746A6">
            <w:pPr>
              <w:pStyle w:val="Tablebodytext"/>
              <w:keepNext w:val="0"/>
              <w:rPr>
                <w:lang w:eastAsia="en-AU"/>
              </w:rPr>
            </w:pPr>
            <w:r w:rsidRPr="00EB2544">
              <w:rPr>
                <w:lang w:eastAsia="en-AU"/>
              </w:rPr>
              <w:t>20.15</w:t>
            </w:r>
          </w:p>
        </w:tc>
      </w:tr>
      <w:tr w:rsidR="00131F7A" w:rsidRPr="00EB2544" w14:paraId="53BB2BBF" w14:textId="77777777" w:rsidTr="00611018">
        <w:trPr>
          <w:trHeight w:val="300"/>
        </w:trPr>
        <w:tc>
          <w:tcPr>
            <w:tcW w:w="1173" w:type="pct"/>
            <w:vMerge/>
          </w:tcPr>
          <w:p w14:paraId="41040DBB" w14:textId="77777777" w:rsidR="00131F7A" w:rsidRPr="00EB2544" w:rsidRDefault="00131F7A" w:rsidP="009746A6">
            <w:pPr>
              <w:pStyle w:val="Tablebodytext"/>
              <w:keepNext w:val="0"/>
              <w:rPr>
                <w:lang w:eastAsia="en-AU"/>
              </w:rPr>
            </w:pPr>
          </w:p>
        </w:tc>
        <w:tc>
          <w:tcPr>
            <w:tcW w:w="1330" w:type="pct"/>
          </w:tcPr>
          <w:p w14:paraId="538F8F1B" w14:textId="77777777" w:rsidR="00131F7A" w:rsidRPr="00EB2544" w:rsidRDefault="00131F7A" w:rsidP="009746A6">
            <w:pPr>
              <w:pStyle w:val="Tablebodytext"/>
              <w:keepNext w:val="0"/>
              <w:rPr>
                <w:lang w:eastAsia="en-AU"/>
              </w:rPr>
            </w:pPr>
            <w:r w:rsidRPr="00EB2544">
              <w:rPr>
                <w:lang w:eastAsia="en-AU"/>
              </w:rPr>
              <w:t xml:space="preserve">No, not demoted or dismissed / No under-performance identified </w:t>
            </w:r>
          </w:p>
        </w:tc>
        <w:tc>
          <w:tcPr>
            <w:tcW w:w="613" w:type="pct"/>
          </w:tcPr>
          <w:p w14:paraId="4571E649" w14:textId="77777777" w:rsidR="00131F7A" w:rsidRPr="00EB2544" w:rsidRDefault="00131F7A" w:rsidP="009746A6">
            <w:pPr>
              <w:pStyle w:val="Tablebodytext"/>
              <w:keepNext w:val="0"/>
              <w:rPr>
                <w:lang w:eastAsia="en-AU"/>
              </w:rPr>
            </w:pPr>
            <w:r w:rsidRPr="00EB2544">
              <w:rPr>
                <w:lang w:eastAsia="en-AU"/>
              </w:rPr>
              <w:t>0</w:t>
            </w:r>
          </w:p>
        </w:tc>
        <w:tc>
          <w:tcPr>
            <w:tcW w:w="836" w:type="pct"/>
            <w:tcMar>
              <w:top w:w="100" w:type="dxa"/>
              <w:left w:w="100" w:type="dxa"/>
              <w:bottom w:w="100" w:type="dxa"/>
              <w:right w:w="100" w:type="dxa"/>
            </w:tcMar>
          </w:tcPr>
          <w:p w14:paraId="3D9C5271" w14:textId="77777777" w:rsidR="00131F7A" w:rsidRPr="00EB2544" w:rsidRDefault="00131F7A" w:rsidP="009746A6">
            <w:pPr>
              <w:pStyle w:val="Tablebodytext"/>
              <w:keepNext w:val="0"/>
              <w:rPr>
                <w:lang w:eastAsia="en-AU"/>
              </w:rPr>
            </w:pPr>
            <w:r w:rsidRPr="00EB2544">
              <w:rPr>
                <w:lang w:eastAsia="en-AU"/>
              </w:rPr>
              <w:t>79.00</w:t>
            </w:r>
          </w:p>
        </w:tc>
        <w:tc>
          <w:tcPr>
            <w:tcW w:w="1048" w:type="pct"/>
            <w:tcMar>
              <w:top w:w="100" w:type="dxa"/>
              <w:left w:w="100" w:type="dxa"/>
              <w:bottom w:w="100" w:type="dxa"/>
              <w:right w:w="100" w:type="dxa"/>
            </w:tcMar>
          </w:tcPr>
          <w:p w14:paraId="31137D50" w14:textId="77777777" w:rsidR="00131F7A" w:rsidRPr="00EB2544" w:rsidRDefault="00131F7A" w:rsidP="009746A6">
            <w:pPr>
              <w:pStyle w:val="Tablebodytext"/>
              <w:keepNext w:val="0"/>
              <w:rPr>
                <w:lang w:eastAsia="en-AU"/>
              </w:rPr>
            </w:pPr>
            <w:r w:rsidRPr="00EB2544">
              <w:rPr>
                <w:lang w:eastAsia="en-AU"/>
              </w:rPr>
              <w:t>33.23</w:t>
            </w:r>
          </w:p>
        </w:tc>
      </w:tr>
      <w:tr w:rsidR="00131F7A" w:rsidRPr="00EB2544" w14:paraId="6F3D0C54" w14:textId="77777777" w:rsidTr="00611018">
        <w:trPr>
          <w:trHeight w:val="443"/>
        </w:trPr>
        <w:tc>
          <w:tcPr>
            <w:tcW w:w="1173" w:type="pct"/>
            <w:vMerge w:val="restart"/>
          </w:tcPr>
          <w:p w14:paraId="4E8A1561" w14:textId="77777777" w:rsidR="00131F7A" w:rsidRPr="00EB2544" w:rsidRDefault="00131F7A" w:rsidP="009746A6">
            <w:pPr>
              <w:pStyle w:val="Tablebodytext"/>
              <w:keepNext w:val="0"/>
              <w:rPr>
                <w:lang w:eastAsia="en-AU"/>
              </w:rPr>
            </w:pPr>
            <w:r w:rsidRPr="00EB2544">
              <w:rPr>
                <w:lang w:eastAsia="en-AU"/>
              </w:rPr>
              <w:t>17 - Managers</w:t>
            </w:r>
          </w:p>
        </w:tc>
        <w:tc>
          <w:tcPr>
            <w:tcW w:w="1330" w:type="pct"/>
          </w:tcPr>
          <w:p w14:paraId="2262FFA9" w14:textId="77777777" w:rsidR="00131F7A" w:rsidRPr="00EB2544" w:rsidRDefault="00131F7A" w:rsidP="009746A6">
            <w:pPr>
              <w:pStyle w:val="Tablebodytext"/>
              <w:keepNext w:val="0"/>
              <w:rPr>
                <w:lang w:eastAsia="en-AU"/>
              </w:rPr>
            </w:pPr>
            <w:r w:rsidRPr="00EB2544">
              <w:rPr>
                <w:lang w:eastAsia="en-AU"/>
              </w:rPr>
              <w:t xml:space="preserve">Yes, demoted or dismissed within 6 months of identifying under-performance </w:t>
            </w:r>
          </w:p>
        </w:tc>
        <w:tc>
          <w:tcPr>
            <w:tcW w:w="613" w:type="pct"/>
          </w:tcPr>
          <w:p w14:paraId="4AF6AC91" w14:textId="77777777" w:rsidR="00131F7A" w:rsidRPr="00EB2544" w:rsidRDefault="00131F7A" w:rsidP="009746A6">
            <w:pPr>
              <w:pStyle w:val="Tablebodytext"/>
              <w:keepNext w:val="0"/>
              <w:rPr>
                <w:lang w:eastAsia="en-AU"/>
              </w:rPr>
            </w:pPr>
            <w:r w:rsidRPr="00EB2544">
              <w:rPr>
                <w:lang w:eastAsia="en-AU"/>
              </w:rPr>
              <w:t>1.00</w:t>
            </w:r>
          </w:p>
        </w:tc>
        <w:tc>
          <w:tcPr>
            <w:tcW w:w="836" w:type="pct"/>
            <w:tcMar>
              <w:top w:w="100" w:type="dxa"/>
              <w:left w:w="100" w:type="dxa"/>
              <w:bottom w:w="100" w:type="dxa"/>
              <w:right w:w="100" w:type="dxa"/>
            </w:tcMar>
          </w:tcPr>
          <w:p w14:paraId="74471D06" w14:textId="77777777" w:rsidR="00131F7A" w:rsidRPr="00EB2544" w:rsidRDefault="00131F7A" w:rsidP="009746A6">
            <w:pPr>
              <w:pStyle w:val="Tablebodytext"/>
              <w:keepNext w:val="0"/>
              <w:rPr>
                <w:lang w:eastAsia="en-AU"/>
              </w:rPr>
            </w:pPr>
            <w:r w:rsidRPr="00EB2544">
              <w:rPr>
                <w:lang w:eastAsia="en-AU"/>
              </w:rPr>
              <w:t>6.65</w:t>
            </w:r>
          </w:p>
        </w:tc>
        <w:tc>
          <w:tcPr>
            <w:tcW w:w="1048" w:type="pct"/>
            <w:tcMar>
              <w:top w:w="100" w:type="dxa"/>
              <w:left w:w="100" w:type="dxa"/>
              <w:bottom w:w="100" w:type="dxa"/>
              <w:right w:w="100" w:type="dxa"/>
            </w:tcMar>
          </w:tcPr>
          <w:p w14:paraId="67317407" w14:textId="77777777" w:rsidR="00131F7A" w:rsidRPr="00EB2544" w:rsidRDefault="00131F7A" w:rsidP="009746A6">
            <w:pPr>
              <w:pStyle w:val="Tablebodytext"/>
              <w:keepNext w:val="0"/>
              <w:rPr>
                <w:lang w:eastAsia="en-AU"/>
              </w:rPr>
            </w:pPr>
            <w:r w:rsidRPr="00EB2544">
              <w:rPr>
                <w:lang w:eastAsia="en-AU"/>
              </w:rPr>
              <w:t>33.01</w:t>
            </w:r>
          </w:p>
        </w:tc>
      </w:tr>
      <w:tr w:rsidR="00131F7A" w:rsidRPr="00EB2544" w14:paraId="1E3E2FD6" w14:textId="77777777" w:rsidTr="00611018">
        <w:trPr>
          <w:trHeight w:val="300"/>
        </w:trPr>
        <w:tc>
          <w:tcPr>
            <w:tcW w:w="1173" w:type="pct"/>
            <w:vMerge/>
          </w:tcPr>
          <w:p w14:paraId="140EDFEA" w14:textId="77777777" w:rsidR="00131F7A" w:rsidRPr="00EB2544" w:rsidRDefault="00131F7A" w:rsidP="009746A6">
            <w:pPr>
              <w:pStyle w:val="Tablebodytext"/>
              <w:keepNext w:val="0"/>
              <w:rPr>
                <w:lang w:eastAsia="en-AU"/>
              </w:rPr>
            </w:pPr>
          </w:p>
        </w:tc>
        <w:tc>
          <w:tcPr>
            <w:tcW w:w="1330" w:type="pct"/>
          </w:tcPr>
          <w:p w14:paraId="19B0CEFB" w14:textId="77777777" w:rsidR="00131F7A" w:rsidRPr="00EB2544" w:rsidRDefault="00131F7A" w:rsidP="009746A6">
            <w:pPr>
              <w:pStyle w:val="Tablebodytext"/>
              <w:keepNext w:val="0"/>
              <w:rPr>
                <w:lang w:eastAsia="en-AU"/>
              </w:rPr>
            </w:pPr>
            <w:r w:rsidRPr="00EB2544">
              <w:rPr>
                <w:lang w:eastAsia="en-AU"/>
              </w:rPr>
              <w:t xml:space="preserve">Yes, demoted or dismissed after 6 months of identifying under-performance </w:t>
            </w:r>
          </w:p>
        </w:tc>
        <w:tc>
          <w:tcPr>
            <w:tcW w:w="613" w:type="pct"/>
          </w:tcPr>
          <w:p w14:paraId="2F0124CA" w14:textId="77777777" w:rsidR="00131F7A" w:rsidRPr="00EB2544" w:rsidRDefault="00131F7A" w:rsidP="009746A6">
            <w:pPr>
              <w:pStyle w:val="Tablebodytext"/>
              <w:keepNext w:val="0"/>
              <w:rPr>
                <w:lang w:eastAsia="en-AU"/>
              </w:rPr>
            </w:pPr>
            <w:r w:rsidRPr="00EB2544">
              <w:rPr>
                <w:lang w:eastAsia="en-AU"/>
              </w:rPr>
              <w:t>0.50</w:t>
            </w:r>
          </w:p>
        </w:tc>
        <w:tc>
          <w:tcPr>
            <w:tcW w:w="836" w:type="pct"/>
            <w:tcMar>
              <w:top w:w="100" w:type="dxa"/>
              <w:left w:w="100" w:type="dxa"/>
              <w:bottom w:w="100" w:type="dxa"/>
              <w:right w:w="100" w:type="dxa"/>
            </w:tcMar>
          </w:tcPr>
          <w:p w14:paraId="59ED164C" w14:textId="77777777" w:rsidR="00131F7A" w:rsidRPr="00EB2544" w:rsidRDefault="00131F7A" w:rsidP="009746A6">
            <w:pPr>
              <w:pStyle w:val="Tablebodytext"/>
              <w:keepNext w:val="0"/>
              <w:rPr>
                <w:lang w:eastAsia="en-AU"/>
              </w:rPr>
            </w:pPr>
            <w:r w:rsidRPr="00EB2544">
              <w:rPr>
                <w:lang w:eastAsia="en-AU"/>
              </w:rPr>
              <w:t>6.47</w:t>
            </w:r>
          </w:p>
        </w:tc>
        <w:tc>
          <w:tcPr>
            <w:tcW w:w="1048" w:type="pct"/>
            <w:tcMar>
              <w:top w:w="100" w:type="dxa"/>
              <w:left w:w="100" w:type="dxa"/>
              <w:bottom w:w="100" w:type="dxa"/>
              <w:right w:w="100" w:type="dxa"/>
            </w:tcMar>
          </w:tcPr>
          <w:p w14:paraId="777D554C" w14:textId="77777777" w:rsidR="00131F7A" w:rsidRPr="00EB2544" w:rsidRDefault="00131F7A" w:rsidP="009746A6">
            <w:pPr>
              <w:pStyle w:val="Tablebodytext"/>
              <w:keepNext w:val="0"/>
              <w:rPr>
                <w:lang w:eastAsia="en-AU"/>
              </w:rPr>
            </w:pPr>
            <w:r w:rsidRPr="00EB2544">
              <w:rPr>
                <w:lang w:eastAsia="en-AU"/>
              </w:rPr>
              <w:t>24.19</w:t>
            </w:r>
          </w:p>
        </w:tc>
      </w:tr>
      <w:tr w:rsidR="00131F7A" w:rsidRPr="00EB2544" w14:paraId="6194D837" w14:textId="77777777" w:rsidTr="00611018">
        <w:trPr>
          <w:trHeight w:val="41"/>
        </w:trPr>
        <w:tc>
          <w:tcPr>
            <w:tcW w:w="1173" w:type="pct"/>
            <w:vMerge/>
          </w:tcPr>
          <w:p w14:paraId="52BDD585" w14:textId="77777777" w:rsidR="00131F7A" w:rsidRPr="00EB2544" w:rsidRDefault="00131F7A" w:rsidP="009746A6">
            <w:pPr>
              <w:pStyle w:val="Tablebodytext"/>
              <w:keepNext w:val="0"/>
              <w:rPr>
                <w:lang w:eastAsia="en-AU"/>
              </w:rPr>
            </w:pPr>
          </w:p>
        </w:tc>
        <w:tc>
          <w:tcPr>
            <w:tcW w:w="1330" w:type="pct"/>
          </w:tcPr>
          <w:p w14:paraId="57B532AC" w14:textId="77777777" w:rsidR="00131F7A" w:rsidRPr="00EB2544" w:rsidRDefault="00131F7A" w:rsidP="009746A6">
            <w:pPr>
              <w:pStyle w:val="Tablebodytext"/>
              <w:keepNext w:val="0"/>
              <w:rPr>
                <w:lang w:eastAsia="en-AU"/>
              </w:rPr>
            </w:pPr>
            <w:r w:rsidRPr="00EB2544">
              <w:rPr>
                <w:lang w:eastAsia="en-AU"/>
              </w:rPr>
              <w:t xml:space="preserve">No, not demoted or dismissed / No under-performance identified </w:t>
            </w:r>
          </w:p>
        </w:tc>
        <w:tc>
          <w:tcPr>
            <w:tcW w:w="613" w:type="pct"/>
          </w:tcPr>
          <w:p w14:paraId="5D65C4C7" w14:textId="77777777" w:rsidR="00131F7A" w:rsidRPr="00EB2544" w:rsidRDefault="00131F7A" w:rsidP="009746A6">
            <w:pPr>
              <w:pStyle w:val="Tablebodytext"/>
              <w:keepNext w:val="0"/>
              <w:rPr>
                <w:lang w:eastAsia="en-AU"/>
              </w:rPr>
            </w:pPr>
            <w:r w:rsidRPr="00EB2544">
              <w:rPr>
                <w:lang w:eastAsia="en-AU"/>
              </w:rPr>
              <w:t>0</w:t>
            </w:r>
          </w:p>
        </w:tc>
        <w:tc>
          <w:tcPr>
            <w:tcW w:w="836" w:type="pct"/>
            <w:tcMar>
              <w:top w:w="100" w:type="dxa"/>
              <w:left w:w="100" w:type="dxa"/>
              <w:bottom w:w="100" w:type="dxa"/>
              <w:right w:w="100" w:type="dxa"/>
            </w:tcMar>
          </w:tcPr>
          <w:p w14:paraId="243AED65" w14:textId="77777777" w:rsidR="00131F7A" w:rsidRPr="00EB2544" w:rsidRDefault="00131F7A" w:rsidP="009746A6">
            <w:pPr>
              <w:pStyle w:val="Tablebodytext"/>
              <w:keepNext w:val="0"/>
              <w:rPr>
                <w:lang w:eastAsia="en-AU"/>
              </w:rPr>
            </w:pPr>
            <w:r w:rsidRPr="00EB2544">
              <w:rPr>
                <w:lang w:eastAsia="en-AU"/>
              </w:rPr>
              <w:t>86.90</w:t>
            </w:r>
          </w:p>
        </w:tc>
        <w:tc>
          <w:tcPr>
            <w:tcW w:w="1048" w:type="pct"/>
            <w:tcMar>
              <w:top w:w="100" w:type="dxa"/>
              <w:left w:w="100" w:type="dxa"/>
              <w:bottom w:w="100" w:type="dxa"/>
              <w:right w:w="100" w:type="dxa"/>
            </w:tcMar>
          </w:tcPr>
          <w:p w14:paraId="03B21323" w14:textId="77777777" w:rsidR="00131F7A" w:rsidRPr="00EB2544" w:rsidRDefault="00131F7A" w:rsidP="009746A6">
            <w:pPr>
              <w:pStyle w:val="Tablebodytext"/>
              <w:keepNext w:val="0"/>
              <w:rPr>
                <w:lang w:eastAsia="en-AU"/>
              </w:rPr>
            </w:pPr>
            <w:r w:rsidRPr="00EB2544">
              <w:rPr>
                <w:lang w:eastAsia="en-AU"/>
              </w:rPr>
              <w:t>42.80</w:t>
            </w:r>
          </w:p>
        </w:tc>
      </w:tr>
    </w:tbl>
    <w:p w14:paraId="7B89F2DB" w14:textId="5FD39718" w:rsidR="00131F7A" w:rsidRPr="00C62F3A" w:rsidRDefault="00131F7A" w:rsidP="00F23552">
      <w:pPr>
        <w:pStyle w:val="NoteWide"/>
        <w:spacing w:line="240" w:lineRule="auto"/>
        <w:ind w:firstLine="142"/>
      </w:pPr>
      <w:r w:rsidRPr="00C62F3A">
        <w:t>Note</w:t>
      </w:r>
      <w:r>
        <w:t xml:space="preserve">s: </w:t>
      </w:r>
      <w:r w:rsidR="00C50C1F" w:rsidRPr="00085CC5">
        <w:t>* Respondents instructed to “Select all that apply”, r</w:t>
      </w:r>
      <w:r w:rsidR="00C50C1F">
        <w:t>esponse sum to greater than 100 per cent</w:t>
      </w:r>
    </w:p>
    <w:p w14:paraId="7636ADAC" w14:textId="0C7A8B72" w:rsidR="00131F7A" w:rsidRDefault="00131F7A" w:rsidP="00F23552">
      <w:pPr>
        <w:pStyle w:val="SourceWide"/>
        <w:spacing w:line="240" w:lineRule="auto"/>
        <w:ind w:left="-1843"/>
        <w:jc w:val="left"/>
      </w:pPr>
      <w:r>
        <w:t xml:space="preserve">Source: </w:t>
      </w:r>
      <w:r w:rsidR="00C50C1F" w:rsidRPr="00085CC5">
        <w:t>Australian Bureau of Statistics 2016, Management and Organisational Capabilities of Australian Business, 2015</w:t>
      </w:r>
      <w:r w:rsidR="00C50C1F">
        <w:t>–</w:t>
      </w:r>
      <w:r w:rsidR="00C50C1F" w:rsidRPr="00085CC5">
        <w:t>16. Expanded Confidentialised Unit Record File (CURF), ABS DataLab.</w:t>
      </w:r>
      <w:r w:rsidR="00C50C1F">
        <w:br/>
      </w:r>
      <w:r w:rsidR="00C50C1F" w:rsidRPr="00085CC5">
        <w:t>U.S. Census Bureau, Massachusetts Institute of Technology, National Bureau of Economic Research, and Stanford University; 2015 Management and Organizational Practices Survey</w:t>
      </w:r>
    </w:p>
    <w:p w14:paraId="582DEC24" w14:textId="77777777" w:rsidR="00131F7A" w:rsidRPr="00131F7A" w:rsidRDefault="00131F7A" w:rsidP="00131F7A">
      <w:pPr>
        <w:pStyle w:val="BodyText"/>
        <w:rPr>
          <w:lang w:val="en" w:eastAsia="en-AU"/>
        </w:rPr>
      </w:pPr>
    </w:p>
    <w:sectPr w:rsidR="00131F7A" w:rsidRPr="00131F7A" w:rsidSect="00657561">
      <w:pgSz w:w="11906" w:h="16838" w:code="9"/>
      <w:pgMar w:top="1440" w:right="1440" w:bottom="1440" w:left="357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FE338" w14:textId="77777777" w:rsidR="00EC7B73" w:rsidRDefault="00EC7B73" w:rsidP="00F244EA">
      <w:pPr>
        <w:spacing w:after="0" w:line="240" w:lineRule="auto"/>
      </w:pPr>
      <w:r>
        <w:separator/>
      </w:r>
    </w:p>
  </w:endnote>
  <w:endnote w:type="continuationSeparator" w:id="0">
    <w:p w14:paraId="168E6D54" w14:textId="77777777" w:rsidR="00EC7B73" w:rsidRDefault="00EC7B73" w:rsidP="00F244EA">
      <w:pPr>
        <w:spacing w:after="0" w:line="240" w:lineRule="auto"/>
      </w:pPr>
      <w:r>
        <w:continuationSeparator/>
      </w:r>
    </w:p>
  </w:endnote>
  <w:endnote w:type="continuationNotice" w:id="1">
    <w:p w14:paraId="65FD5F7E" w14:textId="77777777" w:rsidR="00EC7B73" w:rsidRDefault="00EC7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7159" w14:textId="77777777" w:rsidR="00EC7B73" w:rsidRPr="001C2E57" w:rsidRDefault="00EC7B73" w:rsidP="00301D88">
    <w:pPr>
      <w:pStyle w:val="Footer"/>
      <w:tabs>
        <w:tab w:val="clear" w:pos="9680"/>
      </w:tabs>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111F76">
      <w:rPr>
        <w:noProof/>
      </w:rPr>
      <w:instrText>Development of Management Capability Scores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111F76">
      <w:rPr>
        <w:noProof/>
      </w:rPr>
      <w:instrText>Development of Management Capability Scores</w:instrText>
    </w:r>
    <w:r>
      <w:rPr>
        <w:noProof/>
      </w:rPr>
      <w:fldChar w:fldCharType="end"/>
    </w:r>
    <w:r w:rsidRPr="001C2E57">
      <w:instrText xml:space="preserve"> </w:instrText>
    </w:r>
    <w:r w:rsidRPr="001C2E57">
      <w:fldChar w:fldCharType="separate"/>
    </w:r>
    <w:r w:rsidR="00111F76">
      <w:rPr>
        <w:noProof/>
      </w:rPr>
      <w:t>Development of Management Capability Scores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111F76">
      <w:rPr>
        <w:noProof/>
      </w:rPr>
      <w:t>14</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30E30" w14:textId="77777777" w:rsidR="00EC7B73" w:rsidRPr="001C2E57" w:rsidRDefault="00EC7B73"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111F76">
      <w:rPr>
        <w:noProof/>
      </w:rPr>
      <w:instrText>Development of Management Capability Scores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111F76">
      <w:rPr>
        <w:noProof/>
      </w:rPr>
      <w:instrText>Development of Management Capability Scores</w:instrText>
    </w:r>
    <w:r>
      <w:rPr>
        <w:noProof/>
      </w:rPr>
      <w:fldChar w:fldCharType="end"/>
    </w:r>
    <w:r w:rsidRPr="001C2E57">
      <w:instrText xml:space="preserve"> </w:instrText>
    </w:r>
    <w:r w:rsidRPr="001C2E57">
      <w:fldChar w:fldCharType="separate"/>
    </w:r>
    <w:r w:rsidR="00111F76">
      <w:rPr>
        <w:noProof/>
      </w:rPr>
      <w:t>Development of Management Capability Scores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6E18" w14:textId="77777777" w:rsidR="00EC7B73" w:rsidRDefault="00EC7B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95C4A" w14:textId="77777777" w:rsidR="00EC7B73" w:rsidRPr="001C2E57" w:rsidRDefault="00EC7B73" w:rsidP="00301D88">
    <w:pPr>
      <w:pStyle w:val="Footer"/>
      <w:tabs>
        <w:tab w:val="clear" w:pos="9680"/>
      </w:tabs>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111F76">
      <w:rPr>
        <w:noProof/>
      </w:rPr>
      <w:instrText>Development of Management Capability Scores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111F76">
      <w:rPr>
        <w:noProof/>
      </w:rPr>
      <w:instrText>Development of Management Capability Scores</w:instrText>
    </w:r>
    <w:r>
      <w:rPr>
        <w:noProof/>
      </w:rPr>
      <w:fldChar w:fldCharType="end"/>
    </w:r>
    <w:r w:rsidRPr="001C2E57">
      <w:instrText xml:space="preserve"> </w:instrText>
    </w:r>
    <w:r w:rsidRPr="001C2E57">
      <w:fldChar w:fldCharType="separate"/>
    </w:r>
    <w:r w:rsidR="00111F76">
      <w:rPr>
        <w:noProof/>
      </w:rPr>
      <w:t>Development of Management Capability Scores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111F76">
      <w:rPr>
        <w:noProof/>
      </w:rPr>
      <w:t>63</w:t>
    </w:r>
    <w:r w:rsidRPr="001C2E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D9675" w14:textId="77777777" w:rsidR="00EC7B73" w:rsidRPr="001C2E57" w:rsidRDefault="00EC7B73"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111F76">
      <w:rPr>
        <w:noProof/>
      </w:rPr>
      <w:instrText>Development of Management Capability Scores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111F76">
      <w:rPr>
        <w:noProof/>
      </w:rPr>
      <w:instrText>Development of Management Capability Scores</w:instrText>
    </w:r>
    <w:r>
      <w:rPr>
        <w:noProof/>
      </w:rPr>
      <w:fldChar w:fldCharType="end"/>
    </w:r>
    <w:r w:rsidRPr="001C2E57">
      <w:instrText xml:space="preserve"> </w:instrText>
    </w:r>
    <w:r w:rsidRPr="001C2E57">
      <w:fldChar w:fldCharType="separate"/>
    </w:r>
    <w:r w:rsidR="00111F76">
      <w:rPr>
        <w:noProof/>
      </w:rPr>
      <w:t>Development of Management Capability Scores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266FB" w14:textId="77777777" w:rsidR="00EC7B73" w:rsidRDefault="00EC7B73" w:rsidP="005D00B5">
      <w:pPr>
        <w:spacing w:after="0" w:line="240" w:lineRule="auto"/>
        <w:ind w:left="0"/>
      </w:pPr>
      <w:r>
        <w:separator/>
      </w:r>
    </w:p>
  </w:footnote>
  <w:footnote w:type="continuationSeparator" w:id="0">
    <w:p w14:paraId="7863CDA6" w14:textId="77777777" w:rsidR="00EC7B73" w:rsidRDefault="00EC7B73" w:rsidP="00F244EA">
      <w:pPr>
        <w:spacing w:after="0" w:line="240" w:lineRule="auto"/>
      </w:pPr>
      <w:r>
        <w:continuationSeparator/>
      </w:r>
    </w:p>
  </w:footnote>
  <w:footnote w:type="continuationNotice" w:id="1">
    <w:p w14:paraId="3FA0D8EC" w14:textId="77777777" w:rsidR="00EC7B73" w:rsidRDefault="00EC7B73">
      <w:pPr>
        <w:spacing w:after="0" w:line="240" w:lineRule="auto"/>
      </w:pPr>
    </w:p>
  </w:footnote>
  <w:footnote w:id="2">
    <w:p w14:paraId="1AB1A9EC" w14:textId="77777777" w:rsidR="00EC7B73" w:rsidRPr="009C15BF" w:rsidRDefault="00EC7B73" w:rsidP="0078561E">
      <w:pPr>
        <w:pStyle w:val="DisclaimerandAcknowledgement"/>
        <w:ind w:left="0"/>
      </w:pPr>
      <w:r w:rsidRPr="00A4699E">
        <w:rPr>
          <w:rStyle w:val="FootnoteReference"/>
          <w:rFonts w:eastAsia="Times New Roman" w:cstheme="minorBidi"/>
          <w:szCs w:val="22"/>
          <w:lang w:val="en-AU"/>
        </w:rPr>
        <w:footnoteRef/>
      </w:r>
      <w:r w:rsidRPr="009C15BF">
        <w:t xml:space="preserve"> ABS (2017) </w:t>
      </w:r>
      <w:hyperlink r:id="rId1" w:history="1">
        <w:r w:rsidRPr="009C15BF">
          <w:rPr>
            <w:rStyle w:val="Hyperlink"/>
            <w:color w:val="373737"/>
          </w:rPr>
          <w:t>Management and Organisational Capabilities of Australian Business, 2015-16</w:t>
        </w:r>
      </w:hyperlink>
    </w:p>
  </w:footnote>
  <w:footnote w:id="3">
    <w:p w14:paraId="2D4B73A3" w14:textId="77777777" w:rsidR="00EC7B73" w:rsidRDefault="00EC7B73" w:rsidP="003E1DF2">
      <w:pPr>
        <w:pStyle w:val="FootnoteText"/>
        <w:ind w:left="108"/>
      </w:pPr>
      <w:r>
        <w:rPr>
          <w:rStyle w:val="FootnoteReference"/>
        </w:rPr>
        <w:footnoteRef/>
      </w:r>
      <w:r>
        <w:t xml:space="preserve"> This was a collaboration between the Australian Bureau of Statistics (ABS) the Department of Industry,</w:t>
      </w:r>
      <w:r w:rsidRPr="00F97471">
        <w:t xml:space="preserve"> </w:t>
      </w:r>
      <w:r>
        <w:t xml:space="preserve">Innovation and Science (DIIS), the University Technology Sydney (UTS) Business School and with the technical assistance of Professor Nick Bloom from Stanford University. </w:t>
      </w:r>
    </w:p>
  </w:footnote>
  <w:footnote w:id="4">
    <w:p w14:paraId="42A00703" w14:textId="77777777" w:rsidR="00EC7B73" w:rsidRDefault="00EC7B73" w:rsidP="003E1DF2">
      <w:pPr>
        <w:pStyle w:val="FootnoteText"/>
        <w:ind w:left="108"/>
      </w:pPr>
      <w:r>
        <w:rPr>
          <w:rStyle w:val="FootnoteReference"/>
        </w:rPr>
        <w:footnoteRef/>
      </w:r>
      <w:r>
        <w:t xml:space="preserve"> </w:t>
      </w:r>
      <w:r w:rsidRPr="00003B12">
        <w:t xml:space="preserve">This </w:t>
      </w:r>
      <w:r>
        <w:t xml:space="preserve">EDAN research paper builds on prior collaborations between </w:t>
      </w:r>
      <w:r w:rsidRPr="00003B12">
        <w:t>UTS business school and the DIIS</w:t>
      </w:r>
      <w:r>
        <w:t xml:space="preserve"> on</w:t>
      </w:r>
      <w:r w:rsidRPr="00003B12">
        <w:t xml:space="preserve"> management capabilities</w:t>
      </w:r>
      <w:r>
        <w:t xml:space="preserve"> and</w:t>
      </w:r>
      <w:r w:rsidRPr="00003B12">
        <w:t xml:space="preserve"> strategic management in Australian firms.</w:t>
      </w:r>
      <w:r>
        <w:t xml:space="preserve"> Financial support for this project was provided by the Department of the Prime Minister and Cabinet’s Data Integration Partnership Australia (DIPA) through the Economic Data Analysis Network (EDAN).</w:t>
      </w:r>
    </w:p>
  </w:footnote>
  <w:footnote w:id="5">
    <w:p w14:paraId="5817E5A7" w14:textId="77777777" w:rsidR="00EC7B73" w:rsidRDefault="00EC7B73" w:rsidP="0078561E">
      <w:pPr>
        <w:pStyle w:val="DisclaimerandAcknowledgement"/>
        <w:ind w:left="0"/>
      </w:pPr>
      <w:r>
        <w:rPr>
          <w:vertAlign w:val="superscript"/>
        </w:rPr>
        <w:footnoteRef/>
      </w:r>
      <w:r>
        <w:t xml:space="preserve"> See</w:t>
      </w:r>
      <w:hyperlink r:id="rId2">
        <w:r>
          <w:t xml:space="preserve"> </w:t>
        </w:r>
      </w:hyperlink>
      <w:hyperlink r:id="rId3">
        <w:r w:rsidRPr="009C15BF">
          <w:rPr>
            <w:rStyle w:val="HyperlinkStyleChar"/>
            <w:sz w:val="16"/>
            <w:szCs w:val="16"/>
          </w:rPr>
          <w:t>http://worldmanagementsurvey.org/</w:t>
        </w:r>
      </w:hyperlink>
    </w:p>
  </w:footnote>
  <w:footnote w:id="6">
    <w:p w14:paraId="27D225AA" w14:textId="77777777" w:rsidR="00EC7B73" w:rsidRDefault="00EC7B73" w:rsidP="0078561E">
      <w:pPr>
        <w:pStyle w:val="DisclaimerandAcknowledgement"/>
        <w:ind w:left="0"/>
      </w:pPr>
      <w:r>
        <w:rPr>
          <w:vertAlign w:val="superscript"/>
        </w:rPr>
        <w:footnoteRef/>
      </w:r>
      <w:r>
        <w:t xml:space="preserve"> See</w:t>
      </w:r>
      <w:hyperlink r:id="rId4">
        <w:r>
          <w:t xml:space="preserve"> </w:t>
        </w:r>
      </w:hyperlink>
      <w:hyperlink r:id="rId5">
        <w:r w:rsidRPr="009C15BF">
          <w:rPr>
            <w:rStyle w:val="HyperlinkStyleChar"/>
            <w:sz w:val="16"/>
            <w:szCs w:val="16"/>
          </w:rPr>
          <w:t>https://www.census.gov/programs-surveys/mops.html</w:t>
        </w:r>
      </w:hyperlink>
      <w:r w:rsidRPr="009C15BF">
        <w:rPr>
          <w:rStyle w:val="HyperlinkStyleChar"/>
          <w:sz w:val="16"/>
          <w:szCs w:val="16"/>
        </w:rPr>
        <w:t xml:space="preserve"> </w:t>
      </w:r>
      <w:r>
        <w:t>for a detailed description of this survey.</w:t>
      </w:r>
    </w:p>
  </w:footnote>
  <w:footnote w:id="7">
    <w:p w14:paraId="43FBB71C" w14:textId="77777777" w:rsidR="00EC7B73" w:rsidRDefault="00EC7B73" w:rsidP="0078561E">
      <w:pPr>
        <w:pStyle w:val="DisclaimerandAcknowledgement"/>
        <w:ind w:left="0"/>
      </w:pPr>
      <w:r>
        <w:rPr>
          <w:vertAlign w:val="superscript"/>
        </w:rPr>
        <w:footnoteRef/>
      </w:r>
      <w:r>
        <w:rPr>
          <w:szCs w:val="20"/>
        </w:rPr>
        <w:t xml:space="preserve"> </w:t>
      </w:r>
      <w:r>
        <w:t>Where a capability is defined as “a high-level routine (or collection of routines) that confers an organisations’ management a set of decision options for pro</w:t>
      </w:r>
      <w:r w:rsidRPr="009C15BF">
        <w:rPr>
          <w:rStyle w:val="DisclaimerHeadingChar"/>
          <w:rFonts w:eastAsia="Arial"/>
          <w:color w:val="auto"/>
        </w:rPr>
        <w:t>d</w:t>
      </w:r>
      <w:r>
        <w:t xml:space="preserve">ucing significant outputs of a particular type” Winter, S. G. (2000). </w:t>
      </w:r>
      <w:r w:rsidRPr="00781CDA">
        <w:rPr>
          <w:i/>
          <w:iCs/>
        </w:rPr>
        <w:t>Strategic management journal</w:t>
      </w:r>
      <w:r w:rsidRPr="00781CDA">
        <w:rPr>
          <w:b/>
          <w:bCs/>
        </w:rPr>
        <w:t>,</w:t>
      </w:r>
      <w:r>
        <w:t xml:space="preserve"> 981-996. In this paper, we recognise that a capability involves continuously making organisational decisions and such decisions will have a significant impact on an organisations’ viability in the long-term.</w:t>
      </w:r>
    </w:p>
  </w:footnote>
  <w:footnote w:id="8">
    <w:p w14:paraId="6AE693D6" w14:textId="4556C79E" w:rsidR="00EC7B73" w:rsidRPr="00217715" w:rsidRDefault="00EC7B73" w:rsidP="0078561E">
      <w:pPr>
        <w:pStyle w:val="DisclaimerandAcknowledgement"/>
        <w:spacing w:after="0"/>
        <w:ind w:left="0"/>
      </w:pPr>
      <w:r>
        <w:rPr>
          <w:vertAlign w:val="superscript"/>
        </w:rPr>
        <w:footnoteRef/>
      </w:r>
      <w:r>
        <w:rPr>
          <w:szCs w:val="20"/>
        </w:rPr>
        <w:t xml:space="preserve"> </w:t>
      </w:r>
      <w:r w:rsidRPr="00217715">
        <w:t>The four questions in the MCM that have been identified to be derived from the US MOPS are MCM Q18, Q19, Q20</w:t>
      </w:r>
      <w:r>
        <w:t xml:space="preserve"> and</w:t>
      </w:r>
      <w:r w:rsidRPr="00217715">
        <w:t xml:space="preserve"> Q21</w:t>
      </w:r>
      <w:r>
        <w:t>.</w:t>
      </w:r>
    </w:p>
  </w:footnote>
  <w:footnote w:id="9">
    <w:p w14:paraId="7E37C53E" w14:textId="006DD529" w:rsidR="00EC7B73" w:rsidRPr="00AE2082" w:rsidRDefault="00EC7B73" w:rsidP="00AE2082">
      <w:pPr>
        <w:pStyle w:val="BodyText"/>
        <w:rPr>
          <w:rFonts w:eastAsia="Arial" w:cs="Arial"/>
        </w:rPr>
      </w:pPr>
      <w:r>
        <w:rPr>
          <w:rStyle w:val="FootnoteReference"/>
        </w:rPr>
        <w:footnoteRef/>
      </w:r>
      <w:r>
        <w:t xml:space="preserve"> </w:t>
      </w:r>
      <w:r w:rsidRPr="00AE2082">
        <w:rPr>
          <w:rFonts w:ascii="Arial" w:eastAsia="Calibri" w:hAnsi="Arial" w:cs="Arial"/>
          <w:sz w:val="16"/>
          <w:szCs w:val="18"/>
          <w:lang w:val="en"/>
        </w:rPr>
        <w:t>The US MOPS score is scaled down by first calculating the individual question scores for the specific 12 comparable questions that are present in both surveys. The individual question score for the US MOPS results are derived from the response rates of each question and applying the assigned weights for each respective question. The scaled US MOPS score based on 12 questions is calculated by taking the unweighted average of the 12 calculated individual question scores. To scale down the US MOPS scores for the size, industry and firm age crosstab results, a multiplier is applied to the US MOPS scores based on 16 questions. This multiplier is derived from taking the average score for US MOPS based on 12 questions (0.553) as calculated above and dividing it by the score for US MOPS based on 16 questions (0.549). The multiplier that is applied to scale down the US MOPS scores based on 16 questions equals (1.007). Appendix C of UTS project report contains the calculated average individual question scores based on the US MOPS response rates</w:t>
      </w:r>
      <w:r>
        <w:rPr>
          <w:rFonts w:ascii="Arial" w:eastAsia="Calibri" w:hAnsi="Arial" w:cs="Arial"/>
          <w:sz w:val="16"/>
          <w:szCs w:val="18"/>
          <w:lang w:val="en"/>
        </w:rPr>
        <w:t>.</w:t>
      </w:r>
      <w:r w:rsidRPr="00AE2082">
        <w:rPr>
          <w:rFonts w:ascii="Arial" w:eastAsia="Calibri" w:hAnsi="Arial" w:cs="Arial"/>
          <w:sz w:val="16"/>
          <w:szCs w:val="18"/>
          <w:lang w:val="en"/>
        </w:rPr>
        <w:t xml:space="preserve"> A comparison of the MCM and US MOPS is to be interpreted with caution. A precise comparison will require the raw unit data for US MOPS to construct a comparable score using only 12 out of the 16 questions for ‘Structured Management’, which is currently unavailable</w:t>
      </w:r>
      <w:r>
        <w:rPr>
          <w:rFonts w:ascii="Arial" w:eastAsia="Calibri" w:hAnsi="Arial" w:cs="Arial"/>
          <w:sz w:val="16"/>
          <w:szCs w:val="18"/>
          <w:lang w:val="en"/>
        </w:rPr>
        <w:t>.</w:t>
      </w:r>
    </w:p>
  </w:footnote>
  <w:footnote w:id="10">
    <w:p w14:paraId="0D0284BF" w14:textId="4C91752A" w:rsidR="00EC7B73" w:rsidRDefault="00EC7B73" w:rsidP="0078561E">
      <w:pPr>
        <w:pStyle w:val="FootnoteText"/>
        <w:ind w:left="108"/>
      </w:pPr>
      <w:r>
        <w:rPr>
          <w:rStyle w:val="FootnoteReference"/>
        </w:rPr>
        <w:footnoteRef/>
      </w:r>
      <w:r>
        <w:t xml:space="preserve"> The difference between the OMC and OMCv2 is that the latter does not include supply chain management questions. </w:t>
      </w:r>
    </w:p>
  </w:footnote>
  <w:footnote w:id="11">
    <w:p w14:paraId="39C327F0" w14:textId="73318716" w:rsidR="00EC7B73" w:rsidRDefault="00EC7B73" w:rsidP="003B3A8A">
      <w:pPr>
        <w:pStyle w:val="FootnoteText"/>
        <w:spacing w:line="240" w:lineRule="auto"/>
        <w:ind w:left="108"/>
        <w:jc w:val="left"/>
      </w:pPr>
      <w:r>
        <w:rPr>
          <w:rStyle w:val="FootnoteReference"/>
        </w:rPr>
        <w:footnoteRef/>
      </w:r>
      <w:r>
        <w:t xml:space="preserve"> </w:t>
      </w:r>
      <w:r>
        <w:rPr>
          <w:rFonts w:eastAsia="Arial" w:cs="Arial"/>
        </w:rPr>
        <w:t>As explained in section 3.3, the sample size has decreased from the overall MOPS score in Table 13, as a result of the linkage between the two datasets.</w:t>
      </w:r>
    </w:p>
  </w:footnote>
  <w:footnote w:id="12">
    <w:p w14:paraId="0EDFF1C4" w14:textId="77777777" w:rsidR="00EC7B73" w:rsidRPr="00217715" w:rsidRDefault="00EC7B73" w:rsidP="003B3A8A">
      <w:pPr>
        <w:spacing w:after="0" w:line="240" w:lineRule="auto"/>
        <w:ind w:left="0"/>
        <w:rPr>
          <w:rFonts w:eastAsia="Arial" w:cs="Arial"/>
          <w:sz w:val="16"/>
          <w:szCs w:val="16"/>
        </w:rPr>
      </w:pPr>
      <w:r w:rsidRPr="00A4699E">
        <w:rPr>
          <w:rStyle w:val="FootnoteReference"/>
          <w:rFonts w:eastAsia="Times New Roman"/>
          <w:sz w:val="16"/>
        </w:rPr>
        <w:footnoteRef/>
      </w:r>
      <w:r w:rsidRPr="00217715">
        <w:rPr>
          <w:rFonts w:eastAsia="Arial" w:cs="Arial"/>
          <w:sz w:val="16"/>
          <w:szCs w:val="16"/>
        </w:rPr>
        <w:t>The multiplier calculated to scale down the US Score to 12 questions is (US16/US12): 0.553/0.549 = 1.007</w:t>
      </w:r>
    </w:p>
  </w:footnote>
  <w:footnote w:id="13">
    <w:p w14:paraId="276543FD" w14:textId="04E36962" w:rsidR="00EC7B73" w:rsidRDefault="00EC7B73" w:rsidP="0078561E">
      <w:pPr>
        <w:pStyle w:val="DisclaimerandAcknowledgement"/>
        <w:spacing w:after="0"/>
        <w:ind w:left="0"/>
      </w:pPr>
      <w:r>
        <w:rPr>
          <w:rStyle w:val="FootnoteReference"/>
        </w:rPr>
        <w:footnoteRef/>
      </w:r>
      <w:r>
        <w:t xml:space="preserve"> As described in Section 3.3, to scale down the US MOPS scores for the size, industry and firm age crosstab results, a multiplier is applied to the US MOPS scores that is based on 16 questions. </w:t>
      </w:r>
      <w:r w:rsidRPr="00217715">
        <w:rPr>
          <w:szCs w:val="16"/>
        </w:rPr>
        <w:t>The multiplier calculated to scale down the US Score to 12 questions is (US16/US12):  0.553/0.549 = 1.007</w:t>
      </w:r>
    </w:p>
  </w:footnote>
  <w:footnote w:id="14">
    <w:p w14:paraId="3CF83AB8" w14:textId="21418D9C" w:rsidR="00EC7B73" w:rsidRDefault="00EC7B73" w:rsidP="0078561E">
      <w:pPr>
        <w:pStyle w:val="DisclaimerandAcknowledgement"/>
        <w:spacing w:after="0"/>
        <w:ind w:left="0"/>
      </w:pPr>
      <w:r>
        <w:rPr>
          <w:rStyle w:val="FootnoteReference"/>
        </w:rPr>
        <w:footnoteRef/>
      </w:r>
      <w:r>
        <w:t xml:space="preserve"> As described in Section 3.3, to scale down the US MOPS scores for the size, industry and firm age results, a multiplier is applied to the US MOPS scores that is based on 16 questions. </w:t>
      </w:r>
      <w:r w:rsidRPr="00217715">
        <w:rPr>
          <w:szCs w:val="16"/>
        </w:rPr>
        <w:t>The multiplier calculated to scale down the US Score to 12 questions is (US16/US12):  0.553/0.549 = 1.007</w:t>
      </w:r>
    </w:p>
  </w:footnote>
  <w:footnote w:id="15">
    <w:p w14:paraId="7785FDBB" w14:textId="09CBC33F" w:rsidR="00EC7B73" w:rsidRDefault="00EC7B73" w:rsidP="00D26C19">
      <w:pPr>
        <w:pStyle w:val="FootnoteText"/>
        <w:ind w:left="108"/>
      </w:pPr>
      <w:r>
        <w:rPr>
          <w:rStyle w:val="FootnoteReference"/>
        </w:rPr>
        <w:footnoteRef/>
      </w:r>
      <w:r>
        <w:t xml:space="preserve"> </w:t>
      </w:r>
      <w:r>
        <w:rPr>
          <w:rFonts w:eastAsia="Arial" w:cs="Arial"/>
          <w:highlight w:val="white"/>
        </w:rPr>
        <w:t>We also estimated labour profitability using profits per employee but the estimated results were insignificant (except for EMC).</w:t>
      </w:r>
    </w:p>
  </w:footnote>
  <w:footnote w:id="16">
    <w:p w14:paraId="6FAF784D" w14:textId="3F174036" w:rsidR="00EC7B73" w:rsidRDefault="00EC7B73" w:rsidP="0078561E">
      <w:pPr>
        <w:pStyle w:val="DisclaimerandAcknowledgement"/>
        <w:spacing w:after="0"/>
        <w:ind w:left="0"/>
        <w:rPr>
          <w:szCs w:val="20"/>
        </w:rPr>
      </w:pPr>
      <w:r>
        <w:rPr>
          <w:vertAlign w:val="superscript"/>
        </w:rPr>
        <w:footnoteRef/>
      </w:r>
      <w:r>
        <w:rPr>
          <w:szCs w:val="20"/>
        </w:rPr>
        <w:t xml:space="preserve"> </w:t>
      </w:r>
      <w:r w:rsidRPr="00217715">
        <w:t>Robustness involve</w:t>
      </w:r>
      <w:r>
        <w:t>d</w:t>
      </w:r>
      <w:r w:rsidRPr="00217715">
        <w:t xml:space="preserve"> testing the different weighting options for the questions</w:t>
      </w:r>
      <w:r>
        <w:rPr>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E2AF5" w14:textId="77777777" w:rsidR="00EC7B73" w:rsidRDefault="00EC7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44CC9" w14:textId="77777777" w:rsidR="00EC7B73" w:rsidRDefault="00EC7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D76E" w14:textId="77777777" w:rsidR="00EC7B73" w:rsidRDefault="00EC7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3402"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5D719F"/>
    <w:multiLevelType w:val="hybridMultilevel"/>
    <w:tmpl w:val="1C2C45C8"/>
    <w:lvl w:ilvl="0" w:tplc="622CCB6E">
      <w:start w:val="1"/>
      <w:numFmt w:val="upperLetter"/>
      <w:pStyle w:val="test"/>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A6EC1"/>
    <w:multiLevelType w:val="multilevel"/>
    <w:tmpl w:val="3BFA39A6"/>
    <w:numStyleLink w:val="OCENumberedList"/>
  </w:abstractNum>
  <w:abstractNum w:abstractNumId="4"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5"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7"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8"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48122AE0"/>
    <w:multiLevelType w:val="hybridMultilevel"/>
    <w:tmpl w:val="31CA7394"/>
    <w:lvl w:ilvl="0" w:tplc="88325980">
      <w:start w:val="1"/>
      <w:numFmt w:val="decimal"/>
      <w:pStyle w:val="Heading7AX"/>
      <w:lvlText w:val="A.%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3813CDC"/>
    <w:multiLevelType w:val="multilevel"/>
    <w:tmpl w:val="D5BAF582"/>
    <w:numStyleLink w:val="OCEHeadings"/>
  </w:abstractNum>
  <w:abstractNum w:abstractNumId="12" w15:restartNumberingAfterBreak="0">
    <w:nsid w:val="6B2D73DE"/>
    <w:multiLevelType w:val="hybridMultilevel"/>
    <w:tmpl w:val="92D0CBC4"/>
    <w:lvl w:ilvl="0" w:tplc="421473CC">
      <w:start w:val="1"/>
      <w:numFmt w:val="bullet"/>
      <w:lvlText w:val=""/>
      <w:lvlJc w:val="left"/>
      <w:pPr>
        <w:ind w:left="720" w:hanging="360"/>
      </w:pPr>
      <w:rPr>
        <w:rFonts w:ascii="Wingdings" w:hAnsi="Wingdings" w:hint="default"/>
        <w:color w:val="005CAF"/>
      </w:rPr>
    </w:lvl>
    <w:lvl w:ilvl="1" w:tplc="421473CC">
      <w:start w:val="1"/>
      <w:numFmt w:val="bullet"/>
      <w:lvlText w:val=""/>
      <w:lvlJc w:val="left"/>
      <w:pPr>
        <w:ind w:left="1440" w:hanging="360"/>
      </w:pPr>
      <w:rPr>
        <w:rFonts w:ascii="Wingdings" w:hAnsi="Wingdings" w:hint="default"/>
        <w:color w:val="005CAF"/>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9B2BAA"/>
    <w:multiLevelType w:val="hybridMultilevel"/>
    <w:tmpl w:val="8C40DEEC"/>
    <w:lvl w:ilvl="0" w:tplc="81DE81EA">
      <w:start w:val="1"/>
      <w:numFmt w:val="decimal"/>
      <w:pStyle w:val="TableCX"/>
      <w:lvlText w:val="Table C.%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4"/>
  </w:num>
  <w:num w:numId="3">
    <w:abstractNumId w:val="0"/>
  </w:num>
  <w:num w:numId="4">
    <w:abstractNumId w:val="10"/>
  </w:num>
  <w:num w:numId="5">
    <w:abstractNumId w:val="6"/>
  </w:num>
  <w:num w:numId="6">
    <w:abstractNumId w:val="5"/>
  </w:num>
  <w:num w:numId="7">
    <w:abstractNumId w:val="8"/>
  </w:num>
  <w:num w:numId="8">
    <w:abstractNumId w:val="4"/>
  </w:num>
  <w:num w:numId="9">
    <w:abstractNumId w:val="11"/>
  </w:num>
  <w:num w:numId="10">
    <w:abstractNumId w:val="3"/>
  </w:num>
  <w:num w:numId="11">
    <w:abstractNumId w:val="4"/>
  </w:num>
  <w:num w:numId="12">
    <w:abstractNumId w:val="11"/>
    <w:lvlOverride w:ilvl="1">
      <w:lvl w:ilvl="1">
        <w:start w:val="1"/>
        <w:numFmt w:val="decimal"/>
        <w:pStyle w:val="Heading2"/>
        <w:lvlText w:val="%1.%2"/>
        <w:lvlJc w:val="left"/>
        <w:pPr>
          <w:ind w:left="3402" w:hanging="709"/>
        </w:pPr>
        <w:rPr>
          <w:rFonts w:hint="default"/>
        </w:rPr>
      </w:lvl>
    </w:lvlOverride>
    <w:lvlOverride w:ilvl="5">
      <w:lvl w:ilvl="5">
        <w:start w:val="1"/>
        <w:numFmt w:val="upperLetter"/>
        <w:pStyle w:val="Heading6"/>
        <w:lvlText w:val="Appendix %6"/>
        <w:lvlJc w:val="left"/>
        <w:pPr>
          <w:ind w:left="2381" w:hanging="2381"/>
        </w:pPr>
        <w:rPr>
          <w:rFonts w:hint="default"/>
        </w:rPr>
      </w:lvl>
    </w:lvlOverride>
    <w:lvlOverride w:ilvl="6">
      <w:lvl w:ilvl="6">
        <w:start w:val="1"/>
        <w:numFmt w:val="decimal"/>
        <w:pStyle w:val="Heading7"/>
        <w:lvlText w:val="%6.%7"/>
        <w:lvlJc w:val="left"/>
        <w:pPr>
          <w:ind w:left="709" w:hanging="709"/>
        </w:pPr>
        <w:rPr>
          <w:rFonts w:hint="default"/>
        </w:rPr>
      </w:lvl>
    </w:lvlOverride>
  </w:num>
  <w:num w:numId="13">
    <w:abstractNumId w:val="10"/>
  </w:num>
  <w:num w:numId="14">
    <w:abstractNumId w:val="12"/>
  </w:num>
  <w:num w:numId="15">
    <w:abstractNumId w:val="13"/>
  </w:num>
  <w:num w:numId="16">
    <w:abstractNumId w:val="1"/>
  </w:num>
  <w:num w:numId="17">
    <w:abstractNumId w:val="9"/>
  </w:num>
  <w:num w:numId="18">
    <w:abstractNumId w:val="2"/>
  </w:num>
  <w:num w:numId="19">
    <w:abstractNumId w:val="11"/>
    <w:lvlOverride w:ilvl="5">
      <w:lvl w:ilvl="5">
        <w:start w:val="1"/>
        <w:numFmt w:val="upperLetter"/>
        <w:pStyle w:val="Heading6"/>
        <w:lvlText w:val="Appendix %6"/>
        <w:lvlJc w:val="left"/>
        <w:pPr>
          <w:ind w:left="2381" w:hanging="2381"/>
        </w:pPr>
        <w:rPr>
          <w:rFonts w:hint="default"/>
        </w:rPr>
      </w:lvl>
    </w:lvlOverride>
    <w:lvlOverride w:ilvl="6">
      <w:lvl w:ilvl="6">
        <w:start w:val="1"/>
        <w:numFmt w:val="decimal"/>
        <w:pStyle w:val="Heading7"/>
        <w:lvlText w:val="%6.%7"/>
        <w:lvlJc w:val="left"/>
        <w:pPr>
          <w:ind w:left="709" w:hanging="709"/>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61"/>
    <w:rsid w:val="00000A47"/>
    <w:rsid w:val="00002F55"/>
    <w:rsid w:val="000036F1"/>
    <w:rsid w:val="00003B81"/>
    <w:rsid w:val="00004365"/>
    <w:rsid w:val="00004BF6"/>
    <w:rsid w:val="00006E54"/>
    <w:rsid w:val="00007EBB"/>
    <w:rsid w:val="00010903"/>
    <w:rsid w:val="000113C1"/>
    <w:rsid w:val="0001161C"/>
    <w:rsid w:val="00011BE7"/>
    <w:rsid w:val="000122D8"/>
    <w:rsid w:val="00013F4A"/>
    <w:rsid w:val="00013F80"/>
    <w:rsid w:val="00017BB5"/>
    <w:rsid w:val="00017D45"/>
    <w:rsid w:val="000238B9"/>
    <w:rsid w:val="0002648C"/>
    <w:rsid w:val="00035325"/>
    <w:rsid w:val="00037B42"/>
    <w:rsid w:val="00041FE3"/>
    <w:rsid w:val="00043051"/>
    <w:rsid w:val="00047373"/>
    <w:rsid w:val="0005753A"/>
    <w:rsid w:val="00060184"/>
    <w:rsid w:val="00060761"/>
    <w:rsid w:val="00060CE1"/>
    <w:rsid w:val="000614AF"/>
    <w:rsid w:val="000618FB"/>
    <w:rsid w:val="000641E0"/>
    <w:rsid w:val="0006492D"/>
    <w:rsid w:val="00067812"/>
    <w:rsid w:val="00070749"/>
    <w:rsid w:val="0007137D"/>
    <w:rsid w:val="000728D2"/>
    <w:rsid w:val="00072C29"/>
    <w:rsid w:val="00072E96"/>
    <w:rsid w:val="00076E42"/>
    <w:rsid w:val="00082BF4"/>
    <w:rsid w:val="00086733"/>
    <w:rsid w:val="00090174"/>
    <w:rsid w:val="000904D3"/>
    <w:rsid w:val="0009085C"/>
    <w:rsid w:val="00090A74"/>
    <w:rsid w:val="000920D2"/>
    <w:rsid w:val="000A011E"/>
    <w:rsid w:val="000A29BA"/>
    <w:rsid w:val="000A3D7F"/>
    <w:rsid w:val="000A4E45"/>
    <w:rsid w:val="000A5452"/>
    <w:rsid w:val="000A5CFF"/>
    <w:rsid w:val="000A6370"/>
    <w:rsid w:val="000A63C0"/>
    <w:rsid w:val="000A6F5B"/>
    <w:rsid w:val="000B039A"/>
    <w:rsid w:val="000B1F56"/>
    <w:rsid w:val="000B279E"/>
    <w:rsid w:val="000B2C1B"/>
    <w:rsid w:val="000B2DFC"/>
    <w:rsid w:val="000B5BC7"/>
    <w:rsid w:val="000B5F5C"/>
    <w:rsid w:val="000B77C7"/>
    <w:rsid w:val="000B7F7A"/>
    <w:rsid w:val="000C03CF"/>
    <w:rsid w:val="000C0DD7"/>
    <w:rsid w:val="000C19CB"/>
    <w:rsid w:val="000C5C3C"/>
    <w:rsid w:val="000C6AD6"/>
    <w:rsid w:val="000D33DA"/>
    <w:rsid w:val="000D37B0"/>
    <w:rsid w:val="000D5123"/>
    <w:rsid w:val="000D7D90"/>
    <w:rsid w:val="000E18E4"/>
    <w:rsid w:val="000E2454"/>
    <w:rsid w:val="000E415F"/>
    <w:rsid w:val="000F0460"/>
    <w:rsid w:val="000F0E5C"/>
    <w:rsid w:val="000F24D5"/>
    <w:rsid w:val="00100B74"/>
    <w:rsid w:val="00101A29"/>
    <w:rsid w:val="00107A3F"/>
    <w:rsid w:val="00111F76"/>
    <w:rsid w:val="00112208"/>
    <w:rsid w:val="00114BB1"/>
    <w:rsid w:val="0011640A"/>
    <w:rsid w:val="00116E58"/>
    <w:rsid w:val="0012045F"/>
    <w:rsid w:val="00120E94"/>
    <w:rsid w:val="00122CBC"/>
    <w:rsid w:val="001243D4"/>
    <w:rsid w:val="001246EC"/>
    <w:rsid w:val="00125971"/>
    <w:rsid w:val="0013066A"/>
    <w:rsid w:val="00131F7A"/>
    <w:rsid w:val="00133D68"/>
    <w:rsid w:val="00134B28"/>
    <w:rsid w:val="00135E19"/>
    <w:rsid w:val="001371EB"/>
    <w:rsid w:val="0015000D"/>
    <w:rsid w:val="001517A1"/>
    <w:rsid w:val="00156B5B"/>
    <w:rsid w:val="00160AA4"/>
    <w:rsid w:val="00163D6E"/>
    <w:rsid w:val="001658D2"/>
    <w:rsid w:val="00166576"/>
    <w:rsid w:val="00166996"/>
    <w:rsid w:val="0017293E"/>
    <w:rsid w:val="001732B4"/>
    <w:rsid w:val="00174624"/>
    <w:rsid w:val="0017468E"/>
    <w:rsid w:val="00180E4F"/>
    <w:rsid w:val="00182B15"/>
    <w:rsid w:val="0018390E"/>
    <w:rsid w:val="001862AC"/>
    <w:rsid w:val="00186D3D"/>
    <w:rsid w:val="001900EE"/>
    <w:rsid w:val="0019168F"/>
    <w:rsid w:val="00195C83"/>
    <w:rsid w:val="001A322A"/>
    <w:rsid w:val="001A3451"/>
    <w:rsid w:val="001A48B2"/>
    <w:rsid w:val="001A4E10"/>
    <w:rsid w:val="001A6352"/>
    <w:rsid w:val="001A7392"/>
    <w:rsid w:val="001B032F"/>
    <w:rsid w:val="001B345E"/>
    <w:rsid w:val="001B3F96"/>
    <w:rsid w:val="001B54B9"/>
    <w:rsid w:val="001B6316"/>
    <w:rsid w:val="001B6554"/>
    <w:rsid w:val="001C4733"/>
    <w:rsid w:val="001C4FFC"/>
    <w:rsid w:val="001C5291"/>
    <w:rsid w:val="001C644F"/>
    <w:rsid w:val="001D07A5"/>
    <w:rsid w:val="001D1B60"/>
    <w:rsid w:val="001D1BB6"/>
    <w:rsid w:val="001D204F"/>
    <w:rsid w:val="001D2E2D"/>
    <w:rsid w:val="001D4374"/>
    <w:rsid w:val="001E2136"/>
    <w:rsid w:val="001E4942"/>
    <w:rsid w:val="001F1E5D"/>
    <w:rsid w:val="001F551B"/>
    <w:rsid w:val="001F5BC1"/>
    <w:rsid w:val="001F5F85"/>
    <w:rsid w:val="001F61C6"/>
    <w:rsid w:val="001F6FAB"/>
    <w:rsid w:val="001F7477"/>
    <w:rsid w:val="001F74CA"/>
    <w:rsid w:val="002029E0"/>
    <w:rsid w:val="002076C8"/>
    <w:rsid w:val="00207D37"/>
    <w:rsid w:val="00214241"/>
    <w:rsid w:val="0022378D"/>
    <w:rsid w:val="00225842"/>
    <w:rsid w:val="00234CEA"/>
    <w:rsid w:val="002400CF"/>
    <w:rsid w:val="00246F21"/>
    <w:rsid w:val="00247B26"/>
    <w:rsid w:val="00251254"/>
    <w:rsid w:val="00252C28"/>
    <w:rsid w:val="00255773"/>
    <w:rsid w:val="00256BD3"/>
    <w:rsid w:val="002630DD"/>
    <w:rsid w:val="0026576F"/>
    <w:rsid w:val="0026658D"/>
    <w:rsid w:val="00267507"/>
    <w:rsid w:val="00272952"/>
    <w:rsid w:val="002757A5"/>
    <w:rsid w:val="00277B53"/>
    <w:rsid w:val="00280EB9"/>
    <w:rsid w:val="002830F6"/>
    <w:rsid w:val="00285A2F"/>
    <w:rsid w:val="00286565"/>
    <w:rsid w:val="002866DE"/>
    <w:rsid w:val="0029234D"/>
    <w:rsid w:val="00292AE8"/>
    <w:rsid w:val="002A33E7"/>
    <w:rsid w:val="002A60CC"/>
    <w:rsid w:val="002A6979"/>
    <w:rsid w:val="002A7F2D"/>
    <w:rsid w:val="002B1DD2"/>
    <w:rsid w:val="002B3220"/>
    <w:rsid w:val="002B779D"/>
    <w:rsid w:val="002C1206"/>
    <w:rsid w:val="002C46C9"/>
    <w:rsid w:val="002C7B38"/>
    <w:rsid w:val="002D0127"/>
    <w:rsid w:val="002D31E7"/>
    <w:rsid w:val="002D322E"/>
    <w:rsid w:val="002D4188"/>
    <w:rsid w:val="002D4DC6"/>
    <w:rsid w:val="002D56BA"/>
    <w:rsid w:val="002D5C65"/>
    <w:rsid w:val="002E3270"/>
    <w:rsid w:val="002E43BD"/>
    <w:rsid w:val="002F0EEF"/>
    <w:rsid w:val="002F2208"/>
    <w:rsid w:val="002F487F"/>
    <w:rsid w:val="002F56EE"/>
    <w:rsid w:val="00300738"/>
    <w:rsid w:val="00301D88"/>
    <w:rsid w:val="00302574"/>
    <w:rsid w:val="0030442F"/>
    <w:rsid w:val="003076BF"/>
    <w:rsid w:val="00307AD6"/>
    <w:rsid w:val="00311A07"/>
    <w:rsid w:val="00311B71"/>
    <w:rsid w:val="00315AE5"/>
    <w:rsid w:val="00315B65"/>
    <w:rsid w:val="00315C5C"/>
    <w:rsid w:val="00322656"/>
    <w:rsid w:val="003322B1"/>
    <w:rsid w:val="00340E62"/>
    <w:rsid w:val="00345516"/>
    <w:rsid w:val="00345687"/>
    <w:rsid w:val="0034602B"/>
    <w:rsid w:val="00347A7F"/>
    <w:rsid w:val="00350C19"/>
    <w:rsid w:val="00352356"/>
    <w:rsid w:val="00352424"/>
    <w:rsid w:val="00354E7E"/>
    <w:rsid w:val="00354EA2"/>
    <w:rsid w:val="003578A6"/>
    <w:rsid w:val="003641D9"/>
    <w:rsid w:val="00364BAD"/>
    <w:rsid w:val="00370CD0"/>
    <w:rsid w:val="003712D9"/>
    <w:rsid w:val="00371F36"/>
    <w:rsid w:val="0037708E"/>
    <w:rsid w:val="00382BE7"/>
    <w:rsid w:val="00385BB6"/>
    <w:rsid w:val="00387F73"/>
    <w:rsid w:val="003924F0"/>
    <w:rsid w:val="00393EC5"/>
    <w:rsid w:val="003960C5"/>
    <w:rsid w:val="003967EE"/>
    <w:rsid w:val="00396E87"/>
    <w:rsid w:val="003A253A"/>
    <w:rsid w:val="003A33D9"/>
    <w:rsid w:val="003A564E"/>
    <w:rsid w:val="003A5A88"/>
    <w:rsid w:val="003B12F3"/>
    <w:rsid w:val="003B141B"/>
    <w:rsid w:val="003B3A8A"/>
    <w:rsid w:val="003B7ABC"/>
    <w:rsid w:val="003B7C70"/>
    <w:rsid w:val="003C0FAA"/>
    <w:rsid w:val="003C5819"/>
    <w:rsid w:val="003C587D"/>
    <w:rsid w:val="003D0E4F"/>
    <w:rsid w:val="003D1CCE"/>
    <w:rsid w:val="003D3780"/>
    <w:rsid w:val="003D7074"/>
    <w:rsid w:val="003E1DF2"/>
    <w:rsid w:val="003E246C"/>
    <w:rsid w:val="003E32D9"/>
    <w:rsid w:val="003E3F4F"/>
    <w:rsid w:val="003E50C4"/>
    <w:rsid w:val="003E514B"/>
    <w:rsid w:val="003E762E"/>
    <w:rsid w:val="003F7E51"/>
    <w:rsid w:val="00405A0A"/>
    <w:rsid w:val="00407BFB"/>
    <w:rsid w:val="00410B42"/>
    <w:rsid w:val="0041256E"/>
    <w:rsid w:val="00415B7E"/>
    <w:rsid w:val="004253A5"/>
    <w:rsid w:val="00426883"/>
    <w:rsid w:val="00430E39"/>
    <w:rsid w:val="00431C6A"/>
    <w:rsid w:val="00432ABB"/>
    <w:rsid w:val="00434C78"/>
    <w:rsid w:val="00435FDB"/>
    <w:rsid w:val="0044360D"/>
    <w:rsid w:val="004459B3"/>
    <w:rsid w:val="00445DE2"/>
    <w:rsid w:val="004461C5"/>
    <w:rsid w:val="00446C1F"/>
    <w:rsid w:val="00447193"/>
    <w:rsid w:val="00447972"/>
    <w:rsid w:val="00447B15"/>
    <w:rsid w:val="0045217D"/>
    <w:rsid w:val="00453DB8"/>
    <w:rsid w:val="004561DA"/>
    <w:rsid w:val="0045635D"/>
    <w:rsid w:val="00457D05"/>
    <w:rsid w:val="00461DD4"/>
    <w:rsid w:val="0046406C"/>
    <w:rsid w:val="00464C8C"/>
    <w:rsid w:val="00464F71"/>
    <w:rsid w:val="0047180F"/>
    <w:rsid w:val="00474C4B"/>
    <w:rsid w:val="0047563C"/>
    <w:rsid w:val="0047756B"/>
    <w:rsid w:val="00477C01"/>
    <w:rsid w:val="0048023B"/>
    <w:rsid w:val="00480CAF"/>
    <w:rsid w:val="004812C0"/>
    <w:rsid w:val="00483169"/>
    <w:rsid w:val="00483F96"/>
    <w:rsid w:val="00493446"/>
    <w:rsid w:val="004939EA"/>
    <w:rsid w:val="004942C4"/>
    <w:rsid w:val="004953FD"/>
    <w:rsid w:val="00495C1B"/>
    <w:rsid w:val="00496236"/>
    <w:rsid w:val="00496875"/>
    <w:rsid w:val="00496DA4"/>
    <w:rsid w:val="004A2EAD"/>
    <w:rsid w:val="004A46E3"/>
    <w:rsid w:val="004A5598"/>
    <w:rsid w:val="004A6042"/>
    <w:rsid w:val="004A752B"/>
    <w:rsid w:val="004A756B"/>
    <w:rsid w:val="004B0A80"/>
    <w:rsid w:val="004B0E4F"/>
    <w:rsid w:val="004B2C98"/>
    <w:rsid w:val="004B2FEA"/>
    <w:rsid w:val="004B3DA9"/>
    <w:rsid w:val="004B4E62"/>
    <w:rsid w:val="004B53E7"/>
    <w:rsid w:val="004B70E3"/>
    <w:rsid w:val="004B7AEA"/>
    <w:rsid w:val="004C1602"/>
    <w:rsid w:val="004C2892"/>
    <w:rsid w:val="004C3A58"/>
    <w:rsid w:val="004C57DA"/>
    <w:rsid w:val="004C7203"/>
    <w:rsid w:val="004D03E4"/>
    <w:rsid w:val="004D142A"/>
    <w:rsid w:val="004E0B4D"/>
    <w:rsid w:val="004E1CA5"/>
    <w:rsid w:val="004E2E6A"/>
    <w:rsid w:val="004E33DE"/>
    <w:rsid w:val="004E3D67"/>
    <w:rsid w:val="004E5CDD"/>
    <w:rsid w:val="004E744E"/>
    <w:rsid w:val="004F0959"/>
    <w:rsid w:val="004F3AB0"/>
    <w:rsid w:val="004F7D5E"/>
    <w:rsid w:val="00502720"/>
    <w:rsid w:val="00502804"/>
    <w:rsid w:val="00503C02"/>
    <w:rsid w:val="00505701"/>
    <w:rsid w:val="0051017B"/>
    <w:rsid w:val="0051079B"/>
    <w:rsid w:val="0051099B"/>
    <w:rsid w:val="00511756"/>
    <w:rsid w:val="005126DB"/>
    <w:rsid w:val="00513F90"/>
    <w:rsid w:val="005141A1"/>
    <w:rsid w:val="00515707"/>
    <w:rsid w:val="00516A09"/>
    <w:rsid w:val="00516D57"/>
    <w:rsid w:val="00521151"/>
    <w:rsid w:val="00522523"/>
    <w:rsid w:val="00522EBD"/>
    <w:rsid w:val="00523B54"/>
    <w:rsid w:val="00525CAD"/>
    <w:rsid w:val="00527CD7"/>
    <w:rsid w:val="00530869"/>
    <w:rsid w:val="00532498"/>
    <w:rsid w:val="005453E2"/>
    <w:rsid w:val="00550C82"/>
    <w:rsid w:val="00553D62"/>
    <w:rsid w:val="00556CF7"/>
    <w:rsid w:val="005577F2"/>
    <w:rsid w:val="00562489"/>
    <w:rsid w:val="00570C8E"/>
    <w:rsid w:val="0057169D"/>
    <w:rsid w:val="00573F05"/>
    <w:rsid w:val="00576504"/>
    <w:rsid w:val="00576B53"/>
    <w:rsid w:val="00584542"/>
    <w:rsid w:val="00585BB3"/>
    <w:rsid w:val="005862E9"/>
    <w:rsid w:val="00587701"/>
    <w:rsid w:val="005959C1"/>
    <w:rsid w:val="00596FF1"/>
    <w:rsid w:val="005971FA"/>
    <w:rsid w:val="00597784"/>
    <w:rsid w:val="005A09DF"/>
    <w:rsid w:val="005A39A1"/>
    <w:rsid w:val="005A409E"/>
    <w:rsid w:val="005A5340"/>
    <w:rsid w:val="005A65AA"/>
    <w:rsid w:val="005B3858"/>
    <w:rsid w:val="005B525D"/>
    <w:rsid w:val="005C4185"/>
    <w:rsid w:val="005C5D37"/>
    <w:rsid w:val="005C6E4D"/>
    <w:rsid w:val="005C6FB9"/>
    <w:rsid w:val="005D00B5"/>
    <w:rsid w:val="005D0BB0"/>
    <w:rsid w:val="005D0DE5"/>
    <w:rsid w:val="005D3502"/>
    <w:rsid w:val="005D7981"/>
    <w:rsid w:val="005E121F"/>
    <w:rsid w:val="005E32B7"/>
    <w:rsid w:val="005E5AE3"/>
    <w:rsid w:val="005E6AC0"/>
    <w:rsid w:val="005E7981"/>
    <w:rsid w:val="005F0F9D"/>
    <w:rsid w:val="005F4627"/>
    <w:rsid w:val="005F5226"/>
    <w:rsid w:val="005F74B5"/>
    <w:rsid w:val="00603F30"/>
    <w:rsid w:val="00604241"/>
    <w:rsid w:val="006043C0"/>
    <w:rsid w:val="00611018"/>
    <w:rsid w:val="00611312"/>
    <w:rsid w:val="0061140B"/>
    <w:rsid w:val="006128D9"/>
    <w:rsid w:val="006169F9"/>
    <w:rsid w:val="00616A03"/>
    <w:rsid w:val="0062058C"/>
    <w:rsid w:val="00620945"/>
    <w:rsid w:val="0063036B"/>
    <w:rsid w:val="00630578"/>
    <w:rsid w:val="006321E5"/>
    <w:rsid w:val="00632C94"/>
    <w:rsid w:val="006346A5"/>
    <w:rsid w:val="00635987"/>
    <w:rsid w:val="006370E6"/>
    <w:rsid w:val="00640B00"/>
    <w:rsid w:val="00641BBD"/>
    <w:rsid w:val="006446EF"/>
    <w:rsid w:val="00646834"/>
    <w:rsid w:val="0065093E"/>
    <w:rsid w:val="0065213F"/>
    <w:rsid w:val="00652811"/>
    <w:rsid w:val="0065696F"/>
    <w:rsid w:val="00657561"/>
    <w:rsid w:val="00665B3D"/>
    <w:rsid w:val="00670810"/>
    <w:rsid w:val="00671B11"/>
    <w:rsid w:val="00672152"/>
    <w:rsid w:val="006721A2"/>
    <w:rsid w:val="00676610"/>
    <w:rsid w:val="00684893"/>
    <w:rsid w:val="00685F6E"/>
    <w:rsid w:val="006915ED"/>
    <w:rsid w:val="00692166"/>
    <w:rsid w:val="0069428D"/>
    <w:rsid w:val="006A12D8"/>
    <w:rsid w:val="006A3983"/>
    <w:rsid w:val="006A4B98"/>
    <w:rsid w:val="006A553E"/>
    <w:rsid w:val="006A6873"/>
    <w:rsid w:val="006B6073"/>
    <w:rsid w:val="006B7094"/>
    <w:rsid w:val="006C0A8C"/>
    <w:rsid w:val="006C295D"/>
    <w:rsid w:val="006C5E1A"/>
    <w:rsid w:val="006C604E"/>
    <w:rsid w:val="006D3274"/>
    <w:rsid w:val="006D6C5F"/>
    <w:rsid w:val="006D7511"/>
    <w:rsid w:val="006D7B80"/>
    <w:rsid w:val="006E02B1"/>
    <w:rsid w:val="006E1824"/>
    <w:rsid w:val="006E4627"/>
    <w:rsid w:val="006F1F8D"/>
    <w:rsid w:val="006F398D"/>
    <w:rsid w:val="006F54CD"/>
    <w:rsid w:val="00703105"/>
    <w:rsid w:val="00712467"/>
    <w:rsid w:val="00712F84"/>
    <w:rsid w:val="007136C6"/>
    <w:rsid w:val="00722986"/>
    <w:rsid w:val="0072328B"/>
    <w:rsid w:val="007251F2"/>
    <w:rsid w:val="00727D3D"/>
    <w:rsid w:val="00730ADA"/>
    <w:rsid w:val="00731E8B"/>
    <w:rsid w:val="00732BB5"/>
    <w:rsid w:val="0073384B"/>
    <w:rsid w:val="00746272"/>
    <w:rsid w:val="00746291"/>
    <w:rsid w:val="00746DCC"/>
    <w:rsid w:val="00751128"/>
    <w:rsid w:val="00752049"/>
    <w:rsid w:val="007529B4"/>
    <w:rsid w:val="00754819"/>
    <w:rsid w:val="007602FD"/>
    <w:rsid w:val="00765582"/>
    <w:rsid w:val="00765BAA"/>
    <w:rsid w:val="00766E58"/>
    <w:rsid w:val="00767248"/>
    <w:rsid w:val="00771558"/>
    <w:rsid w:val="007719E5"/>
    <w:rsid w:val="007765E4"/>
    <w:rsid w:val="007812AE"/>
    <w:rsid w:val="00782EE5"/>
    <w:rsid w:val="0078561E"/>
    <w:rsid w:val="0079046B"/>
    <w:rsid w:val="00790B52"/>
    <w:rsid w:val="00792D85"/>
    <w:rsid w:val="00795CA9"/>
    <w:rsid w:val="00796467"/>
    <w:rsid w:val="007A01CF"/>
    <w:rsid w:val="007A59E6"/>
    <w:rsid w:val="007A6224"/>
    <w:rsid w:val="007A6BA0"/>
    <w:rsid w:val="007A7202"/>
    <w:rsid w:val="007A7D5A"/>
    <w:rsid w:val="007B315F"/>
    <w:rsid w:val="007B3AAC"/>
    <w:rsid w:val="007B3DA1"/>
    <w:rsid w:val="007B5140"/>
    <w:rsid w:val="007C537B"/>
    <w:rsid w:val="007C6F2D"/>
    <w:rsid w:val="007D5E09"/>
    <w:rsid w:val="007D7031"/>
    <w:rsid w:val="007D7C0B"/>
    <w:rsid w:val="007D7D86"/>
    <w:rsid w:val="007E42AC"/>
    <w:rsid w:val="007E6036"/>
    <w:rsid w:val="007F0B1F"/>
    <w:rsid w:val="007F13C4"/>
    <w:rsid w:val="007F194E"/>
    <w:rsid w:val="007F75D3"/>
    <w:rsid w:val="008006BA"/>
    <w:rsid w:val="00802621"/>
    <w:rsid w:val="008038DE"/>
    <w:rsid w:val="008057E6"/>
    <w:rsid w:val="00810F3D"/>
    <w:rsid w:val="00811315"/>
    <w:rsid w:val="008174F6"/>
    <w:rsid w:val="00817A6A"/>
    <w:rsid w:val="00820F49"/>
    <w:rsid w:val="008233B0"/>
    <w:rsid w:val="0082355B"/>
    <w:rsid w:val="00823F43"/>
    <w:rsid w:val="008240FF"/>
    <w:rsid w:val="00832CAA"/>
    <w:rsid w:val="008338C6"/>
    <w:rsid w:val="00836BF4"/>
    <w:rsid w:val="00847122"/>
    <w:rsid w:val="00850C5D"/>
    <w:rsid w:val="00851368"/>
    <w:rsid w:val="008515B0"/>
    <w:rsid w:val="00851E23"/>
    <w:rsid w:val="00855182"/>
    <w:rsid w:val="00856B2A"/>
    <w:rsid w:val="00861B19"/>
    <w:rsid w:val="008620BF"/>
    <w:rsid w:val="0086611B"/>
    <w:rsid w:val="0087267D"/>
    <w:rsid w:val="008729B5"/>
    <w:rsid w:val="008735F6"/>
    <w:rsid w:val="00876AD4"/>
    <w:rsid w:val="00876BAA"/>
    <w:rsid w:val="0087749B"/>
    <w:rsid w:val="00881C1C"/>
    <w:rsid w:val="0088284F"/>
    <w:rsid w:val="0088317C"/>
    <w:rsid w:val="00884142"/>
    <w:rsid w:val="00887139"/>
    <w:rsid w:val="0089035E"/>
    <w:rsid w:val="00890F2D"/>
    <w:rsid w:val="0089465B"/>
    <w:rsid w:val="00895006"/>
    <w:rsid w:val="00895030"/>
    <w:rsid w:val="008A1F4D"/>
    <w:rsid w:val="008A25C6"/>
    <w:rsid w:val="008A3D49"/>
    <w:rsid w:val="008B4FA8"/>
    <w:rsid w:val="008B5EA3"/>
    <w:rsid w:val="008C3E24"/>
    <w:rsid w:val="008C6145"/>
    <w:rsid w:val="008C7439"/>
    <w:rsid w:val="008D0685"/>
    <w:rsid w:val="008D1F5D"/>
    <w:rsid w:val="008D2E53"/>
    <w:rsid w:val="008D4E56"/>
    <w:rsid w:val="008D5B59"/>
    <w:rsid w:val="008E4D04"/>
    <w:rsid w:val="008F03FE"/>
    <w:rsid w:val="008F28CD"/>
    <w:rsid w:val="008F3372"/>
    <w:rsid w:val="008F4093"/>
    <w:rsid w:val="008F55F3"/>
    <w:rsid w:val="008F5AC4"/>
    <w:rsid w:val="0090240E"/>
    <w:rsid w:val="00903E9B"/>
    <w:rsid w:val="00913D65"/>
    <w:rsid w:val="00917C8D"/>
    <w:rsid w:val="00917F97"/>
    <w:rsid w:val="00921365"/>
    <w:rsid w:val="00921942"/>
    <w:rsid w:val="0092504F"/>
    <w:rsid w:val="009301C2"/>
    <w:rsid w:val="0093309C"/>
    <w:rsid w:val="00934278"/>
    <w:rsid w:val="00935433"/>
    <w:rsid w:val="009366BF"/>
    <w:rsid w:val="009366DC"/>
    <w:rsid w:val="00937C30"/>
    <w:rsid w:val="00940A3B"/>
    <w:rsid w:val="00944C03"/>
    <w:rsid w:val="009466B3"/>
    <w:rsid w:val="00947AD1"/>
    <w:rsid w:val="00951561"/>
    <w:rsid w:val="009547E5"/>
    <w:rsid w:val="0095705D"/>
    <w:rsid w:val="009609C6"/>
    <w:rsid w:val="00960F04"/>
    <w:rsid w:val="00962AB5"/>
    <w:rsid w:val="009635EF"/>
    <w:rsid w:val="00973C7C"/>
    <w:rsid w:val="009746A6"/>
    <w:rsid w:val="009828CA"/>
    <w:rsid w:val="009861EC"/>
    <w:rsid w:val="0099012D"/>
    <w:rsid w:val="009A26E7"/>
    <w:rsid w:val="009A3B62"/>
    <w:rsid w:val="009B3448"/>
    <w:rsid w:val="009B5C1C"/>
    <w:rsid w:val="009C187E"/>
    <w:rsid w:val="009C25FD"/>
    <w:rsid w:val="009C3B91"/>
    <w:rsid w:val="009D1323"/>
    <w:rsid w:val="009D2673"/>
    <w:rsid w:val="009D3127"/>
    <w:rsid w:val="009D6B76"/>
    <w:rsid w:val="009D6D28"/>
    <w:rsid w:val="009E01B6"/>
    <w:rsid w:val="009E16E5"/>
    <w:rsid w:val="009E29F9"/>
    <w:rsid w:val="009E410B"/>
    <w:rsid w:val="009E42B5"/>
    <w:rsid w:val="009E5DBE"/>
    <w:rsid w:val="009F02A0"/>
    <w:rsid w:val="009F1235"/>
    <w:rsid w:val="009F1CAB"/>
    <w:rsid w:val="009F2590"/>
    <w:rsid w:val="009F5FB3"/>
    <w:rsid w:val="009F78F1"/>
    <w:rsid w:val="00A001C7"/>
    <w:rsid w:val="00A01741"/>
    <w:rsid w:val="00A01839"/>
    <w:rsid w:val="00A03095"/>
    <w:rsid w:val="00A03212"/>
    <w:rsid w:val="00A03C28"/>
    <w:rsid w:val="00A05049"/>
    <w:rsid w:val="00A05086"/>
    <w:rsid w:val="00A0712A"/>
    <w:rsid w:val="00A07FE5"/>
    <w:rsid w:val="00A13119"/>
    <w:rsid w:val="00A15233"/>
    <w:rsid w:val="00A15A6F"/>
    <w:rsid w:val="00A16564"/>
    <w:rsid w:val="00A22938"/>
    <w:rsid w:val="00A25395"/>
    <w:rsid w:val="00A30089"/>
    <w:rsid w:val="00A32C6A"/>
    <w:rsid w:val="00A32F35"/>
    <w:rsid w:val="00A36825"/>
    <w:rsid w:val="00A3749F"/>
    <w:rsid w:val="00A374F9"/>
    <w:rsid w:val="00A410C6"/>
    <w:rsid w:val="00A426CF"/>
    <w:rsid w:val="00A43EC9"/>
    <w:rsid w:val="00A45C3D"/>
    <w:rsid w:val="00A46192"/>
    <w:rsid w:val="00A4699E"/>
    <w:rsid w:val="00A503BF"/>
    <w:rsid w:val="00A527F7"/>
    <w:rsid w:val="00A52AFD"/>
    <w:rsid w:val="00A56D66"/>
    <w:rsid w:val="00A5742D"/>
    <w:rsid w:val="00A61083"/>
    <w:rsid w:val="00A646CC"/>
    <w:rsid w:val="00A65155"/>
    <w:rsid w:val="00A67E97"/>
    <w:rsid w:val="00A7049C"/>
    <w:rsid w:val="00A70ECE"/>
    <w:rsid w:val="00A71905"/>
    <w:rsid w:val="00A71A91"/>
    <w:rsid w:val="00A774E5"/>
    <w:rsid w:val="00A84879"/>
    <w:rsid w:val="00A84D04"/>
    <w:rsid w:val="00A850CD"/>
    <w:rsid w:val="00A87C5A"/>
    <w:rsid w:val="00A90D4B"/>
    <w:rsid w:val="00A9133A"/>
    <w:rsid w:val="00A955B9"/>
    <w:rsid w:val="00A95F9C"/>
    <w:rsid w:val="00AA71B0"/>
    <w:rsid w:val="00AA7485"/>
    <w:rsid w:val="00AA785F"/>
    <w:rsid w:val="00AB28E0"/>
    <w:rsid w:val="00AB3F23"/>
    <w:rsid w:val="00AB46B7"/>
    <w:rsid w:val="00AB4844"/>
    <w:rsid w:val="00AB4C03"/>
    <w:rsid w:val="00AB4D42"/>
    <w:rsid w:val="00AC0A27"/>
    <w:rsid w:val="00AC0EE4"/>
    <w:rsid w:val="00AD0224"/>
    <w:rsid w:val="00AD37CB"/>
    <w:rsid w:val="00AD6E41"/>
    <w:rsid w:val="00AE2082"/>
    <w:rsid w:val="00AE3349"/>
    <w:rsid w:val="00AE3B41"/>
    <w:rsid w:val="00AE46E9"/>
    <w:rsid w:val="00AE5E90"/>
    <w:rsid w:val="00AE7D09"/>
    <w:rsid w:val="00AF0526"/>
    <w:rsid w:val="00AF1D6E"/>
    <w:rsid w:val="00AF2F00"/>
    <w:rsid w:val="00B008C7"/>
    <w:rsid w:val="00B0306F"/>
    <w:rsid w:val="00B0602D"/>
    <w:rsid w:val="00B124FA"/>
    <w:rsid w:val="00B15477"/>
    <w:rsid w:val="00B16326"/>
    <w:rsid w:val="00B16F86"/>
    <w:rsid w:val="00B17BDA"/>
    <w:rsid w:val="00B2365E"/>
    <w:rsid w:val="00B27CBF"/>
    <w:rsid w:val="00B31763"/>
    <w:rsid w:val="00B3291A"/>
    <w:rsid w:val="00B343CA"/>
    <w:rsid w:val="00B42D88"/>
    <w:rsid w:val="00B438A3"/>
    <w:rsid w:val="00B44F7B"/>
    <w:rsid w:val="00B51CF2"/>
    <w:rsid w:val="00B5752F"/>
    <w:rsid w:val="00B6022F"/>
    <w:rsid w:val="00B67312"/>
    <w:rsid w:val="00B67813"/>
    <w:rsid w:val="00B72E9A"/>
    <w:rsid w:val="00B73AE1"/>
    <w:rsid w:val="00B76076"/>
    <w:rsid w:val="00B762FC"/>
    <w:rsid w:val="00B766F7"/>
    <w:rsid w:val="00B76E6A"/>
    <w:rsid w:val="00B80788"/>
    <w:rsid w:val="00B80B54"/>
    <w:rsid w:val="00B84180"/>
    <w:rsid w:val="00B857CA"/>
    <w:rsid w:val="00B90627"/>
    <w:rsid w:val="00B9127E"/>
    <w:rsid w:val="00B924F0"/>
    <w:rsid w:val="00B940DA"/>
    <w:rsid w:val="00B96F46"/>
    <w:rsid w:val="00BA05AA"/>
    <w:rsid w:val="00BA20C0"/>
    <w:rsid w:val="00BA2F37"/>
    <w:rsid w:val="00BA31B0"/>
    <w:rsid w:val="00BA478A"/>
    <w:rsid w:val="00BA5E93"/>
    <w:rsid w:val="00BA7D61"/>
    <w:rsid w:val="00BB087B"/>
    <w:rsid w:val="00BB36A4"/>
    <w:rsid w:val="00BB394D"/>
    <w:rsid w:val="00BB4F05"/>
    <w:rsid w:val="00BC05D4"/>
    <w:rsid w:val="00BC1EBA"/>
    <w:rsid w:val="00BC412E"/>
    <w:rsid w:val="00BD091F"/>
    <w:rsid w:val="00BD1765"/>
    <w:rsid w:val="00BD771A"/>
    <w:rsid w:val="00BD7D60"/>
    <w:rsid w:val="00BF1BEF"/>
    <w:rsid w:val="00BF30B4"/>
    <w:rsid w:val="00BF7420"/>
    <w:rsid w:val="00C003CB"/>
    <w:rsid w:val="00C00493"/>
    <w:rsid w:val="00C005AE"/>
    <w:rsid w:val="00C0070E"/>
    <w:rsid w:val="00C05DA9"/>
    <w:rsid w:val="00C15D74"/>
    <w:rsid w:val="00C16EC7"/>
    <w:rsid w:val="00C21AAD"/>
    <w:rsid w:val="00C2262E"/>
    <w:rsid w:val="00C238A8"/>
    <w:rsid w:val="00C26413"/>
    <w:rsid w:val="00C3014C"/>
    <w:rsid w:val="00C32221"/>
    <w:rsid w:val="00C325FC"/>
    <w:rsid w:val="00C347B5"/>
    <w:rsid w:val="00C36E29"/>
    <w:rsid w:val="00C36EE4"/>
    <w:rsid w:val="00C4445F"/>
    <w:rsid w:val="00C44A93"/>
    <w:rsid w:val="00C50571"/>
    <w:rsid w:val="00C50C1F"/>
    <w:rsid w:val="00C51040"/>
    <w:rsid w:val="00C51D12"/>
    <w:rsid w:val="00C527E6"/>
    <w:rsid w:val="00C52CE4"/>
    <w:rsid w:val="00C55C83"/>
    <w:rsid w:val="00C57069"/>
    <w:rsid w:val="00C5799E"/>
    <w:rsid w:val="00C62EFC"/>
    <w:rsid w:val="00C63277"/>
    <w:rsid w:val="00C648E0"/>
    <w:rsid w:val="00C65595"/>
    <w:rsid w:val="00C726CD"/>
    <w:rsid w:val="00C73580"/>
    <w:rsid w:val="00C8039D"/>
    <w:rsid w:val="00C81403"/>
    <w:rsid w:val="00C831D6"/>
    <w:rsid w:val="00C8621D"/>
    <w:rsid w:val="00C9253C"/>
    <w:rsid w:val="00C9326C"/>
    <w:rsid w:val="00CA001F"/>
    <w:rsid w:val="00CA1216"/>
    <w:rsid w:val="00CA2ABF"/>
    <w:rsid w:val="00CB267B"/>
    <w:rsid w:val="00CB448F"/>
    <w:rsid w:val="00CB491F"/>
    <w:rsid w:val="00CC2CAB"/>
    <w:rsid w:val="00CC38E3"/>
    <w:rsid w:val="00CC6865"/>
    <w:rsid w:val="00CD00E3"/>
    <w:rsid w:val="00CD15C9"/>
    <w:rsid w:val="00CD3477"/>
    <w:rsid w:val="00CD595F"/>
    <w:rsid w:val="00CD7908"/>
    <w:rsid w:val="00CE19C9"/>
    <w:rsid w:val="00CE2C82"/>
    <w:rsid w:val="00CE51A0"/>
    <w:rsid w:val="00CF0D8C"/>
    <w:rsid w:val="00CF0FB2"/>
    <w:rsid w:val="00CF30D8"/>
    <w:rsid w:val="00CF357C"/>
    <w:rsid w:val="00CF4D53"/>
    <w:rsid w:val="00CF52CC"/>
    <w:rsid w:val="00CF6976"/>
    <w:rsid w:val="00D006FC"/>
    <w:rsid w:val="00D010F6"/>
    <w:rsid w:val="00D01FAB"/>
    <w:rsid w:val="00D03244"/>
    <w:rsid w:val="00D050E2"/>
    <w:rsid w:val="00D078C6"/>
    <w:rsid w:val="00D12B36"/>
    <w:rsid w:val="00D156AD"/>
    <w:rsid w:val="00D1580C"/>
    <w:rsid w:val="00D15F7F"/>
    <w:rsid w:val="00D1663A"/>
    <w:rsid w:val="00D16DBB"/>
    <w:rsid w:val="00D26C19"/>
    <w:rsid w:val="00D272BF"/>
    <w:rsid w:val="00D30438"/>
    <w:rsid w:val="00D35D6F"/>
    <w:rsid w:val="00D367B5"/>
    <w:rsid w:val="00D37E46"/>
    <w:rsid w:val="00D42C9D"/>
    <w:rsid w:val="00D43764"/>
    <w:rsid w:val="00D437D7"/>
    <w:rsid w:val="00D45BAF"/>
    <w:rsid w:val="00D45F2A"/>
    <w:rsid w:val="00D46717"/>
    <w:rsid w:val="00D50174"/>
    <w:rsid w:val="00D50FB1"/>
    <w:rsid w:val="00D5121F"/>
    <w:rsid w:val="00D519D2"/>
    <w:rsid w:val="00D53B4E"/>
    <w:rsid w:val="00D53B84"/>
    <w:rsid w:val="00D56EFB"/>
    <w:rsid w:val="00D620AE"/>
    <w:rsid w:val="00D65660"/>
    <w:rsid w:val="00D66B6D"/>
    <w:rsid w:val="00D67873"/>
    <w:rsid w:val="00D70AF6"/>
    <w:rsid w:val="00D71A31"/>
    <w:rsid w:val="00D71BBF"/>
    <w:rsid w:val="00D755C0"/>
    <w:rsid w:val="00D77D5B"/>
    <w:rsid w:val="00D84868"/>
    <w:rsid w:val="00D84AAE"/>
    <w:rsid w:val="00D8534F"/>
    <w:rsid w:val="00D85F56"/>
    <w:rsid w:val="00D86837"/>
    <w:rsid w:val="00D869EB"/>
    <w:rsid w:val="00D924A8"/>
    <w:rsid w:val="00D9288D"/>
    <w:rsid w:val="00D96258"/>
    <w:rsid w:val="00D9649E"/>
    <w:rsid w:val="00DA046E"/>
    <w:rsid w:val="00DA04D0"/>
    <w:rsid w:val="00DA43C4"/>
    <w:rsid w:val="00DA7831"/>
    <w:rsid w:val="00DB2638"/>
    <w:rsid w:val="00DB6CEF"/>
    <w:rsid w:val="00DB6D06"/>
    <w:rsid w:val="00DC0E9F"/>
    <w:rsid w:val="00DC10F5"/>
    <w:rsid w:val="00DC5EFA"/>
    <w:rsid w:val="00DC637E"/>
    <w:rsid w:val="00DD2175"/>
    <w:rsid w:val="00DD232B"/>
    <w:rsid w:val="00DD2763"/>
    <w:rsid w:val="00DD3656"/>
    <w:rsid w:val="00DD43BB"/>
    <w:rsid w:val="00DD4AAB"/>
    <w:rsid w:val="00DD50F8"/>
    <w:rsid w:val="00DE1337"/>
    <w:rsid w:val="00DE40EE"/>
    <w:rsid w:val="00DE4703"/>
    <w:rsid w:val="00DE7755"/>
    <w:rsid w:val="00DE7B9A"/>
    <w:rsid w:val="00DF1E20"/>
    <w:rsid w:val="00DF53F2"/>
    <w:rsid w:val="00DF64BA"/>
    <w:rsid w:val="00DF7BBA"/>
    <w:rsid w:val="00E021D2"/>
    <w:rsid w:val="00E03969"/>
    <w:rsid w:val="00E122F2"/>
    <w:rsid w:val="00E128AA"/>
    <w:rsid w:val="00E12B1D"/>
    <w:rsid w:val="00E2097B"/>
    <w:rsid w:val="00E255C4"/>
    <w:rsid w:val="00E26E73"/>
    <w:rsid w:val="00E27448"/>
    <w:rsid w:val="00E2785A"/>
    <w:rsid w:val="00E278C0"/>
    <w:rsid w:val="00E32D2C"/>
    <w:rsid w:val="00E3314E"/>
    <w:rsid w:val="00E35925"/>
    <w:rsid w:val="00E35ECE"/>
    <w:rsid w:val="00E379FD"/>
    <w:rsid w:val="00E37C47"/>
    <w:rsid w:val="00E4080F"/>
    <w:rsid w:val="00E42758"/>
    <w:rsid w:val="00E429B4"/>
    <w:rsid w:val="00E45C78"/>
    <w:rsid w:val="00E46010"/>
    <w:rsid w:val="00E501EA"/>
    <w:rsid w:val="00E52C9F"/>
    <w:rsid w:val="00E530CD"/>
    <w:rsid w:val="00E57835"/>
    <w:rsid w:val="00E609D5"/>
    <w:rsid w:val="00E60AF7"/>
    <w:rsid w:val="00E614C0"/>
    <w:rsid w:val="00E6385A"/>
    <w:rsid w:val="00E64624"/>
    <w:rsid w:val="00E66DFD"/>
    <w:rsid w:val="00E702BF"/>
    <w:rsid w:val="00E70C38"/>
    <w:rsid w:val="00E767FE"/>
    <w:rsid w:val="00E776DF"/>
    <w:rsid w:val="00E77B01"/>
    <w:rsid w:val="00E80CBC"/>
    <w:rsid w:val="00E8157A"/>
    <w:rsid w:val="00E81C89"/>
    <w:rsid w:val="00E827BF"/>
    <w:rsid w:val="00E82990"/>
    <w:rsid w:val="00E830C8"/>
    <w:rsid w:val="00E83525"/>
    <w:rsid w:val="00E845F8"/>
    <w:rsid w:val="00E84DF0"/>
    <w:rsid w:val="00E84FBD"/>
    <w:rsid w:val="00E85A86"/>
    <w:rsid w:val="00E85E3F"/>
    <w:rsid w:val="00E91E81"/>
    <w:rsid w:val="00E9567E"/>
    <w:rsid w:val="00EA34B8"/>
    <w:rsid w:val="00EA46DE"/>
    <w:rsid w:val="00EB38F2"/>
    <w:rsid w:val="00EB68CB"/>
    <w:rsid w:val="00EB736A"/>
    <w:rsid w:val="00EC0098"/>
    <w:rsid w:val="00EC0548"/>
    <w:rsid w:val="00EC3441"/>
    <w:rsid w:val="00EC700F"/>
    <w:rsid w:val="00EC7B73"/>
    <w:rsid w:val="00ED1389"/>
    <w:rsid w:val="00ED5951"/>
    <w:rsid w:val="00EE0A8B"/>
    <w:rsid w:val="00EF054B"/>
    <w:rsid w:val="00EF0AB2"/>
    <w:rsid w:val="00EF37CC"/>
    <w:rsid w:val="00F04158"/>
    <w:rsid w:val="00F04CC2"/>
    <w:rsid w:val="00F057A8"/>
    <w:rsid w:val="00F07260"/>
    <w:rsid w:val="00F1195C"/>
    <w:rsid w:val="00F12AAF"/>
    <w:rsid w:val="00F132F5"/>
    <w:rsid w:val="00F17117"/>
    <w:rsid w:val="00F1782E"/>
    <w:rsid w:val="00F20A86"/>
    <w:rsid w:val="00F20F51"/>
    <w:rsid w:val="00F228DB"/>
    <w:rsid w:val="00F23552"/>
    <w:rsid w:val="00F236BF"/>
    <w:rsid w:val="00F244EA"/>
    <w:rsid w:val="00F26232"/>
    <w:rsid w:val="00F27390"/>
    <w:rsid w:val="00F30432"/>
    <w:rsid w:val="00F317E0"/>
    <w:rsid w:val="00F32A6C"/>
    <w:rsid w:val="00F334D2"/>
    <w:rsid w:val="00F34137"/>
    <w:rsid w:val="00F37625"/>
    <w:rsid w:val="00F4384C"/>
    <w:rsid w:val="00F45969"/>
    <w:rsid w:val="00F5017F"/>
    <w:rsid w:val="00F558B0"/>
    <w:rsid w:val="00F56A1E"/>
    <w:rsid w:val="00F61ECB"/>
    <w:rsid w:val="00F67D7A"/>
    <w:rsid w:val="00F73CF2"/>
    <w:rsid w:val="00F827F7"/>
    <w:rsid w:val="00F87674"/>
    <w:rsid w:val="00F87BD3"/>
    <w:rsid w:val="00F92995"/>
    <w:rsid w:val="00F93FC9"/>
    <w:rsid w:val="00F94061"/>
    <w:rsid w:val="00F946CA"/>
    <w:rsid w:val="00F95AF6"/>
    <w:rsid w:val="00FB1482"/>
    <w:rsid w:val="00FB28D2"/>
    <w:rsid w:val="00FB2996"/>
    <w:rsid w:val="00FB3DCF"/>
    <w:rsid w:val="00FB61FB"/>
    <w:rsid w:val="00FC05A6"/>
    <w:rsid w:val="00FC33ED"/>
    <w:rsid w:val="00FC4976"/>
    <w:rsid w:val="00FC4D5C"/>
    <w:rsid w:val="00FC594E"/>
    <w:rsid w:val="00FD0B43"/>
    <w:rsid w:val="00FD13F9"/>
    <w:rsid w:val="00FD3EBC"/>
    <w:rsid w:val="00FD62ED"/>
    <w:rsid w:val="00FD6F22"/>
    <w:rsid w:val="00FE046E"/>
    <w:rsid w:val="00FE08FC"/>
    <w:rsid w:val="00FE1B24"/>
    <w:rsid w:val="00FE4A3C"/>
    <w:rsid w:val="00FF0964"/>
    <w:rsid w:val="00FF3F08"/>
    <w:rsid w:val="00FF5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4285"/>
  <w15:docId w15:val="{4CD2B13A-5BAB-4FEC-857C-762A42AF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12"/>
      </w:numPr>
      <w:spacing w:before="300" w:line="280" w:lineRule="atLeast"/>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outlineLvl w:val="1"/>
    </w:pPr>
    <w:rPr>
      <w:bCs w:val="0"/>
      <w:iCs/>
      <w:color w:val="56B4DF"/>
      <w:sz w:val="22"/>
      <w:szCs w:val="28"/>
    </w:rPr>
  </w:style>
  <w:style w:type="paragraph" w:styleId="Heading3">
    <w:name w:val="heading 3"/>
    <w:aliases w:val="Heading 3 un-numbered"/>
    <w:basedOn w:val="BodyText"/>
    <w:next w:val="BodyText"/>
    <w:link w:val="Heading3Char"/>
    <w:qFormat/>
    <w:rsid w:val="002C7B38"/>
    <w:pPr>
      <w:keepNext/>
      <w:numPr>
        <w:ilvl w:val="2"/>
        <w:numId w:val="12"/>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5">
    <w:name w:val="heading 5"/>
    <w:basedOn w:val="Normal"/>
    <w:next w:val="Normal"/>
    <w:link w:val="Heading5Char"/>
    <w:rsid w:val="00F95AF6"/>
    <w:pPr>
      <w:keepNext/>
      <w:keepLines/>
      <w:spacing w:before="40" w:after="0" w:line="259" w:lineRule="auto"/>
      <w:ind w:left="1008" w:hanging="1008"/>
      <w:jc w:val="left"/>
      <w:outlineLvl w:val="4"/>
    </w:pPr>
    <w:rPr>
      <w:rFonts w:ascii="Calibri" w:eastAsia="Calibri" w:hAnsi="Calibri" w:cs="Calibri"/>
      <w:color w:val="2F5496"/>
      <w:sz w:val="22"/>
      <w:lang w:eastAsia="en-AU"/>
    </w:rPr>
  </w:style>
  <w:style w:type="paragraph" w:styleId="Heading6">
    <w:name w:val="heading 6"/>
    <w:basedOn w:val="Normal"/>
    <w:next w:val="BodyText"/>
    <w:link w:val="Heading6Char"/>
    <w:uiPriority w:val="1"/>
    <w:qFormat/>
    <w:rsid w:val="002C7B38"/>
    <w:pPr>
      <w:keepNext/>
      <w:pageBreakBefore/>
      <w:numPr>
        <w:ilvl w:val="5"/>
        <w:numId w:val="12"/>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12"/>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9"/>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aliases w:val="Heading 3 un-numbered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uiPriority w:val="99"/>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rsid w:val="009F2590"/>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qFormat/>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numPr>
        <w:numId w:val="13"/>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0"/>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aliases w:val="HeaderPort"/>
    <w:basedOn w:val="Normal"/>
    <w:link w:val="HeaderChar"/>
    <w:uiPriority w:val="99"/>
    <w:unhideWhenUsed/>
    <w:rsid w:val="00E35ECE"/>
    <w:pPr>
      <w:spacing w:after="0" w:line="240" w:lineRule="auto"/>
      <w:ind w:left="0"/>
    </w:pPr>
  </w:style>
  <w:style w:type="character" w:customStyle="1" w:styleId="HeaderChar">
    <w:name w:val="Header Char"/>
    <w:aliases w:val="HeaderPort Char"/>
    <w:basedOn w:val="DefaultParagraphFont"/>
    <w:link w:val="Header"/>
    <w:uiPriority w:val="99"/>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1"/>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0"/>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paragraph" w:styleId="NormalWeb">
    <w:name w:val="Normal (Web)"/>
    <w:basedOn w:val="Normal"/>
    <w:uiPriority w:val="99"/>
    <w:semiHidden/>
    <w:unhideWhenUsed/>
    <w:rsid w:val="00D46717"/>
    <w:pPr>
      <w:spacing w:after="0" w:line="240" w:lineRule="auto"/>
      <w:ind w:left="0"/>
      <w:jc w:val="left"/>
    </w:pPr>
    <w:rPr>
      <w:rFonts w:ascii="Times New Roman" w:hAnsi="Times New Roman" w:cs="Times New Roman"/>
      <w:color w:val="auto"/>
      <w:sz w:val="24"/>
      <w:szCs w:val="24"/>
      <w:lang w:eastAsia="en-AU"/>
    </w:rPr>
  </w:style>
  <w:style w:type="paragraph" w:customStyle="1" w:styleId="TableCX">
    <w:name w:val="Table C.X"/>
    <w:basedOn w:val="CaptionWide"/>
    <w:rsid w:val="00D46717"/>
    <w:pPr>
      <w:numPr>
        <w:numId w:val="15"/>
      </w:numPr>
      <w:jc w:val="left"/>
    </w:pPr>
  </w:style>
  <w:style w:type="paragraph" w:styleId="CommentText">
    <w:name w:val="annotation text"/>
    <w:basedOn w:val="Normal"/>
    <w:link w:val="CommentTextChar"/>
    <w:uiPriority w:val="99"/>
    <w:semiHidden/>
    <w:unhideWhenUsed/>
    <w:rsid w:val="00A774E5"/>
    <w:pPr>
      <w:spacing w:after="160" w:line="240" w:lineRule="auto"/>
      <w:ind w:left="0"/>
      <w:jc w:val="left"/>
    </w:pPr>
    <w:rPr>
      <w:rFonts w:ascii="Calibri" w:eastAsia="Calibri" w:hAnsi="Calibri" w:cs="Calibri"/>
      <w:color w:val="auto"/>
      <w:szCs w:val="20"/>
      <w:lang w:eastAsia="en-AU"/>
    </w:rPr>
  </w:style>
  <w:style w:type="character" w:customStyle="1" w:styleId="CommentTextChar">
    <w:name w:val="Comment Text Char"/>
    <w:basedOn w:val="DefaultParagraphFont"/>
    <w:link w:val="CommentText"/>
    <w:uiPriority w:val="99"/>
    <w:semiHidden/>
    <w:rsid w:val="00A774E5"/>
    <w:rPr>
      <w:rFonts w:ascii="Calibri" w:eastAsia="Calibri" w:hAnsi="Calibri" w:cs="Calibri"/>
      <w:sz w:val="20"/>
      <w:szCs w:val="20"/>
      <w:lang w:eastAsia="en-AU"/>
    </w:rPr>
  </w:style>
  <w:style w:type="character" w:styleId="CommentReference">
    <w:name w:val="annotation reference"/>
    <w:basedOn w:val="DefaultParagraphFont"/>
    <w:uiPriority w:val="99"/>
    <w:semiHidden/>
    <w:unhideWhenUsed/>
    <w:rsid w:val="00A774E5"/>
    <w:rPr>
      <w:sz w:val="16"/>
      <w:szCs w:val="16"/>
    </w:rPr>
  </w:style>
  <w:style w:type="paragraph" w:styleId="CommentSubject">
    <w:name w:val="annotation subject"/>
    <w:basedOn w:val="CommentText"/>
    <w:next w:val="CommentText"/>
    <w:link w:val="CommentSubjectChar"/>
    <w:uiPriority w:val="99"/>
    <w:semiHidden/>
    <w:unhideWhenUsed/>
    <w:rsid w:val="00962AB5"/>
    <w:pPr>
      <w:spacing w:after="180"/>
      <w:ind w:left="2160"/>
      <w:jc w:val="both"/>
    </w:pPr>
    <w:rPr>
      <w:rFonts w:ascii="Arial" w:eastAsiaTheme="minorHAnsi" w:hAnsi="Arial" w:cstheme="minorBidi"/>
      <w:b/>
      <w:bCs/>
      <w:color w:val="373737"/>
      <w:lang w:eastAsia="en-US"/>
    </w:rPr>
  </w:style>
  <w:style w:type="character" w:customStyle="1" w:styleId="CommentSubjectChar">
    <w:name w:val="Comment Subject Char"/>
    <w:basedOn w:val="CommentTextChar"/>
    <w:link w:val="CommentSubject"/>
    <w:uiPriority w:val="99"/>
    <w:semiHidden/>
    <w:rsid w:val="00962AB5"/>
    <w:rPr>
      <w:rFonts w:ascii="Arial" w:eastAsia="Calibri" w:hAnsi="Arial" w:cs="Calibri"/>
      <w:b/>
      <w:bCs/>
      <w:color w:val="373737"/>
      <w:sz w:val="20"/>
      <w:szCs w:val="20"/>
      <w:lang w:eastAsia="en-AU"/>
    </w:rPr>
  </w:style>
  <w:style w:type="character" w:customStyle="1" w:styleId="Heading5Char">
    <w:name w:val="Heading 5 Char"/>
    <w:basedOn w:val="DefaultParagraphFont"/>
    <w:link w:val="Heading5"/>
    <w:rsid w:val="00F95AF6"/>
    <w:rPr>
      <w:rFonts w:ascii="Calibri" w:eastAsia="Calibri" w:hAnsi="Calibri" w:cs="Calibri"/>
      <w:color w:val="2F5496"/>
      <w:lang w:eastAsia="en-AU"/>
    </w:rPr>
  </w:style>
  <w:style w:type="character" w:styleId="FollowedHyperlink">
    <w:name w:val="FollowedHyperlink"/>
    <w:basedOn w:val="DefaultParagraphFont"/>
    <w:uiPriority w:val="19"/>
    <w:semiHidden/>
    <w:unhideWhenUsed/>
    <w:rsid w:val="00F95AF6"/>
    <w:rPr>
      <w:color w:val="56B4E9" w:themeColor="followedHyperlink"/>
      <w:u w:val="single"/>
    </w:rPr>
  </w:style>
  <w:style w:type="paragraph" w:customStyle="1" w:styleId="Heading02">
    <w:name w:val="Heading 02"/>
    <w:basedOn w:val="Heading2"/>
    <w:link w:val="Heading02Char"/>
    <w:rsid w:val="00F95AF6"/>
    <w:pPr>
      <w:numPr>
        <w:ilvl w:val="0"/>
        <w:numId w:val="0"/>
      </w:numPr>
    </w:pPr>
  </w:style>
  <w:style w:type="character" w:customStyle="1" w:styleId="Heading02Char">
    <w:name w:val="Heading 02 Char"/>
    <w:basedOn w:val="Heading2Char"/>
    <w:link w:val="Heading02"/>
    <w:rsid w:val="00F95AF6"/>
    <w:rPr>
      <w:rFonts w:asciiTheme="majorHAnsi" w:eastAsia="Times New Roman" w:hAnsiTheme="majorHAnsi" w:cs="Arial"/>
      <w:b/>
      <w:iCs/>
      <w:color w:val="56B4DF"/>
      <w:kern w:val="32"/>
      <w:szCs w:val="28"/>
    </w:rPr>
  </w:style>
  <w:style w:type="paragraph" w:customStyle="1" w:styleId="Heading3numbered">
    <w:name w:val="Heading 3 numbered"/>
    <w:basedOn w:val="Heading8"/>
    <w:link w:val="Heading3numberedChar"/>
    <w:qFormat/>
    <w:rsid w:val="00F95AF6"/>
    <w:pPr>
      <w:numPr>
        <w:ilvl w:val="0"/>
        <w:numId w:val="0"/>
      </w:numPr>
    </w:pPr>
  </w:style>
  <w:style w:type="character" w:customStyle="1" w:styleId="Heading3numberedChar">
    <w:name w:val="Heading 3 numbered Char"/>
    <w:basedOn w:val="Heading8Char"/>
    <w:link w:val="Heading3numbered"/>
    <w:rsid w:val="00F95AF6"/>
    <w:rPr>
      <w:rFonts w:asciiTheme="majorHAnsi" w:eastAsiaTheme="majorEastAsia" w:hAnsiTheme="majorHAnsi" w:cstheme="majorBidi"/>
      <w:color w:val="005CAF"/>
      <w:szCs w:val="20"/>
    </w:rPr>
  </w:style>
  <w:style w:type="numbering" w:customStyle="1" w:styleId="NoList1">
    <w:name w:val="No List1"/>
    <w:next w:val="NoList"/>
    <w:uiPriority w:val="99"/>
    <w:semiHidden/>
    <w:unhideWhenUsed/>
    <w:rsid w:val="00F95AF6"/>
  </w:style>
  <w:style w:type="paragraph" w:styleId="Revision">
    <w:name w:val="Revision"/>
    <w:hidden/>
    <w:uiPriority w:val="99"/>
    <w:semiHidden/>
    <w:rsid w:val="00F95AF6"/>
    <w:pPr>
      <w:spacing w:after="0" w:line="240" w:lineRule="auto"/>
    </w:pPr>
    <w:rPr>
      <w:rFonts w:ascii="Calibri" w:eastAsia="Calibri" w:hAnsi="Calibri" w:cs="Calibri"/>
      <w:lang w:eastAsia="en-AU"/>
    </w:rPr>
  </w:style>
  <w:style w:type="paragraph" w:styleId="NoSpacing">
    <w:name w:val="No Spacing"/>
    <w:uiPriority w:val="1"/>
    <w:qFormat/>
    <w:rsid w:val="00F95AF6"/>
    <w:pPr>
      <w:spacing w:after="0" w:line="240" w:lineRule="auto"/>
    </w:pPr>
    <w:rPr>
      <w:rFonts w:ascii="Calibri" w:eastAsia="Calibri" w:hAnsi="Calibri" w:cs="Calibri"/>
      <w:lang w:eastAsia="en-AU"/>
    </w:rPr>
  </w:style>
  <w:style w:type="paragraph" w:customStyle="1" w:styleId="test">
    <w:name w:val="test"/>
    <w:basedOn w:val="Normal"/>
    <w:link w:val="testChar"/>
    <w:qFormat/>
    <w:rsid w:val="00F95AF6"/>
    <w:pPr>
      <w:numPr>
        <w:numId w:val="16"/>
      </w:numPr>
      <w:spacing w:after="200" w:line="276" w:lineRule="auto"/>
    </w:pPr>
    <w:rPr>
      <w:b/>
      <w:color w:val="56B4DF" w:themeColor="accent2"/>
      <w:sz w:val="22"/>
    </w:rPr>
  </w:style>
  <w:style w:type="paragraph" w:customStyle="1" w:styleId="Heading7AX">
    <w:name w:val="Heading 7 A.X"/>
    <w:basedOn w:val="test"/>
    <w:rsid w:val="00F95AF6"/>
    <w:pPr>
      <w:numPr>
        <w:numId w:val="17"/>
      </w:numPr>
      <w:ind w:left="340" w:hanging="340"/>
      <w:outlineLvl w:val="1"/>
    </w:pPr>
  </w:style>
  <w:style w:type="character" w:customStyle="1" w:styleId="testChar">
    <w:name w:val="test Char"/>
    <w:basedOn w:val="DefaultParagraphFont"/>
    <w:link w:val="test"/>
    <w:rsid w:val="00F95AF6"/>
    <w:rPr>
      <w:rFonts w:ascii="Arial" w:hAnsi="Arial"/>
      <w:b/>
      <w:color w:val="56B4DF"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743748802">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image" Target="media/image5.gif"/><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image" Target="media/image6.gif"/><Relationship Id="rId47" Type="http://schemas.openxmlformats.org/officeDocument/2006/relationships/hyperlink" Target="http://www.ausstats.abs.gov.au/ausstats/subscriber.nsf/0/DF61367C439B5025CA2581860014C90E/$File/Business%20Characteristics%20Survey%20Management%20Capabilities%20Module%202015-16%20Questionnaire.pdf" TargetMode="External"/><Relationship Id="rId50" Type="http://schemas.openxmlformats.org/officeDocument/2006/relationships/header" Target="header1.xml"/><Relationship Id="rId55"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hyperlink" Target="http://www.oecd.org/innovation/green/toolkit/48704993.pdf" TargetMode="External"/><Relationship Id="rId46" Type="http://schemas.openxmlformats.org/officeDocument/2006/relationships/image" Target="cid:4__=45BB0EC2DFB794B08f9e8a93df938@abs.gov.au" TargetMode="External"/><Relationship Id="rId2" Type="http://schemas.openxmlformats.org/officeDocument/2006/relationships/customXml" Target="../customXml/item2.xml"/><Relationship Id="rId16" Type="http://schemas.openxmlformats.org/officeDocument/2006/relationships/hyperlink" Target="http://www.industry.gov.au/OCE" TargetMode="Externa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hyperlink" Target="http://www.ausstats.abs.gov.au/ausstats/subscriber.nsf/0/DF61367C439B5025CA2581860014C90E/$File/Business%20Characteristics%20Survey%20Management%20Capabilities%20Module%202015-16%20Questionnaire.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image" Target="cid:1__=45BB0EC2DFB3A8918f9e8a93df938@abs.gov.au" TargetMode="External"/><Relationship Id="rId45" Type="http://schemas.openxmlformats.org/officeDocument/2006/relationships/image" Target="media/image7.gif"/><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hiefeconomist@industry.gov.au"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footer" Target="footer2.xml"/><Relationship Id="rId57"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hart" Target="charts/chart2.xml"/><Relationship Id="rId31" Type="http://schemas.openxmlformats.org/officeDocument/2006/relationships/chart" Target="charts/chart14.xml"/><Relationship Id="rId44" Type="http://schemas.openxmlformats.org/officeDocument/2006/relationships/hyperlink" Target="http://www.ausstats.abs.gov.au/ausstats/subscriber.nsf/0/DF61367C439B5025CA2581860014C90E/$File/Business%20Characteristics%20Survey%20Management%20Capabilities%20Module%202015-16%20Questionnaire.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image" Target="cid:3__=45BB0EC2DFB794B08f9e8a93df938@abs.gov.au" TargetMode="Externa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orldmanagementsurvey.org/" TargetMode="External"/><Relationship Id="rId2" Type="http://schemas.openxmlformats.org/officeDocument/2006/relationships/hyperlink" Target="http://worldmanagementsurvey.org/" TargetMode="External"/><Relationship Id="rId1" Type="http://schemas.openxmlformats.org/officeDocument/2006/relationships/hyperlink" Target="http://www.abs.gov.au/AUSSTATS/abs@.nsf/Lookup/8172.0Main+Features12015-16?OpenDocument" TargetMode="External"/><Relationship Id="rId5" Type="http://schemas.openxmlformats.org/officeDocument/2006/relationships/hyperlink" Target="https://www.census.gov/programs-surveys/mops.html" TargetMode="External"/><Relationship Id="rId4" Type="http://schemas.openxmlformats.org/officeDocument/2006/relationships/hyperlink" Target="https://www.census.gov/programs-surveys/mop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economicanalyticalservices/templates/OCE%20Portrait%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nsolidation%20scores%20of%20Data%20%20and%20Charts%20%20for%20EDAN%20scores%20%20pape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3.xml"/></Relationships>
</file>

<file path=word/charts/_rels/chart17.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chartUserShapes" Target="../drawings/drawing4.xml"/></Relationships>
</file>

<file path=word/charts/_rels/chart18.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5.xml"/></Relationships>
</file>

<file path=word/charts/_rels/chart19.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6.xml"/></Relationships>
</file>

<file path=word/charts/_rels/chart2.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nsolidation%20scores%20of%20Data%20%20and%20Charts%20%20for%20EDAN%20scores%20%20paper.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chartUserShapes" Target="../drawings/drawing7.xml"/></Relationships>
</file>

<file path=word/charts/_rels/chart3.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nsolidation%20scores%20of%20Data%20%20and%20Charts%20%20for%20EDAN%20scores%20%20pap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nsolidation%20scores%20of%20Data%20%20and%20Charts%20%20for%20EDAN%20scores%20%20pap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nsolidation%20scores%20of%20Data%20%20and%20Charts%20%20for%20EDAN%20scores%20%20pap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Azadehs%20Testlab\Scores%20project\Copy%20of%20Consolidation%20scores%20of%20Data%20%20and%20Charts%20%20for%20EDAN%20scores%20%20paper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prod.protected.ind\user\user01\abalaguer\My%20Documents\Innovation%20Research%20work\scores%20paper\Consolidation%20scores%20of%20Data%20%20and%20Charts%20%20for%20EDAN%20scores%20%20pape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4.1'!$B$10</c:f>
              <c:strCache>
                <c:ptCount val="1"/>
                <c:pt idx="0">
                  <c:v>mean</c:v>
                </c:pt>
              </c:strCache>
            </c:strRef>
          </c:tx>
          <c:spPr>
            <a:solidFill>
              <a:srgbClr val="005CAF"/>
            </a:solidFill>
            <a:ln>
              <a:solidFill>
                <a:srgbClr val="005CA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 4.1'!$A$11:$A$16</c:f>
              <c:strCache>
                <c:ptCount val="6"/>
                <c:pt idx="0">
                  <c:v>OMC</c:v>
                </c:pt>
                <c:pt idx="1">
                  <c:v>OMCv2</c:v>
                </c:pt>
                <c:pt idx="2">
                  <c:v>DMC</c:v>
                </c:pt>
                <c:pt idx="3">
                  <c:v>EMC</c:v>
                </c:pt>
                <c:pt idx="4">
                  <c:v>SCMC</c:v>
                </c:pt>
                <c:pt idx="5">
                  <c:v>SMC</c:v>
                </c:pt>
              </c:strCache>
            </c:strRef>
          </c:cat>
          <c:val>
            <c:numRef>
              <c:f>'Fig 4.1'!$B$11:$B$16</c:f>
              <c:numCache>
                <c:formatCode>General</c:formatCode>
                <c:ptCount val="6"/>
                <c:pt idx="0">
                  <c:v>0.27500000000000002</c:v>
                </c:pt>
                <c:pt idx="1">
                  <c:v>0.26200000000000001</c:v>
                </c:pt>
                <c:pt idx="2">
                  <c:v>0.108</c:v>
                </c:pt>
                <c:pt idx="3">
                  <c:v>0.125</c:v>
                </c:pt>
                <c:pt idx="4">
                  <c:v>0.16900000000000001</c:v>
                </c:pt>
                <c:pt idx="5">
                  <c:v>0.38600000000000001</c:v>
                </c:pt>
              </c:numCache>
            </c:numRef>
          </c:val>
        </c:ser>
        <c:dLbls>
          <c:showLegendKey val="0"/>
          <c:showVal val="0"/>
          <c:showCatName val="0"/>
          <c:showSerName val="0"/>
          <c:showPercent val="0"/>
          <c:showBubbleSize val="0"/>
        </c:dLbls>
        <c:gapWidth val="219"/>
        <c:overlap val="-27"/>
        <c:axId val="655090936"/>
        <c:axId val="655090544"/>
      </c:barChart>
      <c:catAx>
        <c:axId val="65509093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55090544"/>
        <c:crosses val="autoZero"/>
        <c:auto val="1"/>
        <c:lblAlgn val="ctr"/>
        <c:lblOffset val="100"/>
        <c:noMultiLvlLbl val="0"/>
      </c:catAx>
      <c:valAx>
        <c:axId val="655090544"/>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baseline="0">
                    <a:solidFill>
                      <a:srgbClr val="373737"/>
                    </a:solidFill>
                  </a:rPr>
                  <a:t>Average  score</a:t>
                </a:r>
                <a:endParaRPr lang="en-AU">
                  <a:solidFill>
                    <a:srgbClr val="373737"/>
                  </a:solidFill>
                </a:endParaRPr>
              </a:p>
            </c:rich>
          </c:tx>
          <c:layout>
            <c:manualLayout>
              <c:xMode val="edge"/>
              <c:yMode val="edge"/>
              <c:x val="2.2222222222222223E-2"/>
              <c:y val="0.319965248246408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55090936"/>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Consolidation scores of Data  and Charts  for EDAN scores  paper2.xlsx]4.10!PivotTable7</c:name>
    <c:fmtId val="10"/>
  </c:pivotSource>
  <c:chart>
    <c:autoTitleDeleted val="0"/>
    <c:pivotFmts>
      <c:pivotFmt>
        <c:idx val="0"/>
        <c:spPr>
          <a:solidFill>
            <a:schemeClr val="accent1"/>
          </a:solidFill>
          <a:ln>
            <a:noFill/>
          </a:ln>
          <a:effectLst/>
        </c:spPr>
        <c:marker>
          <c:symbol val="none"/>
        </c:marker>
      </c:pivotFmt>
      <c:pivotFmt>
        <c:idx val="1"/>
        <c:spPr>
          <a:solidFill>
            <a:srgbClr val="005CAF"/>
          </a:solidFill>
          <a:ln>
            <a:noFill/>
          </a:ln>
          <a:effectLst/>
        </c:spPr>
        <c:marker>
          <c:symbol val="none"/>
        </c:marker>
      </c:pivotFmt>
      <c:pivotFmt>
        <c:idx val="2"/>
        <c:spPr>
          <a:solidFill>
            <a:srgbClr val="56B4DF"/>
          </a:solidFill>
          <a:ln>
            <a:noFill/>
          </a:ln>
          <a:effectLst/>
        </c:spPr>
        <c:marker>
          <c:symbol val="none"/>
        </c:marker>
      </c:pivotFmt>
      <c:pivotFmt>
        <c:idx val="3"/>
        <c:spPr>
          <a:solidFill>
            <a:srgbClr val="005CAF"/>
          </a:solidFill>
          <a:ln>
            <a:noFill/>
          </a:ln>
          <a:effectLst/>
        </c:spPr>
        <c:marker>
          <c:symbol val="none"/>
        </c:marker>
      </c:pivotFmt>
      <c:pivotFmt>
        <c:idx val="4"/>
        <c:spPr>
          <a:solidFill>
            <a:srgbClr val="56B4DF"/>
          </a:solidFill>
          <a:ln>
            <a:noFill/>
          </a:ln>
          <a:effectLst/>
        </c:spPr>
        <c:marker>
          <c:symbol val="none"/>
        </c:marker>
      </c:pivotFmt>
      <c:pivotFmt>
        <c:idx val="5"/>
        <c:spPr>
          <a:solidFill>
            <a:srgbClr val="005CAF"/>
          </a:solidFill>
          <a:ln>
            <a:noFill/>
          </a:ln>
          <a:effectLst/>
        </c:spPr>
        <c:marker>
          <c:symbol val="none"/>
        </c:marker>
      </c:pivotFmt>
      <c:pivotFmt>
        <c:idx val="6"/>
        <c:spPr>
          <a:solidFill>
            <a:srgbClr val="56B4DF"/>
          </a:solidFill>
          <a:ln>
            <a:noFill/>
          </a:ln>
          <a:effectLst/>
        </c:spPr>
        <c:marker>
          <c:symbol val="none"/>
        </c:marker>
      </c:pivotFmt>
    </c:pivotFmts>
    <c:plotArea>
      <c:layout/>
      <c:barChart>
        <c:barDir val="col"/>
        <c:grouping val="clustered"/>
        <c:varyColors val="0"/>
        <c:ser>
          <c:idx val="0"/>
          <c:order val="0"/>
          <c:tx>
            <c:strRef>
              <c:f>'4.10'!$B$1:$B$2</c:f>
              <c:strCache>
                <c:ptCount val="1"/>
                <c:pt idx="0">
                  <c:v>Innovation-active</c:v>
                </c:pt>
              </c:strCache>
            </c:strRef>
          </c:tx>
          <c:spPr>
            <a:solidFill>
              <a:srgbClr val="005CAF"/>
            </a:solidFill>
            <a:ln>
              <a:noFill/>
            </a:ln>
            <a:effectLst/>
          </c:spPr>
          <c:invertIfNegative val="0"/>
          <c:cat>
            <c:strRef>
              <c:f>'4.10'!$A$3:$A$9</c:f>
              <c:strCache>
                <c:ptCount val="6"/>
                <c:pt idx="0">
                  <c:v>DMC</c:v>
                </c:pt>
                <c:pt idx="1">
                  <c:v>EMC</c:v>
                </c:pt>
                <c:pt idx="2">
                  <c:v>OMC</c:v>
                </c:pt>
                <c:pt idx="3">
                  <c:v>OMCv2</c:v>
                </c:pt>
                <c:pt idx="4">
                  <c:v>SCMC</c:v>
                </c:pt>
                <c:pt idx="5">
                  <c:v>SMC</c:v>
                </c:pt>
              </c:strCache>
            </c:strRef>
          </c:cat>
          <c:val>
            <c:numRef>
              <c:f>'4.10'!$B$3:$B$9</c:f>
              <c:numCache>
                <c:formatCode>General</c:formatCode>
                <c:ptCount val="6"/>
                <c:pt idx="0">
                  <c:v>0.153</c:v>
                </c:pt>
                <c:pt idx="1">
                  <c:v>0.159</c:v>
                </c:pt>
                <c:pt idx="2">
                  <c:v>0.308</c:v>
                </c:pt>
                <c:pt idx="3">
                  <c:v>0.32</c:v>
                </c:pt>
                <c:pt idx="4">
                  <c:v>0.19600000000000001</c:v>
                </c:pt>
                <c:pt idx="5">
                  <c:v>0.46300000000000002</c:v>
                </c:pt>
              </c:numCache>
            </c:numRef>
          </c:val>
        </c:ser>
        <c:ser>
          <c:idx val="1"/>
          <c:order val="1"/>
          <c:tx>
            <c:strRef>
              <c:f>'4.10'!$C$1:$C$2</c:f>
              <c:strCache>
                <c:ptCount val="1"/>
                <c:pt idx="0">
                  <c:v>Non innovation-active</c:v>
                </c:pt>
              </c:strCache>
            </c:strRef>
          </c:tx>
          <c:spPr>
            <a:solidFill>
              <a:srgbClr val="56B4DF"/>
            </a:solidFill>
            <a:ln>
              <a:noFill/>
            </a:ln>
            <a:effectLst/>
          </c:spPr>
          <c:invertIfNegative val="0"/>
          <c:cat>
            <c:strRef>
              <c:f>'4.10'!$A$3:$A$9</c:f>
              <c:strCache>
                <c:ptCount val="6"/>
                <c:pt idx="0">
                  <c:v>DMC</c:v>
                </c:pt>
                <c:pt idx="1">
                  <c:v>EMC</c:v>
                </c:pt>
                <c:pt idx="2">
                  <c:v>OMC</c:v>
                </c:pt>
                <c:pt idx="3">
                  <c:v>OMCv2</c:v>
                </c:pt>
                <c:pt idx="4">
                  <c:v>SCMC</c:v>
                </c:pt>
                <c:pt idx="5">
                  <c:v>SMC</c:v>
                </c:pt>
              </c:strCache>
            </c:strRef>
          </c:cat>
          <c:val>
            <c:numRef>
              <c:f>'4.10'!$C$3:$C$9</c:f>
              <c:numCache>
                <c:formatCode>General</c:formatCode>
                <c:ptCount val="6"/>
                <c:pt idx="0">
                  <c:v>3.6400000000000002E-2</c:v>
                </c:pt>
                <c:pt idx="1">
                  <c:v>6.9599999999999995E-2</c:v>
                </c:pt>
                <c:pt idx="2">
                  <c:v>0.191</c:v>
                </c:pt>
                <c:pt idx="3">
                  <c:v>0.17</c:v>
                </c:pt>
                <c:pt idx="4">
                  <c:v>0.10100000000000001</c:v>
                </c:pt>
                <c:pt idx="5">
                  <c:v>0.26400000000000001</c:v>
                </c:pt>
              </c:numCache>
            </c:numRef>
          </c:val>
        </c:ser>
        <c:dLbls>
          <c:showLegendKey val="0"/>
          <c:showVal val="0"/>
          <c:showCatName val="0"/>
          <c:showSerName val="0"/>
          <c:showPercent val="0"/>
          <c:showBubbleSize val="0"/>
        </c:dLbls>
        <c:gapWidth val="219"/>
        <c:overlap val="-27"/>
        <c:axId val="772175672"/>
        <c:axId val="772169792"/>
      </c:barChart>
      <c:catAx>
        <c:axId val="772175672"/>
        <c:scaling>
          <c:orientation val="minMax"/>
        </c:scaling>
        <c:delete val="0"/>
        <c:axPos val="b"/>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69792"/>
        <c:crosses val="autoZero"/>
        <c:auto val="1"/>
        <c:lblAlgn val="ctr"/>
        <c:lblOffset val="100"/>
        <c:noMultiLvlLbl val="0"/>
      </c:catAx>
      <c:valAx>
        <c:axId val="772169792"/>
        <c:scaling>
          <c:orientation val="minMax"/>
        </c:scaling>
        <c:delete val="0"/>
        <c:axPos val="l"/>
        <c:title>
          <c:tx>
            <c:rich>
              <a:bodyPr rot="-5400000" spcFirstLastPara="1" vertOverflow="ellipsis" vert="horz" wrap="square" anchor="ctr" anchorCtr="1"/>
              <a:lstStyle/>
              <a:p>
                <a:pPr algn="ctr" rtl="0">
                  <a:defRPr sz="900" b="0" i="0" u="none" strike="noStrike" kern="1200" baseline="0">
                    <a:solidFill>
                      <a:srgbClr val="373737"/>
                    </a:solidFill>
                    <a:latin typeface="Arial" panose="020B0604020202020204" pitchFamily="34" charset="0"/>
                    <a:ea typeface="Arial"/>
                    <a:cs typeface="Arial" panose="020B0604020202020204" pitchFamily="34" charset="0"/>
                  </a:defRPr>
                </a:pPr>
                <a:r>
                  <a:rPr lang="en-US" sz="900" b="0" i="0" u="none" strike="noStrike" kern="1200" baseline="0">
                    <a:solidFill>
                      <a:srgbClr val="373737"/>
                    </a:solidFill>
                    <a:latin typeface="Arial" panose="020B0604020202020204" pitchFamily="34" charset="0"/>
                    <a:cs typeface="Arial" panose="020B0604020202020204" pitchFamily="34" charset="0"/>
                  </a:rPr>
                  <a:t>Average score</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373737"/>
                  </a:solidFill>
                  <a:latin typeface="Arial" panose="020B0604020202020204" pitchFamily="34" charset="0"/>
                  <a:ea typeface="Arial"/>
                  <a:cs typeface="Arial" panose="020B0604020202020204" pitchFamily="34" charset="0"/>
                </a:defRPr>
              </a:pPr>
              <a:endParaRPr lang="en-US"/>
            </a:p>
          </c:txPr>
        </c:title>
        <c:numFmt formatCode="#,##0.00" sourceLinked="0"/>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5672"/>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'5.1'!$B$14</c:f>
              <c:strCache>
                <c:ptCount val="1"/>
                <c:pt idx="0">
                  <c:v>Structured management score US firms</c:v>
                </c:pt>
              </c:strCache>
            </c:strRef>
          </c:tx>
          <c:spPr>
            <a:solidFill>
              <a:srgbClr val="005CAF"/>
            </a:solidFill>
            <a:ln>
              <a:noFill/>
            </a:ln>
            <a:effectLst/>
          </c:spPr>
          <c:invertIfNegative val="0"/>
          <c:cat>
            <c:strRef>
              <c:f>'5.1'!$A$15:$A$25</c:f>
              <c:strCache>
                <c:ptCount val="11"/>
                <c:pt idx="0">
                  <c:v>1-4</c:v>
                </c:pt>
                <c:pt idx="1">
                  <c:v>5-9</c:v>
                </c:pt>
                <c:pt idx="2">
                  <c:v>10-19</c:v>
                </c:pt>
                <c:pt idx="3">
                  <c:v>20-49</c:v>
                </c:pt>
                <c:pt idx="4">
                  <c:v>50-99</c:v>
                </c:pt>
                <c:pt idx="5">
                  <c:v>100-2499</c:v>
                </c:pt>
                <c:pt idx="6">
                  <c:v>250-499</c:v>
                </c:pt>
                <c:pt idx="7">
                  <c:v>500-999</c:v>
                </c:pt>
                <c:pt idx="8">
                  <c:v>1000-2499</c:v>
                </c:pt>
                <c:pt idx="9">
                  <c:v>2500+</c:v>
                </c:pt>
                <c:pt idx="10">
                  <c:v>All</c:v>
                </c:pt>
              </c:strCache>
            </c:strRef>
          </c:cat>
          <c:val>
            <c:numRef>
              <c:f>'5.1'!$B$15:$B$25</c:f>
              <c:numCache>
                <c:formatCode>0.00</c:formatCode>
                <c:ptCount val="11"/>
                <c:pt idx="0">
                  <c:v>0.45717799999999997</c:v>
                </c:pt>
                <c:pt idx="1">
                  <c:v>0.41286999999999996</c:v>
                </c:pt>
                <c:pt idx="2">
                  <c:v>0.44509399999999993</c:v>
                </c:pt>
                <c:pt idx="3">
                  <c:v>0.5115559999999999</c:v>
                </c:pt>
                <c:pt idx="4">
                  <c:v>0.60319299999999987</c:v>
                </c:pt>
                <c:pt idx="5">
                  <c:v>0.66764099999999993</c:v>
                </c:pt>
                <c:pt idx="6">
                  <c:v>0.71295599999999992</c:v>
                </c:pt>
                <c:pt idx="7">
                  <c:v>0.73913799999999996</c:v>
                </c:pt>
                <c:pt idx="8">
                  <c:v>0.7592779999999999</c:v>
                </c:pt>
                <c:pt idx="9">
                  <c:v>0.76934799999999992</c:v>
                </c:pt>
                <c:pt idx="10">
                  <c:v>0.55300000000000005</c:v>
                </c:pt>
              </c:numCache>
            </c:numRef>
          </c:val>
        </c:ser>
        <c:ser>
          <c:idx val="1"/>
          <c:order val="1"/>
          <c:tx>
            <c:strRef>
              <c:f>'5.1'!$C$14</c:f>
              <c:strCache>
                <c:ptCount val="1"/>
                <c:pt idx="0">
                  <c:v>Structured management score Australian firms</c:v>
                </c:pt>
              </c:strCache>
            </c:strRef>
          </c:tx>
          <c:spPr>
            <a:solidFill>
              <a:srgbClr val="56B4DF"/>
            </a:solidFill>
            <a:ln>
              <a:noFill/>
            </a:ln>
            <a:effectLst/>
          </c:spPr>
          <c:invertIfNegative val="0"/>
          <c:cat>
            <c:strRef>
              <c:f>'5.1'!$A$15:$A$25</c:f>
              <c:strCache>
                <c:ptCount val="11"/>
                <c:pt idx="0">
                  <c:v>1-4</c:v>
                </c:pt>
                <c:pt idx="1">
                  <c:v>5-9</c:v>
                </c:pt>
                <c:pt idx="2">
                  <c:v>10-19</c:v>
                </c:pt>
                <c:pt idx="3">
                  <c:v>20-49</c:v>
                </c:pt>
                <c:pt idx="4">
                  <c:v>50-99</c:v>
                </c:pt>
                <c:pt idx="5">
                  <c:v>100-2499</c:v>
                </c:pt>
                <c:pt idx="6">
                  <c:v>250-499</c:v>
                </c:pt>
                <c:pt idx="7">
                  <c:v>500-999</c:v>
                </c:pt>
                <c:pt idx="8">
                  <c:v>1000-2499</c:v>
                </c:pt>
                <c:pt idx="9">
                  <c:v>2500+</c:v>
                </c:pt>
                <c:pt idx="10">
                  <c:v>All</c:v>
                </c:pt>
              </c:strCache>
            </c:strRef>
          </c:cat>
          <c:val>
            <c:numRef>
              <c:f>'5.1'!$C$15:$C$25</c:f>
              <c:numCache>
                <c:formatCode>General</c:formatCode>
                <c:ptCount val="11"/>
                <c:pt idx="0">
                  <c:v>0.16700000000000001</c:v>
                </c:pt>
                <c:pt idx="1">
                  <c:v>0.24199999999999999</c:v>
                </c:pt>
                <c:pt idx="2">
                  <c:v>0.29199999999999998</c:v>
                </c:pt>
                <c:pt idx="3">
                  <c:v>0.35599999999999998</c:v>
                </c:pt>
                <c:pt idx="4">
                  <c:v>0.48399999999999999</c:v>
                </c:pt>
                <c:pt idx="5">
                  <c:v>0.52700000000000002</c:v>
                </c:pt>
                <c:pt idx="6">
                  <c:v>0.56999999999999995</c:v>
                </c:pt>
                <c:pt idx="7">
                  <c:v>0.59699999999999998</c:v>
                </c:pt>
                <c:pt idx="8">
                  <c:v>0.65</c:v>
                </c:pt>
                <c:pt idx="9">
                  <c:v>0.59699999999999998</c:v>
                </c:pt>
                <c:pt idx="10">
                  <c:v>0.33400000000000002</c:v>
                </c:pt>
              </c:numCache>
            </c:numRef>
          </c:val>
        </c:ser>
        <c:dLbls>
          <c:showLegendKey val="0"/>
          <c:showVal val="0"/>
          <c:showCatName val="0"/>
          <c:showSerName val="0"/>
          <c:showPercent val="0"/>
          <c:showBubbleSize val="0"/>
        </c:dLbls>
        <c:gapWidth val="219"/>
        <c:overlap val="-27"/>
        <c:axId val="772170576"/>
        <c:axId val="772172536"/>
      </c:barChart>
      <c:catAx>
        <c:axId val="772170576"/>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baseline="0">
                    <a:solidFill>
                      <a:srgbClr val="373737"/>
                    </a:solidFill>
                  </a:rPr>
                  <a:t>Number of employees</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2536"/>
        <c:crosses val="autoZero"/>
        <c:auto val="1"/>
        <c:lblAlgn val="ctr"/>
        <c:lblOffset val="100"/>
        <c:noMultiLvlLbl val="0"/>
      </c:catAx>
      <c:valAx>
        <c:axId val="772172536"/>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baseline="0">
                    <a:solidFill>
                      <a:srgbClr val="373737"/>
                    </a:solidFill>
                  </a:rPr>
                  <a:t>Score value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00" sourceLinked="1"/>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0576"/>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 5.2'!$C$17</c:f>
              <c:strCache>
                <c:ptCount val="1"/>
                <c:pt idx="0">
                  <c:v>Structured management score US firms</c:v>
                </c:pt>
              </c:strCache>
            </c:strRef>
          </c:tx>
          <c:spPr>
            <a:solidFill>
              <a:srgbClr val="005CAF"/>
            </a:solidFill>
            <a:ln>
              <a:noFill/>
            </a:ln>
            <a:effectLst/>
          </c:spPr>
          <c:invertIfNegative val="0"/>
          <c:cat>
            <c:strRef>
              <c:f>'Fig 5.2'!$B$18:$B$30</c:f>
              <c:strCache>
                <c:ptCount val="13"/>
                <c:pt idx="0">
                  <c:v>Food Product Manufacturing *</c:v>
                </c:pt>
                <c:pt idx="1">
                  <c:v>Fabricated Metal Product Manufacturing</c:v>
                </c:pt>
                <c:pt idx="2">
                  <c:v>Non-Metallic Mineral Product Manufacturing *</c:v>
                </c:pt>
                <c:pt idx="3">
                  <c:v>Printing (including the Reproduction of Recorded Media) *</c:v>
                </c:pt>
                <c:pt idx="4">
                  <c:v>Furniture and Other Manufacturing *</c:v>
                </c:pt>
                <c:pt idx="5">
                  <c:v>Petroleum and Coal Product Manufacturing *</c:v>
                </c:pt>
                <c:pt idx="6">
                  <c:v>Manufacturing</c:v>
                </c:pt>
                <c:pt idx="7">
                  <c:v>Wood Product Manufacturing</c:v>
                </c:pt>
                <c:pt idx="8">
                  <c:v>Machinery and Equipment Manufacturing *</c:v>
                </c:pt>
                <c:pt idx="9">
                  <c:v>Beverage and Tobacco Product Manufacturing</c:v>
                </c:pt>
                <c:pt idx="10">
                  <c:v>Computer and Electronic Equipment Manufacturing*</c:v>
                </c:pt>
                <c:pt idx="11">
                  <c:v>Primary Metal and Metal Product Manufacturing *</c:v>
                </c:pt>
                <c:pt idx="12">
                  <c:v>Transport Equipment Manufacturing *</c:v>
                </c:pt>
              </c:strCache>
            </c:strRef>
          </c:cat>
          <c:val>
            <c:numRef>
              <c:f>'Fig 5.2'!$C$18:$C$30</c:f>
              <c:numCache>
                <c:formatCode>0.000</c:formatCode>
                <c:ptCount val="13"/>
                <c:pt idx="0">
                  <c:v>0.57197599999999993</c:v>
                </c:pt>
                <c:pt idx="1">
                  <c:v>0.517598</c:v>
                </c:pt>
                <c:pt idx="2">
                  <c:v>0.51961199999999996</c:v>
                </c:pt>
                <c:pt idx="3">
                  <c:v>0.4722829999999999</c:v>
                </c:pt>
                <c:pt idx="4">
                  <c:v>0.47731799999999991</c:v>
                </c:pt>
                <c:pt idx="5">
                  <c:v>0.57298299999999991</c:v>
                </c:pt>
                <c:pt idx="6" formatCode="General">
                  <c:v>0.55300000000000005</c:v>
                </c:pt>
                <c:pt idx="7">
                  <c:v>0.54075899999999999</c:v>
                </c:pt>
                <c:pt idx="8">
                  <c:v>0.56089900000000004</c:v>
                </c:pt>
                <c:pt idx="9">
                  <c:v>0.60822799999999988</c:v>
                </c:pt>
                <c:pt idx="10">
                  <c:v>0.60218599999999989</c:v>
                </c:pt>
                <c:pt idx="11">
                  <c:v>0.65052199999999993</c:v>
                </c:pt>
                <c:pt idx="12">
                  <c:v>0.64951499999999995</c:v>
                </c:pt>
              </c:numCache>
            </c:numRef>
          </c:val>
        </c:ser>
        <c:ser>
          <c:idx val="1"/>
          <c:order val="1"/>
          <c:tx>
            <c:strRef>
              <c:f>'Fig 5.2'!$D$17</c:f>
              <c:strCache>
                <c:ptCount val="1"/>
                <c:pt idx="0">
                  <c:v>Structured management score Australian firms</c:v>
                </c:pt>
              </c:strCache>
            </c:strRef>
          </c:tx>
          <c:spPr>
            <a:solidFill>
              <a:srgbClr val="56B4DF"/>
            </a:solidFill>
            <a:ln>
              <a:noFill/>
            </a:ln>
            <a:effectLst/>
          </c:spPr>
          <c:invertIfNegative val="0"/>
          <c:cat>
            <c:strRef>
              <c:f>'Fig 5.2'!$B$18:$B$30</c:f>
              <c:strCache>
                <c:ptCount val="13"/>
                <c:pt idx="0">
                  <c:v>Food Product Manufacturing *</c:v>
                </c:pt>
                <c:pt idx="1">
                  <c:v>Fabricated Metal Product Manufacturing</c:v>
                </c:pt>
                <c:pt idx="2">
                  <c:v>Non-Metallic Mineral Product Manufacturing *</c:v>
                </c:pt>
                <c:pt idx="3">
                  <c:v>Printing (including the Reproduction of Recorded Media) *</c:v>
                </c:pt>
                <c:pt idx="4">
                  <c:v>Furniture and Other Manufacturing *</c:v>
                </c:pt>
                <c:pt idx="5">
                  <c:v>Petroleum and Coal Product Manufacturing *</c:v>
                </c:pt>
                <c:pt idx="6">
                  <c:v>Manufacturing</c:v>
                </c:pt>
                <c:pt idx="7">
                  <c:v>Wood Product Manufacturing</c:v>
                </c:pt>
                <c:pt idx="8">
                  <c:v>Machinery and Equipment Manufacturing *</c:v>
                </c:pt>
                <c:pt idx="9">
                  <c:v>Beverage and Tobacco Product Manufacturing</c:v>
                </c:pt>
                <c:pt idx="10">
                  <c:v>Computer and Electronic Equipment Manufacturing*</c:v>
                </c:pt>
                <c:pt idx="11">
                  <c:v>Primary Metal and Metal Product Manufacturing *</c:v>
                </c:pt>
                <c:pt idx="12">
                  <c:v>Transport Equipment Manufacturing *</c:v>
                </c:pt>
              </c:strCache>
            </c:strRef>
          </c:cat>
          <c:val>
            <c:numRef>
              <c:f>'Fig 5.2'!$D$18:$D$30</c:f>
              <c:numCache>
                <c:formatCode>0.000</c:formatCode>
                <c:ptCount val="13"/>
                <c:pt idx="0">
                  <c:v>0.44900000000000001</c:v>
                </c:pt>
                <c:pt idx="1">
                  <c:v>0.38900000000000001</c:v>
                </c:pt>
                <c:pt idx="2">
                  <c:v>0.36499999999999999</c:v>
                </c:pt>
                <c:pt idx="3">
                  <c:v>0.29199999999999998</c:v>
                </c:pt>
                <c:pt idx="4">
                  <c:v>0.28699999999999998</c:v>
                </c:pt>
                <c:pt idx="5">
                  <c:v>0.373</c:v>
                </c:pt>
                <c:pt idx="6" formatCode="General">
                  <c:v>0.33500000000000002</c:v>
                </c:pt>
                <c:pt idx="7">
                  <c:v>0.313</c:v>
                </c:pt>
                <c:pt idx="8">
                  <c:v>0.30199999999999999</c:v>
                </c:pt>
                <c:pt idx="9">
                  <c:v>0.34499999999999997</c:v>
                </c:pt>
                <c:pt idx="10">
                  <c:v>0.33200000000000002</c:v>
                </c:pt>
                <c:pt idx="11">
                  <c:v>0.36399999999999999</c:v>
                </c:pt>
                <c:pt idx="12">
                  <c:v>0.33700000000000002</c:v>
                </c:pt>
              </c:numCache>
            </c:numRef>
          </c:val>
        </c:ser>
        <c:dLbls>
          <c:showLegendKey val="0"/>
          <c:showVal val="0"/>
          <c:showCatName val="0"/>
          <c:showSerName val="0"/>
          <c:showPercent val="0"/>
          <c:showBubbleSize val="0"/>
        </c:dLbls>
        <c:gapWidth val="219"/>
        <c:axId val="772176064"/>
        <c:axId val="772170968"/>
      </c:barChart>
      <c:catAx>
        <c:axId val="772176064"/>
        <c:scaling>
          <c:orientation val="minMax"/>
        </c:scaling>
        <c:delete val="0"/>
        <c:axPos val="l"/>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0968"/>
        <c:crosses val="autoZero"/>
        <c:auto val="1"/>
        <c:lblAlgn val="ctr"/>
        <c:lblOffset val="100"/>
        <c:noMultiLvlLbl val="0"/>
      </c:catAx>
      <c:valAx>
        <c:axId val="772170968"/>
        <c:scaling>
          <c:orientation val="minMax"/>
        </c:scaling>
        <c:delete val="0"/>
        <c:axPos val="b"/>
        <c:numFmt formatCode="0.0" sourceLinked="0"/>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6064"/>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9467205530317"/>
          <c:y val="5.5597675006317918E-2"/>
          <c:w val="0.86930972521535643"/>
          <c:h val="0.55155878449234785"/>
        </c:manualLayout>
      </c:layout>
      <c:barChart>
        <c:barDir val="col"/>
        <c:grouping val="clustered"/>
        <c:varyColors val="0"/>
        <c:ser>
          <c:idx val="0"/>
          <c:order val="0"/>
          <c:tx>
            <c:strRef>
              <c:f>'Fig 20'!$B$10</c:f>
              <c:strCache>
                <c:ptCount val="1"/>
                <c:pt idx="0">
                  <c:v>Structured management score US firms</c:v>
                </c:pt>
              </c:strCache>
            </c:strRef>
          </c:tx>
          <c:spPr>
            <a:solidFill>
              <a:srgbClr val="005CAF"/>
            </a:solidFill>
            <a:ln>
              <a:noFill/>
            </a:ln>
            <a:effectLst/>
          </c:spPr>
          <c:invertIfNegative val="0"/>
          <c:cat>
            <c:strRef>
              <c:f>'Fig 20'!$A$11:$A$15</c:f>
              <c:strCache>
                <c:ptCount val="5"/>
                <c:pt idx="0">
                  <c:v>All</c:v>
                </c:pt>
                <c:pt idx="1">
                  <c:v>0-5</c:v>
                </c:pt>
                <c:pt idx="2">
                  <c:v>6-15</c:v>
                </c:pt>
                <c:pt idx="3">
                  <c:v>16-25</c:v>
                </c:pt>
                <c:pt idx="4">
                  <c:v>26+</c:v>
                </c:pt>
              </c:strCache>
            </c:strRef>
          </c:cat>
          <c:val>
            <c:numRef>
              <c:f>'Fig 20'!$B$11:$B$15</c:f>
              <c:numCache>
                <c:formatCode>0.000</c:formatCode>
                <c:ptCount val="5"/>
                <c:pt idx="0">
                  <c:v>0.55300000000000005</c:v>
                </c:pt>
                <c:pt idx="1">
                  <c:v>0.56508743169398912</c:v>
                </c:pt>
                <c:pt idx="2">
                  <c:v>0.54796357012750452</c:v>
                </c:pt>
                <c:pt idx="3">
                  <c:v>0.5399052823315118</c:v>
                </c:pt>
                <c:pt idx="4">
                  <c:v>0.55904371584699442</c:v>
                </c:pt>
              </c:numCache>
            </c:numRef>
          </c:val>
        </c:ser>
        <c:ser>
          <c:idx val="1"/>
          <c:order val="1"/>
          <c:tx>
            <c:strRef>
              <c:f>'Fig 20'!$C$10</c:f>
              <c:strCache>
                <c:ptCount val="1"/>
                <c:pt idx="0">
                  <c:v>Structured management score Australian firms</c:v>
                </c:pt>
              </c:strCache>
            </c:strRef>
          </c:tx>
          <c:spPr>
            <a:solidFill>
              <a:srgbClr val="56B4DF"/>
            </a:solidFill>
            <a:ln>
              <a:noFill/>
            </a:ln>
            <a:effectLst/>
          </c:spPr>
          <c:invertIfNegative val="0"/>
          <c:cat>
            <c:strRef>
              <c:f>'Fig 20'!$A$11:$A$15</c:f>
              <c:strCache>
                <c:ptCount val="5"/>
                <c:pt idx="0">
                  <c:v>All</c:v>
                </c:pt>
                <c:pt idx="1">
                  <c:v>0-5</c:v>
                </c:pt>
                <c:pt idx="2">
                  <c:v>6-15</c:v>
                </c:pt>
                <c:pt idx="3">
                  <c:v>16-25</c:v>
                </c:pt>
                <c:pt idx="4">
                  <c:v>26+</c:v>
                </c:pt>
              </c:strCache>
            </c:strRef>
          </c:cat>
          <c:val>
            <c:numRef>
              <c:f>'Fig 20'!$C$11:$C$15</c:f>
              <c:numCache>
                <c:formatCode>0.000</c:formatCode>
                <c:ptCount val="5"/>
                <c:pt idx="0">
                  <c:v>0.33500000000000002</c:v>
                </c:pt>
                <c:pt idx="1">
                  <c:v>0.255</c:v>
                </c:pt>
                <c:pt idx="2">
                  <c:v>0.26800000000000002</c:v>
                </c:pt>
                <c:pt idx="3">
                  <c:v>0.316</c:v>
                </c:pt>
                <c:pt idx="4">
                  <c:v>0.41399999999999998</c:v>
                </c:pt>
              </c:numCache>
            </c:numRef>
          </c:val>
        </c:ser>
        <c:dLbls>
          <c:showLegendKey val="0"/>
          <c:showVal val="0"/>
          <c:showCatName val="0"/>
          <c:showSerName val="0"/>
          <c:showPercent val="0"/>
          <c:showBubbleSize val="0"/>
        </c:dLbls>
        <c:gapWidth val="219"/>
        <c:overlap val="-27"/>
        <c:axId val="776468432"/>
        <c:axId val="776466864"/>
      </c:barChart>
      <c:catAx>
        <c:axId val="776468432"/>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baseline="0">
                    <a:solidFill>
                      <a:srgbClr val="373737"/>
                    </a:solidFill>
                  </a:rPr>
                  <a:t>Firm age (years)</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6466864"/>
        <c:crosses val="autoZero"/>
        <c:auto val="1"/>
        <c:lblAlgn val="ctr"/>
        <c:lblOffset val="100"/>
        <c:noMultiLvlLbl val="0"/>
      </c:catAx>
      <c:valAx>
        <c:axId val="776466864"/>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baseline="0">
                    <a:solidFill>
                      <a:srgbClr val="373737"/>
                    </a:solidFill>
                  </a:rPr>
                  <a:t>Scores value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0" sourceLinked="0"/>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6468432"/>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80959716438672E-2"/>
          <c:y val="0.17171288371562254"/>
          <c:w val="0.89019685039370078"/>
          <c:h val="0.64674431321084858"/>
        </c:manualLayout>
      </c:layout>
      <c:barChart>
        <c:barDir val="col"/>
        <c:grouping val="clustered"/>
        <c:varyColors val="0"/>
        <c:ser>
          <c:idx val="0"/>
          <c:order val="0"/>
          <c:tx>
            <c:strRef>
              <c:f>'Charts section 6'!$J$27</c:f>
              <c:strCache>
                <c:ptCount val="1"/>
                <c:pt idx="0">
                  <c:v>Management Practice Score (X)</c:v>
                </c:pt>
              </c:strCache>
            </c:strRef>
          </c:tx>
          <c:spPr>
            <a:solidFill>
              <a:srgbClr val="005CAF"/>
            </a:solidFill>
            <a:ln>
              <a:noFill/>
            </a:ln>
            <a:effectLst/>
          </c:spPr>
          <c:invertIfNegative val="0"/>
          <c:dPt>
            <c:idx val="0"/>
            <c:invertIfNegative val="0"/>
            <c:bubble3D val="0"/>
            <c:spPr>
              <a:solidFill>
                <a:srgbClr val="005CAF"/>
              </a:solidFill>
              <a:ln>
                <a:noFill/>
              </a:ln>
              <a:effectLst/>
            </c:spPr>
            <c:extLst xmlns:c16r2="http://schemas.microsoft.com/office/drawing/2015/06/chart">
              <c:ext xmlns:c16="http://schemas.microsoft.com/office/drawing/2014/chart" uri="{C3380CC4-5D6E-409C-BE32-E72D297353CC}">
                <c16:uniqueId val="{00000001-0F37-4371-B67B-15F543EF9E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6'!$K$27:$L$27</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2-0F37-4371-B67B-15F543EF9E72}"/>
            </c:ext>
          </c:extLst>
        </c:ser>
        <c:ser>
          <c:idx val="1"/>
          <c:order val="1"/>
          <c:tx>
            <c:strRef>
              <c:f>'Charts section 6'!$J$28</c:f>
              <c:strCache>
                <c:ptCount val="1"/>
                <c:pt idx="0">
                  <c:v>Management Practice Score (X+0.1)</c:v>
                </c:pt>
              </c:strCache>
            </c:strRef>
          </c:tx>
          <c:spPr>
            <a:solidFill>
              <a:srgbClr val="56B4DF"/>
            </a:solidFill>
            <a:ln>
              <a:noFill/>
            </a:ln>
            <a:effectLst/>
          </c:spPr>
          <c:invertIfNegative val="0"/>
          <c:dPt>
            <c:idx val="1"/>
            <c:invertIfNegative val="0"/>
            <c:bubble3D val="0"/>
            <c:spPr>
              <a:solidFill>
                <a:srgbClr val="56B4DF"/>
              </a:solidFill>
              <a:ln>
                <a:noFill/>
              </a:ln>
              <a:effectLst/>
            </c:spPr>
            <c:extLst xmlns:c16r2="http://schemas.microsoft.com/office/drawing/2015/06/chart">
              <c:ext xmlns:c16="http://schemas.microsoft.com/office/drawing/2014/chart" uri="{C3380CC4-5D6E-409C-BE32-E72D297353CC}">
                <c16:uniqueId val="{00000004-0F37-4371-B67B-15F543EF9E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6'!$K$28:$L$28</c:f>
              <c:numCache>
                <c:formatCode>0</c:formatCode>
                <c:ptCount val="2"/>
                <c:pt idx="0">
                  <c:v>113.1</c:v>
                </c:pt>
                <c:pt idx="1">
                  <c:v>106.2</c:v>
                </c:pt>
              </c:numCache>
            </c:numRef>
          </c:val>
          <c:extLst xmlns:c16r2="http://schemas.microsoft.com/office/drawing/2015/06/chart">
            <c:ext xmlns:c16="http://schemas.microsoft.com/office/drawing/2014/chart" uri="{C3380CC4-5D6E-409C-BE32-E72D297353CC}">
              <c16:uniqueId val="{00000005-0F37-4371-B67B-15F543EF9E72}"/>
            </c:ext>
          </c:extLst>
        </c:ser>
        <c:dLbls>
          <c:dLblPos val="outEnd"/>
          <c:showLegendKey val="0"/>
          <c:showVal val="1"/>
          <c:showCatName val="0"/>
          <c:showSerName val="0"/>
          <c:showPercent val="0"/>
          <c:showBubbleSize val="0"/>
        </c:dLbls>
        <c:gapWidth val="209"/>
        <c:overlap val="-100"/>
        <c:axId val="776469608"/>
        <c:axId val="776470000"/>
      </c:barChart>
      <c:catAx>
        <c:axId val="776469608"/>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6470000"/>
        <c:crosses val="autoZero"/>
        <c:auto val="1"/>
        <c:lblAlgn val="ctr"/>
        <c:lblOffset val="100"/>
        <c:noMultiLvlLbl val="0"/>
      </c:catAx>
      <c:valAx>
        <c:axId val="776470000"/>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solidFill>
                      <a:srgbClr val="373737"/>
                    </a:solidFill>
                  </a:rPr>
                  <a:t>Labour productivity index</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6469608"/>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635730793025191E-2"/>
          <c:y val="0.17171305816072355"/>
          <c:w val="0.89019685039370078"/>
          <c:h val="0.64674431321084858"/>
        </c:manualLayout>
      </c:layout>
      <c:barChart>
        <c:barDir val="col"/>
        <c:grouping val="clustered"/>
        <c:varyColors val="0"/>
        <c:ser>
          <c:idx val="0"/>
          <c:order val="0"/>
          <c:tx>
            <c:strRef>
              <c:f>'Charts section 6'!$J$44</c:f>
              <c:strCache>
                <c:ptCount val="1"/>
                <c:pt idx="0">
                  <c:v>Management Practice Score (X)</c:v>
                </c:pt>
              </c:strCache>
            </c:strRef>
          </c:tx>
          <c:spPr>
            <a:solidFill>
              <a:srgbClr val="005CAF"/>
            </a:solidFill>
            <a:ln>
              <a:noFill/>
            </a:ln>
            <a:effectLst/>
          </c:spPr>
          <c:invertIfNegative val="0"/>
          <c:dPt>
            <c:idx val="0"/>
            <c:invertIfNegative val="0"/>
            <c:bubble3D val="0"/>
            <c:spPr>
              <a:solidFill>
                <a:srgbClr val="005CAF"/>
              </a:solidFill>
              <a:ln>
                <a:noFill/>
              </a:ln>
              <a:effectLst/>
            </c:spPr>
            <c:extLst xmlns:c16r2="http://schemas.microsoft.com/office/drawing/2015/06/chart">
              <c:ext xmlns:c16="http://schemas.microsoft.com/office/drawing/2014/chart" uri="{C3380CC4-5D6E-409C-BE32-E72D297353CC}">
                <c16:uniqueId val="{00000001-3D7A-495E-8AF0-A710B44A5844}"/>
              </c:ext>
            </c:extLst>
          </c:dPt>
          <c:dLbls>
            <c:dLbl>
              <c:idx val="1"/>
              <c:layout/>
              <c:tx>
                <c:rich>
                  <a:bodyPr/>
                  <a:lstStyle/>
                  <a:p>
                    <a:fld id="{3F7C7FE7-824E-474C-BFA6-77CB598F663B}"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6'!$K$44:$L$44</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2-3D7A-495E-8AF0-A710B44A5844}"/>
            </c:ext>
          </c:extLst>
        </c:ser>
        <c:ser>
          <c:idx val="1"/>
          <c:order val="1"/>
          <c:tx>
            <c:strRef>
              <c:f>'Charts section 6'!$J$45</c:f>
              <c:strCache>
                <c:ptCount val="1"/>
                <c:pt idx="0">
                  <c:v>Management Practice Score (X+0.1)</c:v>
                </c:pt>
              </c:strCache>
            </c:strRef>
          </c:tx>
          <c:spPr>
            <a:solidFill>
              <a:srgbClr val="56B4DF"/>
            </a:solidFill>
            <a:ln>
              <a:noFill/>
            </a:ln>
            <a:effectLst/>
          </c:spPr>
          <c:invertIfNegative val="0"/>
          <c:dPt>
            <c:idx val="1"/>
            <c:invertIfNegative val="0"/>
            <c:bubble3D val="0"/>
            <c:spPr>
              <a:solidFill>
                <a:srgbClr val="56B4DF"/>
              </a:solidFill>
              <a:ln>
                <a:noFill/>
              </a:ln>
              <a:effectLst/>
            </c:spPr>
            <c:extLst xmlns:c16r2="http://schemas.microsoft.com/office/drawing/2015/06/chart">
              <c:ext xmlns:c16="http://schemas.microsoft.com/office/drawing/2014/chart" uri="{C3380CC4-5D6E-409C-BE32-E72D297353CC}">
                <c16:uniqueId val="{00000004-3D7A-495E-8AF0-A710B44A58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6'!$K$45:$L$45</c:f>
              <c:numCache>
                <c:formatCode>0</c:formatCode>
                <c:ptCount val="2"/>
                <c:pt idx="0">
                  <c:v>113.2</c:v>
                </c:pt>
                <c:pt idx="1">
                  <c:v>106.1</c:v>
                </c:pt>
              </c:numCache>
            </c:numRef>
          </c:val>
          <c:extLst xmlns:c16r2="http://schemas.microsoft.com/office/drawing/2015/06/chart">
            <c:ext xmlns:c16="http://schemas.microsoft.com/office/drawing/2014/chart" uri="{C3380CC4-5D6E-409C-BE32-E72D297353CC}">
              <c16:uniqueId val="{00000005-3D7A-495E-8AF0-A710B44A5844}"/>
            </c:ext>
          </c:extLst>
        </c:ser>
        <c:dLbls>
          <c:dLblPos val="outEnd"/>
          <c:showLegendKey val="0"/>
          <c:showVal val="1"/>
          <c:showCatName val="0"/>
          <c:showSerName val="0"/>
          <c:showPercent val="0"/>
          <c:showBubbleSize val="0"/>
        </c:dLbls>
        <c:gapWidth val="209"/>
        <c:overlap val="-100"/>
        <c:axId val="776466080"/>
        <c:axId val="776471960"/>
      </c:barChart>
      <c:catAx>
        <c:axId val="776466080"/>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6471960"/>
        <c:crosses val="autoZero"/>
        <c:auto val="1"/>
        <c:lblAlgn val="ctr"/>
        <c:lblOffset val="100"/>
        <c:noMultiLvlLbl val="0"/>
      </c:catAx>
      <c:valAx>
        <c:axId val="776471960"/>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solidFill>
                      <a:srgbClr val="373737"/>
                    </a:solidFill>
                  </a:rPr>
                  <a:t>Labour productivity index</a:t>
                </a:r>
                <a:r>
                  <a:rPr lang="en-AU" baseline="0">
                    <a:solidFill>
                      <a:srgbClr val="373737"/>
                    </a:solidFill>
                  </a:rPr>
                  <a:t> </a:t>
                </a:r>
                <a:endParaRPr lang="en-AU">
                  <a:solidFill>
                    <a:srgbClr val="373737"/>
                  </a:solidFill>
                </a:endParaRP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6466080"/>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7171296296296296"/>
          <c:w val="0.89019685039370078"/>
          <c:h val="0.64674431321084858"/>
        </c:manualLayout>
      </c:layout>
      <c:barChart>
        <c:barDir val="col"/>
        <c:grouping val="clustered"/>
        <c:varyColors val="0"/>
        <c:ser>
          <c:idx val="0"/>
          <c:order val="0"/>
          <c:tx>
            <c:strRef>
              <c:f>'Charts section 6'!$J$62</c:f>
              <c:strCache>
                <c:ptCount val="1"/>
                <c:pt idx="0">
                  <c:v>Management Practice Score (X)</c:v>
                </c:pt>
              </c:strCache>
            </c:strRef>
          </c:tx>
          <c:spPr>
            <a:solidFill>
              <a:srgbClr val="005CAF"/>
            </a:solidFill>
            <a:ln>
              <a:noFill/>
            </a:ln>
            <a:effectLst/>
          </c:spPr>
          <c:invertIfNegative val="0"/>
          <c:dPt>
            <c:idx val="0"/>
            <c:invertIfNegative val="0"/>
            <c:bubble3D val="0"/>
            <c:spPr>
              <a:solidFill>
                <a:srgbClr val="005CAF"/>
              </a:solidFill>
              <a:ln>
                <a:noFill/>
              </a:ln>
              <a:effectLst/>
            </c:spPr>
            <c:extLst xmlns:c16r2="http://schemas.microsoft.com/office/drawing/2015/06/chart">
              <c:ext xmlns:c16="http://schemas.microsoft.com/office/drawing/2014/chart" uri="{C3380CC4-5D6E-409C-BE32-E72D297353CC}">
                <c16:uniqueId val="{00000001-D28F-478B-AE7C-CB8F0FB194BF}"/>
              </c:ext>
            </c:extLst>
          </c:dPt>
          <c:dLbls>
            <c:dLbl>
              <c:idx val="0"/>
              <c:layout/>
              <c:tx>
                <c:rich>
                  <a:bodyPr/>
                  <a:lstStyle/>
                  <a:p>
                    <a:fld id="{8861C9EB-4F59-473A-AEE6-D59A092B9877}"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B3B19BCA-2181-4496-8F9A-232F7E9A1B0E}"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6'!$K$62:$L$62</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2-D28F-478B-AE7C-CB8F0FB194BF}"/>
            </c:ext>
          </c:extLst>
        </c:ser>
        <c:ser>
          <c:idx val="1"/>
          <c:order val="1"/>
          <c:tx>
            <c:strRef>
              <c:f>'Charts section 6'!$J$63</c:f>
              <c:strCache>
                <c:ptCount val="1"/>
                <c:pt idx="0">
                  <c:v>Management Practice Score (X+0.1)</c:v>
                </c:pt>
              </c:strCache>
            </c:strRef>
          </c:tx>
          <c:spPr>
            <a:solidFill>
              <a:srgbClr val="56B4DF"/>
            </a:solidFill>
            <a:ln>
              <a:noFill/>
            </a:ln>
            <a:effectLst/>
          </c:spPr>
          <c:invertIfNegative val="0"/>
          <c:dPt>
            <c:idx val="1"/>
            <c:invertIfNegative val="0"/>
            <c:bubble3D val="0"/>
            <c:spPr>
              <a:solidFill>
                <a:srgbClr val="56B4DF"/>
              </a:solidFill>
              <a:ln>
                <a:noFill/>
              </a:ln>
              <a:effectLst/>
            </c:spPr>
            <c:extLst xmlns:c16r2="http://schemas.microsoft.com/office/drawing/2015/06/chart">
              <c:ext xmlns:c16="http://schemas.microsoft.com/office/drawing/2014/chart" uri="{C3380CC4-5D6E-409C-BE32-E72D297353CC}">
                <c16:uniqueId val="{00000004-D28F-478B-AE7C-CB8F0FB194BF}"/>
              </c:ext>
            </c:extLst>
          </c:dPt>
          <c:dLbls>
            <c:dLbl>
              <c:idx val="0"/>
              <c:layout/>
              <c:tx>
                <c:rich>
                  <a:bodyPr/>
                  <a:lstStyle/>
                  <a:p>
                    <a:fld id="{E11653CC-8B05-42E6-97A5-FD3225C1D516}"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85ECEB44-9243-4294-AFB0-A00F82C51B53}"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A5B"/>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6'!$K$63:$L$63</c:f>
              <c:numCache>
                <c:formatCode>0</c:formatCode>
                <c:ptCount val="2"/>
                <c:pt idx="0">
                  <c:v>104.5</c:v>
                </c:pt>
                <c:pt idx="1">
                  <c:v>102.72</c:v>
                </c:pt>
              </c:numCache>
            </c:numRef>
          </c:val>
          <c:extLst xmlns:c16r2="http://schemas.microsoft.com/office/drawing/2015/06/chart">
            <c:ext xmlns:c16="http://schemas.microsoft.com/office/drawing/2014/chart" uri="{C3380CC4-5D6E-409C-BE32-E72D297353CC}">
              <c16:uniqueId val="{00000005-D28F-478B-AE7C-CB8F0FB194BF}"/>
            </c:ext>
          </c:extLst>
        </c:ser>
        <c:dLbls>
          <c:dLblPos val="outEnd"/>
          <c:showLegendKey val="0"/>
          <c:showVal val="1"/>
          <c:showCatName val="0"/>
          <c:showSerName val="0"/>
          <c:showPercent val="0"/>
          <c:showBubbleSize val="0"/>
        </c:dLbls>
        <c:gapWidth val="209"/>
        <c:overlap val="-100"/>
        <c:axId val="776465688"/>
        <c:axId val="776473136"/>
      </c:barChart>
      <c:catAx>
        <c:axId val="776465688"/>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6473136"/>
        <c:crosses val="autoZero"/>
        <c:auto val="1"/>
        <c:lblAlgn val="ctr"/>
        <c:lblOffset val="100"/>
        <c:noMultiLvlLbl val="0"/>
      </c:catAx>
      <c:valAx>
        <c:axId val="776473136"/>
        <c:scaling>
          <c:orientation val="minMax"/>
          <c:max val="115"/>
          <c:min val="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US"/>
                  <a:t>Labour productivity index </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6465688"/>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77693653093E-2"/>
          <c:y val="0.17171309324039413"/>
          <c:w val="0.89019685039370078"/>
          <c:h val="0.64674431321084858"/>
        </c:manualLayout>
      </c:layout>
      <c:barChart>
        <c:barDir val="col"/>
        <c:grouping val="clustered"/>
        <c:varyColors val="0"/>
        <c:ser>
          <c:idx val="0"/>
          <c:order val="0"/>
          <c:tx>
            <c:strRef>
              <c:f>'Charts section 6'!$J$79</c:f>
              <c:strCache>
                <c:ptCount val="1"/>
                <c:pt idx="0">
                  <c:v>Management Practice Score (X)</c:v>
                </c:pt>
              </c:strCache>
            </c:strRef>
          </c:tx>
          <c:spPr>
            <a:solidFill>
              <a:srgbClr val="005CAF"/>
            </a:solidFill>
            <a:ln>
              <a:noFill/>
            </a:ln>
            <a:effectLst/>
          </c:spPr>
          <c:invertIfNegative val="0"/>
          <c:dPt>
            <c:idx val="0"/>
            <c:invertIfNegative val="0"/>
            <c:bubble3D val="0"/>
            <c:spPr>
              <a:solidFill>
                <a:srgbClr val="005CAF"/>
              </a:solidFill>
              <a:ln>
                <a:noFill/>
              </a:ln>
              <a:effectLst/>
            </c:spPr>
            <c:extLst xmlns:c16r2="http://schemas.microsoft.com/office/drawing/2015/06/chart">
              <c:ext xmlns:c16="http://schemas.microsoft.com/office/drawing/2014/chart" uri="{C3380CC4-5D6E-409C-BE32-E72D297353CC}">
                <c16:uniqueId val="{00000001-13A0-4849-B4C0-0B69F89BAE08}"/>
              </c:ext>
            </c:extLst>
          </c:dPt>
          <c:dLbls>
            <c:dLbl>
              <c:idx val="0"/>
              <c:layout/>
              <c:tx>
                <c:rich>
                  <a:bodyPr/>
                  <a:lstStyle/>
                  <a:p>
                    <a:fld id="{6CD3D061-5BB7-482E-BA56-2ADF0140AEA2}"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9D341857-4E16-4E50-9B8C-7AEA989B1F87}"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A5B"/>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6'!$K$79:$L$79</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2-13A0-4849-B4C0-0B69F89BAE08}"/>
            </c:ext>
          </c:extLst>
        </c:ser>
        <c:ser>
          <c:idx val="1"/>
          <c:order val="1"/>
          <c:tx>
            <c:strRef>
              <c:f>'Charts section 6'!$J$80</c:f>
              <c:strCache>
                <c:ptCount val="1"/>
                <c:pt idx="0">
                  <c:v>Management Practice Score (X+0.1)</c:v>
                </c:pt>
              </c:strCache>
            </c:strRef>
          </c:tx>
          <c:spPr>
            <a:solidFill>
              <a:srgbClr val="56B4DF"/>
            </a:solidFill>
            <a:ln>
              <a:noFill/>
            </a:ln>
            <a:effectLst/>
          </c:spPr>
          <c:invertIfNegative val="0"/>
          <c:dPt>
            <c:idx val="1"/>
            <c:invertIfNegative val="0"/>
            <c:bubble3D val="0"/>
            <c:spPr>
              <a:solidFill>
                <a:srgbClr val="56B4DF"/>
              </a:solidFill>
              <a:ln>
                <a:noFill/>
              </a:ln>
              <a:effectLst/>
            </c:spPr>
            <c:extLst xmlns:c16r2="http://schemas.microsoft.com/office/drawing/2015/06/chart">
              <c:ext xmlns:c16="http://schemas.microsoft.com/office/drawing/2014/chart" uri="{C3380CC4-5D6E-409C-BE32-E72D297353CC}">
                <c16:uniqueId val="{00000004-13A0-4849-B4C0-0B69F89BAE08}"/>
              </c:ext>
            </c:extLst>
          </c:dPt>
          <c:dLbls>
            <c:dLbl>
              <c:idx val="0"/>
              <c:layout/>
              <c:tx>
                <c:rich>
                  <a:bodyPr/>
                  <a:lstStyle/>
                  <a:p>
                    <a:fld id="{C12B0798-3095-4BC0-8553-06E5C998ED73}"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180878F2-0A68-4F46-9FDC-73516D88BECE}"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A5B"/>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6'!$K$80:$L$80</c:f>
              <c:numCache>
                <c:formatCode>0</c:formatCode>
                <c:ptCount val="2"/>
                <c:pt idx="0">
                  <c:v>107.6</c:v>
                </c:pt>
                <c:pt idx="1">
                  <c:v>103.7</c:v>
                </c:pt>
              </c:numCache>
            </c:numRef>
          </c:val>
          <c:extLst xmlns:c16r2="http://schemas.microsoft.com/office/drawing/2015/06/chart">
            <c:ext xmlns:c16="http://schemas.microsoft.com/office/drawing/2014/chart" uri="{C3380CC4-5D6E-409C-BE32-E72D297353CC}">
              <c16:uniqueId val="{00000005-13A0-4849-B4C0-0B69F89BAE08}"/>
            </c:ext>
          </c:extLst>
        </c:ser>
        <c:dLbls>
          <c:dLblPos val="outEnd"/>
          <c:showLegendKey val="0"/>
          <c:showVal val="1"/>
          <c:showCatName val="0"/>
          <c:showSerName val="0"/>
          <c:showPercent val="0"/>
          <c:showBubbleSize val="0"/>
        </c:dLbls>
        <c:gapWidth val="209"/>
        <c:overlap val="-100"/>
        <c:axId val="776470392"/>
        <c:axId val="776468824"/>
      </c:barChart>
      <c:catAx>
        <c:axId val="776470392"/>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6468824"/>
        <c:crosses val="autoZero"/>
        <c:auto val="1"/>
        <c:lblAlgn val="ctr"/>
        <c:lblOffset val="100"/>
        <c:noMultiLvlLbl val="0"/>
      </c:catAx>
      <c:valAx>
        <c:axId val="776468824"/>
        <c:scaling>
          <c:orientation val="minMax"/>
          <c:max val="115"/>
          <c:min val="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US">
                    <a:solidFill>
                      <a:srgbClr val="373737"/>
                    </a:solidFill>
                  </a:rPr>
                  <a:t>Labour productivity index</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6470392"/>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userShapes r:id="rId4"/>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7171296296296296"/>
          <c:w val="0.89019685039370078"/>
          <c:h val="0.64674431321084858"/>
        </c:manualLayout>
      </c:layout>
      <c:barChart>
        <c:barDir val="col"/>
        <c:grouping val="clustered"/>
        <c:varyColors val="0"/>
        <c:ser>
          <c:idx val="0"/>
          <c:order val="0"/>
          <c:tx>
            <c:strRef>
              <c:f>'Charts section 6'!$J$97</c:f>
              <c:strCache>
                <c:ptCount val="1"/>
                <c:pt idx="0">
                  <c:v>Management Practice Score (X)</c:v>
                </c:pt>
              </c:strCache>
            </c:strRef>
          </c:tx>
          <c:spPr>
            <a:solidFill>
              <a:srgbClr val="005CAF"/>
            </a:solidFill>
            <a:ln>
              <a:noFill/>
            </a:ln>
            <a:effectLst/>
          </c:spPr>
          <c:invertIfNegative val="0"/>
          <c:dPt>
            <c:idx val="0"/>
            <c:invertIfNegative val="0"/>
            <c:bubble3D val="0"/>
            <c:spPr>
              <a:solidFill>
                <a:srgbClr val="005CAF"/>
              </a:solidFill>
              <a:ln>
                <a:noFill/>
              </a:ln>
              <a:effectLst/>
            </c:spPr>
            <c:extLst xmlns:c16r2="http://schemas.microsoft.com/office/drawing/2015/06/chart">
              <c:ext xmlns:c16="http://schemas.microsoft.com/office/drawing/2014/chart" uri="{C3380CC4-5D6E-409C-BE32-E72D297353CC}">
                <c16:uniqueId val="{00000001-779D-4E0C-89C2-1F839093EAB2}"/>
              </c:ext>
            </c:extLst>
          </c:dPt>
          <c:dLbls>
            <c:dLbl>
              <c:idx val="0"/>
              <c:layout/>
              <c:tx>
                <c:rich>
                  <a:bodyPr/>
                  <a:lstStyle/>
                  <a:p>
                    <a:fld id="{1AC543CD-DD3F-457B-9464-57D7786F9E22}"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7EFAF234-F368-4E84-8891-ED91ED9C23D8}"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A5B"/>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6'!$K$97:$L$97</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2-779D-4E0C-89C2-1F839093EAB2}"/>
            </c:ext>
          </c:extLst>
        </c:ser>
        <c:ser>
          <c:idx val="1"/>
          <c:order val="1"/>
          <c:tx>
            <c:strRef>
              <c:f>'Charts section 6'!$J$98</c:f>
              <c:strCache>
                <c:ptCount val="1"/>
                <c:pt idx="0">
                  <c:v>Management Practice Score (X+0.1)</c:v>
                </c:pt>
              </c:strCache>
            </c:strRef>
          </c:tx>
          <c:spPr>
            <a:solidFill>
              <a:srgbClr val="56B4DF"/>
            </a:solidFill>
            <a:ln>
              <a:noFill/>
            </a:ln>
            <a:effectLst/>
          </c:spPr>
          <c:invertIfNegative val="0"/>
          <c:dPt>
            <c:idx val="1"/>
            <c:invertIfNegative val="0"/>
            <c:bubble3D val="0"/>
            <c:spPr>
              <a:solidFill>
                <a:srgbClr val="56B4DF"/>
              </a:solidFill>
              <a:ln>
                <a:noFill/>
              </a:ln>
              <a:effectLst/>
            </c:spPr>
            <c:extLst xmlns:c16r2="http://schemas.microsoft.com/office/drawing/2015/06/chart">
              <c:ext xmlns:c16="http://schemas.microsoft.com/office/drawing/2014/chart" uri="{C3380CC4-5D6E-409C-BE32-E72D297353CC}">
                <c16:uniqueId val="{00000004-779D-4E0C-89C2-1F839093EAB2}"/>
              </c:ext>
            </c:extLst>
          </c:dPt>
          <c:dLbls>
            <c:dLbl>
              <c:idx val="0"/>
              <c:layout/>
              <c:tx>
                <c:rich>
                  <a:bodyPr/>
                  <a:lstStyle/>
                  <a:p>
                    <a:fld id="{2DAF9465-C140-4991-BCE9-21652A1FF69E}"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9.3241536542375512E-17"/>
                  <c:y val="-2.0645407148140529E-17"/>
                </c:manualLayout>
              </c:layout>
              <c:tx>
                <c:rich>
                  <a:bodyPr/>
                  <a:lstStyle/>
                  <a:p>
                    <a:fld id="{BFE2E22E-6B59-4E4F-A799-D346C998BC3D}"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A5B"/>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6'!$K$98:$L$98</c:f>
              <c:numCache>
                <c:formatCode>0</c:formatCode>
                <c:ptCount val="2"/>
                <c:pt idx="0">
                  <c:v>106.6</c:v>
                </c:pt>
                <c:pt idx="1">
                  <c:v>101.8</c:v>
                </c:pt>
              </c:numCache>
            </c:numRef>
          </c:val>
          <c:extLst xmlns:c16r2="http://schemas.microsoft.com/office/drawing/2015/06/chart">
            <c:ext xmlns:c16="http://schemas.microsoft.com/office/drawing/2014/chart" uri="{C3380CC4-5D6E-409C-BE32-E72D297353CC}">
              <c16:uniqueId val="{00000005-779D-4E0C-89C2-1F839093EAB2}"/>
            </c:ext>
          </c:extLst>
        </c:ser>
        <c:dLbls>
          <c:dLblPos val="outEnd"/>
          <c:showLegendKey val="0"/>
          <c:showVal val="1"/>
          <c:showCatName val="0"/>
          <c:showSerName val="0"/>
          <c:showPercent val="0"/>
          <c:showBubbleSize val="0"/>
        </c:dLbls>
        <c:gapWidth val="209"/>
        <c:overlap val="-100"/>
        <c:axId val="776470784"/>
        <c:axId val="776467648"/>
      </c:barChart>
      <c:catAx>
        <c:axId val="776470784"/>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6467648"/>
        <c:crosses val="autoZero"/>
        <c:auto val="1"/>
        <c:lblAlgn val="ctr"/>
        <c:lblOffset val="100"/>
        <c:noMultiLvlLbl val="0"/>
      </c:catAx>
      <c:valAx>
        <c:axId val="776467648"/>
        <c:scaling>
          <c:orientation val="minMax"/>
          <c:max val="115"/>
          <c:min val="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solidFill>
                      <a:srgbClr val="373737"/>
                    </a:solidFill>
                  </a:rPr>
                  <a:t>Labour productivity index</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6470784"/>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48603054732E-2"/>
          <c:y val="0.17171282161158424"/>
          <c:w val="0.89019685039370078"/>
          <c:h val="0.64674431321084858"/>
        </c:manualLayout>
      </c:layout>
      <c:barChart>
        <c:barDir val="col"/>
        <c:grouping val="clustered"/>
        <c:varyColors val="0"/>
        <c:ser>
          <c:idx val="0"/>
          <c:order val="0"/>
          <c:tx>
            <c:strRef>
              <c:f>'Charts section 6'!$J$114</c:f>
              <c:strCache>
                <c:ptCount val="1"/>
                <c:pt idx="0">
                  <c:v>Management Practice Score (X)</c:v>
                </c:pt>
              </c:strCache>
            </c:strRef>
          </c:tx>
          <c:spPr>
            <a:solidFill>
              <a:srgbClr val="005CAF"/>
            </a:solidFill>
            <a:ln>
              <a:noFill/>
            </a:ln>
            <a:effectLst/>
          </c:spPr>
          <c:invertIfNegative val="0"/>
          <c:dPt>
            <c:idx val="0"/>
            <c:invertIfNegative val="0"/>
            <c:bubble3D val="0"/>
            <c:spPr>
              <a:solidFill>
                <a:srgbClr val="005CAF"/>
              </a:solidFill>
              <a:ln>
                <a:noFill/>
              </a:ln>
              <a:effectLst/>
            </c:spPr>
            <c:extLst xmlns:c16r2="http://schemas.microsoft.com/office/drawing/2015/06/chart">
              <c:ext xmlns:c16="http://schemas.microsoft.com/office/drawing/2014/chart" uri="{C3380CC4-5D6E-409C-BE32-E72D297353CC}">
                <c16:uniqueId val="{00000001-58E0-45B3-90E2-6669DEE3B2E2}"/>
              </c:ext>
            </c:extLst>
          </c:dPt>
          <c:dLbls>
            <c:dLbl>
              <c:idx val="0"/>
              <c:layout/>
              <c:tx>
                <c:rich>
                  <a:bodyPr/>
                  <a:lstStyle/>
                  <a:p>
                    <a:fld id="{51FA09C9-14A0-4C1F-B1AD-79300DA402B3}"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A5B"/>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6'!$K$114:$L$114</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2-58E0-45B3-90E2-6669DEE3B2E2}"/>
            </c:ext>
          </c:extLst>
        </c:ser>
        <c:ser>
          <c:idx val="1"/>
          <c:order val="1"/>
          <c:tx>
            <c:strRef>
              <c:f>'Charts section 6'!$J$115</c:f>
              <c:strCache>
                <c:ptCount val="1"/>
                <c:pt idx="0">
                  <c:v>Management Practice Score (X+0.1)</c:v>
                </c:pt>
              </c:strCache>
            </c:strRef>
          </c:tx>
          <c:spPr>
            <a:solidFill>
              <a:srgbClr val="56B4DF"/>
            </a:solidFill>
            <a:ln>
              <a:noFill/>
            </a:ln>
            <a:effectLst/>
          </c:spPr>
          <c:invertIfNegative val="0"/>
          <c:dPt>
            <c:idx val="1"/>
            <c:invertIfNegative val="0"/>
            <c:bubble3D val="0"/>
            <c:spPr>
              <a:solidFill>
                <a:srgbClr val="56B4DF"/>
              </a:solidFill>
              <a:ln>
                <a:noFill/>
              </a:ln>
              <a:effectLst/>
            </c:spPr>
            <c:extLst xmlns:c16r2="http://schemas.microsoft.com/office/drawing/2015/06/chart">
              <c:ext xmlns:c16="http://schemas.microsoft.com/office/drawing/2014/chart" uri="{C3380CC4-5D6E-409C-BE32-E72D297353CC}">
                <c16:uniqueId val="{00000004-58E0-45B3-90E2-6669DEE3B2E2}"/>
              </c:ext>
            </c:extLst>
          </c:dPt>
          <c:dLbls>
            <c:dLbl>
              <c:idx val="0"/>
              <c:layout/>
              <c:tx>
                <c:rich>
                  <a:bodyPr/>
                  <a:lstStyle/>
                  <a:p>
                    <a:fld id="{F79905C9-6624-439C-B6EA-935861D6A69C}"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8AD5E9CF-CDC0-4BA6-8C8E-5F6012D043BD}"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A5B"/>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6'!$K$115:$L$115</c:f>
              <c:numCache>
                <c:formatCode>0</c:formatCode>
                <c:ptCount val="2"/>
                <c:pt idx="0">
                  <c:v>109.2</c:v>
                </c:pt>
                <c:pt idx="1">
                  <c:v>104</c:v>
                </c:pt>
              </c:numCache>
            </c:numRef>
          </c:val>
          <c:extLst xmlns:c16r2="http://schemas.microsoft.com/office/drawing/2015/06/chart">
            <c:ext xmlns:c16="http://schemas.microsoft.com/office/drawing/2014/chart" uri="{C3380CC4-5D6E-409C-BE32-E72D297353CC}">
              <c16:uniqueId val="{00000005-58E0-45B3-90E2-6669DEE3B2E2}"/>
            </c:ext>
          </c:extLst>
        </c:ser>
        <c:dLbls>
          <c:dLblPos val="outEnd"/>
          <c:showLegendKey val="0"/>
          <c:showVal val="1"/>
          <c:showCatName val="0"/>
          <c:showSerName val="0"/>
          <c:showPercent val="0"/>
          <c:showBubbleSize val="0"/>
        </c:dLbls>
        <c:gapWidth val="209"/>
        <c:overlap val="-100"/>
        <c:axId val="776471176"/>
        <c:axId val="764435992"/>
      </c:barChart>
      <c:catAx>
        <c:axId val="776471176"/>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64435992"/>
        <c:crosses val="autoZero"/>
        <c:auto val="1"/>
        <c:lblAlgn val="ctr"/>
        <c:lblOffset val="100"/>
        <c:noMultiLvlLbl val="0"/>
      </c:catAx>
      <c:valAx>
        <c:axId val="764435992"/>
        <c:scaling>
          <c:orientation val="minMax"/>
          <c:max val="115"/>
          <c:min val="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US"/>
                  <a:t>Labour productivity index</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6471176"/>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[Consolidation scores of Data  and Charts  for EDAN scores  paper.xlsx]Fig 4.2!PivotTable1</c:name>
    <c:fmtId val="13"/>
  </c:pivotSource>
  <c:chart>
    <c:autoTitleDeleted val="0"/>
    <c:pivotFmts>
      <c:pivotFmt>
        <c:idx val="0"/>
        <c:spPr>
          <a:solidFill>
            <a:schemeClr val="accent1"/>
          </a:solidFill>
          <a:ln>
            <a:noFill/>
          </a:ln>
          <a:effectLst/>
        </c:spPr>
        <c:marker>
          <c:symbol val="none"/>
        </c:marker>
      </c:pivotFmt>
      <c:pivotFmt>
        <c:idx val="1"/>
        <c:spPr>
          <a:solidFill>
            <a:srgbClr val="005CAF"/>
          </a:solidFill>
          <a:ln>
            <a:noFill/>
          </a:ln>
          <a:effectLst/>
        </c:spPr>
        <c:marker>
          <c:symbol val="none"/>
        </c:marker>
      </c:pivotFmt>
      <c:pivotFmt>
        <c:idx val="2"/>
        <c:spPr>
          <a:solidFill>
            <a:srgbClr val="BCBFC1"/>
          </a:solidFill>
          <a:ln>
            <a:noFill/>
          </a:ln>
          <a:effectLst/>
        </c:spPr>
        <c:marker>
          <c:symbol val="none"/>
        </c:marker>
      </c:pivotFmt>
      <c:pivotFmt>
        <c:idx val="3"/>
        <c:spPr>
          <a:solidFill>
            <a:srgbClr val="9ED9DF"/>
          </a:solidFill>
          <a:ln>
            <a:noFill/>
          </a:ln>
          <a:effectLst/>
        </c:spPr>
        <c:marker>
          <c:symbol val="none"/>
        </c:marker>
      </c:pivotFmt>
      <c:pivotFmt>
        <c:idx val="4"/>
        <c:spPr>
          <a:solidFill>
            <a:srgbClr val="56B4DF"/>
          </a:solidFill>
          <a:ln>
            <a:noFill/>
          </a:ln>
          <a:effectLst/>
        </c:spPr>
        <c:marker>
          <c:symbol val="none"/>
        </c:marker>
      </c:pivotFmt>
      <c:pivotFmt>
        <c:idx val="5"/>
        <c:spPr>
          <a:solidFill>
            <a:srgbClr val="005CAF"/>
          </a:solidFill>
          <a:ln>
            <a:noFill/>
          </a:ln>
          <a:effectLst/>
        </c:spPr>
        <c:marker>
          <c:symbol val="none"/>
        </c:marker>
      </c:pivotFmt>
      <c:pivotFmt>
        <c:idx val="6"/>
        <c:spPr>
          <a:solidFill>
            <a:srgbClr val="56B4DF"/>
          </a:solidFill>
          <a:ln>
            <a:noFill/>
          </a:ln>
          <a:effectLst/>
        </c:spPr>
        <c:marker>
          <c:symbol val="none"/>
        </c:marker>
      </c:pivotFmt>
      <c:pivotFmt>
        <c:idx val="7"/>
        <c:spPr>
          <a:solidFill>
            <a:srgbClr val="9ED9DF"/>
          </a:solidFill>
          <a:ln>
            <a:noFill/>
          </a:ln>
          <a:effectLst/>
        </c:spPr>
        <c:marker>
          <c:symbol val="none"/>
        </c:marker>
      </c:pivotFmt>
      <c:pivotFmt>
        <c:idx val="8"/>
        <c:spPr>
          <a:solidFill>
            <a:srgbClr val="BCBFC1"/>
          </a:solidFill>
          <a:ln>
            <a:noFill/>
          </a:ln>
          <a:effectLst/>
        </c:spPr>
        <c:marker>
          <c:symbol val="none"/>
        </c:marker>
      </c:pivotFmt>
      <c:pivotFmt>
        <c:idx val="9"/>
        <c:spPr>
          <a:solidFill>
            <a:srgbClr val="005CAF"/>
          </a:solidFill>
          <a:ln>
            <a:noFill/>
          </a:ln>
          <a:effectLst/>
        </c:spPr>
        <c:marker>
          <c:symbol val="none"/>
        </c:marker>
      </c:pivotFmt>
      <c:pivotFmt>
        <c:idx val="10"/>
        <c:spPr>
          <a:solidFill>
            <a:srgbClr val="56B4DF"/>
          </a:solidFill>
          <a:ln>
            <a:noFill/>
          </a:ln>
          <a:effectLst/>
        </c:spPr>
        <c:marker>
          <c:symbol val="none"/>
        </c:marker>
      </c:pivotFmt>
      <c:pivotFmt>
        <c:idx val="11"/>
        <c:spPr>
          <a:solidFill>
            <a:srgbClr val="9ED9DF"/>
          </a:solidFill>
          <a:ln>
            <a:noFill/>
          </a:ln>
          <a:effectLst/>
        </c:spPr>
        <c:marker>
          <c:symbol val="none"/>
        </c:marker>
      </c:pivotFmt>
      <c:pivotFmt>
        <c:idx val="12"/>
        <c:spPr>
          <a:solidFill>
            <a:srgbClr val="BCBFC1"/>
          </a:solidFill>
          <a:ln>
            <a:noFill/>
          </a:ln>
          <a:effectLst/>
        </c:spPr>
        <c:marker>
          <c:symbol val="none"/>
        </c:marker>
      </c:pivotFmt>
    </c:pivotFmts>
    <c:plotArea>
      <c:layout>
        <c:manualLayout>
          <c:layoutTarget val="inner"/>
          <c:xMode val="edge"/>
          <c:yMode val="edge"/>
          <c:x val="0.13816624223087356"/>
          <c:y val="0.10534976692919427"/>
          <c:w val="0.81474577759564437"/>
          <c:h val="0.71052014892060555"/>
        </c:manualLayout>
      </c:layout>
      <c:barChart>
        <c:barDir val="col"/>
        <c:grouping val="clustered"/>
        <c:varyColors val="0"/>
        <c:ser>
          <c:idx val="0"/>
          <c:order val="0"/>
          <c:tx>
            <c:strRef>
              <c:f>'Fig 4.2'!$B$1:$B$2</c:f>
              <c:strCache>
                <c:ptCount val="1"/>
                <c:pt idx="0">
                  <c:v>0 to 4 employees</c:v>
                </c:pt>
              </c:strCache>
            </c:strRef>
          </c:tx>
          <c:spPr>
            <a:solidFill>
              <a:srgbClr val="005CAF"/>
            </a:solidFill>
            <a:ln>
              <a:noFill/>
            </a:ln>
            <a:effectLst/>
          </c:spPr>
          <c:invertIfNegative val="0"/>
          <c:cat>
            <c:strRef>
              <c:f>'Fig 4.2'!$A$3:$A$8</c:f>
              <c:strCache>
                <c:ptCount val="5"/>
                <c:pt idx="0">
                  <c:v>DMC</c:v>
                </c:pt>
                <c:pt idx="1">
                  <c:v>EMC</c:v>
                </c:pt>
                <c:pt idx="2">
                  <c:v>OMC</c:v>
                </c:pt>
                <c:pt idx="3">
                  <c:v>OMCv2</c:v>
                </c:pt>
                <c:pt idx="4">
                  <c:v>SCMC</c:v>
                </c:pt>
              </c:strCache>
            </c:strRef>
          </c:cat>
          <c:val>
            <c:numRef>
              <c:f>'Fig 4.2'!$B$3:$B$8</c:f>
              <c:numCache>
                <c:formatCode>General</c:formatCode>
                <c:ptCount val="5"/>
                <c:pt idx="0">
                  <c:v>5.2299999999999999E-2</c:v>
                </c:pt>
                <c:pt idx="1">
                  <c:v>6.1400000000000003E-2</c:v>
                </c:pt>
                <c:pt idx="2">
                  <c:v>0.182</c:v>
                </c:pt>
                <c:pt idx="3">
                  <c:v>0.16900000000000001</c:v>
                </c:pt>
                <c:pt idx="4">
                  <c:v>9.3700000000000006E-2</c:v>
                </c:pt>
              </c:numCache>
            </c:numRef>
          </c:val>
        </c:ser>
        <c:ser>
          <c:idx val="1"/>
          <c:order val="1"/>
          <c:tx>
            <c:strRef>
              <c:f>'Fig 4.2'!$C$1:$C$2</c:f>
              <c:strCache>
                <c:ptCount val="1"/>
                <c:pt idx="0">
                  <c:v>5 to 19 employees</c:v>
                </c:pt>
              </c:strCache>
            </c:strRef>
          </c:tx>
          <c:spPr>
            <a:solidFill>
              <a:srgbClr val="56B4DF"/>
            </a:solidFill>
            <a:ln>
              <a:noFill/>
            </a:ln>
            <a:effectLst/>
          </c:spPr>
          <c:invertIfNegative val="0"/>
          <c:cat>
            <c:strRef>
              <c:f>'Fig 4.2'!$A$3:$A$8</c:f>
              <c:strCache>
                <c:ptCount val="5"/>
                <c:pt idx="0">
                  <c:v>DMC</c:v>
                </c:pt>
                <c:pt idx="1">
                  <c:v>EMC</c:v>
                </c:pt>
                <c:pt idx="2">
                  <c:v>OMC</c:v>
                </c:pt>
                <c:pt idx="3">
                  <c:v>OMCv2</c:v>
                </c:pt>
                <c:pt idx="4">
                  <c:v>SCMC</c:v>
                </c:pt>
              </c:strCache>
            </c:strRef>
          </c:cat>
          <c:val>
            <c:numRef>
              <c:f>'Fig 4.2'!$C$3:$C$8</c:f>
              <c:numCache>
                <c:formatCode>General</c:formatCode>
                <c:ptCount val="5"/>
                <c:pt idx="0">
                  <c:v>9.2799999999999994E-2</c:v>
                </c:pt>
                <c:pt idx="1">
                  <c:v>0.10299999999999999</c:v>
                </c:pt>
                <c:pt idx="2">
                  <c:v>0.247</c:v>
                </c:pt>
                <c:pt idx="3">
                  <c:v>0.249</c:v>
                </c:pt>
                <c:pt idx="4">
                  <c:v>0.14399999999999999</c:v>
                </c:pt>
              </c:numCache>
            </c:numRef>
          </c:val>
        </c:ser>
        <c:ser>
          <c:idx val="2"/>
          <c:order val="2"/>
          <c:tx>
            <c:strRef>
              <c:f>'Fig 4.2'!$D$1:$D$2</c:f>
              <c:strCache>
                <c:ptCount val="1"/>
                <c:pt idx="0">
                  <c:v>20 to 99 employees</c:v>
                </c:pt>
              </c:strCache>
            </c:strRef>
          </c:tx>
          <c:spPr>
            <a:solidFill>
              <a:srgbClr val="9ED9DF"/>
            </a:solidFill>
            <a:ln>
              <a:noFill/>
            </a:ln>
            <a:effectLst/>
          </c:spPr>
          <c:invertIfNegative val="0"/>
          <c:cat>
            <c:strRef>
              <c:f>'Fig 4.2'!$A$3:$A$8</c:f>
              <c:strCache>
                <c:ptCount val="5"/>
                <c:pt idx="0">
                  <c:v>DMC</c:v>
                </c:pt>
                <c:pt idx="1">
                  <c:v>EMC</c:v>
                </c:pt>
                <c:pt idx="2">
                  <c:v>OMC</c:v>
                </c:pt>
                <c:pt idx="3">
                  <c:v>OMCv2</c:v>
                </c:pt>
                <c:pt idx="4">
                  <c:v>SCMC</c:v>
                </c:pt>
              </c:strCache>
            </c:strRef>
          </c:cat>
          <c:val>
            <c:numRef>
              <c:f>'Fig 4.2'!$D$3:$D$8</c:f>
              <c:numCache>
                <c:formatCode>General</c:formatCode>
                <c:ptCount val="5"/>
                <c:pt idx="0">
                  <c:v>0.14699999999999999</c:v>
                </c:pt>
                <c:pt idx="1">
                  <c:v>0.14899999999999999</c:v>
                </c:pt>
                <c:pt idx="2">
                  <c:v>0.32</c:v>
                </c:pt>
                <c:pt idx="3">
                  <c:v>0.32700000000000001</c:v>
                </c:pt>
                <c:pt idx="4">
                  <c:v>0.2</c:v>
                </c:pt>
              </c:numCache>
            </c:numRef>
          </c:val>
        </c:ser>
        <c:ser>
          <c:idx val="3"/>
          <c:order val="3"/>
          <c:tx>
            <c:strRef>
              <c:f>'Fig 4.2'!$E$1:$E$2</c:f>
              <c:strCache>
                <c:ptCount val="1"/>
                <c:pt idx="0">
                  <c:v>100 or more employees</c:v>
                </c:pt>
              </c:strCache>
            </c:strRef>
          </c:tx>
          <c:spPr>
            <a:solidFill>
              <a:srgbClr val="BCBFC1"/>
            </a:solidFill>
            <a:ln>
              <a:noFill/>
            </a:ln>
            <a:effectLst/>
          </c:spPr>
          <c:invertIfNegative val="0"/>
          <c:cat>
            <c:strRef>
              <c:f>'Fig 4.2'!$A$3:$A$8</c:f>
              <c:strCache>
                <c:ptCount val="5"/>
                <c:pt idx="0">
                  <c:v>DMC</c:v>
                </c:pt>
                <c:pt idx="1">
                  <c:v>EMC</c:v>
                </c:pt>
                <c:pt idx="2">
                  <c:v>OMC</c:v>
                </c:pt>
                <c:pt idx="3">
                  <c:v>OMCv2</c:v>
                </c:pt>
                <c:pt idx="4">
                  <c:v>SCMC</c:v>
                </c:pt>
              </c:strCache>
            </c:strRef>
          </c:cat>
          <c:val>
            <c:numRef>
              <c:f>'Fig 4.2'!$E$3:$E$8</c:f>
              <c:numCache>
                <c:formatCode>General</c:formatCode>
                <c:ptCount val="5"/>
                <c:pt idx="0">
                  <c:v>0.221</c:v>
                </c:pt>
                <c:pt idx="1">
                  <c:v>0.26600000000000001</c:v>
                </c:pt>
                <c:pt idx="2">
                  <c:v>0.41399999999999998</c:v>
                </c:pt>
                <c:pt idx="3">
                  <c:v>0.436</c:v>
                </c:pt>
                <c:pt idx="4">
                  <c:v>0.28599999999999998</c:v>
                </c:pt>
              </c:numCache>
            </c:numRef>
          </c:val>
        </c:ser>
        <c:dLbls>
          <c:showLegendKey val="0"/>
          <c:showVal val="0"/>
          <c:showCatName val="0"/>
          <c:showSerName val="0"/>
          <c:showPercent val="0"/>
          <c:showBubbleSize val="0"/>
        </c:dLbls>
        <c:gapWidth val="219"/>
        <c:overlap val="-27"/>
        <c:axId val="655092896"/>
        <c:axId val="655093288"/>
      </c:barChart>
      <c:catAx>
        <c:axId val="655092896"/>
        <c:scaling>
          <c:orientation val="minMax"/>
        </c:scaling>
        <c:delete val="0"/>
        <c:axPos val="b"/>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55093288"/>
        <c:crosses val="autoZero"/>
        <c:auto val="1"/>
        <c:lblAlgn val="ctr"/>
        <c:lblOffset val="100"/>
        <c:noMultiLvlLbl val="0"/>
      </c:catAx>
      <c:valAx>
        <c:axId val="655093288"/>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sz="900">
                    <a:solidFill>
                      <a:srgbClr val="373737"/>
                    </a:solidFill>
                  </a:rPr>
                  <a:t>Average  </a:t>
                </a:r>
                <a:r>
                  <a:rPr lang="en-AU" sz="900" b="0" baseline="0">
                    <a:solidFill>
                      <a:srgbClr val="373737"/>
                    </a:solidFill>
                  </a:rPr>
                  <a:t>scor</a:t>
                </a:r>
                <a:r>
                  <a:rPr lang="en-AU" sz="900" baseline="0">
                    <a:solidFill>
                      <a:srgbClr val="373737"/>
                    </a:solidFill>
                  </a:rPr>
                  <a:t>e</a:t>
                </a:r>
                <a:r>
                  <a:rPr lang="en-AU" sz="900">
                    <a:solidFill>
                      <a:srgbClr val="373737"/>
                    </a:solidFill>
                  </a:rPr>
                  <a:t> </a:t>
                </a:r>
              </a:p>
            </c:rich>
          </c:tx>
          <c:layout>
            <c:manualLayout>
              <c:xMode val="edge"/>
              <c:yMode val="edge"/>
              <c:x val="3.631960503078379E-2"/>
              <c:y val="0.3231119346458158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 sourceLinked="0"/>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55092896"/>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Entry>
      <c:layout>
        <c:manualLayout>
          <c:xMode val="edge"/>
          <c:yMode val="edge"/>
          <c:x val="3.140766326142317E-2"/>
          <c:y val="0.87859994722142587"/>
          <c:w val="0.93452855245683952"/>
          <c:h val="0.1187908875731619"/>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Lst>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65795722799E-2"/>
          <c:y val="0.17171288371562252"/>
          <c:w val="0.89019685039370078"/>
          <c:h val="0.64674431321084858"/>
        </c:manualLayout>
      </c:layout>
      <c:barChart>
        <c:barDir val="col"/>
        <c:grouping val="clustered"/>
        <c:varyColors val="0"/>
        <c:ser>
          <c:idx val="0"/>
          <c:order val="0"/>
          <c:tx>
            <c:strRef>
              <c:f>'Charts section 6'!$J$15</c:f>
              <c:strCache>
                <c:ptCount val="1"/>
                <c:pt idx="0">
                  <c:v>Management Practice Score (X)</c:v>
                </c:pt>
              </c:strCache>
            </c:strRef>
          </c:tx>
          <c:spPr>
            <a:solidFill>
              <a:srgbClr val="005CAF"/>
            </a:solidFill>
            <a:ln>
              <a:noFill/>
            </a:ln>
            <a:effectLst/>
          </c:spPr>
          <c:invertIfNegative val="0"/>
          <c:dPt>
            <c:idx val="0"/>
            <c:invertIfNegative val="0"/>
            <c:bubble3D val="0"/>
            <c:spPr>
              <a:solidFill>
                <a:srgbClr val="005CAF"/>
              </a:solidFill>
              <a:ln>
                <a:noFill/>
              </a:ln>
              <a:effectLst/>
            </c:spPr>
            <c:extLst xmlns:c16r2="http://schemas.microsoft.com/office/drawing/2015/06/chart">
              <c:ext xmlns:c16="http://schemas.microsoft.com/office/drawing/2014/chart" uri="{C3380CC4-5D6E-409C-BE32-E72D297353CC}">
                <c16:uniqueId val="{00000005-B9EA-4A6C-BB56-79B2551754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6'!$K$15:$L$15</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B9EA-4A6C-BB56-79B255175495}"/>
            </c:ext>
          </c:extLst>
        </c:ser>
        <c:ser>
          <c:idx val="1"/>
          <c:order val="1"/>
          <c:tx>
            <c:strRef>
              <c:f>'Charts section 6'!$J$16</c:f>
              <c:strCache>
                <c:ptCount val="1"/>
                <c:pt idx="0">
                  <c:v>Management Practice Score (X+0.1)</c:v>
                </c:pt>
              </c:strCache>
            </c:strRef>
          </c:tx>
          <c:spPr>
            <a:solidFill>
              <a:srgbClr val="56B4DF"/>
            </a:solidFill>
            <a:ln>
              <a:noFill/>
            </a:ln>
            <a:effectLst/>
          </c:spPr>
          <c:invertIfNegative val="0"/>
          <c:dPt>
            <c:idx val="1"/>
            <c:invertIfNegative val="0"/>
            <c:bubble3D val="0"/>
            <c:spPr>
              <a:solidFill>
                <a:srgbClr val="56B4DF"/>
              </a:solidFill>
              <a:ln>
                <a:noFill/>
              </a:ln>
              <a:effectLst/>
            </c:spPr>
            <c:extLst xmlns:c16r2="http://schemas.microsoft.com/office/drawing/2015/06/chart">
              <c:ext xmlns:c16="http://schemas.microsoft.com/office/drawing/2014/chart" uri="{C3380CC4-5D6E-409C-BE32-E72D297353CC}">
                <c16:uniqueId val="{00000004-B9EA-4A6C-BB56-79B255175495}"/>
              </c:ext>
            </c:extLst>
          </c:dPt>
          <c:dLbls>
            <c:dLbl>
              <c:idx val="0"/>
              <c:layout/>
              <c:tx>
                <c:rich>
                  <a:bodyPr/>
                  <a:lstStyle/>
                  <a:p>
                    <a:fld id="{F2DE44FA-5E37-48E0-A15E-764D17D4FBD4}" type="VALUE">
                      <a:rPr lang="en-US">
                        <a:solidFill>
                          <a:srgbClr val="373737"/>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 section 6'!$K$14:$L$14</c:f>
              <c:numCache>
                <c:formatCode>General</c:formatCode>
                <c:ptCount val="2"/>
              </c:numCache>
            </c:numRef>
          </c:cat>
          <c:val>
            <c:numRef>
              <c:f>'Charts section 6'!$K$16:$L$16</c:f>
              <c:numCache>
                <c:formatCode>0</c:formatCode>
                <c:ptCount val="2"/>
                <c:pt idx="0">
                  <c:v>112.83</c:v>
                </c:pt>
                <c:pt idx="1">
                  <c:v>100.5</c:v>
                </c:pt>
              </c:numCache>
            </c:numRef>
          </c:val>
          <c:extLst xmlns:c16r2="http://schemas.microsoft.com/office/drawing/2015/06/chart">
            <c:ext xmlns:c16="http://schemas.microsoft.com/office/drawing/2014/chart" uri="{C3380CC4-5D6E-409C-BE32-E72D297353CC}">
              <c16:uniqueId val="{00000001-B9EA-4A6C-BB56-79B255175495}"/>
            </c:ext>
          </c:extLst>
        </c:ser>
        <c:dLbls>
          <c:dLblPos val="outEnd"/>
          <c:showLegendKey val="0"/>
          <c:showVal val="1"/>
          <c:showCatName val="0"/>
          <c:showSerName val="0"/>
          <c:showPercent val="0"/>
          <c:showBubbleSize val="0"/>
        </c:dLbls>
        <c:gapWidth val="209"/>
        <c:overlap val="-100"/>
        <c:axId val="764425408"/>
        <c:axId val="764426192"/>
      </c:barChart>
      <c:catAx>
        <c:axId val="764425408"/>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64426192"/>
        <c:crosses val="autoZero"/>
        <c:auto val="1"/>
        <c:lblAlgn val="ctr"/>
        <c:lblOffset val="100"/>
        <c:noMultiLvlLbl val="0"/>
      </c:catAx>
      <c:valAx>
        <c:axId val="764426192"/>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baseline="0">
                    <a:solidFill>
                      <a:srgbClr val="373737"/>
                    </a:solidFill>
                  </a:rPr>
                  <a:t>Exports performance index</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64425408"/>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 4.3'!$D$22</c:f>
              <c:strCache>
                <c:ptCount val="1"/>
                <c:pt idx="0">
                  <c:v>Mean</c:v>
                </c:pt>
              </c:strCache>
            </c:strRef>
          </c:tx>
          <c:spPr>
            <a:solidFill>
              <a:srgbClr val="005CAF"/>
            </a:solidFill>
            <a:ln>
              <a:noFill/>
            </a:ln>
            <a:effectLst/>
          </c:spPr>
          <c:invertIfNegative val="0"/>
          <c:cat>
            <c:strRef>
              <c:f>'Fig 4.3'!$C$23:$C$39</c:f>
              <c:strCache>
                <c:ptCount val="17"/>
                <c:pt idx="0">
                  <c:v>Agriculture, Forestry and Fishing</c:v>
                </c:pt>
                <c:pt idx="1">
                  <c:v>Arts and Recreation Services</c:v>
                </c:pt>
                <c:pt idx="2">
                  <c:v>Professional, Scientific and Technical Services</c:v>
                </c:pt>
                <c:pt idx="3">
                  <c:v>Other Services</c:v>
                </c:pt>
                <c:pt idx="4">
                  <c:v>Information Media and Telecommunications</c:v>
                </c:pt>
                <c:pt idx="5">
                  <c:v>Transport, Postal and Warehousing</c:v>
                </c:pt>
                <c:pt idx="6">
                  <c:v>Manufacturing</c:v>
                </c:pt>
                <c:pt idx="7">
                  <c:v>Construction</c:v>
                </c:pt>
                <c:pt idx="8">
                  <c:v>Wholesale Trade</c:v>
                </c:pt>
                <c:pt idx="9">
                  <c:v>Retail Trade</c:v>
                </c:pt>
                <c:pt idx="10">
                  <c:v>Rental, Hiring and Real Estate Services</c:v>
                </c:pt>
                <c:pt idx="11">
                  <c:v>Financial and Insurance Services</c:v>
                </c:pt>
                <c:pt idx="12">
                  <c:v>Mining</c:v>
                </c:pt>
                <c:pt idx="13">
                  <c:v>Administrative and Support Services</c:v>
                </c:pt>
                <c:pt idx="14">
                  <c:v>Electricity, Gas, Water and Waste Services</c:v>
                </c:pt>
                <c:pt idx="15">
                  <c:v>Accommodation and Food Services</c:v>
                </c:pt>
                <c:pt idx="16">
                  <c:v>Health Care and Social Assistance</c:v>
                </c:pt>
              </c:strCache>
            </c:strRef>
          </c:cat>
          <c:val>
            <c:numRef>
              <c:f>'Fig 4.3'!$D$23:$D$39</c:f>
              <c:numCache>
                <c:formatCode>General</c:formatCode>
                <c:ptCount val="17"/>
                <c:pt idx="0">
                  <c:v>0.215</c:v>
                </c:pt>
                <c:pt idx="1">
                  <c:v>0.23400000000000001</c:v>
                </c:pt>
                <c:pt idx="2">
                  <c:v>0.24399999999999999</c:v>
                </c:pt>
                <c:pt idx="3">
                  <c:v>0.24399999999999999</c:v>
                </c:pt>
                <c:pt idx="4">
                  <c:v>0.249</c:v>
                </c:pt>
                <c:pt idx="5">
                  <c:v>0.26900000000000002</c:v>
                </c:pt>
                <c:pt idx="6">
                  <c:v>0.27300000000000002</c:v>
                </c:pt>
                <c:pt idx="7">
                  <c:v>0.27300000000000002</c:v>
                </c:pt>
                <c:pt idx="8">
                  <c:v>0.28299999999999997</c:v>
                </c:pt>
                <c:pt idx="9">
                  <c:v>0.28599999999999998</c:v>
                </c:pt>
                <c:pt idx="10">
                  <c:v>0.28899999999999998</c:v>
                </c:pt>
                <c:pt idx="11">
                  <c:v>0.30099999999999999</c:v>
                </c:pt>
                <c:pt idx="12">
                  <c:v>0.30499999999999999</c:v>
                </c:pt>
                <c:pt idx="13">
                  <c:v>0.30499999999999999</c:v>
                </c:pt>
                <c:pt idx="14">
                  <c:v>0.31</c:v>
                </c:pt>
                <c:pt idx="15">
                  <c:v>0.32100000000000001</c:v>
                </c:pt>
                <c:pt idx="16">
                  <c:v>0.34699999999999998</c:v>
                </c:pt>
              </c:numCache>
            </c:numRef>
          </c:val>
        </c:ser>
        <c:dLbls>
          <c:showLegendKey val="0"/>
          <c:showVal val="0"/>
          <c:showCatName val="0"/>
          <c:showSerName val="0"/>
          <c:showPercent val="0"/>
          <c:showBubbleSize val="0"/>
        </c:dLbls>
        <c:gapWidth val="182"/>
        <c:axId val="655092504"/>
        <c:axId val="655090152"/>
      </c:barChart>
      <c:catAx>
        <c:axId val="655092504"/>
        <c:scaling>
          <c:orientation val="minMax"/>
        </c:scaling>
        <c:delete val="0"/>
        <c:axPos val="l"/>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55090152"/>
        <c:crosses val="autoZero"/>
        <c:auto val="1"/>
        <c:lblAlgn val="ctr"/>
        <c:lblOffset val="100"/>
        <c:noMultiLvlLbl val="0"/>
      </c:catAx>
      <c:valAx>
        <c:axId val="655090152"/>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a:solidFill>
                      <a:srgbClr val="373737"/>
                    </a:solidFill>
                  </a:rPr>
                  <a:t>Average OMC score value</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55092504"/>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 4.4'!$E$21</c:f>
              <c:strCache>
                <c:ptCount val="1"/>
                <c:pt idx="0">
                  <c:v>mean</c:v>
                </c:pt>
              </c:strCache>
            </c:strRef>
          </c:tx>
          <c:spPr>
            <a:solidFill>
              <a:srgbClr val="005CAF"/>
            </a:solidFill>
            <a:ln>
              <a:noFill/>
            </a:ln>
            <a:effectLst/>
          </c:spPr>
          <c:invertIfNegative val="0"/>
          <c:cat>
            <c:strRef>
              <c:f>'Fig 4.4'!$D$22:$D$38</c:f>
              <c:strCache>
                <c:ptCount val="17"/>
                <c:pt idx="0">
                  <c:v>Agriculture, Forestry and Fishing</c:v>
                </c:pt>
                <c:pt idx="1">
                  <c:v>Other Services</c:v>
                </c:pt>
                <c:pt idx="2">
                  <c:v>Arts and Recreation Services</c:v>
                </c:pt>
                <c:pt idx="3">
                  <c:v>Construction</c:v>
                </c:pt>
                <c:pt idx="4">
                  <c:v>Professional, Scientific and Technical Services</c:v>
                </c:pt>
                <c:pt idx="5">
                  <c:v>Information Media and Telecommunications</c:v>
                </c:pt>
                <c:pt idx="6">
                  <c:v>Manufacturing</c:v>
                </c:pt>
                <c:pt idx="7">
                  <c:v>Transport, Postal and Warehousing</c:v>
                </c:pt>
                <c:pt idx="8">
                  <c:v>Rental, Hiring and Real Estate Services</c:v>
                </c:pt>
                <c:pt idx="9">
                  <c:v>Mining</c:v>
                </c:pt>
                <c:pt idx="10">
                  <c:v>Electricity, Gas, Water and Waste Services</c:v>
                </c:pt>
                <c:pt idx="11">
                  <c:v>Retail Trade</c:v>
                </c:pt>
                <c:pt idx="12">
                  <c:v>Wholesale Trade</c:v>
                </c:pt>
                <c:pt idx="13">
                  <c:v>Financial and Insurance Services</c:v>
                </c:pt>
                <c:pt idx="14">
                  <c:v>Administrative and Support Services</c:v>
                </c:pt>
                <c:pt idx="15">
                  <c:v>Accommodation and Food Services</c:v>
                </c:pt>
                <c:pt idx="16">
                  <c:v>Health Care and Social Assistance</c:v>
                </c:pt>
              </c:strCache>
            </c:strRef>
          </c:cat>
          <c:val>
            <c:numRef>
              <c:f>'Fig 4.4'!$E$22:$E$38</c:f>
              <c:numCache>
                <c:formatCode>General</c:formatCode>
                <c:ptCount val="17"/>
                <c:pt idx="0">
                  <c:v>0.29299999999999998</c:v>
                </c:pt>
                <c:pt idx="1">
                  <c:v>0.33300000000000002</c:v>
                </c:pt>
                <c:pt idx="2">
                  <c:v>0.34</c:v>
                </c:pt>
                <c:pt idx="3">
                  <c:v>0.34499999999999997</c:v>
                </c:pt>
                <c:pt idx="4">
                  <c:v>0.34799999999999998</c:v>
                </c:pt>
                <c:pt idx="5">
                  <c:v>0.372</c:v>
                </c:pt>
                <c:pt idx="6">
                  <c:v>0.373</c:v>
                </c:pt>
                <c:pt idx="7">
                  <c:v>0.379</c:v>
                </c:pt>
                <c:pt idx="8">
                  <c:v>0.38200000000000001</c:v>
                </c:pt>
                <c:pt idx="9">
                  <c:v>0.40600000000000003</c:v>
                </c:pt>
                <c:pt idx="10">
                  <c:v>0.40899999999999997</c:v>
                </c:pt>
                <c:pt idx="11">
                  <c:v>0.42299999999999999</c:v>
                </c:pt>
                <c:pt idx="12">
                  <c:v>0.42399999999999999</c:v>
                </c:pt>
                <c:pt idx="13">
                  <c:v>0.433</c:v>
                </c:pt>
                <c:pt idx="14">
                  <c:v>0.45200000000000001</c:v>
                </c:pt>
                <c:pt idx="15">
                  <c:v>0.46600000000000003</c:v>
                </c:pt>
                <c:pt idx="16">
                  <c:v>0.48599999999999999</c:v>
                </c:pt>
              </c:numCache>
            </c:numRef>
          </c:val>
        </c:ser>
        <c:dLbls>
          <c:showLegendKey val="0"/>
          <c:showVal val="0"/>
          <c:showCatName val="0"/>
          <c:showSerName val="0"/>
          <c:showPercent val="0"/>
          <c:showBubbleSize val="0"/>
        </c:dLbls>
        <c:gapWidth val="182"/>
        <c:axId val="639662176"/>
        <c:axId val="639662568"/>
      </c:barChart>
      <c:catAx>
        <c:axId val="639662176"/>
        <c:scaling>
          <c:orientation val="minMax"/>
        </c:scaling>
        <c:delete val="0"/>
        <c:axPos val="l"/>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39662568"/>
        <c:crosses val="autoZero"/>
        <c:auto val="1"/>
        <c:lblAlgn val="ctr"/>
        <c:lblOffset val="100"/>
        <c:noMultiLvlLbl val="0"/>
      </c:catAx>
      <c:valAx>
        <c:axId val="639662568"/>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a:solidFill>
                      <a:srgbClr val="373737"/>
                    </a:solidFill>
                  </a:rPr>
                  <a:t>Average</a:t>
                </a:r>
                <a:r>
                  <a:rPr lang="en-US" baseline="0">
                    <a:solidFill>
                      <a:srgbClr val="373737"/>
                    </a:solidFill>
                  </a:rPr>
                  <a:t> </a:t>
                </a:r>
                <a:r>
                  <a:rPr lang="en-US">
                    <a:solidFill>
                      <a:srgbClr val="373737"/>
                    </a:solidFill>
                  </a:rPr>
                  <a:t>SMC score value</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39662176"/>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873032526914241"/>
          <c:y val="3.9059026940942862E-2"/>
          <c:w val="0.52973660244017051"/>
          <c:h val="0.8142031706871089"/>
        </c:manualLayout>
      </c:layout>
      <c:barChart>
        <c:barDir val="bar"/>
        <c:grouping val="clustered"/>
        <c:varyColors val="0"/>
        <c:ser>
          <c:idx val="0"/>
          <c:order val="0"/>
          <c:spPr>
            <a:solidFill>
              <a:srgbClr val="005CAF"/>
            </a:solidFill>
            <a:ln>
              <a:noFill/>
            </a:ln>
            <a:effectLst/>
          </c:spPr>
          <c:invertIfNegative val="0"/>
          <c:cat>
            <c:strRef>
              <c:f>'Fig 4.5'!$B$21:$B$37</c:f>
              <c:strCache>
                <c:ptCount val="17"/>
                <c:pt idx="0">
                  <c:v>Agriculture, Forestry and Fishing</c:v>
                </c:pt>
                <c:pt idx="1">
                  <c:v>Other Services</c:v>
                </c:pt>
                <c:pt idx="2">
                  <c:v>Construction</c:v>
                </c:pt>
                <c:pt idx="3">
                  <c:v>Mining</c:v>
                </c:pt>
                <c:pt idx="4">
                  <c:v>Manufacturing</c:v>
                </c:pt>
                <c:pt idx="5">
                  <c:v>Transport, Postal and Warehousing</c:v>
                </c:pt>
                <c:pt idx="6">
                  <c:v>Arts and Recreation Services</c:v>
                </c:pt>
                <c:pt idx="7">
                  <c:v>Retail Trade</c:v>
                </c:pt>
                <c:pt idx="8">
                  <c:v>Wholesale Trade</c:v>
                </c:pt>
                <c:pt idx="9">
                  <c:v>Professional, Scientific and Technical Services</c:v>
                </c:pt>
                <c:pt idx="10">
                  <c:v>Accommodation and Food Services</c:v>
                </c:pt>
                <c:pt idx="11">
                  <c:v>Rental, Hiring and Real Estate Services</c:v>
                </c:pt>
                <c:pt idx="12">
                  <c:v>Electricity, Gas, Water and Waste Services</c:v>
                </c:pt>
                <c:pt idx="13">
                  <c:v>Administrative and Support Services</c:v>
                </c:pt>
                <c:pt idx="14">
                  <c:v>Information Media and Telecommunications</c:v>
                </c:pt>
                <c:pt idx="15">
                  <c:v>Health Care and Social Assistance</c:v>
                </c:pt>
                <c:pt idx="16">
                  <c:v>Financial and Insurance Services</c:v>
                </c:pt>
              </c:strCache>
            </c:strRef>
          </c:cat>
          <c:val>
            <c:numRef>
              <c:f>'Fig 4.5'!$C$21:$C$37</c:f>
              <c:numCache>
                <c:formatCode>0.000</c:formatCode>
                <c:ptCount val="17"/>
                <c:pt idx="0">
                  <c:v>4.9000000000000002E-2</c:v>
                </c:pt>
                <c:pt idx="1">
                  <c:v>6.3E-2</c:v>
                </c:pt>
                <c:pt idx="2">
                  <c:v>7.3899999999999993E-2</c:v>
                </c:pt>
                <c:pt idx="3">
                  <c:v>8.72E-2</c:v>
                </c:pt>
                <c:pt idx="4">
                  <c:v>8.8400000000000006E-2</c:v>
                </c:pt>
                <c:pt idx="5">
                  <c:v>9.7600000000000006E-2</c:v>
                </c:pt>
                <c:pt idx="6">
                  <c:v>9.7699999999999995E-2</c:v>
                </c:pt>
                <c:pt idx="7">
                  <c:v>0.107</c:v>
                </c:pt>
                <c:pt idx="8">
                  <c:v>0.111</c:v>
                </c:pt>
                <c:pt idx="9">
                  <c:v>0.115</c:v>
                </c:pt>
                <c:pt idx="10">
                  <c:v>0.11799999999999999</c:v>
                </c:pt>
                <c:pt idx="11">
                  <c:v>0.125</c:v>
                </c:pt>
                <c:pt idx="12">
                  <c:v>0.13200000000000001</c:v>
                </c:pt>
                <c:pt idx="13">
                  <c:v>0.13200000000000001</c:v>
                </c:pt>
                <c:pt idx="14">
                  <c:v>0.13500000000000001</c:v>
                </c:pt>
                <c:pt idx="15">
                  <c:v>0.182</c:v>
                </c:pt>
                <c:pt idx="16">
                  <c:v>0.186</c:v>
                </c:pt>
              </c:numCache>
            </c:numRef>
          </c:val>
        </c:ser>
        <c:dLbls>
          <c:showLegendKey val="0"/>
          <c:showVal val="0"/>
          <c:showCatName val="0"/>
          <c:showSerName val="0"/>
          <c:showPercent val="0"/>
          <c:showBubbleSize val="0"/>
        </c:dLbls>
        <c:gapWidth val="182"/>
        <c:axId val="483852288"/>
        <c:axId val="483848368"/>
      </c:barChart>
      <c:catAx>
        <c:axId val="483852288"/>
        <c:scaling>
          <c:orientation val="minMax"/>
        </c:scaling>
        <c:delete val="0"/>
        <c:axPos val="l"/>
        <c:numFmt formatCode="General" sourceLinked="1"/>
        <c:majorTickMark val="out"/>
        <c:minorTickMark val="none"/>
        <c:tickLblPos val="nextTo"/>
        <c:spPr>
          <a:noFill/>
          <a:ln w="12700"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83848368"/>
        <c:crosses val="autoZero"/>
        <c:auto val="1"/>
        <c:lblAlgn val="ctr"/>
        <c:lblOffset val="100"/>
        <c:noMultiLvlLbl val="0"/>
      </c:catAx>
      <c:valAx>
        <c:axId val="483848368"/>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baseline="0">
                    <a:solidFill>
                      <a:srgbClr val="373737"/>
                    </a:solidFill>
                  </a:rPr>
                  <a:t>Average DMC score value</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00" sourceLinked="0"/>
        <c:majorTickMark val="out"/>
        <c:minorTickMark val="none"/>
        <c:tickLblPos val="nextTo"/>
        <c:spPr>
          <a:noFill/>
          <a:ln w="12700"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83852288"/>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 4.6'!$C$20</c:f>
              <c:strCache>
                <c:ptCount val="1"/>
                <c:pt idx="0">
                  <c:v>mean</c:v>
                </c:pt>
              </c:strCache>
            </c:strRef>
          </c:tx>
          <c:spPr>
            <a:solidFill>
              <a:srgbClr val="005CAF"/>
            </a:solidFill>
            <a:ln>
              <a:noFill/>
            </a:ln>
            <a:effectLst/>
          </c:spPr>
          <c:invertIfNegative val="0"/>
          <c:cat>
            <c:strRef>
              <c:f>'Fig 4.6'!$B$21:$B$37</c:f>
              <c:strCache>
                <c:ptCount val="17"/>
                <c:pt idx="0">
                  <c:v>Information Media and Telecommunications</c:v>
                </c:pt>
                <c:pt idx="1">
                  <c:v>Professional, Scientific and Technical Services</c:v>
                </c:pt>
                <c:pt idx="2">
                  <c:v>Arts and Recreation Services</c:v>
                </c:pt>
                <c:pt idx="3">
                  <c:v>Financial and Insurance Services</c:v>
                </c:pt>
                <c:pt idx="4">
                  <c:v>Rental, Hiring and Real Estate Services</c:v>
                </c:pt>
                <c:pt idx="5">
                  <c:v>Administrative and Support Services</c:v>
                </c:pt>
                <c:pt idx="6">
                  <c:v>Other Services</c:v>
                </c:pt>
                <c:pt idx="7">
                  <c:v>Retail Trade</c:v>
                </c:pt>
                <c:pt idx="8">
                  <c:v>Agriculture, Forestry and Fishing</c:v>
                </c:pt>
                <c:pt idx="9">
                  <c:v>Wholesale Trade</c:v>
                </c:pt>
                <c:pt idx="10">
                  <c:v>Construction</c:v>
                </c:pt>
                <c:pt idx="11">
                  <c:v>Transport, Postal and Warehousing</c:v>
                </c:pt>
                <c:pt idx="12">
                  <c:v>Manufacturing</c:v>
                </c:pt>
                <c:pt idx="13">
                  <c:v>Health Care and Social Assistance</c:v>
                </c:pt>
                <c:pt idx="14">
                  <c:v>Accommodation and Food Services</c:v>
                </c:pt>
                <c:pt idx="15">
                  <c:v>Electricity, Gas, Water and Waste Services</c:v>
                </c:pt>
                <c:pt idx="16">
                  <c:v>Mining</c:v>
                </c:pt>
              </c:strCache>
            </c:strRef>
          </c:cat>
          <c:val>
            <c:numRef>
              <c:f>'Fig 4.6'!$C$21:$C$37</c:f>
              <c:numCache>
                <c:formatCode>0.000</c:formatCode>
                <c:ptCount val="17"/>
                <c:pt idx="0">
                  <c:v>6.7400000000000002E-2</c:v>
                </c:pt>
                <c:pt idx="1">
                  <c:v>8.09E-2</c:v>
                </c:pt>
                <c:pt idx="2">
                  <c:v>9.2600000000000002E-2</c:v>
                </c:pt>
                <c:pt idx="3">
                  <c:v>9.4E-2</c:v>
                </c:pt>
                <c:pt idx="4">
                  <c:v>0.10299999999999999</c:v>
                </c:pt>
                <c:pt idx="5">
                  <c:v>0.109</c:v>
                </c:pt>
                <c:pt idx="6">
                  <c:v>0.113</c:v>
                </c:pt>
                <c:pt idx="7">
                  <c:v>0.114</c:v>
                </c:pt>
                <c:pt idx="8">
                  <c:v>0.122</c:v>
                </c:pt>
                <c:pt idx="9">
                  <c:v>0.123</c:v>
                </c:pt>
                <c:pt idx="10">
                  <c:v>0.129</c:v>
                </c:pt>
                <c:pt idx="11">
                  <c:v>0.13100000000000001</c:v>
                </c:pt>
                <c:pt idx="12">
                  <c:v>0.13900000000000001</c:v>
                </c:pt>
                <c:pt idx="13">
                  <c:v>0.14599999999999999</c:v>
                </c:pt>
                <c:pt idx="14">
                  <c:v>0.16200000000000001</c:v>
                </c:pt>
                <c:pt idx="15">
                  <c:v>0.218</c:v>
                </c:pt>
                <c:pt idx="16">
                  <c:v>0.22600000000000001</c:v>
                </c:pt>
              </c:numCache>
            </c:numRef>
          </c:val>
        </c:ser>
        <c:dLbls>
          <c:showLegendKey val="0"/>
          <c:showVal val="0"/>
          <c:showCatName val="0"/>
          <c:showSerName val="0"/>
          <c:showPercent val="0"/>
          <c:showBubbleSize val="0"/>
        </c:dLbls>
        <c:gapWidth val="182"/>
        <c:axId val="350565928"/>
        <c:axId val="639697344"/>
      </c:barChart>
      <c:catAx>
        <c:axId val="350565928"/>
        <c:scaling>
          <c:orientation val="minMax"/>
        </c:scaling>
        <c:delete val="0"/>
        <c:axPos val="l"/>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39697344"/>
        <c:crosses val="autoZero"/>
        <c:auto val="1"/>
        <c:lblAlgn val="ctr"/>
        <c:lblOffset val="100"/>
        <c:noMultiLvlLbl val="0"/>
      </c:catAx>
      <c:valAx>
        <c:axId val="639697344"/>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baseline="0">
                    <a:solidFill>
                      <a:srgbClr val="373737"/>
                    </a:solidFill>
                  </a:rPr>
                  <a:t>Average EMC score value</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00" sourceLinked="0"/>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350565928"/>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 4.7'!$C$20</c:f>
              <c:strCache>
                <c:ptCount val="1"/>
                <c:pt idx="0">
                  <c:v>mean</c:v>
                </c:pt>
              </c:strCache>
            </c:strRef>
          </c:tx>
          <c:spPr>
            <a:solidFill>
              <a:srgbClr val="005CAF"/>
            </a:solidFill>
            <a:ln>
              <a:noFill/>
            </a:ln>
            <a:effectLst/>
          </c:spPr>
          <c:invertIfNegative val="0"/>
          <c:cat>
            <c:strRef>
              <c:f>'Fig 4.7'!$B$21:$B$37</c:f>
              <c:strCache>
                <c:ptCount val="17"/>
                <c:pt idx="0">
                  <c:v>Arts and Recreation Services</c:v>
                </c:pt>
                <c:pt idx="1">
                  <c:v>Professional, Scientific and Technical Services</c:v>
                </c:pt>
                <c:pt idx="2">
                  <c:v>Agriculture, Forestry and Fishing</c:v>
                </c:pt>
                <c:pt idx="3">
                  <c:v>Information Media and Telecommunications</c:v>
                </c:pt>
                <c:pt idx="4">
                  <c:v>Other Services</c:v>
                </c:pt>
                <c:pt idx="5">
                  <c:v>Administrative and Support Services</c:v>
                </c:pt>
                <c:pt idx="6">
                  <c:v>Construction</c:v>
                </c:pt>
                <c:pt idx="7">
                  <c:v>Financial and Insurance Services</c:v>
                </c:pt>
                <c:pt idx="8">
                  <c:v>Transport, Postal and Warehousing</c:v>
                </c:pt>
                <c:pt idx="9">
                  <c:v>Rental, Hiring and Real Estate Services</c:v>
                </c:pt>
                <c:pt idx="10">
                  <c:v>Electricity, Gas, Water and Waste Services</c:v>
                </c:pt>
                <c:pt idx="11">
                  <c:v>Mining</c:v>
                </c:pt>
                <c:pt idx="12">
                  <c:v>Manufacturing</c:v>
                </c:pt>
                <c:pt idx="13">
                  <c:v>Accommodation and Food Services</c:v>
                </c:pt>
                <c:pt idx="14">
                  <c:v>Health Care and Social Assistance</c:v>
                </c:pt>
                <c:pt idx="15">
                  <c:v>Retail Trade</c:v>
                </c:pt>
                <c:pt idx="16">
                  <c:v>Wholesale Trade</c:v>
                </c:pt>
              </c:strCache>
            </c:strRef>
          </c:cat>
          <c:val>
            <c:numRef>
              <c:f>'Fig 4.7'!$C$21:$C$37</c:f>
              <c:numCache>
                <c:formatCode>General</c:formatCode>
                <c:ptCount val="17"/>
                <c:pt idx="0">
                  <c:v>0.104</c:v>
                </c:pt>
                <c:pt idx="1">
                  <c:v>0.11899999999999999</c:v>
                </c:pt>
                <c:pt idx="2">
                  <c:v>0.124</c:v>
                </c:pt>
                <c:pt idx="3">
                  <c:v>0.13300000000000001</c:v>
                </c:pt>
                <c:pt idx="4">
                  <c:v>0.14499999999999999</c:v>
                </c:pt>
                <c:pt idx="5">
                  <c:v>0.15</c:v>
                </c:pt>
                <c:pt idx="6">
                  <c:v>0.154</c:v>
                </c:pt>
                <c:pt idx="7">
                  <c:v>0.158</c:v>
                </c:pt>
                <c:pt idx="8">
                  <c:v>0.161</c:v>
                </c:pt>
                <c:pt idx="9">
                  <c:v>0.16500000000000001</c:v>
                </c:pt>
                <c:pt idx="10">
                  <c:v>0.17299999999999999</c:v>
                </c:pt>
                <c:pt idx="11">
                  <c:v>0.184</c:v>
                </c:pt>
                <c:pt idx="12">
                  <c:v>0.192</c:v>
                </c:pt>
                <c:pt idx="13">
                  <c:v>0.192</c:v>
                </c:pt>
                <c:pt idx="14">
                  <c:v>0.192</c:v>
                </c:pt>
                <c:pt idx="15">
                  <c:v>0.20499999999999999</c:v>
                </c:pt>
                <c:pt idx="16">
                  <c:v>0.21199999999999999</c:v>
                </c:pt>
              </c:numCache>
            </c:numRef>
          </c:val>
        </c:ser>
        <c:dLbls>
          <c:showLegendKey val="0"/>
          <c:showVal val="0"/>
          <c:showCatName val="0"/>
          <c:showSerName val="0"/>
          <c:showPercent val="0"/>
          <c:showBubbleSize val="0"/>
        </c:dLbls>
        <c:gapWidth val="182"/>
        <c:axId val="772171752"/>
        <c:axId val="772173320"/>
      </c:barChart>
      <c:catAx>
        <c:axId val="772171752"/>
        <c:scaling>
          <c:orientation val="minMax"/>
        </c:scaling>
        <c:delete val="0"/>
        <c:axPos val="l"/>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3320"/>
        <c:crosses val="autoZero"/>
        <c:auto val="1"/>
        <c:lblAlgn val="ctr"/>
        <c:lblOffset val="100"/>
        <c:noMultiLvlLbl val="0"/>
      </c:catAx>
      <c:valAx>
        <c:axId val="772173320"/>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baseline="0">
                    <a:solidFill>
                      <a:srgbClr val="373737"/>
                    </a:solidFill>
                  </a:rPr>
                  <a:t>Average SCMC score value</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00" sourceLinked="0"/>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1752"/>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Consolidation scores of Data  and Charts  for EDAN scores  paper2.xlsx]Fig 4.8!PivotTable5</c:name>
    <c:fmtId val="9"/>
  </c:pivotSource>
  <c:chart>
    <c:autoTitleDeleted val="0"/>
    <c:pivotFmts>
      <c:pivotFmt>
        <c:idx val="0"/>
        <c:spPr>
          <a:solidFill>
            <a:schemeClr val="accent1"/>
          </a:solidFill>
          <a:ln>
            <a:noFill/>
          </a:ln>
          <a:effectLst/>
        </c:spPr>
        <c:marker>
          <c:symbol val="none"/>
        </c:marker>
      </c:pivotFmt>
      <c:pivotFmt>
        <c:idx val="1"/>
        <c:spPr>
          <a:solidFill>
            <a:srgbClr val="005CAF"/>
          </a:solidFill>
          <a:ln>
            <a:noFill/>
          </a:ln>
          <a:effectLst/>
        </c:spPr>
        <c:marker>
          <c:symbol val="none"/>
        </c:marker>
      </c:pivotFmt>
      <c:pivotFmt>
        <c:idx val="2"/>
        <c:spPr>
          <a:solidFill>
            <a:srgbClr val="56B4DF"/>
          </a:solidFill>
          <a:ln>
            <a:noFill/>
          </a:ln>
          <a:effectLst/>
        </c:spPr>
        <c:marker>
          <c:symbol val="none"/>
        </c:marker>
      </c:pivotFmt>
      <c:pivotFmt>
        <c:idx val="3"/>
        <c:spPr>
          <a:solidFill>
            <a:srgbClr val="9ED9DF"/>
          </a:solidFill>
          <a:ln>
            <a:noFill/>
          </a:ln>
          <a:effectLst/>
        </c:spPr>
        <c:marker>
          <c:symbol val="none"/>
        </c:marker>
      </c:pivotFmt>
      <c:pivotFmt>
        <c:idx val="4"/>
        <c:spPr>
          <a:solidFill>
            <a:srgbClr val="005CAF"/>
          </a:solidFill>
          <a:ln>
            <a:noFill/>
          </a:ln>
          <a:effectLst/>
        </c:spPr>
        <c:marker>
          <c:symbol val="none"/>
        </c:marker>
      </c:pivotFmt>
      <c:pivotFmt>
        <c:idx val="5"/>
        <c:spPr>
          <a:solidFill>
            <a:srgbClr val="56B4DF"/>
          </a:solidFill>
          <a:ln>
            <a:noFill/>
          </a:ln>
          <a:effectLst/>
        </c:spPr>
        <c:marker>
          <c:symbol val="none"/>
        </c:marker>
      </c:pivotFmt>
      <c:pivotFmt>
        <c:idx val="6"/>
        <c:spPr>
          <a:solidFill>
            <a:srgbClr val="9ED9DF"/>
          </a:solidFill>
          <a:ln>
            <a:noFill/>
          </a:ln>
          <a:effectLst/>
        </c:spPr>
        <c:marker>
          <c:symbol val="none"/>
        </c:marker>
      </c:pivotFmt>
      <c:pivotFmt>
        <c:idx val="7"/>
        <c:spPr>
          <a:solidFill>
            <a:srgbClr val="005CAF"/>
          </a:solidFill>
          <a:ln>
            <a:noFill/>
          </a:ln>
          <a:effectLst/>
        </c:spPr>
        <c:marker>
          <c:symbol val="none"/>
        </c:marker>
      </c:pivotFmt>
      <c:pivotFmt>
        <c:idx val="8"/>
        <c:spPr>
          <a:solidFill>
            <a:srgbClr val="56B4DF"/>
          </a:solidFill>
          <a:ln>
            <a:noFill/>
          </a:ln>
          <a:effectLst/>
        </c:spPr>
        <c:marker>
          <c:symbol val="none"/>
        </c:marker>
      </c:pivotFmt>
      <c:pivotFmt>
        <c:idx val="9"/>
        <c:spPr>
          <a:solidFill>
            <a:srgbClr val="9ED9DF"/>
          </a:solidFill>
          <a:ln>
            <a:noFill/>
          </a:ln>
          <a:effectLst/>
        </c:spPr>
        <c:marker>
          <c:symbol val="none"/>
        </c:marker>
      </c:pivotFmt>
    </c:pivotFmts>
    <c:plotArea>
      <c:layout>
        <c:manualLayout>
          <c:layoutTarget val="inner"/>
          <c:xMode val="edge"/>
          <c:yMode val="edge"/>
          <c:x val="9.6300585626190219E-2"/>
          <c:y val="4.964010920824026E-2"/>
          <c:w val="0.87034080937001901"/>
          <c:h val="0.72732922532114608"/>
        </c:manualLayout>
      </c:layout>
      <c:barChart>
        <c:barDir val="col"/>
        <c:grouping val="clustered"/>
        <c:varyColors val="0"/>
        <c:ser>
          <c:idx val="0"/>
          <c:order val="0"/>
          <c:tx>
            <c:strRef>
              <c:f>'Fig 4.8'!$B$1:$B$2</c:f>
              <c:strCache>
                <c:ptCount val="1"/>
                <c:pt idx="0">
                  <c:v>less than 1 to 4</c:v>
                </c:pt>
              </c:strCache>
            </c:strRef>
          </c:tx>
          <c:spPr>
            <a:solidFill>
              <a:srgbClr val="005CAF"/>
            </a:solidFill>
            <a:ln>
              <a:noFill/>
            </a:ln>
            <a:effectLst/>
          </c:spPr>
          <c:invertIfNegative val="0"/>
          <c:cat>
            <c:strRef>
              <c:f>'Fig 4.8'!$A$3:$A$9</c:f>
              <c:strCache>
                <c:ptCount val="6"/>
                <c:pt idx="0">
                  <c:v>DMC</c:v>
                </c:pt>
                <c:pt idx="1">
                  <c:v>EMC</c:v>
                </c:pt>
                <c:pt idx="2">
                  <c:v>OMC</c:v>
                </c:pt>
                <c:pt idx="3">
                  <c:v>OMCv2</c:v>
                </c:pt>
                <c:pt idx="4">
                  <c:v>SCMC</c:v>
                </c:pt>
                <c:pt idx="5">
                  <c:v>SMC</c:v>
                </c:pt>
              </c:strCache>
            </c:strRef>
          </c:cat>
          <c:val>
            <c:numRef>
              <c:f>'Fig 4.8'!$B$3:$B$9</c:f>
              <c:numCache>
                <c:formatCode>General</c:formatCode>
                <c:ptCount val="6"/>
                <c:pt idx="0">
                  <c:v>7.5700000000000003E-2</c:v>
                </c:pt>
                <c:pt idx="1">
                  <c:v>7.0699999999999999E-2</c:v>
                </c:pt>
                <c:pt idx="2">
                  <c:v>0.22900000000000001</c:v>
                </c:pt>
                <c:pt idx="3">
                  <c:v>0.21099999999999999</c:v>
                </c:pt>
                <c:pt idx="4">
                  <c:v>0.13300000000000001</c:v>
                </c:pt>
                <c:pt idx="5">
                  <c:v>0.32800000000000001</c:v>
                </c:pt>
              </c:numCache>
            </c:numRef>
          </c:val>
        </c:ser>
        <c:ser>
          <c:idx val="1"/>
          <c:order val="1"/>
          <c:tx>
            <c:strRef>
              <c:f>'Fig 4.8'!$C$1:$C$2</c:f>
              <c:strCache>
                <c:ptCount val="1"/>
                <c:pt idx="0">
                  <c:v>4 to less than 9</c:v>
                </c:pt>
              </c:strCache>
            </c:strRef>
          </c:tx>
          <c:spPr>
            <a:solidFill>
              <a:srgbClr val="56B4DF"/>
            </a:solidFill>
            <a:ln>
              <a:noFill/>
            </a:ln>
            <a:effectLst/>
          </c:spPr>
          <c:invertIfNegative val="0"/>
          <c:cat>
            <c:strRef>
              <c:f>'Fig 4.8'!$A$3:$A$9</c:f>
              <c:strCache>
                <c:ptCount val="6"/>
                <c:pt idx="0">
                  <c:v>DMC</c:v>
                </c:pt>
                <c:pt idx="1">
                  <c:v>EMC</c:v>
                </c:pt>
                <c:pt idx="2">
                  <c:v>OMC</c:v>
                </c:pt>
                <c:pt idx="3">
                  <c:v>OMCv2</c:v>
                </c:pt>
                <c:pt idx="4">
                  <c:v>SCMC</c:v>
                </c:pt>
                <c:pt idx="5">
                  <c:v>SMC</c:v>
                </c:pt>
              </c:strCache>
            </c:strRef>
          </c:cat>
          <c:val>
            <c:numRef>
              <c:f>'Fig 4.8'!$C$3:$C$9</c:f>
              <c:numCache>
                <c:formatCode>General</c:formatCode>
                <c:ptCount val="6"/>
                <c:pt idx="0">
                  <c:v>8.5900000000000004E-2</c:v>
                </c:pt>
                <c:pt idx="1">
                  <c:v>8.9300000000000004E-2</c:v>
                </c:pt>
                <c:pt idx="2">
                  <c:v>0.23899999999999999</c:v>
                </c:pt>
                <c:pt idx="3">
                  <c:v>0.23100000000000001</c:v>
                </c:pt>
                <c:pt idx="4">
                  <c:v>0.13400000000000001</c:v>
                </c:pt>
                <c:pt idx="5">
                  <c:v>0.35199999999999998</c:v>
                </c:pt>
              </c:numCache>
            </c:numRef>
          </c:val>
        </c:ser>
        <c:ser>
          <c:idx val="2"/>
          <c:order val="2"/>
          <c:tx>
            <c:strRef>
              <c:f>'Fig 4.8'!$D$1:$D$2</c:f>
              <c:strCache>
                <c:ptCount val="1"/>
                <c:pt idx="0">
                  <c:v>9 years or more</c:v>
                </c:pt>
              </c:strCache>
            </c:strRef>
          </c:tx>
          <c:spPr>
            <a:solidFill>
              <a:srgbClr val="9ED9DF"/>
            </a:solidFill>
            <a:ln>
              <a:noFill/>
            </a:ln>
            <a:effectLst/>
          </c:spPr>
          <c:invertIfNegative val="0"/>
          <c:cat>
            <c:strRef>
              <c:f>'Fig 4.8'!$A$3:$A$9</c:f>
              <c:strCache>
                <c:ptCount val="6"/>
                <c:pt idx="0">
                  <c:v>DMC</c:v>
                </c:pt>
                <c:pt idx="1">
                  <c:v>EMC</c:v>
                </c:pt>
                <c:pt idx="2">
                  <c:v>OMC</c:v>
                </c:pt>
                <c:pt idx="3">
                  <c:v>OMCv2</c:v>
                </c:pt>
                <c:pt idx="4">
                  <c:v>SCMC</c:v>
                </c:pt>
                <c:pt idx="5">
                  <c:v>SMC</c:v>
                </c:pt>
              </c:strCache>
            </c:strRef>
          </c:cat>
          <c:val>
            <c:numRef>
              <c:f>'Fig 4.8'!$D$3:$D$9</c:f>
              <c:numCache>
                <c:formatCode>General</c:formatCode>
                <c:ptCount val="6"/>
                <c:pt idx="0">
                  <c:v>0.12</c:v>
                </c:pt>
                <c:pt idx="1">
                  <c:v>0.14299999999999999</c:v>
                </c:pt>
                <c:pt idx="2">
                  <c:v>0.28999999999999998</c:v>
                </c:pt>
                <c:pt idx="3">
                  <c:v>0.27900000000000003</c:v>
                </c:pt>
                <c:pt idx="4">
                  <c:v>0.182</c:v>
                </c:pt>
                <c:pt idx="5">
                  <c:v>0.40500000000000003</c:v>
                </c:pt>
              </c:numCache>
            </c:numRef>
          </c:val>
        </c:ser>
        <c:dLbls>
          <c:showLegendKey val="0"/>
          <c:showVal val="0"/>
          <c:showCatName val="0"/>
          <c:showSerName val="0"/>
          <c:showPercent val="0"/>
          <c:showBubbleSize val="0"/>
        </c:dLbls>
        <c:gapWidth val="219"/>
        <c:overlap val="-27"/>
        <c:axId val="772174496"/>
        <c:axId val="772174888"/>
      </c:barChart>
      <c:catAx>
        <c:axId val="772174496"/>
        <c:scaling>
          <c:orientation val="minMax"/>
        </c:scaling>
        <c:delete val="0"/>
        <c:axPos val="b"/>
        <c:numFmt formatCode="General" sourceLinked="1"/>
        <c:majorTickMark val="out"/>
        <c:minorTickMark val="none"/>
        <c:tickLblPos val="nextTo"/>
        <c:spPr>
          <a:noFill/>
          <a:ln w="12700"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4888"/>
        <c:crosses val="autoZero"/>
        <c:auto val="1"/>
        <c:lblAlgn val="ctr"/>
        <c:lblOffset val="100"/>
        <c:noMultiLvlLbl val="0"/>
      </c:catAx>
      <c:valAx>
        <c:axId val="772174888"/>
        <c:scaling>
          <c:orientation val="minMax"/>
        </c:scaling>
        <c:delete val="0"/>
        <c:axPos val="l"/>
        <c:numFmt formatCode="#,##0.00" sourceLinked="0"/>
        <c:majorTickMark val="out"/>
        <c:minorTickMark val="none"/>
        <c:tickLblPos val="nextTo"/>
        <c:spPr>
          <a:noFill/>
          <a:ln w="12700">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772174496"/>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[Consolidation scores of Data  and Charts  for EDAN scores  paper.xlsx]PVC13!PivotTable6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rgbClr val="005CAF"/>
          </a:solidFill>
          <a:ln>
            <a:noFill/>
          </a:ln>
          <a:effectLst/>
        </c:spPr>
        <c:marker>
          <c:symbol val="none"/>
        </c:marker>
      </c:pivotFmt>
      <c:pivotFmt>
        <c:idx val="3"/>
        <c:spPr>
          <a:solidFill>
            <a:srgbClr val="56B4DF"/>
          </a:solidFill>
          <a:ln>
            <a:noFill/>
          </a:ln>
          <a:effectLst/>
        </c:spPr>
        <c:marker>
          <c:symbol val="none"/>
        </c:marker>
      </c:pivotFmt>
      <c:pivotFmt>
        <c:idx val="4"/>
        <c:spPr>
          <a:solidFill>
            <a:srgbClr val="005CAF"/>
          </a:solidFill>
          <a:ln>
            <a:noFill/>
          </a:ln>
          <a:effectLst/>
        </c:spPr>
        <c:marker>
          <c:symbol val="none"/>
        </c:marker>
      </c:pivotFmt>
      <c:pivotFmt>
        <c:idx val="5"/>
        <c:spPr>
          <a:solidFill>
            <a:srgbClr val="56B4DF"/>
          </a:solidFill>
          <a:ln>
            <a:noFill/>
          </a:ln>
          <a:effectLst/>
        </c:spPr>
        <c:marker>
          <c:symbol val="none"/>
        </c:marker>
      </c:pivotFmt>
      <c:pivotFmt>
        <c:idx val="6"/>
        <c:spPr>
          <a:solidFill>
            <a:srgbClr val="005CAF"/>
          </a:solidFill>
          <a:ln>
            <a:noFill/>
          </a:ln>
          <a:effectLst/>
        </c:spPr>
        <c:marker>
          <c:symbol val="none"/>
        </c:marker>
      </c:pivotFmt>
      <c:pivotFmt>
        <c:idx val="7"/>
        <c:spPr>
          <a:solidFill>
            <a:srgbClr val="56B4DF"/>
          </a:solidFill>
          <a:ln>
            <a:noFill/>
          </a:ln>
          <a:effectLst/>
        </c:spPr>
        <c:marker>
          <c:symbol val="none"/>
        </c:marker>
      </c:pivotFmt>
    </c:pivotFmts>
    <c:plotArea>
      <c:layout>
        <c:manualLayout>
          <c:layoutTarget val="inner"/>
          <c:xMode val="edge"/>
          <c:yMode val="edge"/>
          <c:x val="0.15799896127464735"/>
          <c:y val="5.0543340914834471E-2"/>
          <c:w val="0.81167503417645193"/>
          <c:h val="0.72236781622918822"/>
        </c:manualLayout>
      </c:layout>
      <c:barChart>
        <c:barDir val="col"/>
        <c:grouping val="clustered"/>
        <c:varyColors val="0"/>
        <c:ser>
          <c:idx val="0"/>
          <c:order val="0"/>
          <c:tx>
            <c:strRef>
              <c:f>'PVC13'!$B$1:$B$2</c:f>
              <c:strCache>
                <c:ptCount val="1"/>
                <c:pt idx="0">
                  <c:v>No Foreign Ownership </c:v>
                </c:pt>
              </c:strCache>
            </c:strRef>
          </c:tx>
          <c:spPr>
            <a:solidFill>
              <a:srgbClr val="005CAF"/>
            </a:solidFill>
            <a:ln>
              <a:noFill/>
            </a:ln>
            <a:effectLst/>
          </c:spPr>
          <c:invertIfNegative val="0"/>
          <c:cat>
            <c:strRef>
              <c:f>'PVC13'!$A$3:$A$8</c:f>
              <c:strCache>
                <c:ptCount val="5"/>
                <c:pt idx="0">
                  <c:v>DMC</c:v>
                </c:pt>
                <c:pt idx="1">
                  <c:v>EMC</c:v>
                </c:pt>
                <c:pt idx="2">
                  <c:v>OMC</c:v>
                </c:pt>
                <c:pt idx="3">
                  <c:v>OMCv2</c:v>
                </c:pt>
                <c:pt idx="4">
                  <c:v>SCMC</c:v>
                </c:pt>
              </c:strCache>
            </c:strRef>
          </c:cat>
          <c:val>
            <c:numRef>
              <c:f>'PVC13'!$B$3:$B$8</c:f>
              <c:numCache>
                <c:formatCode>General</c:formatCode>
                <c:ptCount val="5"/>
                <c:pt idx="0">
                  <c:v>9.8599999999999993E-2</c:v>
                </c:pt>
                <c:pt idx="1">
                  <c:v>0.107</c:v>
                </c:pt>
                <c:pt idx="2">
                  <c:v>0.255</c:v>
                </c:pt>
                <c:pt idx="3">
                  <c:v>0.24399999999999999</c:v>
                </c:pt>
                <c:pt idx="4">
                  <c:v>0.14899999999999999</c:v>
                </c:pt>
              </c:numCache>
            </c:numRef>
          </c:val>
        </c:ser>
        <c:ser>
          <c:idx val="1"/>
          <c:order val="1"/>
          <c:tx>
            <c:strRef>
              <c:f>'PVC13'!$C$1:$C$2</c:f>
              <c:strCache>
                <c:ptCount val="1"/>
                <c:pt idx="0">
                  <c:v>Foreign Ownership</c:v>
                </c:pt>
              </c:strCache>
            </c:strRef>
          </c:tx>
          <c:spPr>
            <a:solidFill>
              <a:srgbClr val="56B4DF"/>
            </a:solidFill>
            <a:ln>
              <a:noFill/>
            </a:ln>
            <a:effectLst/>
          </c:spPr>
          <c:invertIfNegative val="0"/>
          <c:cat>
            <c:strRef>
              <c:f>'PVC13'!$A$3:$A$8</c:f>
              <c:strCache>
                <c:ptCount val="5"/>
                <c:pt idx="0">
                  <c:v>DMC</c:v>
                </c:pt>
                <c:pt idx="1">
                  <c:v>EMC</c:v>
                </c:pt>
                <c:pt idx="2">
                  <c:v>OMC</c:v>
                </c:pt>
                <c:pt idx="3">
                  <c:v>OMCv2</c:v>
                </c:pt>
                <c:pt idx="4">
                  <c:v>SCMC</c:v>
                </c:pt>
              </c:strCache>
            </c:strRef>
          </c:cat>
          <c:val>
            <c:numRef>
              <c:f>'PVC13'!$C$3:$C$8</c:f>
              <c:numCache>
                <c:formatCode>General</c:formatCode>
                <c:ptCount val="5"/>
                <c:pt idx="0">
                  <c:v>0.17799999999999999</c:v>
                </c:pt>
                <c:pt idx="1">
                  <c:v>0.24299999999999999</c:v>
                </c:pt>
                <c:pt idx="2">
                  <c:v>0.38100000000000001</c:v>
                </c:pt>
                <c:pt idx="3">
                  <c:v>0.38800000000000001</c:v>
                </c:pt>
                <c:pt idx="4">
                  <c:v>0.27600000000000002</c:v>
                </c:pt>
              </c:numCache>
            </c:numRef>
          </c:val>
        </c:ser>
        <c:dLbls>
          <c:showLegendKey val="0"/>
          <c:showVal val="0"/>
          <c:showCatName val="0"/>
          <c:showSerName val="0"/>
          <c:showPercent val="0"/>
          <c:showBubbleSize val="0"/>
        </c:dLbls>
        <c:gapWidth val="219"/>
        <c:overlap val="-27"/>
        <c:axId val="772177240"/>
        <c:axId val="772176848"/>
      </c:barChart>
      <c:catAx>
        <c:axId val="77217724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2176848"/>
        <c:crosses val="autoZero"/>
        <c:auto val="1"/>
        <c:lblAlgn val="ctr"/>
        <c:lblOffset val="100"/>
        <c:noMultiLvlLbl val="0"/>
      </c:catAx>
      <c:valAx>
        <c:axId val="772176848"/>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Average</a:t>
                </a:r>
                <a:r>
                  <a:rPr lang="en-AU" baseline="0"/>
                  <a:t> score</a:t>
                </a:r>
                <a:endParaRPr lang="en-AU"/>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772177240"/>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0.10417</cdr:x>
      <cdr:y>0.81424</cdr:y>
    </cdr:from>
    <cdr:to>
      <cdr:x>0.33125</cdr:x>
      <cdr:y>0.99826</cdr:y>
    </cdr:to>
    <cdr:sp macro="" textlink="">
      <cdr:nvSpPr>
        <cdr:cNvPr id="2" name="TextBox 1">
          <a:extLst xmlns:a="http://schemas.openxmlformats.org/drawingml/2006/main">
            <a:ext uri="{FF2B5EF4-FFF2-40B4-BE49-F238E27FC236}">
              <a16:creationId xmlns="" xmlns:a16="http://schemas.microsoft.com/office/drawing/2014/main" id="{47449CBA-7520-4997-B75A-F6F402E609BA}"/>
            </a:ext>
          </a:extLst>
        </cdr:cNvPr>
        <cdr:cNvSpPr txBox="1"/>
      </cdr:nvSpPr>
      <cdr:spPr>
        <a:xfrm xmlns:a="http://schemas.openxmlformats.org/drawingml/2006/main">
          <a:off x="476250" y="2233613"/>
          <a:ext cx="10382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0.27986</cdr:x>
      <cdr:y>0.81597</cdr:y>
    </cdr:from>
    <cdr:to>
      <cdr:x>0.50694</cdr:x>
      <cdr:y>1</cdr:y>
    </cdr:to>
    <cdr:sp macro="" textlink="">
      <cdr:nvSpPr>
        <cdr:cNvPr id="3" name="TextBox 1">
          <a:extLst xmlns:a="http://schemas.openxmlformats.org/drawingml/2006/main">
            <a:ext uri="{FF2B5EF4-FFF2-40B4-BE49-F238E27FC236}">
              <a16:creationId xmlns="" xmlns:a16="http://schemas.microsoft.com/office/drawing/2014/main" id="{0401A30B-FB2C-4935-B47E-82EEA4B4F5AC}"/>
            </a:ext>
          </a:extLst>
        </cdr:cNvPr>
        <cdr:cNvSpPr txBox="1"/>
      </cdr:nvSpPr>
      <cdr:spPr>
        <a:xfrm xmlns:a="http://schemas.openxmlformats.org/drawingml/2006/main">
          <a:off x="1279525"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0.54236</cdr:x>
      <cdr:y>0.81424</cdr:y>
    </cdr:from>
    <cdr:to>
      <cdr:x>0.76944</cdr:x>
      <cdr:y>0.99826</cdr:y>
    </cdr:to>
    <cdr:sp macro="" textlink="">
      <cdr:nvSpPr>
        <cdr:cNvPr id="4" name="TextBox 1">
          <a:extLst xmlns:a="http://schemas.openxmlformats.org/drawingml/2006/main">
            <a:ext uri="{FF2B5EF4-FFF2-40B4-BE49-F238E27FC236}">
              <a16:creationId xmlns="" xmlns:a16="http://schemas.microsoft.com/office/drawing/2014/main" id="{488E3A47-945B-4225-8361-3B921921E09D}"/>
            </a:ext>
          </a:extLst>
        </cdr:cNvPr>
        <cdr:cNvSpPr txBox="1"/>
      </cdr:nvSpPr>
      <cdr:spPr>
        <a:xfrm xmlns:a="http://schemas.openxmlformats.org/drawingml/2006/main">
          <a:off x="2479675" y="2233613"/>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0.71806</cdr:x>
      <cdr:y>0.81597</cdr:y>
    </cdr:from>
    <cdr:to>
      <cdr:x>0.94514</cdr:x>
      <cdr:y>1</cdr:y>
    </cdr:to>
    <cdr:sp macro="" textlink="">
      <cdr:nvSpPr>
        <cdr:cNvPr id="5" name="TextBox 1">
          <a:extLst xmlns:a="http://schemas.openxmlformats.org/drawingml/2006/main">
            <a:ext uri="{FF2B5EF4-FFF2-40B4-BE49-F238E27FC236}">
              <a16:creationId xmlns="" xmlns:a16="http://schemas.microsoft.com/office/drawing/2014/main" id="{79F101C8-0430-442A-BD1F-39E67A25F8D6}"/>
            </a:ext>
          </a:extLst>
        </cdr:cNvPr>
        <cdr:cNvSpPr txBox="1"/>
      </cdr:nvSpPr>
      <cdr:spPr>
        <a:xfrm xmlns:a="http://schemas.openxmlformats.org/drawingml/2006/main">
          <a:off x="3282950"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0.90982</cdr:x>
      <cdr:y>0.22344</cdr:y>
    </cdr:from>
    <cdr:to>
      <cdr:x>1</cdr:x>
      <cdr:y>0.37805</cdr:y>
    </cdr:to>
    <cdr:sp macro="" textlink="">
      <cdr:nvSpPr>
        <cdr:cNvPr id="19" name="TextBox 4">
          <a:extLst xmlns:a="http://schemas.openxmlformats.org/drawingml/2006/main">
            <a:ext uri="{FF2B5EF4-FFF2-40B4-BE49-F238E27FC236}">
              <a16:creationId xmlns="" xmlns:a16="http://schemas.microsoft.com/office/drawing/2014/main" id="{6E7918A4-8B38-4A8D-BA8E-68999E852C6E}"/>
            </a:ext>
          </a:extLst>
        </cdr:cNvPr>
        <cdr:cNvSpPr txBox="1"/>
      </cdr:nvSpPr>
      <cdr:spPr>
        <a:xfrm xmlns:a="http://schemas.openxmlformats.org/drawingml/2006/main">
          <a:off x="3810167" y="516885"/>
          <a:ext cx="377658" cy="35766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6.2</a:t>
          </a:r>
          <a:r>
            <a:rPr lang="en-AU" sz="900"/>
            <a:t>%</a:t>
          </a:r>
        </a:p>
      </cdr:txBody>
    </cdr:sp>
  </cdr:relSizeAnchor>
  <cdr:relSizeAnchor xmlns:cdr="http://schemas.openxmlformats.org/drawingml/2006/chartDrawing">
    <cdr:from>
      <cdr:x>0.47081</cdr:x>
      <cdr:y>0.1981</cdr:y>
    </cdr:from>
    <cdr:to>
      <cdr:x>0.57838</cdr:x>
      <cdr:y>0.28311</cdr:y>
    </cdr:to>
    <cdr:sp macro="" textlink="">
      <cdr:nvSpPr>
        <cdr:cNvPr id="21" name="TextBox 5">
          <a:extLst xmlns:a="http://schemas.openxmlformats.org/drawingml/2006/main">
            <a:ext uri="{FF2B5EF4-FFF2-40B4-BE49-F238E27FC236}">
              <a16:creationId xmlns="" xmlns:a16="http://schemas.microsoft.com/office/drawing/2014/main" id="{5F2130EA-5E09-49E4-A1E1-CC2A978A60EA}"/>
            </a:ext>
          </a:extLst>
        </cdr:cNvPr>
        <cdr:cNvSpPr txBox="1"/>
      </cdr:nvSpPr>
      <cdr:spPr>
        <a:xfrm xmlns:a="http://schemas.openxmlformats.org/drawingml/2006/main">
          <a:off x="2423060" y="564196"/>
          <a:ext cx="553613" cy="24210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13.1</a:t>
          </a:r>
          <a:r>
            <a:rPr lang="en-AU" sz="900"/>
            <a:t>%</a:t>
          </a:r>
        </a:p>
      </cdr:txBody>
    </cdr:sp>
  </cdr:relSizeAnchor>
  <cdr:relSizeAnchor xmlns:cdr="http://schemas.openxmlformats.org/drawingml/2006/chartDrawing">
    <cdr:from>
      <cdr:x>0.15994</cdr:x>
      <cdr:y>0.0633</cdr:y>
    </cdr:from>
    <cdr:to>
      <cdr:x>0.45489</cdr:x>
      <cdr:y>0.15358</cdr:y>
    </cdr:to>
    <cdr:sp macro="" textlink="">
      <cdr:nvSpPr>
        <cdr:cNvPr id="7" name="TextBox 6"/>
        <cdr:cNvSpPr txBox="1"/>
      </cdr:nvSpPr>
      <cdr:spPr>
        <a:xfrm xmlns:a="http://schemas.openxmlformats.org/drawingml/2006/main">
          <a:off x="823151" y="180275"/>
          <a:ext cx="1517972" cy="2571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solidFill>
                <a:srgbClr val="373737"/>
              </a:solidFill>
              <a:latin typeface="Arial" panose="020B0604020202020204" pitchFamily="34" charset="0"/>
              <a:cs typeface="Arial" panose="020B0604020202020204" pitchFamily="34" charset="0"/>
            </a:rPr>
            <a:t>Sales per employee</a:t>
          </a:r>
        </a:p>
      </cdr:txBody>
    </cdr:sp>
  </cdr:relSizeAnchor>
  <cdr:relSizeAnchor xmlns:cdr="http://schemas.openxmlformats.org/drawingml/2006/chartDrawing">
    <cdr:from>
      <cdr:x>0.60571</cdr:x>
      <cdr:y>0.07681</cdr:y>
    </cdr:from>
    <cdr:to>
      <cdr:x>0.9805</cdr:x>
      <cdr:y>0.14916</cdr:y>
    </cdr:to>
    <cdr:sp macro="" textlink="">
      <cdr:nvSpPr>
        <cdr:cNvPr id="27" name="TextBox 1"/>
        <cdr:cNvSpPr txBox="1"/>
      </cdr:nvSpPr>
      <cdr:spPr>
        <a:xfrm xmlns:a="http://schemas.openxmlformats.org/drawingml/2006/main">
          <a:off x="2536607" y="177685"/>
          <a:ext cx="1569566" cy="1673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Value</a:t>
          </a:r>
          <a:r>
            <a:rPr lang="en-AU" sz="900" baseline="0">
              <a:latin typeface="Arial" panose="020B0604020202020204" pitchFamily="34" charset="0"/>
              <a:cs typeface="Arial" panose="020B0604020202020204" pitchFamily="34" charset="0"/>
            </a:rPr>
            <a:t> added </a:t>
          </a:r>
          <a:r>
            <a:rPr lang="en-AU" sz="900">
              <a:latin typeface="Arial" panose="020B0604020202020204" pitchFamily="34" charset="0"/>
              <a:cs typeface="Arial" panose="020B0604020202020204" pitchFamily="34" charset="0"/>
            </a:rPr>
            <a:t>per </a:t>
          </a:r>
          <a:r>
            <a:rPr lang="en-AU" sz="900">
              <a:solidFill>
                <a:srgbClr val="373737"/>
              </a:solidFill>
              <a:latin typeface="Arial" panose="020B0604020202020204" pitchFamily="34" charset="0"/>
              <a:cs typeface="Arial" panose="020B0604020202020204" pitchFamily="34" charset="0"/>
            </a:rPr>
            <a:t>employee</a:t>
          </a:r>
        </a:p>
      </cdr:txBody>
    </cdr:sp>
  </cdr:relSizeAnchor>
  <cdr:relSizeAnchor xmlns:cdr="http://schemas.openxmlformats.org/drawingml/2006/chartDrawing">
    <cdr:from>
      <cdr:x>0.17998</cdr:x>
      <cdr:y>0.27828</cdr:y>
    </cdr:from>
    <cdr:to>
      <cdr:x>0.467</cdr:x>
      <cdr:y>0.28035</cdr:y>
    </cdr:to>
    <cdr:cxnSp macro="">
      <cdr:nvCxnSpPr>
        <cdr:cNvPr id="16" name="Straight Connector 15">
          <a:extLst xmlns:a="http://schemas.openxmlformats.org/drawingml/2006/main">
            <a:ext uri="{FF2B5EF4-FFF2-40B4-BE49-F238E27FC236}">
              <a16:creationId xmlns:a16="http://schemas.microsoft.com/office/drawing/2014/main" xmlns="" xmlns:lc="http://schemas.openxmlformats.org/drawingml/2006/lockedCanvas" id="{23A3E86C-4593-4DC7-A8CF-EB490C072EA6}"/>
            </a:ext>
          </a:extLst>
        </cdr:cNvPr>
        <cdr:cNvCxnSpPr/>
      </cdr:nvCxnSpPr>
      <cdr:spPr>
        <a:xfrm xmlns:a="http://schemas.openxmlformats.org/drawingml/2006/main" flipV="1">
          <a:off x="926290" y="792534"/>
          <a:ext cx="1477167" cy="5884"/>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0.35403</cdr:x>
      <cdr:y>0.20921</cdr:y>
    </cdr:from>
    <cdr:to>
      <cdr:x>0.46564</cdr:x>
      <cdr:y>0.20997</cdr:y>
    </cdr:to>
    <cdr:cxnSp macro="">
      <cdr:nvCxnSpPr>
        <cdr:cNvPr id="18" name="Straight Connector 17">
          <a:extLst xmlns:a="http://schemas.openxmlformats.org/drawingml/2006/main">
            <a:ext uri="{FF2B5EF4-FFF2-40B4-BE49-F238E27FC236}">
              <a16:creationId xmlns:a16="http://schemas.microsoft.com/office/drawing/2014/main" xmlns="" xmlns:lc="http://schemas.openxmlformats.org/drawingml/2006/lockedCanvas" id="{DBB53EBE-ED65-4A65-9FD2-3872EF600AEC}"/>
            </a:ext>
          </a:extLst>
        </cdr:cNvPr>
        <cdr:cNvCxnSpPr/>
      </cdr:nvCxnSpPr>
      <cdr:spPr>
        <a:xfrm xmlns:a="http://schemas.openxmlformats.org/drawingml/2006/main" flipV="1">
          <a:off x="1822044" y="595820"/>
          <a:ext cx="574406" cy="2161"/>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0.46564</cdr:x>
      <cdr:y>0.21205</cdr:y>
    </cdr:from>
    <cdr:to>
      <cdr:x>0.46679</cdr:x>
      <cdr:y>0.27797</cdr:y>
    </cdr:to>
    <cdr:cxnSp macro="">
      <cdr:nvCxnSpPr>
        <cdr:cNvPr id="20" name="Straight Arrow Connector 19">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H="1" flipV="1">
          <a:off x="2396450" y="603926"/>
          <a:ext cx="5884" cy="187736"/>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0.62495</cdr:x>
      <cdr:y>0.27686</cdr:y>
    </cdr:from>
    <cdr:to>
      <cdr:x>0.91197</cdr:x>
      <cdr:y>0.27892</cdr:y>
    </cdr:to>
    <cdr:cxnSp macro="">
      <cdr:nvCxnSpPr>
        <cdr:cNvPr id="22" name="Straight Connector 21">
          <a:extLst xmlns:a="http://schemas.openxmlformats.org/drawingml/2006/main">
            <a:ext uri="{FF2B5EF4-FFF2-40B4-BE49-F238E27FC236}">
              <a16:creationId xmlns="" xmlns:a16="http://schemas.microsoft.com/office/drawing/2014/main" xmlns:lc="http://schemas.openxmlformats.org/drawingml/2006/lockedCanvas" id="{23A3E86C-4593-4DC7-A8CF-EB490C072EA6}"/>
            </a:ext>
          </a:extLst>
        </cdr:cNvPr>
        <cdr:cNvCxnSpPr/>
      </cdr:nvCxnSpPr>
      <cdr:spPr>
        <a:xfrm xmlns:a="http://schemas.openxmlformats.org/drawingml/2006/main" flipV="1">
          <a:off x="3216342" y="788481"/>
          <a:ext cx="1477167" cy="5884"/>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0.799</cdr:x>
      <cdr:y>0.24488</cdr:y>
    </cdr:from>
    <cdr:to>
      <cdr:x>0.91219</cdr:x>
      <cdr:y>0.24621</cdr:y>
    </cdr:to>
    <cdr:cxnSp macro="">
      <cdr:nvCxnSpPr>
        <cdr:cNvPr id="23" name="Straight Connector 22">
          <a:extLst xmlns:a="http://schemas.openxmlformats.org/drawingml/2006/main">
            <a:ext uri="{FF2B5EF4-FFF2-40B4-BE49-F238E27FC236}">
              <a16:creationId xmlns="" xmlns:a16="http://schemas.microsoft.com/office/drawing/2014/main" xmlns:lc="http://schemas.openxmlformats.org/drawingml/2006/lockedCanvas" id="{DBB53EBE-ED65-4A65-9FD2-3872EF600AEC}"/>
            </a:ext>
          </a:extLst>
        </cdr:cNvPr>
        <cdr:cNvCxnSpPr/>
      </cdr:nvCxnSpPr>
      <cdr:spPr>
        <a:xfrm xmlns:a="http://schemas.openxmlformats.org/drawingml/2006/main">
          <a:off x="4112098" y="697419"/>
          <a:ext cx="582512" cy="3784"/>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0.91219</cdr:x>
      <cdr:y>0.18786</cdr:y>
    </cdr:from>
    <cdr:to>
      <cdr:x>0.91241</cdr:x>
      <cdr:y>0.24555</cdr:y>
    </cdr:to>
    <cdr:cxnSp macro="">
      <cdr:nvCxnSpPr>
        <cdr:cNvPr id="25" name="Straight Arrow Connector 24">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a:off x="4694610" y="535022"/>
          <a:ext cx="1149" cy="164291"/>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0.9114</cdr:x>
      <cdr:y>0.27752</cdr:y>
    </cdr:from>
    <cdr:to>
      <cdr:x>0.91219</cdr:x>
      <cdr:y>0.33587</cdr:y>
    </cdr:to>
    <cdr:cxnSp macro="">
      <cdr:nvCxnSpPr>
        <cdr:cNvPr id="33" name="Straight Arrow Connector 32">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H="1" flipV="1">
          <a:off x="4690557" y="790377"/>
          <a:ext cx="4053" cy="166177"/>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0.10417</cdr:x>
      <cdr:y>0.81424</cdr:y>
    </cdr:from>
    <cdr:to>
      <cdr:x>0.33125</cdr:x>
      <cdr:y>0.99826</cdr:y>
    </cdr:to>
    <cdr:sp macro="" textlink="">
      <cdr:nvSpPr>
        <cdr:cNvPr id="2" name="TextBox 1">
          <a:extLst xmlns:a="http://schemas.openxmlformats.org/drawingml/2006/main">
            <a:ext uri="{FF2B5EF4-FFF2-40B4-BE49-F238E27FC236}">
              <a16:creationId xmlns="" xmlns:a16="http://schemas.microsoft.com/office/drawing/2014/main" id="{47449CBA-7520-4997-B75A-F6F402E609BA}"/>
            </a:ext>
          </a:extLst>
        </cdr:cNvPr>
        <cdr:cNvSpPr txBox="1"/>
      </cdr:nvSpPr>
      <cdr:spPr>
        <a:xfrm xmlns:a="http://schemas.openxmlformats.org/drawingml/2006/main">
          <a:off x="476250" y="2233613"/>
          <a:ext cx="10382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0.27986</cdr:x>
      <cdr:y>0.81597</cdr:y>
    </cdr:from>
    <cdr:to>
      <cdr:x>0.50694</cdr:x>
      <cdr:y>1</cdr:y>
    </cdr:to>
    <cdr:sp macro="" textlink="">
      <cdr:nvSpPr>
        <cdr:cNvPr id="3" name="TextBox 1">
          <a:extLst xmlns:a="http://schemas.openxmlformats.org/drawingml/2006/main">
            <a:ext uri="{FF2B5EF4-FFF2-40B4-BE49-F238E27FC236}">
              <a16:creationId xmlns="" xmlns:a16="http://schemas.microsoft.com/office/drawing/2014/main" id="{0401A30B-FB2C-4935-B47E-82EEA4B4F5AC}"/>
            </a:ext>
          </a:extLst>
        </cdr:cNvPr>
        <cdr:cNvSpPr txBox="1"/>
      </cdr:nvSpPr>
      <cdr:spPr>
        <a:xfrm xmlns:a="http://schemas.openxmlformats.org/drawingml/2006/main">
          <a:off x="1279525"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Practice Score</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0.54236</cdr:x>
      <cdr:y>0.81424</cdr:y>
    </cdr:from>
    <cdr:to>
      <cdr:x>0.76944</cdr:x>
      <cdr:y>0.99826</cdr:y>
    </cdr:to>
    <cdr:sp macro="" textlink="">
      <cdr:nvSpPr>
        <cdr:cNvPr id="4" name="TextBox 1">
          <a:extLst xmlns:a="http://schemas.openxmlformats.org/drawingml/2006/main">
            <a:ext uri="{FF2B5EF4-FFF2-40B4-BE49-F238E27FC236}">
              <a16:creationId xmlns="" xmlns:a16="http://schemas.microsoft.com/office/drawing/2014/main" id="{488E3A47-945B-4225-8361-3B921921E09D}"/>
            </a:ext>
          </a:extLst>
        </cdr:cNvPr>
        <cdr:cNvSpPr txBox="1"/>
      </cdr:nvSpPr>
      <cdr:spPr>
        <a:xfrm xmlns:a="http://schemas.openxmlformats.org/drawingml/2006/main">
          <a:off x="2479675" y="2233613"/>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0.71806</cdr:x>
      <cdr:y>0.81597</cdr:y>
    </cdr:from>
    <cdr:to>
      <cdr:x>0.94514</cdr:x>
      <cdr:y>1</cdr:y>
    </cdr:to>
    <cdr:sp macro="" textlink="">
      <cdr:nvSpPr>
        <cdr:cNvPr id="5" name="TextBox 1">
          <a:extLst xmlns:a="http://schemas.openxmlformats.org/drawingml/2006/main">
            <a:ext uri="{FF2B5EF4-FFF2-40B4-BE49-F238E27FC236}">
              <a16:creationId xmlns="" xmlns:a16="http://schemas.microsoft.com/office/drawing/2014/main" id="{79F101C8-0430-442A-BD1F-39E67A25F8D6}"/>
            </a:ext>
          </a:extLst>
        </cdr:cNvPr>
        <cdr:cNvSpPr txBox="1"/>
      </cdr:nvSpPr>
      <cdr:spPr>
        <a:xfrm xmlns:a="http://schemas.openxmlformats.org/drawingml/2006/main">
          <a:off x="3282950"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Practice Score</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0.89504</cdr:x>
      <cdr:y>0.22973</cdr:y>
    </cdr:from>
    <cdr:to>
      <cdr:x>0.97922</cdr:x>
      <cdr:y>0.30496</cdr:y>
    </cdr:to>
    <cdr:sp macro="" textlink="">
      <cdr:nvSpPr>
        <cdr:cNvPr id="19" name="TextBox 4">
          <a:extLst xmlns:a="http://schemas.openxmlformats.org/drawingml/2006/main">
            <a:ext uri="{FF2B5EF4-FFF2-40B4-BE49-F238E27FC236}">
              <a16:creationId xmlns="" xmlns:a16="http://schemas.microsoft.com/office/drawing/2014/main" id="{6E7918A4-8B38-4A8D-BA8E-68999E852C6E}"/>
            </a:ext>
          </a:extLst>
        </cdr:cNvPr>
        <cdr:cNvSpPr txBox="1"/>
      </cdr:nvSpPr>
      <cdr:spPr>
        <a:xfrm xmlns:a="http://schemas.openxmlformats.org/drawingml/2006/main">
          <a:off x="4759800" y="687101"/>
          <a:ext cx="447687" cy="224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6.1%</a:t>
          </a:r>
        </a:p>
      </cdr:txBody>
    </cdr:sp>
  </cdr:relSizeAnchor>
  <cdr:relSizeAnchor xmlns:cdr="http://schemas.openxmlformats.org/drawingml/2006/chartDrawing">
    <cdr:from>
      <cdr:x>0.45511</cdr:x>
      <cdr:y>0.20331</cdr:y>
    </cdr:from>
    <cdr:to>
      <cdr:x>0.55136</cdr:x>
      <cdr:y>0.27854</cdr:y>
    </cdr:to>
    <cdr:sp macro="" textlink="">
      <cdr:nvSpPr>
        <cdr:cNvPr id="21" name="TextBox 5">
          <a:extLst xmlns:a="http://schemas.openxmlformats.org/drawingml/2006/main">
            <a:ext uri="{FF2B5EF4-FFF2-40B4-BE49-F238E27FC236}">
              <a16:creationId xmlns="" xmlns:a16="http://schemas.microsoft.com/office/drawing/2014/main" id="{5F2130EA-5E09-49E4-A1E1-CC2A978A60EA}"/>
            </a:ext>
          </a:extLst>
        </cdr:cNvPr>
        <cdr:cNvSpPr txBox="1"/>
      </cdr:nvSpPr>
      <cdr:spPr>
        <a:xfrm xmlns:a="http://schemas.openxmlformats.org/drawingml/2006/main">
          <a:off x="2420279" y="608068"/>
          <a:ext cx="511871" cy="224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13.2%</a:t>
          </a:r>
        </a:p>
      </cdr:txBody>
    </cdr:sp>
  </cdr:relSizeAnchor>
  <cdr:relSizeAnchor xmlns:cdr="http://schemas.openxmlformats.org/drawingml/2006/chartDrawing">
    <cdr:from>
      <cdr:x>0.17153</cdr:x>
      <cdr:y>0.0463</cdr:y>
    </cdr:from>
    <cdr:to>
      <cdr:x>0.50396</cdr:x>
      <cdr:y>0.14002</cdr:y>
    </cdr:to>
    <cdr:sp macro="" textlink="">
      <cdr:nvSpPr>
        <cdr:cNvPr id="27" name="TextBox 1"/>
        <cdr:cNvSpPr txBox="1"/>
      </cdr:nvSpPr>
      <cdr:spPr>
        <a:xfrm xmlns:a="http://schemas.openxmlformats.org/drawingml/2006/main">
          <a:off x="784225" y="127000"/>
          <a:ext cx="1519882" cy="2571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Sales per employee</a:t>
          </a:r>
        </a:p>
      </cdr:txBody>
    </cdr:sp>
  </cdr:relSizeAnchor>
  <cdr:relSizeAnchor xmlns:cdr="http://schemas.openxmlformats.org/drawingml/2006/chartDrawing">
    <cdr:from>
      <cdr:x>0.61596</cdr:x>
      <cdr:y>0.03935</cdr:y>
    </cdr:from>
    <cdr:to>
      <cdr:x>1</cdr:x>
      <cdr:y>0.12467</cdr:y>
    </cdr:to>
    <cdr:sp macro="" textlink="">
      <cdr:nvSpPr>
        <cdr:cNvPr id="28" name="TextBox 1"/>
        <cdr:cNvSpPr txBox="1"/>
      </cdr:nvSpPr>
      <cdr:spPr>
        <a:xfrm xmlns:a="http://schemas.openxmlformats.org/drawingml/2006/main">
          <a:off x="2816153" y="107950"/>
          <a:ext cx="1755847" cy="2340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Value</a:t>
          </a:r>
          <a:r>
            <a:rPr lang="en-AU" sz="900" baseline="0">
              <a:solidFill>
                <a:srgbClr val="373737"/>
              </a:solidFill>
              <a:latin typeface="Arial" panose="020B0604020202020204" pitchFamily="34" charset="0"/>
              <a:cs typeface="Arial" panose="020B0604020202020204" pitchFamily="34" charset="0"/>
            </a:rPr>
            <a:t> added </a:t>
          </a:r>
          <a:r>
            <a:rPr lang="en-AU" sz="900">
              <a:solidFill>
                <a:srgbClr val="373737"/>
              </a:solidFill>
              <a:latin typeface="Arial" panose="020B0604020202020204" pitchFamily="34" charset="0"/>
              <a:cs typeface="Arial" panose="020B0604020202020204" pitchFamily="34" charset="0"/>
            </a:rPr>
            <a:t>per employee</a:t>
          </a:r>
        </a:p>
      </cdr:txBody>
    </cdr:sp>
  </cdr:relSizeAnchor>
  <cdr:relSizeAnchor xmlns:cdr="http://schemas.openxmlformats.org/drawingml/2006/chartDrawing">
    <cdr:from>
      <cdr:x>0.17037</cdr:x>
      <cdr:y>0.27741</cdr:y>
    </cdr:from>
    <cdr:to>
      <cdr:x>0.45379</cdr:x>
      <cdr:y>0.28186</cdr:y>
    </cdr:to>
    <cdr:cxnSp macro="">
      <cdr:nvCxnSpPr>
        <cdr:cNvPr id="16" name="Straight Connector 15">
          <a:extLst xmlns:a="http://schemas.openxmlformats.org/drawingml/2006/main">
            <a:ext uri="{FF2B5EF4-FFF2-40B4-BE49-F238E27FC236}">
              <a16:creationId xmlns="" xmlns:a16="http://schemas.microsoft.com/office/drawing/2014/main" xmlns:lc="http://schemas.openxmlformats.org/drawingml/2006/lockedCanvas" id="{23A3E86C-4593-4DC7-A8CF-EB490C072EA6}"/>
            </a:ext>
          </a:extLst>
        </cdr:cNvPr>
        <cdr:cNvCxnSpPr/>
      </cdr:nvCxnSpPr>
      <cdr:spPr>
        <a:xfrm xmlns:a="http://schemas.openxmlformats.org/drawingml/2006/main" flipV="1">
          <a:off x="906023" y="829688"/>
          <a:ext cx="1507247" cy="13315"/>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0.3509</cdr:x>
      <cdr:y>0.20829</cdr:y>
    </cdr:from>
    <cdr:to>
      <cdr:x>0.45456</cdr:x>
      <cdr:y>0.20965</cdr:y>
    </cdr:to>
    <cdr:cxnSp macro="">
      <cdr:nvCxnSpPr>
        <cdr:cNvPr id="18" name="Straight Connector 17">
          <a:extLst xmlns:a="http://schemas.openxmlformats.org/drawingml/2006/main">
            <a:ext uri="{FF2B5EF4-FFF2-40B4-BE49-F238E27FC236}">
              <a16:creationId xmlns="" xmlns:a16="http://schemas.microsoft.com/office/drawing/2014/main" xmlns:lc="http://schemas.openxmlformats.org/drawingml/2006/lockedCanvas" id="{DBB53EBE-ED65-4A65-9FD2-3872EF600AEC}"/>
            </a:ext>
          </a:extLst>
        </cdr:cNvPr>
        <cdr:cNvCxnSpPr/>
      </cdr:nvCxnSpPr>
      <cdr:spPr>
        <a:xfrm xmlns:a="http://schemas.openxmlformats.org/drawingml/2006/main">
          <a:off x="1866089" y="622975"/>
          <a:ext cx="551234" cy="4054"/>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0.45456</cdr:x>
      <cdr:y>0.20942</cdr:y>
    </cdr:from>
    <cdr:to>
      <cdr:x>0.45466</cdr:x>
      <cdr:y>0.27741</cdr:y>
    </cdr:to>
    <cdr:cxnSp macro="">
      <cdr:nvCxnSpPr>
        <cdr:cNvPr id="20" name="Straight Arrow Connector 19">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flipV="1">
          <a:off x="2417323" y="626354"/>
          <a:ext cx="541" cy="203334"/>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0.61309</cdr:x>
      <cdr:y>0.27876</cdr:y>
    </cdr:from>
    <cdr:to>
      <cdr:x>0.89814</cdr:x>
      <cdr:y>0.28283</cdr:y>
    </cdr:to>
    <cdr:cxnSp macro="">
      <cdr:nvCxnSpPr>
        <cdr:cNvPr id="22" name="Straight Connector 21">
          <a:extLst xmlns:a="http://schemas.openxmlformats.org/drawingml/2006/main">
            <a:ext uri="{FF2B5EF4-FFF2-40B4-BE49-F238E27FC236}">
              <a16:creationId xmlns:a16="http://schemas.microsoft.com/office/drawing/2014/main" xmlns="" xmlns:lc="http://schemas.openxmlformats.org/drawingml/2006/lockedCanvas" id="{23A3E86C-4593-4DC7-A8CF-EB490C072EA6}"/>
            </a:ext>
          </a:extLst>
        </cdr:cNvPr>
        <cdr:cNvCxnSpPr/>
      </cdr:nvCxnSpPr>
      <cdr:spPr>
        <a:xfrm xmlns:a="http://schemas.openxmlformats.org/drawingml/2006/main">
          <a:off x="3260387" y="833741"/>
          <a:ext cx="1515894" cy="12160"/>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0.79077</cdr:x>
      <cdr:y>0.24737</cdr:y>
    </cdr:from>
    <cdr:to>
      <cdr:x>0.89878</cdr:x>
      <cdr:y>0.24809</cdr:y>
    </cdr:to>
    <cdr:cxnSp macro="">
      <cdr:nvCxnSpPr>
        <cdr:cNvPr id="23" name="Straight Connector 22">
          <a:extLst xmlns:a="http://schemas.openxmlformats.org/drawingml/2006/main">
            <a:ext uri="{FF2B5EF4-FFF2-40B4-BE49-F238E27FC236}">
              <a16:creationId xmlns:a16="http://schemas.microsoft.com/office/drawing/2014/main" xmlns="" xmlns:lc="http://schemas.openxmlformats.org/drawingml/2006/lockedCanvas" id="{DBB53EBE-ED65-4A65-9FD2-3872EF600AEC}"/>
            </a:ext>
          </a:extLst>
        </cdr:cNvPr>
        <cdr:cNvCxnSpPr/>
      </cdr:nvCxnSpPr>
      <cdr:spPr>
        <a:xfrm xmlns:a="http://schemas.openxmlformats.org/drawingml/2006/main" flipV="1">
          <a:off x="4205321" y="739843"/>
          <a:ext cx="574406" cy="2161"/>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0.8989</cdr:x>
      <cdr:y>0.19474</cdr:y>
    </cdr:from>
    <cdr:to>
      <cdr:x>0.8991</cdr:x>
      <cdr:y>0.24601</cdr:y>
    </cdr:to>
    <cdr:cxnSp macro="">
      <cdr:nvCxnSpPr>
        <cdr:cNvPr id="25" name="Straight Arrow Connector 24">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a:off x="4780334" y="582443"/>
          <a:ext cx="1081" cy="153348"/>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0.89844</cdr:x>
      <cdr:y>0.28102</cdr:y>
    </cdr:from>
    <cdr:to>
      <cdr:x>0.8989</cdr:x>
      <cdr:y>0.33026</cdr:y>
    </cdr:to>
    <cdr:cxnSp macro="">
      <cdr:nvCxnSpPr>
        <cdr:cNvPr id="29" name="Straight Arrow Connector 28">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flipH="1" flipV="1">
          <a:off x="4777902" y="840498"/>
          <a:ext cx="2432" cy="147264"/>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0.10417</cdr:x>
      <cdr:y>0.81424</cdr:y>
    </cdr:from>
    <cdr:to>
      <cdr:x>0.33125</cdr:x>
      <cdr:y>0.99826</cdr:y>
    </cdr:to>
    <cdr:sp macro="" textlink="">
      <cdr:nvSpPr>
        <cdr:cNvPr id="2" name="TextBox 1">
          <a:extLst xmlns:a="http://schemas.openxmlformats.org/drawingml/2006/main">
            <a:ext uri="{FF2B5EF4-FFF2-40B4-BE49-F238E27FC236}">
              <a16:creationId xmlns="" xmlns:a16="http://schemas.microsoft.com/office/drawing/2014/main" id="{47449CBA-7520-4997-B75A-F6F402E609BA}"/>
            </a:ext>
          </a:extLst>
        </cdr:cNvPr>
        <cdr:cNvSpPr txBox="1"/>
      </cdr:nvSpPr>
      <cdr:spPr>
        <a:xfrm xmlns:a="http://schemas.openxmlformats.org/drawingml/2006/main">
          <a:off x="476250" y="2233613"/>
          <a:ext cx="10382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0.27986</cdr:x>
      <cdr:y>0.81597</cdr:y>
    </cdr:from>
    <cdr:to>
      <cdr:x>0.50694</cdr:x>
      <cdr:y>1</cdr:y>
    </cdr:to>
    <cdr:sp macro="" textlink="">
      <cdr:nvSpPr>
        <cdr:cNvPr id="3" name="TextBox 1">
          <a:extLst xmlns:a="http://schemas.openxmlformats.org/drawingml/2006/main">
            <a:ext uri="{FF2B5EF4-FFF2-40B4-BE49-F238E27FC236}">
              <a16:creationId xmlns="" xmlns:a16="http://schemas.microsoft.com/office/drawing/2014/main" id="{0401A30B-FB2C-4935-B47E-82EEA4B4F5AC}"/>
            </a:ext>
          </a:extLst>
        </cdr:cNvPr>
        <cdr:cNvSpPr txBox="1"/>
      </cdr:nvSpPr>
      <cdr:spPr>
        <a:xfrm xmlns:a="http://schemas.openxmlformats.org/drawingml/2006/main">
          <a:off x="1279525"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0.54236</cdr:x>
      <cdr:y>0.81424</cdr:y>
    </cdr:from>
    <cdr:to>
      <cdr:x>0.76944</cdr:x>
      <cdr:y>0.99826</cdr:y>
    </cdr:to>
    <cdr:sp macro="" textlink="">
      <cdr:nvSpPr>
        <cdr:cNvPr id="4" name="TextBox 1">
          <a:extLst xmlns:a="http://schemas.openxmlformats.org/drawingml/2006/main">
            <a:ext uri="{FF2B5EF4-FFF2-40B4-BE49-F238E27FC236}">
              <a16:creationId xmlns="" xmlns:a16="http://schemas.microsoft.com/office/drawing/2014/main" id="{488E3A47-945B-4225-8361-3B921921E09D}"/>
            </a:ext>
          </a:extLst>
        </cdr:cNvPr>
        <cdr:cNvSpPr txBox="1"/>
      </cdr:nvSpPr>
      <cdr:spPr>
        <a:xfrm xmlns:a="http://schemas.openxmlformats.org/drawingml/2006/main">
          <a:off x="2479675" y="2233613"/>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0.71806</cdr:x>
      <cdr:y>0.81597</cdr:y>
    </cdr:from>
    <cdr:to>
      <cdr:x>0.94514</cdr:x>
      <cdr:y>1</cdr:y>
    </cdr:to>
    <cdr:sp macro="" textlink="">
      <cdr:nvSpPr>
        <cdr:cNvPr id="5" name="TextBox 1">
          <a:extLst xmlns:a="http://schemas.openxmlformats.org/drawingml/2006/main">
            <a:ext uri="{FF2B5EF4-FFF2-40B4-BE49-F238E27FC236}">
              <a16:creationId xmlns="" xmlns:a16="http://schemas.microsoft.com/office/drawing/2014/main" id="{79F101C8-0430-442A-BD1F-39E67A25F8D6}"/>
            </a:ext>
          </a:extLst>
        </cdr:cNvPr>
        <cdr:cNvSpPr txBox="1"/>
      </cdr:nvSpPr>
      <cdr:spPr>
        <a:xfrm xmlns:a="http://schemas.openxmlformats.org/drawingml/2006/main">
          <a:off x="3282950"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0.90546</cdr:x>
      <cdr:y>0.2079</cdr:y>
    </cdr:from>
    <cdr:to>
      <cdr:x>0.9972</cdr:x>
      <cdr:y>0.28852</cdr:y>
    </cdr:to>
    <cdr:sp macro="" textlink="">
      <cdr:nvSpPr>
        <cdr:cNvPr id="19" name="TextBox 4">
          <a:extLst xmlns:a="http://schemas.openxmlformats.org/drawingml/2006/main">
            <a:ext uri="{FF2B5EF4-FFF2-40B4-BE49-F238E27FC236}">
              <a16:creationId xmlns="" xmlns:a16="http://schemas.microsoft.com/office/drawing/2014/main" id="{6E7918A4-8B38-4A8D-BA8E-68999E852C6E}"/>
            </a:ext>
          </a:extLst>
        </cdr:cNvPr>
        <cdr:cNvSpPr txBox="1"/>
      </cdr:nvSpPr>
      <cdr:spPr>
        <a:xfrm xmlns:a="http://schemas.openxmlformats.org/drawingml/2006/main">
          <a:off x="4418485" y="580217"/>
          <a:ext cx="447687" cy="224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2.7%</a:t>
          </a:r>
        </a:p>
      </cdr:txBody>
    </cdr:sp>
  </cdr:relSizeAnchor>
  <cdr:relSizeAnchor xmlns:cdr="http://schemas.openxmlformats.org/drawingml/2006/chartDrawing">
    <cdr:from>
      <cdr:x>0.46993</cdr:x>
      <cdr:y>0.20425</cdr:y>
    </cdr:from>
    <cdr:to>
      <cdr:x>0.56168</cdr:x>
      <cdr:y>0.28487</cdr:y>
    </cdr:to>
    <cdr:sp macro="" textlink="">
      <cdr:nvSpPr>
        <cdr:cNvPr id="21" name="TextBox 5">
          <a:extLst xmlns:a="http://schemas.openxmlformats.org/drawingml/2006/main">
            <a:ext uri="{FF2B5EF4-FFF2-40B4-BE49-F238E27FC236}">
              <a16:creationId xmlns="" xmlns:a16="http://schemas.microsoft.com/office/drawing/2014/main" id="{5F2130EA-5E09-49E4-A1E1-CC2A978A60EA}"/>
            </a:ext>
          </a:extLst>
        </cdr:cNvPr>
        <cdr:cNvSpPr txBox="1"/>
      </cdr:nvSpPr>
      <cdr:spPr>
        <a:xfrm xmlns:a="http://schemas.openxmlformats.org/drawingml/2006/main">
          <a:off x="2293202" y="570015"/>
          <a:ext cx="447687" cy="224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4.5%</a:t>
          </a:r>
        </a:p>
      </cdr:txBody>
    </cdr:sp>
  </cdr:relSizeAnchor>
  <cdr:relSizeAnchor xmlns:cdr="http://schemas.openxmlformats.org/drawingml/2006/chartDrawing">
    <cdr:from>
      <cdr:x>0.17999</cdr:x>
      <cdr:y>0.0694</cdr:y>
    </cdr:from>
    <cdr:to>
      <cdr:x>0.54223</cdr:x>
      <cdr:y>0.16984</cdr:y>
    </cdr:to>
    <cdr:sp macro="" textlink="">
      <cdr:nvSpPr>
        <cdr:cNvPr id="27" name="TextBox 1"/>
        <cdr:cNvSpPr txBox="1"/>
      </cdr:nvSpPr>
      <cdr:spPr>
        <a:xfrm xmlns:a="http://schemas.openxmlformats.org/drawingml/2006/main">
          <a:off x="879475" y="193675"/>
          <a:ext cx="1770030" cy="2803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Sales per employee</a:t>
          </a:r>
        </a:p>
      </cdr:txBody>
    </cdr:sp>
  </cdr:relSizeAnchor>
  <cdr:relSizeAnchor xmlns:cdr="http://schemas.openxmlformats.org/drawingml/2006/chartDrawing">
    <cdr:from>
      <cdr:x>0.58152</cdr:x>
      <cdr:y>0.0694</cdr:y>
    </cdr:from>
    <cdr:to>
      <cdr:x>1</cdr:x>
      <cdr:y>0.16083</cdr:y>
    </cdr:to>
    <cdr:sp macro="" textlink="">
      <cdr:nvSpPr>
        <cdr:cNvPr id="28" name="TextBox 1"/>
        <cdr:cNvSpPr txBox="1"/>
      </cdr:nvSpPr>
      <cdr:spPr>
        <a:xfrm xmlns:a="http://schemas.openxmlformats.org/drawingml/2006/main">
          <a:off x="2841495" y="193675"/>
          <a:ext cx="2044830" cy="2551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Value</a:t>
          </a:r>
          <a:r>
            <a:rPr lang="en-AU" sz="900" baseline="0">
              <a:solidFill>
                <a:srgbClr val="373737"/>
              </a:solidFill>
              <a:latin typeface="Arial" panose="020B0604020202020204" pitchFamily="34" charset="0"/>
              <a:cs typeface="Arial" panose="020B0604020202020204" pitchFamily="34" charset="0"/>
            </a:rPr>
            <a:t> added </a:t>
          </a:r>
          <a:r>
            <a:rPr lang="en-AU" sz="900">
              <a:solidFill>
                <a:srgbClr val="373737"/>
              </a:solidFill>
              <a:latin typeface="Arial" panose="020B0604020202020204" pitchFamily="34" charset="0"/>
              <a:cs typeface="Arial" panose="020B0604020202020204" pitchFamily="34" charset="0"/>
            </a:rPr>
            <a:t>per employee</a:t>
          </a:r>
        </a:p>
      </cdr:txBody>
    </cdr:sp>
  </cdr:relSizeAnchor>
  <cdr:relSizeAnchor xmlns:cdr="http://schemas.openxmlformats.org/drawingml/2006/chartDrawing">
    <cdr:from>
      <cdr:x>0.17072</cdr:x>
      <cdr:y>0.25793</cdr:y>
    </cdr:from>
    <cdr:to>
      <cdr:x>0.46738</cdr:x>
      <cdr:y>0.25825</cdr:y>
    </cdr:to>
    <cdr:cxnSp macro="">
      <cdr:nvCxnSpPr>
        <cdr:cNvPr id="16" name="Straight Connector 15">
          <a:extLst xmlns:a="http://schemas.openxmlformats.org/drawingml/2006/main">
            <a:ext uri="{FF2B5EF4-FFF2-40B4-BE49-F238E27FC236}">
              <a16:creationId xmlns:a16="http://schemas.microsoft.com/office/drawing/2014/main" xmlns="" xmlns:lc="http://schemas.openxmlformats.org/drawingml/2006/lockedCanvas" id="{23A3E86C-4593-4DC7-A8CF-EB490C072EA6}"/>
            </a:ext>
          </a:extLst>
        </cdr:cNvPr>
        <cdr:cNvCxnSpPr/>
      </cdr:nvCxnSpPr>
      <cdr:spPr>
        <a:xfrm xmlns:a="http://schemas.openxmlformats.org/drawingml/2006/main" flipV="1">
          <a:off x="833066" y="719847"/>
          <a:ext cx="1447666" cy="886"/>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0.34514</cdr:x>
      <cdr:y>0.23169</cdr:y>
    </cdr:from>
    <cdr:to>
      <cdr:x>0.4663</cdr:x>
      <cdr:y>0.23223</cdr:y>
    </cdr:to>
    <cdr:cxnSp macro="">
      <cdr:nvCxnSpPr>
        <cdr:cNvPr id="22" name="Straight Connector 21">
          <a:extLst xmlns:a="http://schemas.openxmlformats.org/drawingml/2006/main">
            <a:ext uri="{FF2B5EF4-FFF2-40B4-BE49-F238E27FC236}">
              <a16:creationId xmlns:a16="http://schemas.microsoft.com/office/drawing/2014/main" xmlns="" xmlns:lc="http://schemas.openxmlformats.org/drawingml/2006/lockedCanvas" id="{DBB53EBE-ED65-4A65-9FD2-3872EF600AEC}"/>
            </a:ext>
          </a:extLst>
        </cdr:cNvPr>
        <cdr:cNvCxnSpPr/>
      </cdr:nvCxnSpPr>
      <cdr:spPr>
        <a:xfrm xmlns:a="http://schemas.openxmlformats.org/drawingml/2006/main" flipV="1">
          <a:off x="1684236" y="646619"/>
          <a:ext cx="591224" cy="1487"/>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0.46641</cdr:x>
      <cdr:y>0.1736</cdr:y>
    </cdr:from>
    <cdr:to>
      <cdr:x>0.46663</cdr:x>
      <cdr:y>0.22855</cdr:y>
    </cdr:to>
    <cdr:cxnSp macro="">
      <cdr:nvCxnSpPr>
        <cdr:cNvPr id="23" name="Straight Arrow Connector 22">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a:off x="2276002" y="484492"/>
          <a:ext cx="1081" cy="153348"/>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0.46641</cdr:x>
      <cdr:y>0.25784</cdr:y>
    </cdr:from>
    <cdr:to>
      <cdr:x>0.46691</cdr:x>
      <cdr:y>0.3106</cdr:y>
    </cdr:to>
    <cdr:cxnSp macro="">
      <cdr:nvCxnSpPr>
        <cdr:cNvPr id="24" name="Straight Arrow Connector 23">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H="1" flipV="1">
          <a:off x="2276002" y="719576"/>
          <a:ext cx="2432" cy="147264"/>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0.61592</cdr:x>
      <cdr:y>0.25638</cdr:y>
    </cdr:from>
    <cdr:to>
      <cdr:x>0.91258</cdr:x>
      <cdr:y>0.2567</cdr:y>
    </cdr:to>
    <cdr:cxnSp macro="">
      <cdr:nvCxnSpPr>
        <cdr:cNvPr id="25" name="Straight Connector 24">
          <a:extLst xmlns:a="http://schemas.openxmlformats.org/drawingml/2006/main">
            <a:ext uri="{FF2B5EF4-FFF2-40B4-BE49-F238E27FC236}">
              <a16:creationId xmlns="" xmlns:a16="http://schemas.microsoft.com/office/drawing/2014/main" xmlns:lc="http://schemas.openxmlformats.org/drawingml/2006/lockedCanvas" id="{23A3E86C-4593-4DC7-A8CF-EB490C072EA6}"/>
            </a:ext>
          </a:extLst>
        </cdr:cNvPr>
        <cdr:cNvCxnSpPr/>
      </cdr:nvCxnSpPr>
      <cdr:spPr>
        <a:xfrm xmlns:a="http://schemas.openxmlformats.org/drawingml/2006/main" flipV="1">
          <a:off x="3005576" y="715523"/>
          <a:ext cx="1447666" cy="886"/>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0.79117</cdr:x>
      <cdr:y>0.24186</cdr:y>
    </cdr:from>
    <cdr:to>
      <cdr:x>0.91233</cdr:x>
      <cdr:y>0.24239</cdr:y>
    </cdr:to>
    <cdr:cxnSp macro="">
      <cdr:nvCxnSpPr>
        <cdr:cNvPr id="29" name="Straight Connector 28">
          <a:extLst xmlns:a="http://schemas.openxmlformats.org/drawingml/2006/main">
            <a:ext uri="{FF2B5EF4-FFF2-40B4-BE49-F238E27FC236}">
              <a16:creationId xmlns="" xmlns:a16="http://schemas.microsoft.com/office/drawing/2014/main" xmlns:lc="http://schemas.openxmlformats.org/drawingml/2006/lockedCanvas" id="{DBB53EBE-ED65-4A65-9FD2-3872EF600AEC}"/>
            </a:ext>
          </a:extLst>
        </cdr:cNvPr>
        <cdr:cNvCxnSpPr/>
      </cdr:nvCxnSpPr>
      <cdr:spPr>
        <a:xfrm xmlns:a="http://schemas.openxmlformats.org/drawingml/2006/main" flipV="1">
          <a:off x="3860800" y="674991"/>
          <a:ext cx="591224" cy="1487"/>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0.91078</cdr:x>
      <cdr:y>0.18522</cdr:y>
    </cdr:from>
    <cdr:to>
      <cdr:x>0.911</cdr:x>
      <cdr:y>0.24017</cdr:y>
    </cdr:to>
    <cdr:cxnSp macro="">
      <cdr:nvCxnSpPr>
        <cdr:cNvPr id="30" name="Straight Arrow Connector 29">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a:off x="4444460" y="516918"/>
          <a:ext cx="1081" cy="153348"/>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0.91161</cdr:x>
      <cdr:y>0.25784</cdr:y>
    </cdr:from>
    <cdr:to>
      <cdr:x>0.91211</cdr:x>
      <cdr:y>0.3106</cdr:y>
    </cdr:to>
    <cdr:cxnSp macro="">
      <cdr:nvCxnSpPr>
        <cdr:cNvPr id="31" name="Straight Arrow Connector 30">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flipH="1" flipV="1">
          <a:off x="4448513" y="719576"/>
          <a:ext cx="2432" cy="147264"/>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0.10417</cdr:x>
      <cdr:y>0.81424</cdr:y>
    </cdr:from>
    <cdr:to>
      <cdr:x>0.33125</cdr:x>
      <cdr:y>0.99826</cdr:y>
    </cdr:to>
    <cdr:sp macro="" textlink="">
      <cdr:nvSpPr>
        <cdr:cNvPr id="2" name="TextBox 1">
          <a:extLst xmlns:a="http://schemas.openxmlformats.org/drawingml/2006/main">
            <a:ext uri="{FF2B5EF4-FFF2-40B4-BE49-F238E27FC236}">
              <a16:creationId xmlns="" xmlns:a16="http://schemas.microsoft.com/office/drawing/2014/main" id="{47449CBA-7520-4997-B75A-F6F402E609BA}"/>
            </a:ext>
          </a:extLst>
        </cdr:cNvPr>
        <cdr:cNvSpPr txBox="1"/>
      </cdr:nvSpPr>
      <cdr:spPr>
        <a:xfrm xmlns:a="http://schemas.openxmlformats.org/drawingml/2006/main">
          <a:off x="476250" y="2233613"/>
          <a:ext cx="10382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0.27986</cdr:x>
      <cdr:y>0.81597</cdr:y>
    </cdr:from>
    <cdr:to>
      <cdr:x>0.50694</cdr:x>
      <cdr:y>1</cdr:y>
    </cdr:to>
    <cdr:sp macro="" textlink="">
      <cdr:nvSpPr>
        <cdr:cNvPr id="3" name="TextBox 1">
          <a:extLst xmlns:a="http://schemas.openxmlformats.org/drawingml/2006/main">
            <a:ext uri="{FF2B5EF4-FFF2-40B4-BE49-F238E27FC236}">
              <a16:creationId xmlns="" xmlns:a16="http://schemas.microsoft.com/office/drawing/2014/main" id="{0401A30B-FB2C-4935-B47E-82EEA4B4F5AC}"/>
            </a:ext>
          </a:extLst>
        </cdr:cNvPr>
        <cdr:cNvSpPr txBox="1"/>
      </cdr:nvSpPr>
      <cdr:spPr>
        <a:xfrm xmlns:a="http://schemas.openxmlformats.org/drawingml/2006/main">
          <a:off x="1279525"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0.54236</cdr:x>
      <cdr:y>0.81424</cdr:y>
    </cdr:from>
    <cdr:to>
      <cdr:x>0.76944</cdr:x>
      <cdr:y>0.99826</cdr:y>
    </cdr:to>
    <cdr:sp macro="" textlink="">
      <cdr:nvSpPr>
        <cdr:cNvPr id="4" name="TextBox 1">
          <a:extLst xmlns:a="http://schemas.openxmlformats.org/drawingml/2006/main">
            <a:ext uri="{FF2B5EF4-FFF2-40B4-BE49-F238E27FC236}">
              <a16:creationId xmlns="" xmlns:a16="http://schemas.microsoft.com/office/drawing/2014/main" id="{488E3A47-945B-4225-8361-3B921921E09D}"/>
            </a:ext>
          </a:extLst>
        </cdr:cNvPr>
        <cdr:cNvSpPr txBox="1"/>
      </cdr:nvSpPr>
      <cdr:spPr>
        <a:xfrm xmlns:a="http://schemas.openxmlformats.org/drawingml/2006/main">
          <a:off x="2479675" y="2233613"/>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0.71806</cdr:x>
      <cdr:y>0.81597</cdr:y>
    </cdr:from>
    <cdr:to>
      <cdr:x>0.94514</cdr:x>
      <cdr:y>1</cdr:y>
    </cdr:to>
    <cdr:sp macro="" textlink="">
      <cdr:nvSpPr>
        <cdr:cNvPr id="5" name="TextBox 1">
          <a:extLst xmlns:a="http://schemas.openxmlformats.org/drawingml/2006/main">
            <a:ext uri="{FF2B5EF4-FFF2-40B4-BE49-F238E27FC236}">
              <a16:creationId xmlns="" xmlns:a16="http://schemas.microsoft.com/office/drawing/2014/main" id="{79F101C8-0430-442A-BD1F-39E67A25F8D6}"/>
            </a:ext>
          </a:extLst>
        </cdr:cNvPr>
        <cdr:cNvSpPr txBox="1"/>
      </cdr:nvSpPr>
      <cdr:spPr>
        <a:xfrm xmlns:a="http://schemas.openxmlformats.org/drawingml/2006/main">
          <a:off x="3282950"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0.90962</cdr:x>
      <cdr:y>0.20602</cdr:y>
    </cdr:from>
    <cdr:to>
      <cdr:x>1</cdr:x>
      <cdr:y>0.29103</cdr:y>
    </cdr:to>
    <cdr:sp macro="" textlink="">
      <cdr:nvSpPr>
        <cdr:cNvPr id="19" name="TextBox 4">
          <a:extLst xmlns:a="http://schemas.openxmlformats.org/drawingml/2006/main">
            <a:ext uri="{FF2B5EF4-FFF2-40B4-BE49-F238E27FC236}">
              <a16:creationId xmlns="" xmlns:a16="http://schemas.microsoft.com/office/drawing/2014/main" id="{6E7918A4-8B38-4A8D-BA8E-68999E852C6E}"/>
            </a:ext>
          </a:extLst>
        </cdr:cNvPr>
        <cdr:cNvSpPr txBox="1"/>
      </cdr:nvSpPr>
      <cdr:spPr>
        <a:xfrm xmlns:a="http://schemas.openxmlformats.org/drawingml/2006/main">
          <a:off x="4412808" y="598514"/>
          <a:ext cx="438457" cy="2469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t>3.7%</a:t>
          </a:r>
        </a:p>
      </cdr:txBody>
    </cdr:sp>
  </cdr:relSizeAnchor>
  <cdr:relSizeAnchor xmlns:cdr="http://schemas.openxmlformats.org/drawingml/2006/chartDrawing">
    <cdr:from>
      <cdr:x>0.48195</cdr:x>
      <cdr:y>0.19907</cdr:y>
    </cdr:from>
    <cdr:to>
      <cdr:x>0.57233</cdr:x>
      <cdr:y>0.28409</cdr:y>
    </cdr:to>
    <cdr:sp macro="" textlink="">
      <cdr:nvSpPr>
        <cdr:cNvPr id="21" name="TextBox 5">
          <a:extLst xmlns:a="http://schemas.openxmlformats.org/drawingml/2006/main">
            <a:ext uri="{FF2B5EF4-FFF2-40B4-BE49-F238E27FC236}">
              <a16:creationId xmlns="" xmlns:a16="http://schemas.microsoft.com/office/drawing/2014/main" id="{5F2130EA-5E09-49E4-A1E1-CC2A978A60EA}"/>
            </a:ext>
          </a:extLst>
        </cdr:cNvPr>
        <cdr:cNvSpPr txBox="1"/>
      </cdr:nvSpPr>
      <cdr:spPr>
        <a:xfrm xmlns:a="http://schemas.openxmlformats.org/drawingml/2006/main">
          <a:off x="2203460" y="546086"/>
          <a:ext cx="413218" cy="23322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t>7.6%</a:t>
          </a:r>
        </a:p>
      </cdr:txBody>
    </cdr:sp>
  </cdr:relSizeAnchor>
  <cdr:relSizeAnchor xmlns:cdr="http://schemas.openxmlformats.org/drawingml/2006/chartDrawing">
    <cdr:from>
      <cdr:x>0.16528</cdr:x>
      <cdr:y>0.05324</cdr:y>
    </cdr:from>
    <cdr:to>
      <cdr:x>0.55242</cdr:x>
      <cdr:y>0.15543</cdr:y>
    </cdr:to>
    <cdr:sp macro="" textlink="">
      <cdr:nvSpPr>
        <cdr:cNvPr id="28" name="TextBox 1"/>
        <cdr:cNvSpPr txBox="1"/>
      </cdr:nvSpPr>
      <cdr:spPr>
        <a:xfrm xmlns:a="http://schemas.openxmlformats.org/drawingml/2006/main">
          <a:off x="755650" y="146050"/>
          <a:ext cx="1770030" cy="2803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Sales per employee</a:t>
          </a:r>
        </a:p>
      </cdr:txBody>
    </cdr:sp>
  </cdr:relSizeAnchor>
  <cdr:relSizeAnchor xmlns:cdr="http://schemas.openxmlformats.org/drawingml/2006/chartDrawing">
    <cdr:from>
      <cdr:x>0.55275</cdr:x>
      <cdr:y>0.06019</cdr:y>
    </cdr:from>
    <cdr:to>
      <cdr:x>1</cdr:x>
      <cdr:y>0.1532</cdr:y>
    </cdr:to>
    <cdr:sp macro="" textlink="">
      <cdr:nvSpPr>
        <cdr:cNvPr id="29" name="TextBox 1"/>
        <cdr:cNvSpPr txBox="1"/>
      </cdr:nvSpPr>
      <cdr:spPr>
        <a:xfrm xmlns:a="http://schemas.openxmlformats.org/drawingml/2006/main">
          <a:off x="2527170" y="165100"/>
          <a:ext cx="2044830" cy="2551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Value</a:t>
          </a:r>
          <a:r>
            <a:rPr lang="en-AU" sz="900" baseline="0">
              <a:solidFill>
                <a:srgbClr val="373737"/>
              </a:solidFill>
              <a:latin typeface="Arial" panose="020B0604020202020204" pitchFamily="34" charset="0"/>
              <a:cs typeface="Arial" panose="020B0604020202020204" pitchFamily="34" charset="0"/>
            </a:rPr>
            <a:t> added </a:t>
          </a:r>
          <a:r>
            <a:rPr lang="en-AU" sz="900">
              <a:solidFill>
                <a:srgbClr val="373737"/>
              </a:solidFill>
              <a:latin typeface="Arial" panose="020B0604020202020204" pitchFamily="34" charset="0"/>
              <a:cs typeface="Arial" panose="020B0604020202020204" pitchFamily="34" charset="0"/>
            </a:rPr>
            <a:t>per employee</a:t>
          </a:r>
        </a:p>
      </cdr:txBody>
    </cdr:sp>
  </cdr:relSizeAnchor>
  <cdr:relSizeAnchor xmlns:cdr="http://schemas.openxmlformats.org/drawingml/2006/chartDrawing">
    <cdr:from>
      <cdr:x>0.17089</cdr:x>
      <cdr:y>0.25467</cdr:y>
    </cdr:from>
    <cdr:to>
      <cdr:x>0.4693</cdr:x>
      <cdr:y>0.25497</cdr:y>
    </cdr:to>
    <cdr:cxnSp macro="">
      <cdr:nvCxnSpPr>
        <cdr:cNvPr id="16" name="Straight Connector 15">
          <a:extLst xmlns:a="http://schemas.openxmlformats.org/drawingml/2006/main">
            <a:ext uri="{FF2B5EF4-FFF2-40B4-BE49-F238E27FC236}">
              <a16:creationId xmlns="" xmlns:a16="http://schemas.microsoft.com/office/drawing/2014/main" xmlns:lc="http://schemas.openxmlformats.org/drawingml/2006/lockedCanvas" id="{23A3E86C-4593-4DC7-A8CF-EB490C072EA6}"/>
            </a:ext>
          </a:extLst>
        </cdr:cNvPr>
        <cdr:cNvCxnSpPr/>
      </cdr:nvCxnSpPr>
      <cdr:spPr>
        <a:xfrm xmlns:a="http://schemas.openxmlformats.org/drawingml/2006/main" flipV="1">
          <a:off x="829012" y="739842"/>
          <a:ext cx="1447666" cy="886"/>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0.3455</cdr:x>
      <cdr:y>0.21311</cdr:y>
    </cdr:from>
    <cdr:to>
      <cdr:x>0.46754</cdr:x>
      <cdr:y>0.21472</cdr:y>
    </cdr:to>
    <cdr:cxnSp macro="">
      <cdr:nvCxnSpPr>
        <cdr:cNvPr id="20" name="Straight Connector 19">
          <a:extLst xmlns:a="http://schemas.openxmlformats.org/drawingml/2006/main">
            <a:ext uri="{FF2B5EF4-FFF2-40B4-BE49-F238E27FC236}">
              <a16:creationId xmlns="" xmlns:a16="http://schemas.microsoft.com/office/drawing/2014/main" xmlns:lc="http://schemas.openxmlformats.org/drawingml/2006/lockedCanvas" id="{DBB53EBE-ED65-4A65-9FD2-3872EF600AEC}"/>
            </a:ext>
          </a:extLst>
        </cdr:cNvPr>
        <cdr:cNvCxnSpPr/>
      </cdr:nvCxnSpPr>
      <cdr:spPr>
        <a:xfrm xmlns:a="http://schemas.openxmlformats.org/drawingml/2006/main" flipV="1">
          <a:off x="1676130" y="619125"/>
          <a:ext cx="592036" cy="4663"/>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0.46832</cdr:x>
      <cdr:y>0.1601</cdr:y>
    </cdr:from>
    <cdr:to>
      <cdr:x>0.46838</cdr:x>
      <cdr:y>0.21142</cdr:y>
    </cdr:to>
    <cdr:cxnSp macro="">
      <cdr:nvCxnSpPr>
        <cdr:cNvPr id="22" name="Straight Arrow Connector 21">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flipH="1">
          <a:off x="2271949" y="465104"/>
          <a:ext cx="269" cy="149090"/>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0.46921</cdr:x>
      <cdr:y>0.25497</cdr:y>
    </cdr:from>
    <cdr:to>
      <cdr:x>0.46921</cdr:x>
      <cdr:y>0.3052</cdr:y>
    </cdr:to>
    <cdr:cxnSp macro="">
      <cdr:nvCxnSpPr>
        <cdr:cNvPr id="23" name="Straight Arrow Connector 22">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V="1">
          <a:off x="2276272" y="740723"/>
          <a:ext cx="0" cy="145913"/>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0.61537</cdr:x>
      <cdr:y>0.25746</cdr:y>
    </cdr:from>
    <cdr:to>
      <cdr:x>0.91378</cdr:x>
      <cdr:y>0.25776</cdr:y>
    </cdr:to>
    <cdr:cxnSp macro="">
      <cdr:nvCxnSpPr>
        <cdr:cNvPr id="30" name="Straight Connector 29">
          <a:extLst xmlns:a="http://schemas.openxmlformats.org/drawingml/2006/main">
            <a:ext uri="{FF2B5EF4-FFF2-40B4-BE49-F238E27FC236}">
              <a16:creationId xmlns:a16="http://schemas.microsoft.com/office/drawing/2014/main" xmlns="" xmlns:lc="http://schemas.openxmlformats.org/drawingml/2006/lockedCanvas" id="{23A3E86C-4593-4DC7-A8CF-EB490C072EA6}"/>
            </a:ext>
          </a:extLst>
        </cdr:cNvPr>
        <cdr:cNvCxnSpPr/>
      </cdr:nvCxnSpPr>
      <cdr:spPr>
        <a:xfrm xmlns:a="http://schemas.openxmlformats.org/drawingml/2006/main" flipV="1">
          <a:off x="2985310" y="747949"/>
          <a:ext cx="1447666" cy="886"/>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0.79082</cdr:x>
      <cdr:y>0.23514</cdr:y>
    </cdr:from>
    <cdr:to>
      <cdr:x>0.91286</cdr:x>
      <cdr:y>0.23674</cdr:y>
    </cdr:to>
    <cdr:cxnSp macro="">
      <cdr:nvCxnSpPr>
        <cdr:cNvPr id="31" name="Straight Connector 30">
          <a:extLst xmlns:a="http://schemas.openxmlformats.org/drawingml/2006/main">
            <a:ext uri="{FF2B5EF4-FFF2-40B4-BE49-F238E27FC236}">
              <a16:creationId xmlns:a16="http://schemas.microsoft.com/office/drawing/2014/main" xmlns="" xmlns:lc="http://schemas.openxmlformats.org/drawingml/2006/lockedCanvas" id="{DBB53EBE-ED65-4A65-9FD2-3872EF600AEC}"/>
            </a:ext>
          </a:extLst>
        </cdr:cNvPr>
        <cdr:cNvCxnSpPr/>
      </cdr:nvCxnSpPr>
      <cdr:spPr>
        <a:xfrm xmlns:a="http://schemas.openxmlformats.org/drawingml/2006/main" flipV="1">
          <a:off x="3836481" y="683098"/>
          <a:ext cx="592036" cy="4663"/>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0.91197</cdr:x>
      <cdr:y>0.18351</cdr:y>
    </cdr:from>
    <cdr:to>
      <cdr:x>0.91202</cdr:x>
      <cdr:y>0.23483</cdr:y>
    </cdr:to>
    <cdr:cxnSp macro="">
      <cdr:nvCxnSpPr>
        <cdr:cNvPr id="32" name="Straight Arrow Connector 31">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H="1">
          <a:off x="4424193" y="533130"/>
          <a:ext cx="269" cy="149090"/>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0.91247</cdr:x>
      <cdr:y>0.25711</cdr:y>
    </cdr:from>
    <cdr:to>
      <cdr:x>0.91247</cdr:x>
      <cdr:y>0.30734</cdr:y>
    </cdr:to>
    <cdr:cxnSp macro="">
      <cdr:nvCxnSpPr>
        <cdr:cNvPr id="33" name="Straight Arrow Connector 32">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flipV="1">
          <a:off x="4426625" y="746938"/>
          <a:ext cx="0" cy="145913"/>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0.10417</cdr:x>
      <cdr:y>0.81424</cdr:y>
    </cdr:from>
    <cdr:to>
      <cdr:x>0.33125</cdr:x>
      <cdr:y>0.99826</cdr:y>
    </cdr:to>
    <cdr:sp macro="" textlink="">
      <cdr:nvSpPr>
        <cdr:cNvPr id="2" name="TextBox 1">
          <a:extLst xmlns:a="http://schemas.openxmlformats.org/drawingml/2006/main">
            <a:ext uri="{FF2B5EF4-FFF2-40B4-BE49-F238E27FC236}">
              <a16:creationId xmlns="" xmlns:a16="http://schemas.microsoft.com/office/drawing/2014/main" id="{47449CBA-7520-4997-B75A-F6F402E609BA}"/>
            </a:ext>
          </a:extLst>
        </cdr:cNvPr>
        <cdr:cNvSpPr txBox="1"/>
      </cdr:nvSpPr>
      <cdr:spPr>
        <a:xfrm xmlns:a="http://schemas.openxmlformats.org/drawingml/2006/main">
          <a:off x="476250" y="2233613"/>
          <a:ext cx="10382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solidFill>
                <a:schemeClr val="tx1">
                  <a:lumMod val="65000"/>
                  <a:lumOff val="35000"/>
                </a:schemeClr>
              </a:solidFill>
              <a:latin typeface="Arial" panose="020B0604020202020204" pitchFamily="34" charset="0"/>
              <a:cs typeface="Arial" panose="020B0604020202020204" pitchFamily="34" charset="0"/>
            </a:rPr>
            <a:t>Management</a:t>
          </a:r>
          <a:r>
            <a:rPr lang="en-AU" sz="900" baseline="0">
              <a:solidFill>
                <a:schemeClr val="tx1">
                  <a:lumMod val="65000"/>
                  <a:lumOff val="35000"/>
                </a:schemeClr>
              </a:solidFill>
              <a:latin typeface="Arial" panose="020B0604020202020204" pitchFamily="34" charset="0"/>
              <a:cs typeface="Arial" panose="020B0604020202020204" pitchFamily="34" charset="0"/>
            </a:rPr>
            <a:t> Practice Score (x)</a:t>
          </a:r>
          <a:endParaRPr lang="en-AU" sz="900">
            <a:solidFill>
              <a:schemeClr val="tx1">
                <a:lumMod val="65000"/>
                <a:lumOff val="35000"/>
              </a:schemeClr>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0.27986</cdr:x>
      <cdr:y>0.81597</cdr:y>
    </cdr:from>
    <cdr:to>
      <cdr:x>0.50694</cdr:x>
      <cdr:y>1</cdr:y>
    </cdr:to>
    <cdr:sp macro="" textlink="">
      <cdr:nvSpPr>
        <cdr:cNvPr id="3" name="TextBox 1">
          <a:extLst xmlns:a="http://schemas.openxmlformats.org/drawingml/2006/main">
            <a:ext uri="{FF2B5EF4-FFF2-40B4-BE49-F238E27FC236}">
              <a16:creationId xmlns="" xmlns:a16="http://schemas.microsoft.com/office/drawing/2014/main" id="{0401A30B-FB2C-4935-B47E-82EEA4B4F5AC}"/>
            </a:ext>
          </a:extLst>
        </cdr:cNvPr>
        <cdr:cNvSpPr txBox="1"/>
      </cdr:nvSpPr>
      <cdr:spPr>
        <a:xfrm xmlns:a="http://schemas.openxmlformats.org/drawingml/2006/main">
          <a:off x="1279525"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0.54236</cdr:x>
      <cdr:y>0.81424</cdr:y>
    </cdr:from>
    <cdr:to>
      <cdr:x>0.76944</cdr:x>
      <cdr:y>0.99826</cdr:y>
    </cdr:to>
    <cdr:sp macro="" textlink="">
      <cdr:nvSpPr>
        <cdr:cNvPr id="4" name="TextBox 1">
          <a:extLst xmlns:a="http://schemas.openxmlformats.org/drawingml/2006/main">
            <a:ext uri="{FF2B5EF4-FFF2-40B4-BE49-F238E27FC236}">
              <a16:creationId xmlns="" xmlns:a16="http://schemas.microsoft.com/office/drawing/2014/main" id="{488E3A47-945B-4225-8361-3B921921E09D}"/>
            </a:ext>
          </a:extLst>
        </cdr:cNvPr>
        <cdr:cNvSpPr txBox="1"/>
      </cdr:nvSpPr>
      <cdr:spPr>
        <a:xfrm xmlns:a="http://schemas.openxmlformats.org/drawingml/2006/main">
          <a:off x="2479675" y="2233613"/>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0.71806</cdr:x>
      <cdr:y>0.81597</cdr:y>
    </cdr:from>
    <cdr:to>
      <cdr:x>0.94514</cdr:x>
      <cdr:y>1</cdr:y>
    </cdr:to>
    <cdr:sp macro="" textlink="">
      <cdr:nvSpPr>
        <cdr:cNvPr id="5" name="TextBox 1">
          <a:extLst xmlns:a="http://schemas.openxmlformats.org/drawingml/2006/main">
            <a:ext uri="{FF2B5EF4-FFF2-40B4-BE49-F238E27FC236}">
              <a16:creationId xmlns="" xmlns:a16="http://schemas.microsoft.com/office/drawing/2014/main" id="{79F101C8-0430-442A-BD1F-39E67A25F8D6}"/>
            </a:ext>
          </a:extLst>
        </cdr:cNvPr>
        <cdr:cNvSpPr txBox="1"/>
      </cdr:nvSpPr>
      <cdr:spPr>
        <a:xfrm xmlns:a="http://schemas.openxmlformats.org/drawingml/2006/main">
          <a:off x="3282950"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0.90961</cdr:x>
      <cdr:y>0.20602</cdr:y>
    </cdr:from>
    <cdr:to>
      <cdr:x>0.99925</cdr:x>
      <cdr:y>0.28582</cdr:y>
    </cdr:to>
    <cdr:sp macro="" textlink="">
      <cdr:nvSpPr>
        <cdr:cNvPr id="19" name="TextBox 4">
          <a:extLst xmlns:a="http://schemas.openxmlformats.org/drawingml/2006/main">
            <a:ext uri="{FF2B5EF4-FFF2-40B4-BE49-F238E27FC236}">
              <a16:creationId xmlns="" xmlns:a16="http://schemas.microsoft.com/office/drawing/2014/main" id="{6E7918A4-8B38-4A8D-BA8E-68999E852C6E}"/>
            </a:ext>
          </a:extLst>
        </cdr:cNvPr>
        <cdr:cNvSpPr txBox="1"/>
      </cdr:nvSpPr>
      <cdr:spPr>
        <a:xfrm xmlns:a="http://schemas.openxmlformats.org/drawingml/2006/main">
          <a:off x="4542720" y="580853"/>
          <a:ext cx="447687" cy="224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1.8%</a:t>
          </a:r>
        </a:p>
      </cdr:txBody>
    </cdr:sp>
  </cdr:relSizeAnchor>
  <cdr:relSizeAnchor xmlns:cdr="http://schemas.openxmlformats.org/drawingml/2006/chartDrawing">
    <cdr:from>
      <cdr:x>0.46528</cdr:x>
      <cdr:y>0.20602</cdr:y>
    </cdr:from>
    <cdr:to>
      <cdr:x>0.55492</cdr:x>
      <cdr:y>0.28582</cdr:y>
    </cdr:to>
    <cdr:sp macro="" textlink="">
      <cdr:nvSpPr>
        <cdr:cNvPr id="21" name="TextBox 5">
          <a:extLst xmlns:a="http://schemas.openxmlformats.org/drawingml/2006/main">
            <a:ext uri="{FF2B5EF4-FFF2-40B4-BE49-F238E27FC236}">
              <a16:creationId xmlns="" xmlns:a16="http://schemas.microsoft.com/office/drawing/2014/main" id="{5F2130EA-5E09-49E4-A1E1-CC2A978A60EA}"/>
            </a:ext>
          </a:extLst>
        </cdr:cNvPr>
        <cdr:cNvSpPr txBox="1"/>
      </cdr:nvSpPr>
      <cdr:spPr>
        <a:xfrm xmlns:a="http://schemas.openxmlformats.org/drawingml/2006/main">
          <a:off x="2323673" y="580853"/>
          <a:ext cx="447687" cy="224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6.6%</a:t>
          </a:r>
        </a:p>
      </cdr:txBody>
    </cdr:sp>
  </cdr:relSizeAnchor>
  <cdr:relSizeAnchor xmlns:cdr="http://schemas.openxmlformats.org/drawingml/2006/chartDrawing">
    <cdr:from>
      <cdr:x>0.18593</cdr:x>
      <cdr:y>0.08543</cdr:y>
    </cdr:from>
    <cdr:to>
      <cdr:x>0.59727</cdr:x>
      <cdr:y>0.19365</cdr:y>
    </cdr:to>
    <cdr:sp macro="" textlink="">
      <cdr:nvSpPr>
        <cdr:cNvPr id="27" name="TextBox 1"/>
        <cdr:cNvSpPr txBox="1"/>
      </cdr:nvSpPr>
      <cdr:spPr>
        <a:xfrm xmlns:a="http://schemas.openxmlformats.org/drawingml/2006/main">
          <a:off x="929779" y="240859"/>
          <a:ext cx="2056969" cy="3051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Sales per employee</a:t>
          </a:r>
        </a:p>
      </cdr:txBody>
    </cdr:sp>
  </cdr:relSizeAnchor>
  <cdr:relSizeAnchor xmlns:cdr="http://schemas.openxmlformats.org/drawingml/2006/chartDrawing">
    <cdr:from>
      <cdr:x>0.60605</cdr:x>
      <cdr:y>0.07811</cdr:y>
    </cdr:from>
    <cdr:to>
      <cdr:x>0.9625</cdr:x>
      <cdr:y>0.18459</cdr:y>
    </cdr:to>
    <cdr:sp macro="" textlink="">
      <cdr:nvSpPr>
        <cdr:cNvPr id="28" name="TextBox 1"/>
        <cdr:cNvSpPr txBox="1"/>
      </cdr:nvSpPr>
      <cdr:spPr>
        <a:xfrm xmlns:a="http://schemas.openxmlformats.org/drawingml/2006/main">
          <a:off x="3030610" y="220222"/>
          <a:ext cx="1782492" cy="3002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Value</a:t>
          </a:r>
          <a:r>
            <a:rPr lang="en-AU" sz="900" baseline="0">
              <a:solidFill>
                <a:srgbClr val="373737"/>
              </a:solidFill>
              <a:latin typeface="Arial" panose="020B0604020202020204" pitchFamily="34" charset="0"/>
              <a:cs typeface="Arial" panose="020B0604020202020204" pitchFamily="34" charset="0"/>
            </a:rPr>
            <a:t> added </a:t>
          </a:r>
          <a:r>
            <a:rPr lang="en-AU" sz="900">
              <a:solidFill>
                <a:srgbClr val="373737"/>
              </a:solidFill>
              <a:latin typeface="Arial" panose="020B0604020202020204" pitchFamily="34" charset="0"/>
              <a:cs typeface="Arial" panose="020B0604020202020204" pitchFamily="34" charset="0"/>
            </a:rPr>
            <a:t>per employee</a:t>
          </a:r>
        </a:p>
      </cdr:txBody>
    </cdr:sp>
  </cdr:relSizeAnchor>
  <cdr:relSizeAnchor xmlns:cdr="http://schemas.openxmlformats.org/drawingml/2006/chartDrawing">
    <cdr:from>
      <cdr:x>0.17087</cdr:x>
      <cdr:y>0.2581</cdr:y>
    </cdr:from>
    <cdr:to>
      <cdr:x>0.46074</cdr:x>
      <cdr:y>0.25841</cdr:y>
    </cdr:to>
    <cdr:cxnSp macro="">
      <cdr:nvCxnSpPr>
        <cdr:cNvPr id="18" name="Straight Connector 17">
          <a:extLst xmlns:a="http://schemas.openxmlformats.org/drawingml/2006/main">
            <a:ext uri="{FF2B5EF4-FFF2-40B4-BE49-F238E27FC236}">
              <a16:creationId xmlns:a16="http://schemas.microsoft.com/office/drawing/2014/main" xmlns="" xmlns:lc="http://schemas.openxmlformats.org/drawingml/2006/lockedCanvas" id="{23A3E86C-4593-4DC7-A8CF-EB490C072EA6}"/>
            </a:ext>
          </a:extLst>
        </cdr:cNvPr>
        <cdr:cNvCxnSpPr/>
      </cdr:nvCxnSpPr>
      <cdr:spPr>
        <a:xfrm xmlns:a="http://schemas.openxmlformats.org/drawingml/2006/main" flipV="1">
          <a:off x="853332" y="727683"/>
          <a:ext cx="1447666" cy="886"/>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0.34617</cdr:x>
      <cdr:y>0.2188</cdr:y>
    </cdr:from>
    <cdr:to>
      <cdr:x>0.45944</cdr:x>
      <cdr:y>0.2195</cdr:y>
    </cdr:to>
    <cdr:cxnSp macro="">
      <cdr:nvCxnSpPr>
        <cdr:cNvPr id="22" name="Straight Connector 21">
          <a:extLst xmlns:a="http://schemas.openxmlformats.org/drawingml/2006/main">
            <a:ext uri="{FF2B5EF4-FFF2-40B4-BE49-F238E27FC236}">
              <a16:creationId xmlns:a16="http://schemas.microsoft.com/office/drawing/2014/main" xmlns="" xmlns:lc="http://schemas.openxmlformats.org/drawingml/2006/lockedCanvas" id="{DBB53EBE-ED65-4A65-9FD2-3872EF600AEC}"/>
            </a:ext>
          </a:extLst>
        </cdr:cNvPr>
        <cdr:cNvCxnSpPr/>
      </cdr:nvCxnSpPr>
      <cdr:spPr>
        <a:xfrm xmlns:a="http://schemas.openxmlformats.org/drawingml/2006/main" flipV="1">
          <a:off x="1728821" y="616895"/>
          <a:ext cx="565692" cy="1963"/>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0.45898</cdr:x>
      <cdr:y>0.16753</cdr:y>
    </cdr:from>
    <cdr:to>
      <cdr:x>0.45903</cdr:x>
      <cdr:y>0.22041</cdr:y>
    </cdr:to>
    <cdr:cxnSp macro="">
      <cdr:nvCxnSpPr>
        <cdr:cNvPr id="23" name="Straight Arrow Connector 22">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H="1">
          <a:off x="2292215" y="472332"/>
          <a:ext cx="269" cy="149090"/>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0.45947</cdr:x>
      <cdr:y>0.25918</cdr:y>
    </cdr:from>
    <cdr:to>
      <cdr:x>0.45947</cdr:x>
      <cdr:y>0.31093</cdr:y>
    </cdr:to>
    <cdr:cxnSp macro="">
      <cdr:nvCxnSpPr>
        <cdr:cNvPr id="24" name="Straight Arrow Connector 23">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flipV="1">
          <a:off x="2294647" y="730725"/>
          <a:ext cx="0" cy="145913"/>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0.61724</cdr:x>
      <cdr:y>0.25331</cdr:y>
    </cdr:from>
    <cdr:to>
      <cdr:x>0.905</cdr:x>
      <cdr:y>0.25698</cdr:y>
    </cdr:to>
    <cdr:cxnSp macro="">
      <cdr:nvCxnSpPr>
        <cdr:cNvPr id="25" name="Straight Connector 24">
          <a:extLst xmlns:a="http://schemas.openxmlformats.org/drawingml/2006/main">
            <a:ext uri="{FF2B5EF4-FFF2-40B4-BE49-F238E27FC236}">
              <a16:creationId xmlns="" xmlns:a16="http://schemas.microsoft.com/office/drawing/2014/main" xmlns:lc="http://schemas.openxmlformats.org/drawingml/2006/lockedCanvas" id="{23A3E86C-4593-4DC7-A8CF-EB490C072EA6}"/>
            </a:ext>
          </a:extLst>
        </cdr:cNvPr>
        <cdr:cNvCxnSpPr/>
      </cdr:nvCxnSpPr>
      <cdr:spPr>
        <a:xfrm xmlns:a="http://schemas.openxmlformats.org/drawingml/2006/main" flipV="1">
          <a:off x="3082587" y="714172"/>
          <a:ext cx="1437128" cy="10344"/>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0.79092</cdr:x>
      <cdr:y>0.2466</cdr:y>
    </cdr:from>
    <cdr:to>
      <cdr:x>0.90419</cdr:x>
      <cdr:y>0.24729</cdr:y>
    </cdr:to>
    <cdr:cxnSp macro="">
      <cdr:nvCxnSpPr>
        <cdr:cNvPr id="29" name="Straight Connector 28">
          <a:extLst xmlns:a="http://schemas.openxmlformats.org/drawingml/2006/main">
            <a:ext uri="{FF2B5EF4-FFF2-40B4-BE49-F238E27FC236}">
              <a16:creationId xmlns="" xmlns:a16="http://schemas.microsoft.com/office/drawing/2014/main" xmlns:lc="http://schemas.openxmlformats.org/drawingml/2006/lockedCanvas" id="{DBB53EBE-ED65-4A65-9FD2-3872EF600AEC}"/>
            </a:ext>
          </a:extLst>
        </cdr:cNvPr>
        <cdr:cNvCxnSpPr/>
      </cdr:nvCxnSpPr>
      <cdr:spPr>
        <a:xfrm xmlns:a="http://schemas.openxmlformats.org/drawingml/2006/main" flipV="1">
          <a:off x="3949970" y="695258"/>
          <a:ext cx="565692" cy="1963"/>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0.90454</cdr:x>
      <cdr:y>0.19341</cdr:y>
    </cdr:from>
    <cdr:to>
      <cdr:x>0.9046</cdr:x>
      <cdr:y>0.24629</cdr:y>
    </cdr:to>
    <cdr:cxnSp macro="">
      <cdr:nvCxnSpPr>
        <cdr:cNvPr id="30" name="Straight Arrow Connector 29">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flipH="1">
          <a:off x="4517417" y="545290"/>
          <a:ext cx="269" cy="149090"/>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0.90384</cdr:x>
      <cdr:y>0.24988</cdr:y>
    </cdr:from>
    <cdr:to>
      <cdr:x>0.90384</cdr:x>
      <cdr:y>0.30163</cdr:y>
    </cdr:to>
    <cdr:cxnSp macro="">
      <cdr:nvCxnSpPr>
        <cdr:cNvPr id="31" name="Straight Arrow Connector 30">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V="1">
          <a:off x="4513905" y="704515"/>
          <a:ext cx="0" cy="145913"/>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0.10417</cdr:x>
      <cdr:y>0.81424</cdr:y>
    </cdr:from>
    <cdr:to>
      <cdr:x>0.33125</cdr:x>
      <cdr:y>0.99826</cdr:y>
    </cdr:to>
    <cdr:sp macro="" textlink="">
      <cdr:nvSpPr>
        <cdr:cNvPr id="2" name="TextBox 1">
          <a:extLst xmlns:a="http://schemas.openxmlformats.org/drawingml/2006/main">
            <a:ext uri="{FF2B5EF4-FFF2-40B4-BE49-F238E27FC236}">
              <a16:creationId xmlns="" xmlns:a16="http://schemas.microsoft.com/office/drawing/2014/main" id="{47449CBA-7520-4997-B75A-F6F402E609BA}"/>
            </a:ext>
          </a:extLst>
        </cdr:cNvPr>
        <cdr:cNvSpPr txBox="1"/>
      </cdr:nvSpPr>
      <cdr:spPr>
        <a:xfrm xmlns:a="http://schemas.openxmlformats.org/drawingml/2006/main">
          <a:off x="476250" y="2233613"/>
          <a:ext cx="10382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0.27986</cdr:x>
      <cdr:y>0.81597</cdr:y>
    </cdr:from>
    <cdr:to>
      <cdr:x>0.50694</cdr:x>
      <cdr:y>1</cdr:y>
    </cdr:to>
    <cdr:sp macro="" textlink="">
      <cdr:nvSpPr>
        <cdr:cNvPr id="3" name="TextBox 1">
          <a:extLst xmlns:a="http://schemas.openxmlformats.org/drawingml/2006/main">
            <a:ext uri="{FF2B5EF4-FFF2-40B4-BE49-F238E27FC236}">
              <a16:creationId xmlns="" xmlns:a16="http://schemas.microsoft.com/office/drawing/2014/main" id="{0401A30B-FB2C-4935-B47E-82EEA4B4F5AC}"/>
            </a:ext>
          </a:extLst>
        </cdr:cNvPr>
        <cdr:cNvSpPr txBox="1"/>
      </cdr:nvSpPr>
      <cdr:spPr>
        <a:xfrm xmlns:a="http://schemas.openxmlformats.org/drawingml/2006/main">
          <a:off x="1279525"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Practice Score</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0.54236</cdr:x>
      <cdr:y>0.81424</cdr:y>
    </cdr:from>
    <cdr:to>
      <cdr:x>0.76944</cdr:x>
      <cdr:y>0.99826</cdr:y>
    </cdr:to>
    <cdr:sp macro="" textlink="">
      <cdr:nvSpPr>
        <cdr:cNvPr id="4" name="TextBox 1">
          <a:extLst xmlns:a="http://schemas.openxmlformats.org/drawingml/2006/main">
            <a:ext uri="{FF2B5EF4-FFF2-40B4-BE49-F238E27FC236}">
              <a16:creationId xmlns="" xmlns:a16="http://schemas.microsoft.com/office/drawing/2014/main" id="{488E3A47-945B-4225-8361-3B921921E09D}"/>
            </a:ext>
          </a:extLst>
        </cdr:cNvPr>
        <cdr:cNvSpPr txBox="1"/>
      </cdr:nvSpPr>
      <cdr:spPr>
        <a:xfrm xmlns:a="http://schemas.openxmlformats.org/drawingml/2006/main">
          <a:off x="2479675" y="2233613"/>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0.71806</cdr:x>
      <cdr:y>0.81597</cdr:y>
    </cdr:from>
    <cdr:to>
      <cdr:x>0.94514</cdr:x>
      <cdr:y>1</cdr:y>
    </cdr:to>
    <cdr:sp macro="" textlink="">
      <cdr:nvSpPr>
        <cdr:cNvPr id="5" name="TextBox 1">
          <a:extLst xmlns:a="http://schemas.openxmlformats.org/drawingml/2006/main">
            <a:ext uri="{FF2B5EF4-FFF2-40B4-BE49-F238E27FC236}">
              <a16:creationId xmlns="" xmlns:a16="http://schemas.microsoft.com/office/drawing/2014/main" id="{79F101C8-0430-442A-BD1F-39E67A25F8D6}"/>
            </a:ext>
          </a:extLst>
        </cdr:cNvPr>
        <cdr:cNvSpPr txBox="1"/>
      </cdr:nvSpPr>
      <cdr:spPr>
        <a:xfrm xmlns:a="http://schemas.openxmlformats.org/drawingml/2006/main">
          <a:off x="3282950"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Practice Score</a:t>
          </a:r>
        </a:p>
        <a:p xmlns:a="http://schemas.openxmlformats.org/drawingml/2006/main">
          <a:pPr algn="ctr"/>
          <a:r>
            <a:rPr lang="en-AU" sz="900" baseline="0">
              <a:solidFill>
                <a:srgbClr val="373737"/>
              </a:solidFill>
              <a:latin typeface="Arial" panose="020B0604020202020204" pitchFamily="34" charset="0"/>
              <a:cs typeface="Arial" panose="020B0604020202020204" pitchFamily="34" charset="0"/>
            </a:rPr>
            <a:t>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0.90176</cdr:x>
      <cdr:y>0.20348</cdr:y>
    </cdr:from>
    <cdr:to>
      <cdr:x>0.98952</cdr:x>
      <cdr:y>0.28383</cdr:y>
    </cdr:to>
    <cdr:sp macro="" textlink="">
      <cdr:nvSpPr>
        <cdr:cNvPr id="19" name="TextBox 4">
          <a:extLst xmlns:a="http://schemas.openxmlformats.org/drawingml/2006/main">
            <a:ext uri="{FF2B5EF4-FFF2-40B4-BE49-F238E27FC236}">
              <a16:creationId xmlns="" xmlns:a16="http://schemas.microsoft.com/office/drawing/2014/main" id="{6E7918A4-8B38-4A8D-BA8E-68999E852C6E}"/>
            </a:ext>
          </a:extLst>
        </cdr:cNvPr>
        <cdr:cNvSpPr txBox="1"/>
      </cdr:nvSpPr>
      <cdr:spPr>
        <a:xfrm xmlns:a="http://schemas.openxmlformats.org/drawingml/2006/main">
          <a:off x="4881463" y="569820"/>
          <a:ext cx="475033" cy="224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4.0%</a:t>
          </a:r>
        </a:p>
      </cdr:txBody>
    </cdr:sp>
  </cdr:relSizeAnchor>
  <cdr:relSizeAnchor xmlns:cdr="http://schemas.openxmlformats.org/drawingml/2006/chartDrawing">
    <cdr:from>
      <cdr:x>0.4648</cdr:x>
      <cdr:y>0.18575</cdr:y>
    </cdr:from>
    <cdr:to>
      <cdr:x>0.5475</cdr:x>
      <cdr:y>0.2661</cdr:y>
    </cdr:to>
    <cdr:sp macro="" textlink="">
      <cdr:nvSpPr>
        <cdr:cNvPr id="21" name="TextBox 5">
          <a:extLst xmlns:a="http://schemas.openxmlformats.org/drawingml/2006/main">
            <a:ext uri="{FF2B5EF4-FFF2-40B4-BE49-F238E27FC236}">
              <a16:creationId xmlns="" xmlns:a16="http://schemas.microsoft.com/office/drawing/2014/main" id="{5F2130EA-5E09-49E4-A1E1-CC2A978A60EA}"/>
            </a:ext>
          </a:extLst>
        </cdr:cNvPr>
        <cdr:cNvSpPr txBox="1"/>
      </cdr:nvSpPr>
      <cdr:spPr>
        <a:xfrm xmlns:a="http://schemas.openxmlformats.org/drawingml/2006/main">
          <a:off x="2516081" y="520179"/>
          <a:ext cx="447687" cy="224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9.2%</a:t>
          </a:r>
        </a:p>
      </cdr:txBody>
    </cdr:sp>
  </cdr:relSizeAnchor>
  <cdr:relSizeAnchor xmlns:cdr="http://schemas.openxmlformats.org/drawingml/2006/chartDrawing">
    <cdr:from>
      <cdr:x>0.18743</cdr:x>
      <cdr:y>0.04463</cdr:y>
    </cdr:from>
    <cdr:to>
      <cdr:x>0.42406</cdr:x>
      <cdr:y>0.14358</cdr:y>
    </cdr:to>
    <cdr:sp macro="" textlink="">
      <cdr:nvSpPr>
        <cdr:cNvPr id="27" name="TextBox 1"/>
        <cdr:cNvSpPr txBox="1"/>
      </cdr:nvSpPr>
      <cdr:spPr>
        <a:xfrm xmlns:a="http://schemas.openxmlformats.org/drawingml/2006/main">
          <a:off x="1014624" y="124980"/>
          <a:ext cx="1280903" cy="2770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Sales per employee</a:t>
          </a:r>
        </a:p>
      </cdr:txBody>
    </cdr:sp>
  </cdr:relSizeAnchor>
  <cdr:relSizeAnchor xmlns:cdr="http://schemas.openxmlformats.org/drawingml/2006/chartDrawing">
    <cdr:from>
      <cdr:x>0.61921</cdr:x>
      <cdr:y>0.01474</cdr:y>
    </cdr:from>
    <cdr:to>
      <cdr:x>0.88752</cdr:x>
      <cdr:y>0.10544</cdr:y>
    </cdr:to>
    <cdr:sp macro="" textlink="">
      <cdr:nvSpPr>
        <cdr:cNvPr id="28" name="TextBox 1"/>
        <cdr:cNvSpPr txBox="1"/>
      </cdr:nvSpPr>
      <cdr:spPr>
        <a:xfrm xmlns:a="http://schemas.openxmlformats.org/drawingml/2006/main">
          <a:off x="3355975" y="41276"/>
          <a:ext cx="1454151"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Value</a:t>
          </a:r>
          <a:r>
            <a:rPr lang="en-AU" sz="900" baseline="0">
              <a:solidFill>
                <a:srgbClr val="373737"/>
              </a:solidFill>
              <a:latin typeface="Arial" panose="020B0604020202020204" pitchFamily="34" charset="0"/>
              <a:cs typeface="Arial" panose="020B0604020202020204" pitchFamily="34" charset="0"/>
            </a:rPr>
            <a:t> added </a:t>
          </a:r>
          <a:r>
            <a:rPr lang="en-AU" sz="900">
              <a:solidFill>
                <a:srgbClr val="373737"/>
              </a:solidFill>
              <a:latin typeface="Arial" panose="020B0604020202020204" pitchFamily="34" charset="0"/>
              <a:cs typeface="Arial" panose="020B0604020202020204" pitchFamily="34" charset="0"/>
            </a:rPr>
            <a:t>per employee</a:t>
          </a:r>
        </a:p>
      </cdr:txBody>
    </cdr:sp>
  </cdr:relSizeAnchor>
  <cdr:relSizeAnchor xmlns:cdr="http://schemas.openxmlformats.org/drawingml/2006/chartDrawing">
    <cdr:from>
      <cdr:x>0.18142</cdr:x>
      <cdr:y>0.25728</cdr:y>
    </cdr:from>
    <cdr:to>
      <cdr:x>0.4703</cdr:x>
      <cdr:y>0.25792</cdr:y>
    </cdr:to>
    <cdr:cxnSp macro="">
      <cdr:nvCxnSpPr>
        <cdr:cNvPr id="16" name="Straight Connector 15">
          <a:extLst xmlns:a="http://schemas.openxmlformats.org/drawingml/2006/main">
            <a:ext uri="{FF2B5EF4-FFF2-40B4-BE49-F238E27FC236}">
              <a16:creationId xmlns="" xmlns:a16="http://schemas.microsoft.com/office/drawing/2014/main" xmlns:lc="http://schemas.openxmlformats.org/drawingml/2006/lockedCanvas" id="{23A3E86C-4593-4DC7-A8CF-EB490C072EA6}"/>
            </a:ext>
          </a:extLst>
        </cdr:cNvPr>
        <cdr:cNvCxnSpPr/>
      </cdr:nvCxnSpPr>
      <cdr:spPr>
        <a:xfrm xmlns:a="http://schemas.openxmlformats.org/drawingml/2006/main">
          <a:off x="759753" y="556448"/>
          <a:ext cx="1209779" cy="1384"/>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0.34632</cdr:x>
      <cdr:y>0.20582</cdr:y>
    </cdr:from>
    <cdr:to>
      <cdr:x>0.45925</cdr:x>
      <cdr:y>0.207</cdr:y>
    </cdr:to>
    <cdr:cxnSp macro="">
      <cdr:nvCxnSpPr>
        <cdr:cNvPr id="20" name="Straight Connector 19">
          <a:extLst xmlns:a="http://schemas.openxmlformats.org/drawingml/2006/main">
            <a:ext uri="{FF2B5EF4-FFF2-40B4-BE49-F238E27FC236}">
              <a16:creationId xmlns="" xmlns:a16="http://schemas.microsoft.com/office/drawing/2014/main" xmlns:lc="http://schemas.openxmlformats.org/drawingml/2006/lockedCanvas" id="{DBB53EBE-ED65-4A65-9FD2-3872EF600AEC}"/>
            </a:ext>
          </a:extLst>
        </cdr:cNvPr>
        <cdr:cNvCxnSpPr/>
      </cdr:nvCxnSpPr>
      <cdr:spPr>
        <a:xfrm xmlns:a="http://schemas.openxmlformats.org/drawingml/2006/main" flipV="1">
          <a:off x="1874736" y="576364"/>
          <a:ext cx="611290" cy="3315"/>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0.45925</cdr:x>
      <cdr:y>0.20526</cdr:y>
    </cdr:from>
    <cdr:to>
      <cdr:x>0.45949</cdr:x>
      <cdr:y>0.25792</cdr:y>
    </cdr:to>
    <cdr:cxnSp macro="">
      <cdr:nvCxnSpPr>
        <cdr:cNvPr id="22" name="Straight Arrow Connector 21">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V="1">
          <a:off x="2486026" y="574813"/>
          <a:ext cx="1283" cy="147465"/>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0.61588</cdr:x>
      <cdr:y>0.25841</cdr:y>
    </cdr:from>
    <cdr:to>
      <cdr:x>0.90476</cdr:x>
      <cdr:y>0.25906</cdr:y>
    </cdr:to>
    <cdr:cxnSp macro="">
      <cdr:nvCxnSpPr>
        <cdr:cNvPr id="23" name="Straight Connector 22">
          <a:extLst xmlns:a="http://schemas.openxmlformats.org/drawingml/2006/main">
            <a:ext uri="{FF2B5EF4-FFF2-40B4-BE49-F238E27FC236}">
              <a16:creationId xmlns:a16="http://schemas.microsoft.com/office/drawing/2014/main" xmlns="" xmlns:lc="http://schemas.openxmlformats.org/drawingml/2006/lockedCanvas" id="{23A3E86C-4593-4DC7-A8CF-EB490C072EA6}"/>
            </a:ext>
          </a:extLst>
        </cdr:cNvPr>
        <cdr:cNvCxnSpPr/>
      </cdr:nvCxnSpPr>
      <cdr:spPr>
        <a:xfrm xmlns:a="http://schemas.openxmlformats.org/drawingml/2006/main">
          <a:off x="3333886" y="723630"/>
          <a:ext cx="1563790" cy="1815"/>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0.79108</cdr:x>
      <cdr:y>0.2338</cdr:y>
    </cdr:from>
    <cdr:to>
      <cdr:x>0.90401</cdr:x>
      <cdr:y>0.23498</cdr:y>
    </cdr:to>
    <cdr:cxnSp macro="">
      <cdr:nvCxnSpPr>
        <cdr:cNvPr id="24" name="Straight Connector 23">
          <a:extLst xmlns:a="http://schemas.openxmlformats.org/drawingml/2006/main">
            <a:ext uri="{FF2B5EF4-FFF2-40B4-BE49-F238E27FC236}">
              <a16:creationId xmlns:a16="http://schemas.microsoft.com/office/drawing/2014/main" xmlns="" xmlns:lc="http://schemas.openxmlformats.org/drawingml/2006/lockedCanvas" id="{DBB53EBE-ED65-4A65-9FD2-3872EF600AEC}"/>
            </a:ext>
          </a:extLst>
        </cdr:cNvPr>
        <cdr:cNvCxnSpPr/>
      </cdr:nvCxnSpPr>
      <cdr:spPr>
        <a:xfrm xmlns:a="http://schemas.openxmlformats.org/drawingml/2006/main" flipV="1">
          <a:off x="4282332" y="654725"/>
          <a:ext cx="611290" cy="3315"/>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0.9034</cdr:x>
      <cdr:y>0.18314</cdr:y>
    </cdr:from>
    <cdr:to>
      <cdr:x>0.90345</cdr:x>
      <cdr:y>0.23638</cdr:y>
    </cdr:to>
    <cdr:cxnSp macro="">
      <cdr:nvCxnSpPr>
        <cdr:cNvPr id="25" name="Straight Arrow Connector 24">
          <a:extLst xmlns:a="http://schemas.openxmlformats.org/drawingml/2006/main">
            <a:ext uri="{FF2B5EF4-FFF2-40B4-BE49-F238E27FC236}">
              <a16:creationId xmlns="" xmlns:a16="http://schemas.microsoft.com/office/drawing/2014/main" xmlns:lc="http://schemas.openxmlformats.org/drawingml/2006/lockedCanvas" id="{00BBD4F5-ED8A-4659-AB11-BD9260A04A0A}"/>
            </a:ext>
          </a:extLst>
        </cdr:cNvPr>
        <cdr:cNvCxnSpPr/>
      </cdr:nvCxnSpPr>
      <cdr:spPr>
        <a:xfrm xmlns:a="http://schemas.openxmlformats.org/drawingml/2006/main" flipH="1">
          <a:off x="4890311" y="512864"/>
          <a:ext cx="269" cy="149090"/>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0.90425</cdr:x>
      <cdr:y>0.25882</cdr:y>
    </cdr:from>
    <cdr:to>
      <cdr:x>0.90425</cdr:x>
      <cdr:y>0.31092</cdr:y>
    </cdr:to>
    <cdr:cxnSp macro="">
      <cdr:nvCxnSpPr>
        <cdr:cNvPr id="29" name="Straight Arrow Connector 28">
          <a:extLst xmlns:a="http://schemas.openxmlformats.org/drawingml/2006/main">
            <a:ext uri="{FF2B5EF4-FFF2-40B4-BE49-F238E27FC236}">
              <a16:creationId xmlns:a16="http://schemas.microsoft.com/office/drawing/2014/main" xmlns="" xmlns:lc="http://schemas.openxmlformats.org/drawingml/2006/lockedCanvas" id="{00BBD4F5-ED8A-4659-AB11-BD9260A04A0A}"/>
            </a:ext>
          </a:extLst>
        </cdr:cNvPr>
        <cdr:cNvCxnSpPr/>
      </cdr:nvCxnSpPr>
      <cdr:spPr>
        <a:xfrm xmlns:a="http://schemas.openxmlformats.org/drawingml/2006/main" flipV="1">
          <a:off x="4894904" y="724781"/>
          <a:ext cx="0" cy="145913"/>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0.10417</cdr:x>
      <cdr:y>0.81424</cdr:y>
    </cdr:from>
    <cdr:to>
      <cdr:x>0.33125</cdr:x>
      <cdr:y>0.99826</cdr:y>
    </cdr:to>
    <cdr:sp macro="" textlink="">
      <cdr:nvSpPr>
        <cdr:cNvPr id="2" name="TextBox 1">
          <a:extLst xmlns:a="http://schemas.openxmlformats.org/drawingml/2006/main">
            <a:ext uri="{FF2B5EF4-FFF2-40B4-BE49-F238E27FC236}">
              <a16:creationId xmlns="" xmlns:a16="http://schemas.microsoft.com/office/drawing/2014/main" id="{47449CBA-7520-4997-B75A-F6F402E609BA}"/>
            </a:ext>
          </a:extLst>
        </cdr:cNvPr>
        <cdr:cNvSpPr txBox="1"/>
      </cdr:nvSpPr>
      <cdr:spPr>
        <a:xfrm xmlns:a="http://schemas.openxmlformats.org/drawingml/2006/main">
          <a:off x="476250" y="2233613"/>
          <a:ext cx="10382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0.27986</cdr:x>
      <cdr:y>0.81597</cdr:y>
    </cdr:from>
    <cdr:to>
      <cdr:x>0.50694</cdr:x>
      <cdr:y>1</cdr:y>
    </cdr:to>
    <cdr:sp macro="" textlink="">
      <cdr:nvSpPr>
        <cdr:cNvPr id="3" name="TextBox 1">
          <a:extLst xmlns:a="http://schemas.openxmlformats.org/drawingml/2006/main">
            <a:ext uri="{FF2B5EF4-FFF2-40B4-BE49-F238E27FC236}">
              <a16:creationId xmlns="" xmlns:a16="http://schemas.microsoft.com/office/drawing/2014/main" id="{0401A30B-FB2C-4935-B47E-82EEA4B4F5AC}"/>
            </a:ext>
          </a:extLst>
        </cdr:cNvPr>
        <cdr:cNvSpPr txBox="1"/>
      </cdr:nvSpPr>
      <cdr:spPr>
        <a:xfrm xmlns:a="http://schemas.openxmlformats.org/drawingml/2006/main">
          <a:off x="1279525"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0.54236</cdr:x>
      <cdr:y>0.81424</cdr:y>
    </cdr:from>
    <cdr:to>
      <cdr:x>0.76944</cdr:x>
      <cdr:y>0.99826</cdr:y>
    </cdr:to>
    <cdr:sp macro="" textlink="">
      <cdr:nvSpPr>
        <cdr:cNvPr id="4" name="TextBox 1">
          <a:extLst xmlns:a="http://schemas.openxmlformats.org/drawingml/2006/main">
            <a:ext uri="{FF2B5EF4-FFF2-40B4-BE49-F238E27FC236}">
              <a16:creationId xmlns="" xmlns:a16="http://schemas.microsoft.com/office/drawing/2014/main" id="{488E3A47-945B-4225-8361-3B921921E09D}"/>
            </a:ext>
          </a:extLst>
        </cdr:cNvPr>
        <cdr:cNvSpPr txBox="1"/>
      </cdr:nvSpPr>
      <cdr:spPr>
        <a:xfrm xmlns:a="http://schemas.openxmlformats.org/drawingml/2006/main">
          <a:off x="2479675" y="2233613"/>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0.71806</cdr:x>
      <cdr:y>0.81597</cdr:y>
    </cdr:from>
    <cdr:to>
      <cdr:x>0.94514</cdr:x>
      <cdr:y>1</cdr:y>
    </cdr:to>
    <cdr:sp macro="" textlink="">
      <cdr:nvSpPr>
        <cdr:cNvPr id="5" name="TextBox 1">
          <a:extLst xmlns:a="http://schemas.openxmlformats.org/drawingml/2006/main">
            <a:ext uri="{FF2B5EF4-FFF2-40B4-BE49-F238E27FC236}">
              <a16:creationId xmlns="" xmlns:a16="http://schemas.microsoft.com/office/drawing/2014/main" id="{79F101C8-0430-442A-BD1F-39E67A25F8D6}"/>
            </a:ext>
          </a:extLst>
        </cdr:cNvPr>
        <cdr:cNvSpPr txBox="1"/>
      </cdr:nvSpPr>
      <cdr:spPr>
        <a:xfrm xmlns:a="http://schemas.openxmlformats.org/drawingml/2006/main">
          <a:off x="3282950" y="2238375"/>
          <a:ext cx="1038225" cy="504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rgbClr val="373737"/>
              </a:solidFill>
              <a:latin typeface="Arial" panose="020B0604020202020204" pitchFamily="34" charset="0"/>
              <a:cs typeface="Arial" panose="020B0604020202020204" pitchFamily="34" charset="0"/>
            </a:rPr>
            <a:t>Management</a:t>
          </a:r>
          <a:r>
            <a:rPr lang="en-AU" sz="900" baseline="0">
              <a:solidFill>
                <a:srgbClr val="373737"/>
              </a:solidFill>
              <a:latin typeface="Arial" panose="020B0604020202020204" pitchFamily="34" charset="0"/>
              <a:cs typeface="Arial" panose="020B0604020202020204" pitchFamily="34" charset="0"/>
            </a:rPr>
            <a:t> Practice Score (x+0.1)</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0.17045</cdr:x>
      <cdr:y>0.27855</cdr:y>
    </cdr:from>
    <cdr:to>
      <cdr:x>0.45641</cdr:x>
      <cdr:y>0.28047</cdr:y>
    </cdr:to>
    <cdr:cxnSp macro="">
      <cdr:nvCxnSpPr>
        <cdr:cNvPr id="9" name="Straight Connector 8">
          <a:extLst xmlns:a="http://schemas.openxmlformats.org/drawingml/2006/main">
            <a:ext uri="{FF2B5EF4-FFF2-40B4-BE49-F238E27FC236}">
              <a16:creationId xmlns="" xmlns:a16="http://schemas.microsoft.com/office/drawing/2014/main" id="{23A3E86C-4593-4DC7-A8CF-EB490C072EA6}"/>
            </a:ext>
          </a:extLst>
        </cdr:cNvPr>
        <cdr:cNvCxnSpPr/>
      </cdr:nvCxnSpPr>
      <cdr:spPr>
        <a:xfrm xmlns:a="http://schemas.openxmlformats.org/drawingml/2006/main" flipV="1">
          <a:off x="881085" y="854319"/>
          <a:ext cx="1478183" cy="5884"/>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0.3454</cdr:x>
      <cdr:y>0.21027</cdr:y>
    </cdr:from>
    <cdr:to>
      <cdr:x>0.45528</cdr:x>
      <cdr:y>0.2107</cdr:y>
    </cdr:to>
    <cdr:cxnSp macro="">
      <cdr:nvCxnSpPr>
        <cdr:cNvPr id="10" name="Straight Connector 9">
          <a:extLst xmlns:a="http://schemas.openxmlformats.org/drawingml/2006/main">
            <a:ext uri="{FF2B5EF4-FFF2-40B4-BE49-F238E27FC236}">
              <a16:creationId xmlns="" xmlns:a16="http://schemas.microsoft.com/office/drawing/2014/main" id="{DBB53EBE-ED65-4A65-9FD2-3872EF600AEC}"/>
            </a:ext>
          </a:extLst>
        </cdr:cNvPr>
        <cdr:cNvCxnSpPr/>
      </cdr:nvCxnSpPr>
      <cdr:spPr>
        <a:xfrm xmlns:a="http://schemas.openxmlformats.org/drawingml/2006/main">
          <a:off x="1785401" y="644922"/>
          <a:ext cx="568005" cy="1313"/>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0.45471</cdr:x>
      <cdr:y>0.20975</cdr:y>
    </cdr:from>
    <cdr:to>
      <cdr:x>0.45641</cdr:x>
      <cdr:y>0.2795</cdr:y>
    </cdr:to>
    <cdr:cxnSp macro="">
      <cdr:nvCxnSpPr>
        <cdr:cNvPr id="15" name="Straight Arrow Connector 14">
          <a:extLst xmlns:a="http://schemas.openxmlformats.org/drawingml/2006/main">
            <a:ext uri="{FF2B5EF4-FFF2-40B4-BE49-F238E27FC236}">
              <a16:creationId xmlns="" xmlns:a16="http://schemas.microsoft.com/office/drawing/2014/main" id="{00BBD4F5-ED8A-4659-AB11-BD9260A04A0A}"/>
            </a:ext>
          </a:extLst>
        </cdr:cNvPr>
        <cdr:cNvCxnSpPr/>
      </cdr:nvCxnSpPr>
      <cdr:spPr>
        <a:xfrm xmlns:a="http://schemas.openxmlformats.org/drawingml/2006/main" flipH="1" flipV="1">
          <a:off x="2350476" y="643304"/>
          <a:ext cx="8793" cy="213947"/>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0.89937</cdr:x>
      <cdr:y>0.17182</cdr:y>
    </cdr:from>
    <cdr:to>
      <cdr:x>0.90146</cdr:x>
      <cdr:y>0.27598</cdr:y>
    </cdr:to>
    <cdr:cxnSp macro="">
      <cdr:nvCxnSpPr>
        <cdr:cNvPr id="18" name="Straight Arrow Connector 17">
          <a:extLst xmlns:a="http://schemas.openxmlformats.org/drawingml/2006/main">
            <a:ext uri="{FF2B5EF4-FFF2-40B4-BE49-F238E27FC236}">
              <a16:creationId xmlns="" xmlns:a16="http://schemas.microsoft.com/office/drawing/2014/main" id="{C53639E5-30C1-4E95-9BC4-3AC202B55B0E}"/>
            </a:ext>
          </a:extLst>
        </cdr:cNvPr>
        <cdr:cNvCxnSpPr/>
      </cdr:nvCxnSpPr>
      <cdr:spPr>
        <a:xfrm xmlns:a="http://schemas.openxmlformats.org/drawingml/2006/main">
          <a:off x="4645770" y="526975"/>
          <a:ext cx="10796" cy="319464"/>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0.90267</cdr:x>
      <cdr:y>0.24799</cdr:y>
    </cdr:from>
    <cdr:to>
      <cdr:x>0.99686</cdr:x>
      <cdr:y>0.32358</cdr:y>
    </cdr:to>
    <cdr:sp macro="" textlink="">
      <cdr:nvSpPr>
        <cdr:cNvPr id="19" name="TextBox 4">
          <a:extLst xmlns:a="http://schemas.openxmlformats.org/drawingml/2006/main">
            <a:ext uri="{FF2B5EF4-FFF2-40B4-BE49-F238E27FC236}">
              <a16:creationId xmlns="" xmlns:a16="http://schemas.microsoft.com/office/drawing/2014/main" id="{6E7918A4-8B38-4A8D-BA8E-68999E852C6E}"/>
            </a:ext>
          </a:extLst>
        </cdr:cNvPr>
        <cdr:cNvSpPr txBox="1"/>
      </cdr:nvSpPr>
      <cdr:spPr>
        <a:xfrm xmlns:a="http://schemas.openxmlformats.org/drawingml/2006/main">
          <a:off x="4662825" y="760611"/>
          <a:ext cx="486551" cy="23183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1.0%</a:t>
          </a:r>
        </a:p>
      </cdr:txBody>
    </cdr:sp>
  </cdr:relSizeAnchor>
  <cdr:relSizeAnchor xmlns:cdr="http://schemas.openxmlformats.org/drawingml/2006/chartDrawing">
    <cdr:from>
      <cdr:x>0.90047</cdr:x>
      <cdr:y>0.28001</cdr:y>
    </cdr:from>
    <cdr:to>
      <cdr:x>0.90256</cdr:x>
      <cdr:y>0.36681</cdr:y>
    </cdr:to>
    <cdr:cxnSp macro="">
      <cdr:nvCxnSpPr>
        <cdr:cNvPr id="20" name="Straight Arrow Connector 19">
          <a:extLst xmlns:a="http://schemas.openxmlformats.org/drawingml/2006/main">
            <a:ext uri="{FF2B5EF4-FFF2-40B4-BE49-F238E27FC236}">
              <a16:creationId xmlns="" xmlns:a16="http://schemas.microsoft.com/office/drawing/2014/main" id="{404081C4-EC71-4DD4-9107-FE19E8A4271B}"/>
            </a:ext>
          </a:extLst>
        </cdr:cNvPr>
        <cdr:cNvCxnSpPr/>
      </cdr:nvCxnSpPr>
      <cdr:spPr>
        <a:xfrm xmlns:a="http://schemas.openxmlformats.org/drawingml/2006/main" flipH="1" flipV="1">
          <a:off x="4651461" y="858818"/>
          <a:ext cx="10796" cy="266220"/>
        </a:xfrm>
        <a:prstGeom xmlns:a="http://schemas.openxmlformats.org/drawingml/2006/main" prst="straightConnector1">
          <a:avLst/>
        </a:prstGeom>
        <a:ln xmlns:a="http://schemas.openxmlformats.org/drawingml/2006/main">
          <a:solidFill>
            <a:srgbClr val="F36A5A"/>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0.45962</cdr:x>
      <cdr:y>0.21027</cdr:y>
    </cdr:from>
    <cdr:to>
      <cdr:x>0.56732</cdr:x>
      <cdr:y>0.28586</cdr:y>
    </cdr:to>
    <cdr:sp macro="" textlink="">
      <cdr:nvSpPr>
        <cdr:cNvPr id="21" name="TextBox 5">
          <a:extLst xmlns:a="http://schemas.openxmlformats.org/drawingml/2006/main">
            <a:ext uri="{FF2B5EF4-FFF2-40B4-BE49-F238E27FC236}">
              <a16:creationId xmlns="" xmlns:a16="http://schemas.microsoft.com/office/drawing/2014/main" id="{5F2130EA-5E09-49E4-A1E1-CC2A978A60EA}"/>
            </a:ext>
          </a:extLst>
        </cdr:cNvPr>
        <cdr:cNvSpPr txBox="1"/>
      </cdr:nvSpPr>
      <cdr:spPr>
        <a:xfrm xmlns:a="http://schemas.openxmlformats.org/drawingml/2006/main">
          <a:off x="2374221" y="644898"/>
          <a:ext cx="556307" cy="23183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12.8%</a:t>
          </a:r>
        </a:p>
      </cdr:txBody>
    </cdr:sp>
  </cdr:relSizeAnchor>
  <cdr:relSizeAnchor xmlns:cdr="http://schemas.openxmlformats.org/drawingml/2006/chartDrawing">
    <cdr:from>
      <cdr:x>0.18103</cdr:x>
      <cdr:y>0.04907</cdr:y>
    </cdr:from>
    <cdr:to>
      <cdr:x>0.5008</cdr:x>
      <cdr:y>0.13544</cdr:y>
    </cdr:to>
    <cdr:sp macro="" textlink="">
      <cdr:nvSpPr>
        <cdr:cNvPr id="33" name="TextBox 1"/>
        <cdr:cNvSpPr txBox="1"/>
      </cdr:nvSpPr>
      <cdr:spPr>
        <a:xfrm xmlns:a="http://schemas.openxmlformats.org/drawingml/2006/main">
          <a:off x="860425" y="146050"/>
          <a:ext cx="1519882" cy="2571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Export</a:t>
          </a:r>
          <a:r>
            <a:rPr lang="en-AU" sz="900" baseline="0">
              <a:solidFill>
                <a:srgbClr val="373737"/>
              </a:solidFill>
              <a:latin typeface="Arial" panose="020B0604020202020204" pitchFamily="34" charset="0"/>
              <a:cs typeface="Arial" panose="020B0604020202020204" pitchFamily="34" charset="0"/>
            </a:rPr>
            <a:t> productivity</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0.64195</cdr:x>
      <cdr:y>0.04267</cdr:y>
    </cdr:from>
    <cdr:to>
      <cdr:x>0.96173</cdr:x>
      <cdr:y>0.12904</cdr:y>
    </cdr:to>
    <cdr:sp macro="" textlink="">
      <cdr:nvSpPr>
        <cdr:cNvPr id="34" name="TextBox 1"/>
        <cdr:cNvSpPr txBox="1"/>
      </cdr:nvSpPr>
      <cdr:spPr>
        <a:xfrm xmlns:a="http://schemas.openxmlformats.org/drawingml/2006/main">
          <a:off x="3051175" y="127000"/>
          <a:ext cx="1519882" cy="2571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373737"/>
              </a:solidFill>
              <a:latin typeface="Arial" panose="020B0604020202020204" pitchFamily="34" charset="0"/>
              <a:cs typeface="Arial" panose="020B0604020202020204" pitchFamily="34" charset="0"/>
            </a:rPr>
            <a:t>Export</a:t>
          </a:r>
          <a:r>
            <a:rPr lang="en-AU" sz="900" baseline="0">
              <a:solidFill>
                <a:srgbClr val="373737"/>
              </a:solidFill>
              <a:latin typeface="Arial" panose="020B0604020202020204" pitchFamily="34" charset="0"/>
              <a:cs typeface="Arial" panose="020B0604020202020204" pitchFamily="34" charset="0"/>
            </a:rPr>
            <a:t> intensity</a:t>
          </a:r>
          <a:endParaRPr lang="en-AU" sz="900">
            <a:solidFill>
              <a:srgbClr val="373737"/>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0.61559</cdr:x>
      <cdr:y>0.27977</cdr:y>
    </cdr:from>
    <cdr:to>
      <cdr:x>0.89921</cdr:x>
      <cdr:y>0.28147</cdr:y>
    </cdr:to>
    <cdr:cxnSp macro="">
      <cdr:nvCxnSpPr>
        <cdr:cNvPr id="38" name="Straight Connector 37">
          <a:extLst xmlns:a="http://schemas.openxmlformats.org/drawingml/2006/main">
            <a:ext uri="{FF2B5EF4-FFF2-40B4-BE49-F238E27FC236}">
              <a16:creationId xmlns:a16="http://schemas.microsoft.com/office/drawing/2014/main" xmlns="" xmlns:lc="http://schemas.openxmlformats.org/drawingml/2006/lockedCanvas" id="{23A3E86C-4593-4DC7-A8CF-EB490C072EA6}"/>
            </a:ext>
          </a:extLst>
        </cdr:cNvPr>
        <cdr:cNvCxnSpPr/>
      </cdr:nvCxnSpPr>
      <cdr:spPr>
        <a:xfrm xmlns:a="http://schemas.openxmlformats.org/drawingml/2006/main" flipV="1">
          <a:off x="3179863" y="858061"/>
          <a:ext cx="1465093" cy="5208"/>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0.79056</cdr:x>
      <cdr:y>0.27558</cdr:y>
    </cdr:from>
    <cdr:to>
      <cdr:x>0.90045</cdr:x>
      <cdr:y>0.27601</cdr:y>
    </cdr:to>
    <cdr:cxnSp macro="">
      <cdr:nvCxnSpPr>
        <cdr:cNvPr id="39" name="Straight Connector 38">
          <a:extLst xmlns:a="http://schemas.openxmlformats.org/drawingml/2006/main">
            <a:ext uri="{FF2B5EF4-FFF2-40B4-BE49-F238E27FC236}">
              <a16:creationId xmlns:a16="http://schemas.microsoft.com/office/drawing/2014/main" xmlns="" xmlns:lc="http://schemas.openxmlformats.org/drawingml/2006/lockedCanvas" id="{DBB53EBE-ED65-4A65-9FD2-3872EF600AEC}"/>
            </a:ext>
          </a:extLst>
        </cdr:cNvPr>
        <cdr:cNvCxnSpPr/>
      </cdr:nvCxnSpPr>
      <cdr:spPr>
        <a:xfrm xmlns:a="http://schemas.openxmlformats.org/drawingml/2006/main">
          <a:off x="4083726" y="845225"/>
          <a:ext cx="567615" cy="1313"/>
        </a:xfrm>
        <a:prstGeom xmlns:a="http://schemas.openxmlformats.org/drawingml/2006/main" prst="line">
          <a:avLst/>
        </a:prstGeom>
        <a:ln xmlns:a="http://schemas.openxmlformats.org/drawingml/2006/main">
          <a:solidFill>
            <a:srgbClr val="F36A5A"/>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79839A6F464AF9B88A57218FC198F6"/>
        <w:category>
          <w:name w:val="General"/>
          <w:gallery w:val="placeholder"/>
        </w:category>
        <w:types>
          <w:type w:val="bbPlcHdr"/>
        </w:types>
        <w:behaviors>
          <w:behavior w:val="content"/>
        </w:behaviors>
        <w:guid w:val="{F16D5AB9-4392-48C1-B581-91203E897924}"/>
      </w:docPartPr>
      <w:docPartBody>
        <w:p w:rsidR="00676949" w:rsidRDefault="00A340D9" w:rsidP="00A340D9">
          <w:pPr>
            <w:pStyle w:val="D279839A6F464AF9B88A57218FC198F6"/>
          </w:pPr>
          <w:r w:rsidRPr="0016199E">
            <w:rPr>
              <w:rStyle w:val="PlaceholderText"/>
              <w:color w:val="22789A"/>
            </w:rPr>
            <w:t>Type Research Paper title here</w:t>
          </w:r>
        </w:p>
      </w:docPartBody>
    </w:docPart>
    <w:docPart>
      <w:docPartPr>
        <w:name w:val="1694A94535874C69952437FFF5DC8720"/>
        <w:category>
          <w:name w:val="General"/>
          <w:gallery w:val="placeholder"/>
        </w:category>
        <w:types>
          <w:type w:val="bbPlcHdr"/>
        </w:types>
        <w:behaviors>
          <w:behavior w:val="content"/>
        </w:behaviors>
        <w:guid w:val="{C8E9DFEA-DC0E-4A7C-8FBD-6510029E8EFC}"/>
      </w:docPartPr>
      <w:docPartBody>
        <w:p w:rsidR="00676949" w:rsidRDefault="00A340D9" w:rsidP="00A340D9">
          <w:pPr>
            <w:pStyle w:val="1694A94535874C69952437FFF5DC8720"/>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D9"/>
    <w:rsid w:val="00183ABE"/>
    <w:rsid w:val="00284E93"/>
    <w:rsid w:val="00393B06"/>
    <w:rsid w:val="00604436"/>
    <w:rsid w:val="00673A8B"/>
    <w:rsid w:val="00676949"/>
    <w:rsid w:val="00704157"/>
    <w:rsid w:val="007E0DE7"/>
    <w:rsid w:val="008A247E"/>
    <w:rsid w:val="00A340D9"/>
    <w:rsid w:val="00C45A08"/>
    <w:rsid w:val="00C505C3"/>
    <w:rsid w:val="00D03C15"/>
    <w:rsid w:val="00D54B76"/>
    <w:rsid w:val="00D92C6A"/>
    <w:rsid w:val="00F60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0D9"/>
    <w:rPr>
      <w:color w:val="808080"/>
    </w:rPr>
  </w:style>
  <w:style w:type="paragraph" w:customStyle="1" w:styleId="D279839A6F464AF9B88A57218FC198F6">
    <w:name w:val="D279839A6F464AF9B88A57218FC198F6"/>
    <w:rsid w:val="00A340D9"/>
  </w:style>
  <w:style w:type="paragraph" w:customStyle="1" w:styleId="129B36FC5B864B1989CD1DE8FFEB0F60">
    <w:name w:val="129B36FC5B864B1989CD1DE8FFEB0F60"/>
    <w:rsid w:val="00A340D9"/>
  </w:style>
  <w:style w:type="paragraph" w:customStyle="1" w:styleId="1694A94535874C69952437FFF5DC8720">
    <w:name w:val="1694A94535874C69952437FFF5DC8720"/>
    <w:rsid w:val="00A34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2b51e9e855b9415189509934b9e71bf9">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ec0e10c95204380d2daa2b83754d4d3a"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b7f3f697-63b0-4a64-a581-540e55f3baef</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EDAN</TermName>
          <TermId xmlns="http://schemas.microsoft.com/office/infopath/2007/PartnerControls">fef9d944-0a72-41db-b1dc-4b116d154aca</TermId>
        </TermInfo>
        <TermInfo xmlns="http://schemas.microsoft.com/office/infopath/2007/PartnerControls">
          <TermName xmlns="http://schemas.microsoft.com/office/infopath/2007/PartnerControls">EDAN Projects</TermName>
          <TermId xmlns="http://schemas.microsoft.com/office/infopath/2007/PartnerControls">64de4a19-62e1-4896-a266-c9524dd498b6</TermId>
        </TermInfo>
        <TermInfo xmlns="http://schemas.microsoft.com/office/infopath/2007/PartnerControls">
          <TermName xmlns="http://schemas.microsoft.com/office/infopath/2007/PartnerControls">EDAN:BLADE</TermName>
          <TermId xmlns="http://schemas.microsoft.com/office/infopath/2007/PartnerControls">7f0ab1bd-3f07-4ba4-97f8-b23251920749</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b28facd8-3dc8-46bf-a2b8-d55c169e0df6</TermId>
        </TermInfo>
      </Terms>
    </pe2555c81638466f9eb614edb9ecde52>
    <TaxCatchAll xmlns="46486fd5-fff8-4cbe-a2d1-89ce7ea547a7">
      <Value>2156</Value>
      <Value>1832</Value>
      <Value>505</Value>
      <Value>82</Value>
      <Value>1180</Value>
      <Value>3</Value>
      <Value>121</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_dlc_DocId xmlns="46486fd5-fff8-4cbe-a2d1-89ce7ea547a7">EUCW2WRC2PUD-1078297381-113</_dlc_DocId>
    <_dlc_DocIdUrl xmlns="46486fd5-fff8-4cbe-a2d1-89ce7ea547a7">
      <Url>https://dochub/div/economicanalyticalservices/businessfunctions/publicationsmgmt/researchpapers/_layouts/15/DocIdRedir.aspx?ID=EUCW2WRC2PUD-1078297381-113</Url>
      <Description>EUCW2WRC2PUD-1078297381-113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2.xml><?xml version="1.0" encoding="utf-8"?>
<ds:datastoreItem xmlns:ds="http://schemas.openxmlformats.org/officeDocument/2006/customXml" ds:itemID="{25C5FDBF-2A48-462D-971B-55B09720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EDBD2-23D7-4E56-9CFC-97C6144F6BD8}">
  <ds:schemaRefs>
    <ds:schemaRef ds:uri="http://schemas.microsoft.com/sharepoint/events"/>
  </ds:schemaRefs>
</ds:datastoreItem>
</file>

<file path=customXml/itemProps4.xml><?xml version="1.0" encoding="utf-8"?>
<ds:datastoreItem xmlns:ds="http://schemas.openxmlformats.org/officeDocument/2006/customXml" ds:itemID="{7C82E28D-6947-480F-BBF1-3DFDF858D2EF}">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47d1c65-9f6c-49e5-a774-2c92ccb46d02"/>
    <ds:schemaRef ds:uri="http://schemas.microsoft.com/office/2006/documentManagement/types"/>
    <ds:schemaRef ds:uri="46486fd5-fff8-4cbe-a2d1-89ce7ea547a7"/>
    <ds:schemaRef ds:uri="http://www.w3.org/XML/1998/namespace"/>
    <ds:schemaRef ds:uri="http://purl.org/dc/dcmitype/"/>
  </ds:schemaRefs>
</ds:datastoreItem>
</file>

<file path=customXml/itemProps5.xml><?xml version="1.0" encoding="utf-8"?>
<ds:datastoreItem xmlns:ds="http://schemas.openxmlformats.org/officeDocument/2006/customXml" ds:itemID="{6D8FD384-5666-4B21-91B4-76AE0711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OCE%20Portrait%20Template.dotm</Template>
  <TotalTime>2</TotalTime>
  <Pages>22</Pages>
  <Words>14545</Words>
  <Characters>82180</Characters>
  <Application>Microsoft Office Word</Application>
  <DocSecurity>0</DocSecurity>
  <Lines>4671</Lines>
  <Paragraphs>2352</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95641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creator>Abbasi Shavazi, Azadeh</dc:creator>
  <cp:lastModifiedBy>Francis, Sophie</cp:lastModifiedBy>
  <cp:revision>3</cp:revision>
  <cp:lastPrinted>2019-09-05T04:59:00Z</cp:lastPrinted>
  <dcterms:created xsi:type="dcterms:W3CDTF">2019-09-05T04:59:00Z</dcterms:created>
  <dcterms:modified xsi:type="dcterms:W3CDTF">2019-09-05T05:00:00Z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ac2a6a8d-3abd-4924-92ba-3ba255d226a5</vt:lpwstr>
  </property>
  <property fmtid="{D5CDD505-2E9C-101B-9397-08002B2CF9AE}" pid="8" name="DocHub_Year">
    <vt:lpwstr>505;#2017-18|b7f3f697-63b0-4a64-a581-540e55f3baef</vt:lpwstr>
  </property>
  <property fmtid="{D5CDD505-2E9C-101B-9397-08002B2CF9AE}" pid="9" name="DocHub_DocumentType">
    <vt:lpwstr>121;#Research|b28facd8-3dc8-46bf-a2b8-d55c169e0df6</vt:lpwstr>
  </property>
  <property fmtid="{D5CDD505-2E9C-101B-9397-08002B2CF9AE}" pid="10" name="DocHub_SecurityClassification">
    <vt:lpwstr>3;#UNCLASSIFIED|6106d03b-a1a0-4e30-9d91-d5e9fb4314f9</vt:lpwstr>
  </property>
  <property fmtid="{D5CDD505-2E9C-101B-9397-08002B2CF9AE}" pid="11" name="DocHub_Keywords">
    <vt:lpwstr>1180;#EDAN|fef9d944-0a72-41db-b1dc-4b116d154aca;#2156;#EDAN Projects|64de4a19-62e1-4896-a266-c9524dd498b6;#1832;#EDAN:BLADE|7f0ab1bd-3f07-4ba4-97f8-b23251920749</vt:lpwstr>
  </property>
  <property fmtid="{D5CDD505-2E9C-101B-9397-08002B2CF9AE}" pid="12" name="DocHub_WorkActivity">
    <vt:lpwstr>82;#Research|7b4c149d-8b70-4bf0-8e72-df534d298464</vt:lpwstr>
  </property>
  <property fmtid="{D5CDD505-2E9C-101B-9397-08002B2CF9AE}" pid="13" name="IconOverlay">
    <vt:lpwstr/>
  </property>
</Properties>
</file>