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38DB8" w14:textId="178F525B" w:rsidR="006F428F" w:rsidRPr="000C75FA" w:rsidRDefault="006720FE" w:rsidP="00EE6C16">
      <w:pPr>
        <w:pStyle w:val="Title"/>
      </w:pPr>
      <w:r>
        <w:t>How to apply for a duty assessment</w:t>
      </w:r>
    </w:p>
    <w:p w14:paraId="3FB7A46D" w14:textId="58518768" w:rsidR="00A63293" w:rsidRPr="0074530D" w:rsidRDefault="00F4087B" w:rsidP="00EE6C16">
      <w:pPr>
        <w:pStyle w:val="Subtitle"/>
      </w:pPr>
      <w:r w:rsidRPr="0074530D">
        <w:rPr>
          <w:lang w:val="fr-FR"/>
        </w:rPr>
        <w:t>Anti-Dumping Commission</w:t>
      </w:r>
    </w:p>
    <w:p w14:paraId="4FC03330" w14:textId="47B7914C" w:rsidR="00EE6C16" w:rsidRDefault="005165B7" w:rsidP="00751ABE">
      <w:pPr>
        <w:pStyle w:val="Subtitle"/>
        <w:rPr>
          <w:color w:val="00283E"/>
          <w:sz w:val="52"/>
          <w:szCs w:val="32"/>
        </w:rPr>
      </w:pPr>
      <w:r w:rsidRPr="001755A2">
        <w:rPr>
          <w:lang w:val="en-US"/>
        </w:rPr>
        <w:t>August</w:t>
      </w:r>
      <w:r w:rsidR="00F4087B" w:rsidRPr="005165B7">
        <w:rPr>
          <w:lang w:val="en-US"/>
        </w:rPr>
        <w:t xml:space="preserve"> </w:t>
      </w:r>
      <w:r w:rsidR="00A63293" w:rsidRPr="005165B7">
        <w:rPr>
          <w:lang w:val="en-US"/>
        </w:rPr>
        <w:t>201</w:t>
      </w:r>
      <w:r w:rsidR="00DC20D9" w:rsidRPr="005165B7">
        <w:rPr>
          <w:lang w:val="en-US"/>
        </w:rPr>
        <w:t>9</w:t>
      </w:r>
      <w:r w:rsidR="00EE6C16">
        <w:br w:type="page"/>
      </w:r>
    </w:p>
    <w:bookmarkStart w:id="0" w:name="_Toc17187255" w:displacedByCustomXml="next"/>
    <w:sdt>
      <w:sdtPr>
        <w:rPr>
          <w:rFonts w:eastAsiaTheme="minorHAnsi" w:cstheme="minorBidi"/>
          <w:color w:val="auto"/>
          <w:sz w:val="22"/>
          <w:szCs w:val="22"/>
        </w:rPr>
        <w:id w:val="1576779045"/>
        <w:docPartObj>
          <w:docPartGallery w:val="Table of Contents"/>
          <w:docPartUnique/>
        </w:docPartObj>
      </w:sdtPr>
      <w:sdtEndPr>
        <w:rPr>
          <w:b/>
          <w:bCs/>
          <w:noProof/>
        </w:rPr>
      </w:sdtEndPr>
      <w:sdtContent>
        <w:p w14:paraId="1B7898DF" w14:textId="77777777" w:rsidR="00EE6C16" w:rsidRDefault="00EE6C16" w:rsidP="00EE6C16">
          <w:pPr>
            <w:pStyle w:val="TOCHeading"/>
          </w:pPr>
          <w:r w:rsidRPr="001755A2">
            <w:t>Contents</w:t>
          </w:r>
          <w:bookmarkEnd w:id="0"/>
        </w:p>
        <w:p w14:paraId="770CE122" w14:textId="77777777" w:rsidR="00F20880" w:rsidRDefault="00EE6C16">
          <w:pPr>
            <w:pStyle w:val="TOC1"/>
            <w:rPr>
              <w:rFonts w:asciiTheme="minorHAnsi" w:eastAsiaTheme="minorEastAsia" w:hAnsiTheme="minorHAnsi"/>
              <w:noProof/>
              <w:lang w:eastAsia="en-AU"/>
            </w:rPr>
          </w:pPr>
          <w:r>
            <w:fldChar w:fldCharType="begin"/>
          </w:r>
          <w:r>
            <w:instrText xml:space="preserve"> TOC \o "1-3" \h \z \u </w:instrText>
          </w:r>
          <w:r>
            <w:fldChar w:fldCharType="separate"/>
          </w:r>
          <w:hyperlink w:anchor="_Toc17187255" w:history="1">
            <w:r w:rsidR="00F20880" w:rsidRPr="00AA4BD0">
              <w:rPr>
                <w:rStyle w:val="Hyperlink"/>
                <w:noProof/>
              </w:rPr>
              <w:t>Contents</w:t>
            </w:r>
            <w:r w:rsidR="00F20880">
              <w:rPr>
                <w:noProof/>
                <w:webHidden/>
              </w:rPr>
              <w:tab/>
            </w:r>
            <w:r w:rsidR="00F20880">
              <w:rPr>
                <w:noProof/>
                <w:webHidden/>
              </w:rPr>
              <w:fldChar w:fldCharType="begin"/>
            </w:r>
            <w:r w:rsidR="00F20880">
              <w:rPr>
                <w:noProof/>
                <w:webHidden/>
              </w:rPr>
              <w:instrText xml:space="preserve"> PAGEREF _Toc17187255 \h </w:instrText>
            </w:r>
            <w:r w:rsidR="00F20880">
              <w:rPr>
                <w:noProof/>
                <w:webHidden/>
              </w:rPr>
            </w:r>
            <w:r w:rsidR="00F20880">
              <w:rPr>
                <w:noProof/>
                <w:webHidden/>
              </w:rPr>
              <w:fldChar w:fldCharType="separate"/>
            </w:r>
            <w:r w:rsidR="00F20880">
              <w:rPr>
                <w:noProof/>
                <w:webHidden/>
              </w:rPr>
              <w:t>2</w:t>
            </w:r>
            <w:r w:rsidR="00F20880">
              <w:rPr>
                <w:noProof/>
                <w:webHidden/>
              </w:rPr>
              <w:fldChar w:fldCharType="end"/>
            </w:r>
          </w:hyperlink>
        </w:p>
        <w:p w14:paraId="4425DCAC" w14:textId="77777777" w:rsidR="00F20880" w:rsidRDefault="00A47D27">
          <w:pPr>
            <w:pStyle w:val="TOC1"/>
            <w:rPr>
              <w:rFonts w:asciiTheme="minorHAnsi" w:eastAsiaTheme="minorEastAsia" w:hAnsiTheme="minorHAnsi"/>
              <w:noProof/>
              <w:lang w:eastAsia="en-AU"/>
            </w:rPr>
          </w:pPr>
          <w:hyperlink w:anchor="_Toc17187256" w:history="1">
            <w:r w:rsidR="00F20880" w:rsidRPr="00AA4BD0">
              <w:rPr>
                <w:rStyle w:val="Hyperlink"/>
                <w:noProof/>
              </w:rPr>
              <w:t>Purpose</w:t>
            </w:r>
            <w:r w:rsidR="00F20880">
              <w:rPr>
                <w:noProof/>
                <w:webHidden/>
              </w:rPr>
              <w:tab/>
            </w:r>
            <w:r w:rsidR="00F20880">
              <w:rPr>
                <w:noProof/>
                <w:webHidden/>
              </w:rPr>
              <w:fldChar w:fldCharType="begin"/>
            </w:r>
            <w:r w:rsidR="00F20880">
              <w:rPr>
                <w:noProof/>
                <w:webHidden/>
              </w:rPr>
              <w:instrText xml:space="preserve"> PAGEREF _Toc17187256 \h </w:instrText>
            </w:r>
            <w:r w:rsidR="00F20880">
              <w:rPr>
                <w:noProof/>
                <w:webHidden/>
              </w:rPr>
            </w:r>
            <w:r w:rsidR="00F20880">
              <w:rPr>
                <w:noProof/>
                <w:webHidden/>
              </w:rPr>
              <w:fldChar w:fldCharType="separate"/>
            </w:r>
            <w:r w:rsidR="00F20880">
              <w:rPr>
                <w:noProof/>
                <w:webHidden/>
              </w:rPr>
              <w:t>3</w:t>
            </w:r>
            <w:r w:rsidR="00F20880">
              <w:rPr>
                <w:noProof/>
                <w:webHidden/>
              </w:rPr>
              <w:fldChar w:fldCharType="end"/>
            </w:r>
          </w:hyperlink>
        </w:p>
        <w:p w14:paraId="7B8F8E1E" w14:textId="77777777" w:rsidR="00F20880" w:rsidRDefault="00A47D27">
          <w:pPr>
            <w:pStyle w:val="TOC1"/>
            <w:rPr>
              <w:rFonts w:asciiTheme="minorHAnsi" w:eastAsiaTheme="minorEastAsia" w:hAnsiTheme="minorHAnsi"/>
              <w:noProof/>
              <w:lang w:eastAsia="en-AU"/>
            </w:rPr>
          </w:pPr>
          <w:hyperlink w:anchor="_Toc17187257" w:history="1">
            <w:r w:rsidR="00F20880" w:rsidRPr="00AA4BD0">
              <w:rPr>
                <w:rStyle w:val="Hyperlink"/>
                <w:noProof/>
              </w:rPr>
              <w:t>Introduction</w:t>
            </w:r>
            <w:r w:rsidR="00F20880">
              <w:rPr>
                <w:noProof/>
                <w:webHidden/>
              </w:rPr>
              <w:tab/>
            </w:r>
            <w:r w:rsidR="00F20880">
              <w:rPr>
                <w:noProof/>
                <w:webHidden/>
              </w:rPr>
              <w:fldChar w:fldCharType="begin"/>
            </w:r>
            <w:r w:rsidR="00F20880">
              <w:rPr>
                <w:noProof/>
                <w:webHidden/>
              </w:rPr>
              <w:instrText xml:space="preserve"> PAGEREF _Toc17187257 \h </w:instrText>
            </w:r>
            <w:r w:rsidR="00F20880">
              <w:rPr>
                <w:noProof/>
                <w:webHidden/>
              </w:rPr>
            </w:r>
            <w:r w:rsidR="00F20880">
              <w:rPr>
                <w:noProof/>
                <w:webHidden/>
              </w:rPr>
              <w:fldChar w:fldCharType="separate"/>
            </w:r>
            <w:r w:rsidR="00F20880">
              <w:rPr>
                <w:noProof/>
                <w:webHidden/>
              </w:rPr>
              <w:t>3</w:t>
            </w:r>
            <w:r w:rsidR="00F20880">
              <w:rPr>
                <w:noProof/>
                <w:webHidden/>
              </w:rPr>
              <w:fldChar w:fldCharType="end"/>
            </w:r>
          </w:hyperlink>
        </w:p>
        <w:p w14:paraId="4D4C1AB8" w14:textId="77777777" w:rsidR="00F20880" w:rsidRDefault="00A47D27">
          <w:pPr>
            <w:pStyle w:val="TOC1"/>
            <w:rPr>
              <w:rFonts w:asciiTheme="minorHAnsi" w:eastAsiaTheme="minorEastAsia" w:hAnsiTheme="minorHAnsi"/>
              <w:noProof/>
              <w:lang w:eastAsia="en-AU"/>
            </w:rPr>
          </w:pPr>
          <w:hyperlink w:anchor="_Toc17187258" w:history="1">
            <w:r w:rsidR="00F20880" w:rsidRPr="00AA4BD0">
              <w:rPr>
                <w:rStyle w:val="Hyperlink"/>
                <w:noProof/>
              </w:rPr>
              <w:t>Who can apply</w:t>
            </w:r>
            <w:r w:rsidR="00F20880">
              <w:rPr>
                <w:noProof/>
                <w:webHidden/>
              </w:rPr>
              <w:tab/>
            </w:r>
            <w:r w:rsidR="00F20880">
              <w:rPr>
                <w:noProof/>
                <w:webHidden/>
              </w:rPr>
              <w:fldChar w:fldCharType="begin"/>
            </w:r>
            <w:r w:rsidR="00F20880">
              <w:rPr>
                <w:noProof/>
                <w:webHidden/>
              </w:rPr>
              <w:instrText xml:space="preserve"> PAGEREF _Toc17187258 \h </w:instrText>
            </w:r>
            <w:r w:rsidR="00F20880">
              <w:rPr>
                <w:noProof/>
                <w:webHidden/>
              </w:rPr>
            </w:r>
            <w:r w:rsidR="00F20880">
              <w:rPr>
                <w:noProof/>
                <w:webHidden/>
              </w:rPr>
              <w:fldChar w:fldCharType="separate"/>
            </w:r>
            <w:r w:rsidR="00F20880">
              <w:rPr>
                <w:noProof/>
                <w:webHidden/>
              </w:rPr>
              <w:t>4</w:t>
            </w:r>
            <w:r w:rsidR="00F20880">
              <w:rPr>
                <w:noProof/>
                <w:webHidden/>
              </w:rPr>
              <w:fldChar w:fldCharType="end"/>
            </w:r>
          </w:hyperlink>
        </w:p>
        <w:p w14:paraId="7BA9EE90" w14:textId="77777777" w:rsidR="00F20880" w:rsidRDefault="00A47D27">
          <w:pPr>
            <w:pStyle w:val="TOC1"/>
            <w:rPr>
              <w:rFonts w:asciiTheme="minorHAnsi" w:eastAsiaTheme="minorEastAsia" w:hAnsiTheme="minorHAnsi"/>
              <w:noProof/>
              <w:lang w:eastAsia="en-AU"/>
            </w:rPr>
          </w:pPr>
          <w:hyperlink w:anchor="_Toc17187259" w:history="1">
            <w:r w:rsidR="00F20880" w:rsidRPr="00AA4BD0">
              <w:rPr>
                <w:rStyle w:val="Hyperlink"/>
                <w:noProof/>
              </w:rPr>
              <w:t>When importers can apply</w:t>
            </w:r>
            <w:r w:rsidR="00F20880">
              <w:rPr>
                <w:noProof/>
                <w:webHidden/>
              </w:rPr>
              <w:tab/>
            </w:r>
            <w:r w:rsidR="00F20880">
              <w:rPr>
                <w:noProof/>
                <w:webHidden/>
              </w:rPr>
              <w:fldChar w:fldCharType="begin"/>
            </w:r>
            <w:r w:rsidR="00F20880">
              <w:rPr>
                <w:noProof/>
                <w:webHidden/>
              </w:rPr>
              <w:instrText xml:space="preserve"> PAGEREF _Toc17187259 \h </w:instrText>
            </w:r>
            <w:r w:rsidR="00F20880">
              <w:rPr>
                <w:noProof/>
                <w:webHidden/>
              </w:rPr>
            </w:r>
            <w:r w:rsidR="00F20880">
              <w:rPr>
                <w:noProof/>
                <w:webHidden/>
              </w:rPr>
              <w:fldChar w:fldCharType="separate"/>
            </w:r>
            <w:r w:rsidR="00F20880">
              <w:rPr>
                <w:noProof/>
                <w:webHidden/>
              </w:rPr>
              <w:t>4</w:t>
            </w:r>
            <w:r w:rsidR="00F20880">
              <w:rPr>
                <w:noProof/>
                <w:webHidden/>
              </w:rPr>
              <w:fldChar w:fldCharType="end"/>
            </w:r>
          </w:hyperlink>
        </w:p>
        <w:p w14:paraId="413215D4" w14:textId="77777777" w:rsidR="00F20880" w:rsidRDefault="00A47D27">
          <w:pPr>
            <w:pStyle w:val="TOC1"/>
            <w:rPr>
              <w:rFonts w:asciiTheme="minorHAnsi" w:eastAsiaTheme="minorEastAsia" w:hAnsiTheme="minorHAnsi"/>
              <w:noProof/>
              <w:lang w:eastAsia="en-AU"/>
            </w:rPr>
          </w:pPr>
          <w:hyperlink w:anchor="_Toc17187260" w:history="1">
            <w:r w:rsidR="00F20880" w:rsidRPr="00AA4BD0">
              <w:rPr>
                <w:rStyle w:val="Hyperlink"/>
                <w:noProof/>
              </w:rPr>
              <w:t>How to apply</w:t>
            </w:r>
            <w:r w:rsidR="00F20880">
              <w:rPr>
                <w:noProof/>
                <w:webHidden/>
              </w:rPr>
              <w:tab/>
            </w:r>
            <w:r w:rsidR="00F20880">
              <w:rPr>
                <w:noProof/>
                <w:webHidden/>
              </w:rPr>
              <w:fldChar w:fldCharType="begin"/>
            </w:r>
            <w:r w:rsidR="00F20880">
              <w:rPr>
                <w:noProof/>
                <w:webHidden/>
              </w:rPr>
              <w:instrText xml:space="preserve"> PAGEREF _Toc17187260 \h </w:instrText>
            </w:r>
            <w:r w:rsidR="00F20880">
              <w:rPr>
                <w:noProof/>
                <w:webHidden/>
              </w:rPr>
            </w:r>
            <w:r w:rsidR="00F20880">
              <w:rPr>
                <w:noProof/>
                <w:webHidden/>
              </w:rPr>
              <w:fldChar w:fldCharType="separate"/>
            </w:r>
            <w:r w:rsidR="00F20880">
              <w:rPr>
                <w:noProof/>
                <w:webHidden/>
              </w:rPr>
              <w:t>4</w:t>
            </w:r>
            <w:r w:rsidR="00F20880">
              <w:rPr>
                <w:noProof/>
                <w:webHidden/>
              </w:rPr>
              <w:fldChar w:fldCharType="end"/>
            </w:r>
          </w:hyperlink>
        </w:p>
        <w:p w14:paraId="397C483F" w14:textId="77777777" w:rsidR="00F20880" w:rsidRDefault="00A47D27">
          <w:pPr>
            <w:pStyle w:val="TOC1"/>
            <w:rPr>
              <w:rFonts w:asciiTheme="minorHAnsi" w:eastAsiaTheme="minorEastAsia" w:hAnsiTheme="minorHAnsi"/>
              <w:noProof/>
              <w:lang w:eastAsia="en-AU"/>
            </w:rPr>
          </w:pPr>
          <w:hyperlink w:anchor="_Toc17187261" w:history="1">
            <w:r w:rsidR="00F20880" w:rsidRPr="00AA4BD0">
              <w:rPr>
                <w:rStyle w:val="Hyperlink"/>
                <w:noProof/>
              </w:rPr>
              <w:t>Exporter cooperation</w:t>
            </w:r>
            <w:r w:rsidR="00F20880">
              <w:rPr>
                <w:noProof/>
                <w:webHidden/>
              </w:rPr>
              <w:tab/>
            </w:r>
            <w:r w:rsidR="00F20880">
              <w:rPr>
                <w:noProof/>
                <w:webHidden/>
              </w:rPr>
              <w:fldChar w:fldCharType="begin"/>
            </w:r>
            <w:r w:rsidR="00F20880">
              <w:rPr>
                <w:noProof/>
                <w:webHidden/>
              </w:rPr>
              <w:instrText xml:space="preserve"> PAGEREF _Toc17187261 \h </w:instrText>
            </w:r>
            <w:r w:rsidR="00F20880">
              <w:rPr>
                <w:noProof/>
                <w:webHidden/>
              </w:rPr>
            </w:r>
            <w:r w:rsidR="00F20880">
              <w:rPr>
                <w:noProof/>
                <w:webHidden/>
              </w:rPr>
              <w:fldChar w:fldCharType="separate"/>
            </w:r>
            <w:r w:rsidR="00F20880">
              <w:rPr>
                <w:noProof/>
                <w:webHidden/>
              </w:rPr>
              <w:t>6</w:t>
            </w:r>
            <w:r w:rsidR="00F20880">
              <w:rPr>
                <w:noProof/>
                <w:webHidden/>
              </w:rPr>
              <w:fldChar w:fldCharType="end"/>
            </w:r>
          </w:hyperlink>
        </w:p>
        <w:p w14:paraId="6FEC77BE" w14:textId="77777777" w:rsidR="00F20880" w:rsidRDefault="00A47D27">
          <w:pPr>
            <w:pStyle w:val="TOC1"/>
            <w:rPr>
              <w:rFonts w:asciiTheme="minorHAnsi" w:eastAsiaTheme="minorEastAsia" w:hAnsiTheme="minorHAnsi"/>
              <w:noProof/>
              <w:lang w:eastAsia="en-AU"/>
            </w:rPr>
          </w:pPr>
          <w:hyperlink w:anchor="_Toc17187262" w:history="1">
            <w:r w:rsidR="00F20880" w:rsidRPr="00AA4BD0">
              <w:rPr>
                <w:rStyle w:val="Hyperlink"/>
                <w:noProof/>
              </w:rPr>
              <w:t>Pre-lodgement documentation check</w:t>
            </w:r>
            <w:r w:rsidR="00F20880">
              <w:rPr>
                <w:noProof/>
                <w:webHidden/>
              </w:rPr>
              <w:tab/>
            </w:r>
            <w:r w:rsidR="00F20880">
              <w:rPr>
                <w:noProof/>
                <w:webHidden/>
              </w:rPr>
              <w:fldChar w:fldCharType="begin"/>
            </w:r>
            <w:r w:rsidR="00F20880">
              <w:rPr>
                <w:noProof/>
                <w:webHidden/>
              </w:rPr>
              <w:instrText xml:space="preserve"> PAGEREF _Toc17187262 \h </w:instrText>
            </w:r>
            <w:r w:rsidR="00F20880">
              <w:rPr>
                <w:noProof/>
                <w:webHidden/>
              </w:rPr>
            </w:r>
            <w:r w:rsidR="00F20880">
              <w:rPr>
                <w:noProof/>
                <w:webHidden/>
              </w:rPr>
              <w:fldChar w:fldCharType="separate"/>
            </w:r>
            <w:r w:rsidR="00F20880">
              <w:rPr>
                <w:noProof/>
                <w:webHidden/>
              </w:rPr>
              <w:t>6</w:t>
            </w:r>
            <w:r w:rsidR="00F20880">
              <w:rPr>
                <w:noProof/>
                <w:webHidden/>
              </w:rPr>
              <w:fldChar w:fldCharType="end"/>
            </w:r>
          </w:hyperlink>
        </w:p>
        <w:p w14:paraId="5DBAB293" w14:textId="77777777" w:rsidR="00F20880" w:rsidRDefault="00A47D27">
          <w:pPr>
            <w:pStyle w:val="TOC1"/>
            <w:rPr>
              <w:rFonts w:asciiTheme="minorHAnsi" w:eastAsiaTheme="minorEastAsia" w:hAnsiTheme="minorHAnsi"/>
              <w:noProof/>
              <w:lang w:eastAsia="en-AU"/>
            </w:rPr>
          </w:pPr>
          <w:hyperlink w:anchor="_Toc17187263" w:history="1">
            <w:r w:rsidR="00F20880" w:rsidRPr="00AA4BD0">
              <w:rPr>
                <w:rStyle w:val="Hyperlink"/>
                <w:noProof/>
              </w:rPr>
              <w:t>How to lodge the application</w:t>
            </w:r>
            <w:r w:rsidR="00F20880">
              <w:rPr>
                <w:noProof/>
                <w:webHidden/>
              </w:rPr>
              <w:tab/>
            </w:r>
            <w:r w:rsidR="00F20880">
              <w:rPr>
                <w:noProof/>
                <w:webHidden/>
              </w:rPr>
              <w:fldChar w:fldCharType="begin"/>
            </w:r>
            <w:r w:rsidR="00F20880">
              <w:rPr>
                <w:noProof/>
                <w:webHidden/>
              </w:rPr>
              <w:instrText xml:space="preserve"> PAGEREF _Toc17187263 \h </w:instrText>
            </w:r>
            <w:r w:rsidR="00F20880">
              <w:rPr>
                <w:noProof/>
                <w:webHidden/>
              </w:rPr>
            </w:r>
            <w:r w:rsidR="00F20880">
              <w:rPr>
                <w:noProof/>
                <w:webHidden/>
              </w:rPr>
              <w:fldChar w:fldCharType="separate"/>
            </w:r>
            <w:r w:rsidR="00F20880">
              <w:rPr>
                <w:noProof/>
                <w:webHidden/>
              </w:rPr>
              <w:t>7</w:t>
            </w:r>
            <w:r w:rsidR="00F20880">
              <w:rPr>
                <w:noProof/>
                <w:webHidden/>
              </w:rPr>
              <w:fldChar w:fldCharType="end"/>
            </w:r>
          </w:hyperlink>
        </w:p>
        <w:p w14:paraId="5E61A9A9" w14:textId="77777777" w:rsidR="00F20880" w:rsidRDefault="00A47D27">
          <w:pPr>
            <w:pStyle w:val="TOC1"/>
            <w:rPr>
              <w:rFonts w:asciiTheme="minorHAnsi" w:eastAsiaTheme="minorEastAsia" w:hAnsiTheme="minorHAnsi"/>
              <w:noProof/>
              <w:lang w:eastAsia="en-AU"/>
            </w:rPr>
          </w:pPr>
          <w:hyperlink w:anchor="_Toc17187264" w:history="1">
            <w:r w:rsidR="00F20880" w:rsidRPr="00AA4BD0">
              <w:rPr>
                <w:rStyle w:val="Hyperlink"/>
                <w:noProof/>
              </w:rPr>
              <w:t>Timeframes</w:t>
            </w:r>
            <w:r w:rsidR="00F20880">
              <w:rPr>
                <w:noProof/>
                <w:webHidden/>
              </w:rPr>
              <w:tab/>
            </w:r>
            <w:r w:rsidR="00F20880">
              <w:rPr>
                <w:noProof/>
                <w:webHidden/>
              </w:rPr>
              <w:fldChar w:fldCharType="begin"/>
            </w:r>
            <w:r w:rsidR="00F20880">
              <w:rPr>
                <w:noProof/>
                <w:webHidden/>
              </w:rPr>
              <w:instrText xml:space="preserve"> PAGEREF _Toc17187264 \h </w:instrText>
            </w:r>
            <w:r w:rsidR="00F20880">
              <w:rPr>
                <w:noProof/>
                <w:webHidden/>
              </w:rPr>
            </w:r>
            <w:r w:rsidR="00F20880">
              <w:rPr>
                <w:noProof/>
                <w:webHidden/>
              </w:rPr>
              <w:fldChar w:fldCharType="separate"/>
            </w:r>
            <w:r w:rsidR="00F20880">
              <w:rPr>
                <w:noProof/>
                <w:webHidden/>
              </w:rPr>
              <w:t>7</w:t>
            </w:r>
            <w:r w:rsidR="00F20880">
              <w:rPr>
                <w:noProof/>
                <w:webHidden/>
              </w:rPr>
              <w:fldChar w:fldCharType="end"/>
            </w:r>
          </w:hyperlink>
        </w:p>
        <w:p w14:paraId="63B6A6B0" w14:textId="77777777" w:rsidR="00F20880" w:rsidRDefault="00A47D27">
          <w:pPr>
            <w:pStyle w:val="TOC1"/>
            <w:rPr>
              <w:rFonts w:asciiTheme="minorHAnsi" w:eastAsiaTheme="minorEastAsia" w:hAnsiTheme="minorHAnsi"/>
              <w:noProof/>
              <w:lang w:eastAsia="en-AU"/>
            </w:rPr>
          </w:pPr>
          <w:hyperlink w:anchor="_Toc17187265" w:history="1">
            <w:r w:rsidR="00F20880" w:rsidRPr="00AA4BD0">
              <w:rPr>
                <w:rStyle w:val="Hyperlink"/>
                <w:noProof/>
              </w:rPr>
              <w:t>Rejection or termination</w:t>
            </w:r>
            <w:r w:rsidR="00F20880">
              <w:rPr>
                <w:noProof/>
                <w:webHidden/>
              </w:rPr>
              <w:tab/>
            </w:r>
            <w:r w:rsidR="00F20880">
              <w:rPr>
                <w:noProof/>
                <w:webHidden/>
              </w:rPr>
              <w:fldChar w:fldCharType="begin"/>
            </w:r>
            <w:r w:rsidR="00F20880">
              <w:rPr>
                <w:noProof/>
                <w:webHidden/>
              </w:rPr>
              <w:instrText xml:space="preserve"> PAGEREF _Toc17187265 \h </w:instrText>
            </w:r>
            <w:r w:rsidR="00F20880">
              <w:rPr>
                <w:noProof/>
                <w:webHidden/>
              </w:rPr>
            </w:r>
            <w:r w:rsidR="00F20880">
              <w:rPr>
                <w:noProof/>
                <w:webHidden/>
              </w:rPr>
              <w:fldChar w:fldCharType="separate"/>
            </w:r>
            <w:r w:rsidR="00F20880">
              <w:rPr>
                <w:noProof/>
                <w:webHidden/>
              </w:rPr>
              <w:t>7</w:t>
            </w:r>
            <w:r w:rsidR="00F20880">
              <w:rPr>
                <w:noProof/>
                <w:webHidden/>
              </w:rPr>
              <w:fldChar w:fldCharType="end"/>
            </w:r>
          </w:hyperlink>
        </w:p>
        <w:p w14:paraId="71259629" w14:textId="77777777" w:rsidR="00F20880" w:rsidRDefault="00A47D27">
          <w:pPr>
            <w:pStyle w:val="TOC1"/>
            <w:rPr>
              <w:rFonts w:asciiTheme="minorHAnsi" w:eastAsiaTheme="minorEastAsia" w:hAnsiTheme="minorHAnsi"/>
              <w:noProof/>
              <w:lang w:eastAsia="en-AU"/>
            </w:rPr>
          </w:pPr>
          <w:hyperlink w:anchor="_Toc17187266" w:history="1">
            <w:r w:rsidR="00F20880" w:rsidRPr="00AA4BD0">
              <w:rPr>
                <w:rStyle w:val="Hyperlink"/>
                <w:noProof/>
              </w:rPr>
              <w:t>The assessment process</w:t>
            </w:r>
            <w:r w:rsidR="00F20880">
              <w:rPr>
                <w:noProof/>
                <w:webHidden/>
              </w:rPr>
              <w:tab/>
            </w:r>
            <w:r w:rsidR="00F20880">
              <w:rPr>
                <w:noProof/>
                <w:webHidden/>
              </w:rPr>
              <w:fldChar w:fldCharType="begin"/>
            </w:r>
            <w:r w:rsidR="00F20880">
              <w:rPr>
                <w:noProof/>
                <w:webHidden/>
              </w:rPr>
              <w:instrText xml:space="preserve"> PAGEREF _Toc17187266 \h </w:instrText>
            </w:r>
            <w:r w:rsidR="00F20880">
              <w:rPr>
                <w:noProof/>
                <w:webHidden/>
              </w:rPr>
            </w:r>
            <w:r w:rsidR="00F20880">
              <w:rPr>
                <w:noProof/>
                <w:webHidden/>
              </w:rPr>
              <w:fldChar w:fldCharType="separate"/>
            </w:r>
            <w:r w:rsidR="00F20880">
              <w:rPr>
                <w:noProof/>
                <w:webHidden/>
              </w:rPr>
              <w:t>7</w:t>
            </w:r>
            <w:r w:rsidR="00F20880">
              <w:rPr>
                <w:noProof/>
                <w:webHidden/>
              </w:rPr>
              <w:fldChar w:fldCharType="end"/>
            </w:r>
          </w:hyperlink>
        </w:p>
        <w:p w14:paraId="49FE9622" w14:textId="77777777" w:rsidR="00F20880" w:rsidRDefault="00A47D27">
          <w:pPr>
            <w:pStyle w:val="TOC1"/>
            <w:rPr>
              <w:rFonts w:asciiTheme="minorHAnsi" w:eastAsiaTheme="minorEastAsia" w:hAnsiTheme="minorHAnsi"/>
              <w:noProof/>
              <w:lang w:eastAsia="en-AU"/>
            </w:rPr>
          </w:pPr>
          <w:hyperlink w:anchor="_Toc17187267" w:history="1">
            <w:r w:rsidR="00F20880" w:rsidRPr="00AA4BD0">
              <w:rPr>
                <w:rStyle w:val="Hyperlink"/>
                <w:noProof/>
              </w:rPr>
              <w:t>Possible outcomes</w:t>
            </w:r>
            <w:r w:rsidR="00F20880">
              <w:rPr>
                <w:noProof/>
                <w:webHidden/>
              </w:rPr>
              <w:tab/>
            </w:r>
            <w:r w:rsidR="00F20880">
              <w:rPr>
                <w:noProof/>
                <w:webHidden/>
              </w:rPr>
              <w:fldChar w:fldCharType="begin"/>
            </w:r>
            <w:r w:rsidR="00F20880">
              <w:rPr>
                <w:noProof/>
                <w:webHidden/>
              </w:rPr>
              <w:instrText xml:space="preserve"> PAGEREF _Toc17187267 \h </w:instrText>
            </w:r>
            <w:r w:rsidR="00F20880">
              <w:rPr>
                <w:noProof/>
                <w:webHidden/>
              </w:rPr>
            </w:r>
            <w:r w:rsidR="00F20880">
              <w:rPr>
                <w:noProof/>
                <w:webHidden/>
              </w:rPr>
              <w:fldChar w:fldCharType="separate"/>
            </w:r>
            <w:r w:rsidR="00F20880">
              <w:rPr>
                <w:noProof/>
                <w:webHidden/>
              </w:rPr>
              <w:t>8</w:t>
            </w:r>
            <w:r w:rsidR="00F20880">
              <w:rPr>
                <w:noProof/>
                <w:webHidden/>
              </w:rPr>
              <w:fldChar w:fldCharType="end"/>
            </w:r>
          </w:hyperlink>
        </w:p>
        <w:p w14:paraId="46D27E47" w14:textId="77777777" w:rsidR="00F20880" w:rsidRDefault="00A47D27">
          <w:pPr>
            <w:pStyle w:val="TOC1"/>
            <w:rPr>
              <w:rFonts w:asciiTheme="minorHAnsi" w:eastAsiaTheme="minorEastAsia" w:hAnsiTheme="minorHAnsi"/>
              <w:noProof/>
              <w:lang w:eastAsia="en-AU"/>
            </w:rPr>
          </w:pPr>
          <w:hyperlink w:anchor="_Toc17187268" w:history="1">
            <w:r w:rsidR="00F20880" w:rsidRPr="00AA4BD0">
              <w:rPr>
                <w:rStyle w:val="Hyperlink"/>
                <w:noProof/>
              </w:rPr>
              <w:t>Rights of review</w:t>
            </w:r>
            <w:r w:rsidR="00F20880">
              <w:rPr>
                <w:noProof/>
                <w:webHidden/>
              </w:rPr>
              <w:tab/>
            </w:r>
            <w:r w:rsidR="00F20880">
              <w:rPr>
                <w:noProof/>
                <w:webHidden/>
              </w:rPr>
              <w:fldChar w:fldCharType="begin"/>
            </w:r>
            <w:r w:rsidR="00F20880">
              <w:rPr>
                <w:noProof/>
                <w:webHidden/>
              </w:rPr>
              <w:instrText xml:space="preserve"> PAGEREF _Toc17187268 \h </w:instrText>
            </w:r>
            <w:r w:rsidR="00F20880">
              <w:rPr>
                <w:noProof/>
                <w:webHidden/>
              </w:rPr>
            </w:r>
            <w:r w:rsidR="00F20880">
              <w:rPr>
                <w:noProof/>
                <w:webHidden/>
              </w:rPr>
              <w:fldChar w:fldCharType="separate"/>
            </w:r>
            <w:r w:rsidR="00F20880">
              <w:rPr>
                <w:noProof/>
                <w:webHidden/>
              </w:rPr>
              <w:t>9</w:t>
            </w:r>
            <w:r w:rsidR="00F20880">
              <w:rPr>
                <w:noProof/>
                <w:webHidden/>
              </w:rPr>
              <w:fldChar w:fldCharType="end"/>
            </w:r>
          </w:hyperlink>
        </w:p>
        <w:p w14:paraId="1443412A" w14:textId="77777777" w:rsidR="00F20880" w:rsidRDefault="00A47D27">
          <w:pPr>
            <w:pStyle w:val="TOC1"/>
            <w:rPr>
              <w:rFonts w:asciiTheme="minorHAnsi" w:eastAsiaTheme="minorEastAsia" w:hAnsiTheme="minorHAnsi"/>
              <w:noProof/>
              <w:lang w:eastAsia="en-AU"/>
            </w:rPr>
          </w:pPr>
          <w:hyperlink w:anchor="_Toc17187269" w:history="1">
            <w:r w:rsidR="00F20880" w:rsidRPr="00AA4BD0">
              <w:rPr>
                <w:rStyle w:val="Hyperlink"/>
                <w:noProof/>
              </w:rPr>
              <w:t>Find out more</w:t>
            </w:r>
            <w:r w:rsidR="00F20880">
              <w:rPr>
                <w:noProof/>
                <w:webHidden/>
              </w:rPr>
              <w:tab/>
            </w:r>
            <w:r w:rsidR="00F20880">
              <w:rPr>
                <w:noProof/>
                <w:webHidden/>
              </w:rPr>
              <w:fldChar w:fldCharType="begin"/>
            </w:r>
            <w:r w:rsidR="00F20880">
              <w:rPr>
                <w:noProof/>
                <w:webHidden/>
              </w:rPr>
              <w:instrText xml:space="preserve"> PAGEREF _Toc17187269 \h </w:instrText>
            </w:r>
            <w:r w:rsidR="00F20880">
              <w:rPr>
                <w:noProof/>
                <w:webHidden/>
              </w:rPr>
            </w:r>
            <w:r w:rsidR="00F20880">
              <w:rPr>
                <w:noProof/>
                <w:webHidden/>
              </w:rPr>
              <w:fldChar w:fldCharType="separate"/>
            </w:r>
            <w:r w:rsidR="00F20880">
              <w:rPr>
                <w:noProof/>
                <w:webHidden/>
              </w:rPr>
              <w:t>9</w:t>
            </w:r>
            <w:r w:rsidR="00F20880">
              <w:rPr>
                <w:noProof/>
                <w:webHidden/>
              </w:rPr>
              <w:fldChar w:fldCharType="end"/>
            </w:r>
          </w:hyperlink>
        </w:p>
        <w:p w14:paraId="7A955614" w14:textId="77777777" w:rsidR="00EE6C16" w:rsidRDefault="00EE6C16">
          <w:r>
            <w:rPr>
              <w:b/>
              <w:bCs/>
              <w:noProof/>
            </w:rPr>
            <w:fldChar w:fldCharType="end"/>
          </w:r>
        </w:p>
      </w:sdtContent>
    </w:sdt>
    <w:p w14:paraId="4E144389" w14:textId="54EC08CC" w:rsidR="00EE6C16" w:rsidRDefault="00EE6C16">
      <w:pPr>
        <w:spacing w:before="0" w:after="160" w:line="259" w:lineRule="auto"/>
        <w:rPr>
          <w:rFonts w:eastAsiaTheme="majorEastAsia" w:cstheme="majorBidi"/>
          <w:color w:val="00283E"/>
          <w:sz w:val="52"/>
          <w:szCs w:val="32"/>
        </w:rPr>
      </w:pPr>
      <w:r>
        <w:br w:type="page"/>
      </w:r>
    </w:p>
    <w:p w14:paraId="7A6FCBC9" w14:textId="4EA57985" w:rsidR="006720FE" w:rsidRDefault="006720FE" w:rsidP="006720FE">
      <w:pPr>
        <w:pStyle w:val="Heading1"/>
      </w:pPr>
      <w:bookmarkStart w:id="1" w:name="_Toc17187256"/>
      <w:r>
        <w:lastRenderedPageBreak/>
        <w:t>Purpose</w:t>
      </w:r>
      <w:bookmarkEnd w:id="1"/>
    </w:p>
    <w:p w14:paraId="04CA6783" w14:textId="4061BECF" w:rsidR="006720FE" w:rsidRDefault="006720FE" w:rsidP="00CC7EB3">
      <w:r>
        <w:t xml:space="preserve">This guide outlines the steps </w:t>
      </w:r>
      <w:r w:rsidR="00F250F0">
        <w:t xml:space="preserve">involved in </w:t>
      </w:r>
      <w:r>
        <w:t xml:space="preserve">applying </w:t>
      </w:r>
      <w:r w:rsidR="00AE06A2">
        <w:t xml:space="preserve">to the </w:t>
      </w:r>
      <w:hyperlink r:id="rId12" w:history="1">
        <w:r w:rsidR="00AE06A2" w:rsidRPr="005D5092">
          <w:rPr>
            <w:rStyle w:val="Hyperlink"/>
          </w:rPr>
          <w:t>Anti-Dumping Commission</w:t>
        </w:r>
      </w:hyperlink>
      <w:r w:rsidR="00AE06A2">
        <w:t xml:space="preserve"> </w:t>
      </w:r>
      <w:r w:rsidR="00E36A49">
        <w:t xml:space="preserve">(Commission) </w:t>
      </w:r>
      <w:r>
        <w:t>for a duty assessment.</w:t>
      </w:r>
    </w:p>
    <w:p w14:paraId="4D0036BC" w14:textId="5D933737" w:rsidR="006720FE" w:rsidRDefault="006720FE" w:rsidP="00CC7EB3">
      <w:r>
        <w:t>Specifically, this guide sets out:</w:t>
      </w:r>
    </w:p>
    <w:p w14:paraId="36ACD88B" w14:textId="562A7A9C" w:rsidR="00751ABE" w:rsidRDefault="00751ABE" w:rsidP="00751ABE">
      <w:pPr>
        <w:pStyle w:val="ListParagraph"/>
      </w:pPr>
      <w:r>
        <w:t>who can apply</w:t>
      </w:r>
    </w:p>
    <w:p w14:paraId="21981800" w14:textId="64061018" w:rsidR="00751ABE" w:rsidRDefault="00751ABE" w:rsidP="00751ABE">
      <w:pPr>
        <w:pStyle w:val="ListParagraph"/>
      </w:pPr>
      <w:r>
        <w:t>when to apply</w:t>
      </w:r>
    </w:p>
    <w:p w14:paraId="6EB762AA" w14:textId="77777777" w:rsidR="007F5BB5" w:rsidRDefault="00751ABE" w:rsidP="00751ABE">
      <w:pPr>
        <w:pStyle w:val="ListParagraph"/>
      </w:pPr>
      <w:r>
        <w:t>how to apply</w:t>
      </w:r>
      <w:r w:rsidR="007F5BB5">
        <w:t>, and</w:t>
      </w:r>
    </w:p>
    <w:p w14:paraId="57A44661" w14:textId="0C5114CA" w:rsidR="00751ABE" w:rsidRDefault="007F5BB5" w:rsidP="00751ABE">
      <w:pPr>
        <w:pStyle w:val="ListParagraph"/>
      </w:pPr>
      <w:r>
        <w:t xml:space="preserve">what to expect during </w:t>
      </w:r>
      <w:r w:rsidR="00751ABE">
        <w:t>the assessment process.</w:t>
      </w:r>
    </w:p>
    <w:p w14:paraId="35098BB2" w14:textId="04ECB7EC" w:rsidR="0026077D" w:rsidRPr="0026077D" w:rsidRDefault="0026077D" w:rsidP="0026077D">
      <w:pPr>
        <w:pStyle w:val="TOCHeading"/>
      </w:pPr>
      <w:bookmarkStart w:id="2" w:name="_Toc17187257"/>
      <w:r>
        <w:t>Introduction</w:t>
      </w:r>
      <w:bookmarkEnd w:id="2"/>
    </w:p>
    <w:p w14:paraId="4BB000B9" w14:textId="6D845708" w:rsidR="00553E4E" w:rsidRDefault="00553E4E" w:rsidP="0026077D">
      <w:r>
        <w:t xml:space="preserve">Duty assessments are covered by Division 4 of Part XVB of the </w:t>
      </w:r>
      <w:hyperlink r:id="rId13" w:history="1">
        <w:r w:rsidRPr="00553E4E">
          <w:rPr>
            <w:rStyle w:val="Hyperlink"/>
            <w:i/>
          </w:rPr>
          <w:t>Customs Act 1901</w:t>
        </w:r>
      </w:hyperlink>
      <w:r>
        <w:t xml:space="preserve">.  </w:t>
      </w:r>
    </w:p>
    <w:p w14:paraId="1274A01C" w14:textId="6929A94E" w:rsidR="00C23226" w:rsidRDefault="0026077D" w:rsidP="0026077D">
      <w:r w:rsidRPr="0026077D">
        <w:t xml:space="preserve">A duty assessment </w:t>
      </w:r>
      <w:r w:rsidR="00F6066A">
        <w:t xml:space="preserve">is </w:t>
      </w:r>
      <w:r w:rsidR="00593066">
        <w:t xml:space="preserve">the process </w:t>
      </w:r>
      <w:r w:rsidR="00F6066A">
        <w:t>whe</w:t>
      </w:r>
      <w:r w:rsidR="0090000C">
        <w:t xml:space="preserve">reby </w:t>
      </w:r>
      <w:r w:rsidRPr="0026077D">
        <w:t xml:space="preserve">the </w:t>
      </w:r>
      <w:hyperlink r:id="rId14" w:history="1">
        <w:r w:rsidRPr="007F5BB5">
          <w:rPr>
            <w:rStyle w:val="Hyperlink"/>
          </w:rPr>
          <w:t>Commission</w:t>
        </w:r>
      </w:hyperlink>
      <w:r w:rsidRPr="0026077D">
        <w:t xml:space="preserve"> </w:t>
      </w:r>
      <w:r w:rsidR="001E5127">
        <w:t xml:space="preserve">works out </w:t>
      </w:r>
      <w:r w:rsidRPr="00EE12E5">
        <w:t xml:space="preserve">the </w:t>
      </w:r>
      <w:r w:rsidRPr="00C23226">
        <w:rPr>
          <w:u w:val="single"/>
        </w:rPr>
        <w:t>final duty</w:t>
      </w:r>
      <w:r w:rsidR="00C23226">
        <w:rPr>
          <w:u w:val="single"/>
        </w:rPr>
        <w:t xml:space="preserve"> liability </w:t>
      </w:r>
      <w:r w:rsidRPr="0026077D">
        <w:t>for goods subject to anti-dumping and/or countervailing measures</w:t>
      </w:r>
      <w:r w:rsidR="00E11F64">
        <w:t xml:space="preserve"> (anti-dumping me</w:t>
      </w:r>
      <w:r w:rsidR="002C58A1">
        <w:t>a</w:t>
      </w:r>
      <w:r w:rsidR="00E11F64">
        <w:t>sures)</w:t>
      </w:r>
      <w:r w:rsidRPr="0026077D">
        <w:t>.</w:t>
      </w:r>
      <w:r w:rsidR="00C23226">
        <w:t xml:space="preserve"> </w:t>
      </w:r>
    </w:p>
    <w:p w14:paraId="74CE439A" w14:textId="41B4F765" w:rsidR="0017492A" w:rsidRDefault="0017492A" w:rsidP="0026077D">
      <w:r>
        <w:t xml:space="preserve">An importer </w:t>
      </w:r>
      <w:r w:rsidR="001D789F">
        <w:t xml:space="preserve">of goods on which </w:t>
      </w:r>
      <w:r>
        <w:t xml:space="preserve">interim </w:t>
      </w:r>
      <w:r w:rsidR="00C23226">
        <w:t xml:space="preserve">dumping </w:t>
      </w:r>
      <w:r>
        <w:t>duty</w:t>
      </w:r>
      <w:r w:rsidR="00C23226">
        <w:t xml:space="preserve"> (IDD) and/or interim countervailing duty (ICD)</w:t>
      </w:r>
      <w:r>
        <w:t xml:space="preserve"> </w:t>
      </w:r>
      <w:r w:rsidR="001D789F">
        <w:t>has been paid</w:t>
      </w:r>
      <w:r>
        <w:t xml:space="preserve"> may apply, within specified time limits, for an assessment of final duty payable</w:t>
      </w:r>
      <w:r w:rsidR="0046581A">
        <w:t>.</w:t>
      </w:r>
      <w:r w:rsidR="001D789F">
        <w:t xml:space="preserve"> An importer can apply for a duty assessment if it believes it has overpaid duty on imports into Australia and wishes to obtain a refund of the amount overpaid. </w:t>
      </w:r>
    </w:p>
    <w:p w14:paraId="67E9C5BB" w14:textId="1CC53694" w:rsidR="0026077D" w:rsidRPr="0026077D" w:rsidRDefault="00CA347B" w:rsidP="0026077D">
      <w:r>
        <w:t>T</w:t>
      </w:r>
      <w:r w:rsidRPr="00CA347B">
        <w:t>he Dumping Commodity Register (DCR)</w:t>
      </w:r>
      <w:r>
        <w:t xml:space="preserve"> lists </w:t>
      </w:r>
      <w:r w:rsidR="00F7670F">
        <w:t xml:space="preserve">the </w:t>
      </w:r>
      <w:r w:rsidRPr="00CA347B">
        <w:t>IDD and ICD rate</w:t>
      </w:r>
      <w:r>
        <w:t>s</w:t>
      </w:r>
      <w:r w:rsidRPr="00CA347B">
        <w:t xml:space="preserve"> </w:t>
      </w:r>
      <w:r w:rsidR="00F7670F">
        <w:t xml:space="preserve">by </w:t>
      </w:r>
      <w:r w:rsidR="00110BC1">
        <w:t xml:space="preserve">country and </w:t>
      </w:r>
      <w:r w:rsidR="00F7670F">
        <w:t>exporter</w:t>
      </w:r>
      <w:r w:rsidR="003B0CA3">
        <w:t xml:space="preserve"> </w:t>
      </w:r>
      <w:r w:rsidR="0026077D" w:rsidRPr="0026077D">
        <w:t>for each good</w:t>
      </w:r>
      <w:r w:rsidR="00F62F23">
        <w:t xml:space="preserve"> </w:t>
      </w:r>
      <w:r w:rsidR="00F62F23" w:rsidRPr="00F62F23">
        <w:t>subject to anti-dumping measures</w:t>
      </w:r>
      <w:r w:rsidR="00F62F23" w:rsidRPr="00001221">
        <w:t xml:space="preserve">. </w:t>
      </w:r>
      <w:r w:rsidR="00001221" w:rsidRPr="00001221">
        <w:t xml:space="preserve">The Commission publishes the </w:t>
      </w:r>
      <w:r w:rsidR="00F62F23" w:rsidRPr="00001221">
        <w:t xml:space="preserve">DCR </w:t>
      </w:r>
      <w:r w:rsidR="0026077D" w:rsidRPr="00001221">
        <w:t xml:space="preserve">on </w:t>
      </w:r>
      <w:r w:rsidR="00001221" w:rsidRPr="00001221">
        <w:t xml:space="preserve">its </w:t>
      </w:r>
      <w:hyperlink r:id="rId15" w:history="1">
        <w:r w:rsidR="0026077D" w:rsidRPr="00C23226">
          <w:rPr>
            <w:rStyle w:val="Hyperlink"/>
          </w:rPr>
          <w:t>Measures</w:t>
        </w:r>
      </w:hyperlink>
      <w:r w:rsidR="0026077D" w:rsidRPr="00001221">
        <w:t xml:space="preserve"> page.</w:t>
      </w:r>
    </w:p>
    <w:p w14:paraId="0F1EED8D" w14:textId="14D28B7E" w:rsidR="00106846" w:rsidRPr="0026077D" w:rsidRDefault="0046581A" w:rsidP="00106846">
      <w:r>
        <w:t>T</w:t>
      </w:r>
      <w:r w:rsidR="00BB14D3">
        <w:t>he final duty payable will</w:t>
      </w:r>
      <w:r>
        <w:t xml:space="preserve"> differ from the interim duty payable where variable factors ascertained to calculate the interim duty are different to the </w:t>
      </w:r>
      <w:r w:rsidRPr="004F2A51">
        <w:rPr>
          <w:b/>
        </w:rPr>
        <w:t>actual</w:t>
      </w:r>
      <w:r>
        <w:t xml:space="preserve"> variable factors. </w:t>
      </w:r>
    </w:p>
    <w:p w14:paraId="500DC90B" w14:textId="563EB8FA" w:rsidR="00EC76AE" w:rsidRDefault="00F62F23" w:rsidP="0026077D">
      <w:r>
        <w:t xml:space="preserve">Variable factors </w:t>
      </w:r>
      <w:r w:rsidR="005C1CCD">
        <w:t>ar</w:t>
      </w:r>
      <w:r w:rsidR="00EC76AE">
        <w:t>e:</w:t>
      </w:r>
    </w:p>
    <w:p w14:paraId="180C7A30" w14:textId="77777777" w:rsidR="00EC76AE" w:rsidRDefault="0026077D" w:rsidP="00EC76AE">
      <w:pPr>
        <w:pStyle w:val="ListParagraph"/>
      </w:pPr>
      <w:r w:rsidRPr="0026077D">
        <w:t>export price</w:t>
      </w:r>
    </w:p>
    <w:p w14:paraId="682B36A5" w14:textId="689600C5" w:rsidR="00110BC1" w:rsidRDefault="0026077D" w:rsidP="00EC76AE">
      <w:pPr>
        <w:pStyle w:val="ListParagraph"/>
      </w:pPr>
      <w:r w:rsidRPr="0026077D">
        <w:t xml:space="preserve">normal value </w:t>
      </w:r>
    </w:p>
    <w:p w14:paraId="3481BD52" w14:textId="5DA8823F" w:rsidR="00EC76AE" w:rsidRDefault="00110BC1" w:rsidP="00EC76AE">
      <w:pPr>
        <w:pStyle w:val="ListParagraph"/>
      </w:pPr>
      <w:r>
        <w:t>amount of</w:t>
      </w:r>
      <w:r w:rsidR="0026077D" w:rsidRPr="0026077D">
        <w:t xml:space="preserve"> </w:t>
      </w:r>
      <w:r w:rsidR="00553E4E">
        <w:t xml:space="preserve">countervailable </w:t>
      </w:r>
      <w:r w:rsidR="0026077D" w:rsidRPr="0026077D">
        <w:t>subsidy</w:t>
      </w:r>
      <w:r w:rsidR="00553E4E">
        <w:t>,</w:t>
      </w:r>
      <w:r w:rsidR="0026077D" w:rsidRPr="0026077D">
        <w:t xml:space="preserve"> and</w:t>
      </w:r>
    </w:p>
    <w:p w14:paraId="0E537FFD" w14:textId="77777777" w:rsidR="0026077D" w:rsidRDefault="0026077D" w:rsidP="00EC76AE">
      <w:pPr>
        <w:pStyle w:val="ListParagraph"/>
      </w:pPr>
      <w:r w:rsidRPr="0026077D">
        <w:t>non-injurious price.</w:t>
      </w:r>
    </w:p>
    <w:p w14:paraId="4320A64B" w14:textId="77777777" w:rsidR="00C23226" w:rsidRDefault="00BB14D3" w:rsidP="00106846">
      <w:r w:rsidRPr="006700F7">
        <w:t>For</w:t>
      </w:r>
      <w:r>
        <w:t xml:space="preserve"> the </w:t>
      </w:r>
      <w:r w:rsidRPr="0026077D">
        <w:t xml:space="preserve">Commission </w:t>
      </w:r>
      <w:r>
        <w:t xml:space="preserve">to calculate </w:t>
      </w:r>
      <w:r w:rsidRPr="0026077D">
        <w:t xml:space="preserve">the </w:t>
      </w:r>
      <w:r w:rsidRPr="00A22912">
        <w:rPr>
          <w:u w:val="single"/>
        </w:rPr>
        <w:t>final duty liability</w:t>
      </w:r>
      <w:r w:rsidRPr="0026077D">
        <w:t xml:space="preserve">, </w:t>
      </w:r>
      <w:r>
        <w:t xml:space="preserve">it will generally need </w:t>
      </w:r>
      <w:r w:rsidRPr="0026077D">
        <w:t>the cooperation of your exporter</w:t>
      </w:r>
      <w:r>
        <w:t>(s)</w:t>
      </w:r>
      <w:r w:rsidRPr="0026077D">
        <w:t xml:space="preserve"> to </w:t>
      </w:r>
      <w:r>
        <w:t xml:space="preserve">assess </w:t>
      </w:r>
      <w:r w:rsidRPr="0026077D">
        <w:t xml:space="preserve">the </w:t>
      </w:r>
      <w:r w:rsidRPr="00C23226">
        <w:t>actual</w:t>
      </w:r>
      <w:r w:rsidRPr="0026077D">
        <w:t xml:space="preserve"> variable</w:t>
      </w:r>
      <w:r w:rsidRPr="0026077D">
        <w:rPr>
          <w:i/>
        </w:rPr>
        <w:t xml:space="preserve"> </w:t>
      </w:r>
      <w:r w:rsidRPr="0026077D">
        <w:t>factors</w:t>
      </w:r>
      <w:r>
        <w:t>. Therefore, it is important you and your exporter(s) understand what is required when you apply for a duty assessment.</w:t>
      </w:r>
    </w:p>
    <w:p w14:paraId="151F9D73" w14:textId="68CB1DC7" w:rsidR="00106846" w:rsidRDefault="001669D2" w:rsidP="00106846">
      <w:r>
        <w:lastRenderedPageBreak/>
        <w:t xml:space="preserve">This guide provides general information only and may not be </w:t>
      </w:r>
      <w:r w:rsidR="00BB14D3">
        <w:t xml:space="preserve">relevant </w:t>
      </w:r>
      <w:r>
        <w:t xml:space="preserve">to your particular circumstances. </w:t>
      </w:r>
      <w:r w:rsidR="00106846">
        <w:t xml:space="preserve">Importers who are small-medium enterprises can seek assistance from the </w:t>
      </w:r>
      <w:hyperlink r:id="rId16" w:history="1">
        <w:r w:rsidR="00106846" w:rsidRPr="00106846">
          <w:rPr>
            <w:rStyle w:val="Hyperlink"/>
          </w:rPr>
          <w:t>International Trade Remedies Advisory (ITRA) Service</w:t>
        </w:r>
      </w:hyperlink>
      <w:r w:rsidR="00106846">
        <w:t xml:space="preserve"> to </w:t>
      </w:r>
      <w:r w:rsidR="00395775">
        <w:t xml:space="preserve">help them </w:t>
      </w:r>
      <w:r w:rsidR="00106846">
        <w:t xml:space="preserve">complete their duty assessment application. </w:t>
      </w:r>
    </w:p>
    <w:p w14:paraId="232A3E24" w14:textId="24F7C354" w:rsidR="0026077D" w:rsidRPr="0026077D" w:rsidRDefault="0026077D" w:rsidP="0026077D">
      <w:pPr>
        <w:pStyle w:val="TOCHeading"/>
      </w:pPr>
      <w:bookmarkStart w:id="3" w:name="_Toc17187258"/>
      <w:r w:rsidRPr="0026077D">
        <w:t>Who can apply</w:t>
      </w:r>
      <w:bookmarkEnd w:id="3"/>
    </w:p>
    <w:p w14:paraId="269EB8A1" w14:textId="757FAEF1" w:rsidR="0026077D" w:rsidRPr="0026077D" w:rsidRDefault="0026077D" w:rsidP="0026077D">
      <w:r w:rsidRPr="0026077D">
        <w:t>An</w:t>
      </w:r>
      <w:r w:rsidR="00F7670F">
        <w:t>y</w:t>
      </w:r>
      <w:r w:rsidRPr="0026077D">
        <w:t xml:space="preserve"> importer </w:t>
      </w:r>
      <w:r w:rsidR="00474D94">
        <w:t>of goods on which</w:t>
      </w:r>
      <w:r w:rsidR="00A66DDB">
        <w:t xml:space="preserve"> </w:t>
      </w:r>
      <w:r w:rsidRPr="0026077D">
        <w:t>interim duty (IDD and/or ICD)</w:t>
      </w:r>
      <w:r w:rsidR="00474D94">
        <w:t xml:space="preserve"> has been paid</w:t>
      </w:r>
      <w:r w:rsidR="00A66DDB">
        <w:t>.</w:t>
      </w:r>
    </w:p>
    <w:p w14:paraId="321DD241" w14:textId="11E53447" w:rsidR="0026077D" w:rsidRPr="0026077D" w:rsidRDefault="0026077D" w:rsidP="0026077D">
      <w:pPr>
        <w:pStyle w:val="TOCHeading"/>
      </w:pPr>
      <w:bookmarkStart w:id="4" w:name="_Toc17187259"/>
      <w:r w:rsidRPr="0026077D">
        <w:t xml:space="preserve">When importers </w:t>
      </w:r>
      <w:r w:rsidR="00D370CD" w:rsidRPr="0026077D">
        <w:t xml:space="preserve">can </w:t>
      </w:r>
      <w:r w:rsidRPr="0026077D">
        <w:t>apply</w:t>
      </w:r>
      <w:bookmarkEnd w:id="4"/>
    </w:p>
    <w:p w14:paraId="3D17D251" w14:textId="6787C034" w:rsidR="0026077D" w:rsidRPr="0026077D" w:rsidRDefault="0026077D" w:rsidP="0026077D">
      <w:r w:rsidRPr="0026077D">
        <w:t>There are six</w:t>
      </w:r>
      <w:r w:rsidR="00DC40C8">
        <w:t>-</w:t>
      </w:r>
      <w:r w:rsidRPr="0026077D">
        <w:t xml:space="preserve">month time periods that </w:t>
      </w:r>
      <w:r w:rsidR="00F7670F">
        <w:t xml:space="preserve">rule </w:t>
      </w:r>
      <w:r w:rsidRPr="0026077D">
        <w:t>the duty assessment process, specifically</w:t>
      </w:r>
    </w:p>
    <w:p w14:paraId="55EC4AEF" w14:textId="59D81B9E" w:rsidR="0026077D" w:rsidRPr="0026077D" w:rsidRDefault="0026077D" w:rsidP="007F5BB5">
      <w:pPr>
        <w:pStyle w:val="ListParagraph"/>
      </w:pPr>
      <w:r w:rsidRPr="0026077D">
        <w:t>importation period</w:t>
      </w:r>
      <w:r w:rsidR="00B8656E">
        <w:t>s</w:t>
      </w:r>
      <w:r w:rsidRPr="0026077D">
        <w:t>, and</w:t>
      </w:r>
    </w:p>
    <w:p w14:paraId="6503A709" w14:textId="52A850B1" w:rsidR="0026077D" w:rsidRPr="0026077D" w:rsidRDefault="0026077D" w:rsidP="007F5BB5">
      <w:pPr>
        <w:pStyle w:val="ListParagraph"/>
      </w:pPr>
      <w:r w:rsidRPr="0026077D">
        <w:t>application period</w:t>
      </w:r>
      <w:r w:rsidR="00B8656E">
        <w:t>s</w:t>
      </w:r>
      <w:r w:rsidRPr="0026077D">
        <w:t>.</w:t>
      </w:r>
    </w:p>
    <w:p w14:paraId="712A9B43" w14:textId="77777777" w:rsidR="00B8656E" w:rsidRDefault="00553E4E" w:rsidP="00767EAA">
      <w:r w:rsidDel="004F2A51">
        <w:t xml:space="preserve">Where securities </w:t>
      </w:r>
      <w:r w:rsidR="00CF0B0C" w:rsidDel="004F2A51">
        <w:t>are</w:t>
      </w:r>
      <w:r w:rsidDel="004F2A51">
        <w:t xml:space="preserve"> taken the importation period may </w:t>
      </w:r>
      <w:r w:rsidR="007D6D9E" w:rsidDel="004F2A51">
        <w:t>deviate from six months</w:t>
      </w:r>
      <w:r w:rsidDel="004F2A51">
        <w:t xml:space="preserve">. </w:t>
      </w:r>
    </w:p>
    <w:p w14:paraId="49CF6338" w14:textId="5A0958A4" w:rsidR="00767EAA" w:rsidRPr="0026077D" w:rsidRDefault="00A66DDB" w:rsidP="00767EAA">
      <w:pPr>
        <w:rPr>
          <w:b/>
        </w:rPr>
      </w:pPr>
      <w:r>
        <w:t>T</w:t>
      </w:r>
      <w:r w:rsidR="00767EAA" w:rsidRPr="0026077D">
        <w:t xml:space="preserve">he </w:t>
      </w:r>
      <w:hyperlink r:id="rId17" w:history="1">
        <w:r w:rsidR="00767EAA" w:rsidRPr="00B8656E">
          <w:rPr>
            <w:rStyle w:val="Hyperlink"/>
          </w:rPr>
          <w:t>DCR</w:t>
        </w:r>
      </w:hyperlink>
      <w:r w:rsidR="00645EB8">
        <w:t xml:space="preserve"> </w:t>
      </w:r>
      <w:r w:rsidR="00B8656E">
        <w:t>lists the importation periods and applications periods for each good subject to anti</w:t>
      </w:r>
      <w:r w:rsidR="00674F73">
        <w:noBreakHyphen/>
      </w:r>
      <w:r w:rsidR="00B8656E">
        <w:t xml:space="preserve">dumping measures. </w:t>
      </w:r>
    </w:p>
    <w:p w14:paraId="582BF9E8" w14:textId="58D823A8" w:rsidR="0026077D" w:rsidRPr="0026077D" w:rsidRDefault="0026077D" w:rsidP="0026077D">
      <w:r w:rsidRPr="0026077D">
        <w:t xml:space="preserve">Importers </w:t>
      </w:r>
      <w:r w:rsidR="00523956" w:rsidRPr="00B94D61">
        <w:rPr>
          <w:u w:val="single"/>
        </w:rPr>
        <w:t>must</w:t>
      </w:r>
      <w:r w:rsidRPr="0026077D">
        <w:t xml:space="preserve"> apply </w:t>
      </w:r>
      <w:r w:rsidR="00C979E9">
        <w:t xml:space="preserve">before the end of the </w:t>
      </w:r>
      <w:r w:rsidR="003623E5">
        <w:t xml:space="preserve">relevant </w:t>
      </w:r>
      <w:r w:rsidRPr="0026077D">
        <w:t xml:space="preserve">application period. </w:t>
      </w:r>
      <w:r w:rsidR="00E967DE">
        <w:t>Your</w:t>
      </w:r>
      <w:r w:rsidR="00705F07">
        <w:t xml:space="preserve"> a</w:t>
      </w:r>
      <w:r w:rsidRPr="0026077D">
        <w:t xml:space="preserve">pplication </w:t>
      </w:r>
      <w:r w:rsidR="004F2A51">
        <w:t>can</w:t>
      </w:r>
      <w:r w:rsidR="00E967DE">
        <w:t xml:space="preserve">not be considered if it is </w:t>
      </w:r>
      <w:r w:rsidRPr="0026077D">
        <w:t xml:space="preserve">lodged </w:t>
      </w:r>
      <w:r w:rsidR="00C979E9">
        <w:t>after</w:t>
      </w:r>
      <w:r w:rsidR="00C979E9" w:rsidRPr="0026077D">
        <w:t xml:space="preserve"> </w:t>
      </w:r>
      <w:r w:rsidRPr="0026077D">
        <w:t>th</w:t>
      </w:r>
      <w:r w:rsidR="00BC7C73">
        <w:t xml:space="preserve">is </w:t>
      </w:r>
      <w:r w:rsidR="00F7670F">
        <w:t>period</w:t>
      </w:r>
      <w:r w:rsidR="00705F07">
        <w:t>.</w:t>
      </w:r>
    </w:p>
    <w:p w14:paraId="0630124C" w14:textId="1927D415" w:rsidR="0026077D" w:rsidRPr="0026077D" w:rsidRDefault="00E967DE" w:rsidP="0026077D">
      <w:r>
        <w:t>I</w:t>
      </w:r>
      <w:r w:rsidR="00057F8B">
        <w:t xml:space="preserve">mporters </w:t>
      </w:r>
      <w:r>
        <w:t xml:space="preserve">are encouraged to </w:t>
      </w:r>
      <w:r w:rsidR="00896556">
        <w:t>lodg</w:t>
      </w:r>
      <w:r w:rsidR="00057F8B">
        <w:t>e</w:t>
      </w:r>
      <w:r w:rsidR="00896556">
        <w:t xml:space="preserve"> </w:t>
      </w:r>
      <w:r w:rsidR="00D41B1B">
        <w:t>a</w:t>
      </w:r>
      <w:r w:rsidR="0026077D" w:rsidRPr="0026077D">
        <w:t>pplication</w:t>
      </w:r>
      <w:r w:rsidR="00D41B1B">
        <w:t>s</w:t>
      </w:r>
      <w:r w:rsidR="0026077D" w:rsidRPr="0026077D">
        <w:t xml:space="preserve"> </w:t>
      </w:r>
      <w:r w:rsidR="00746760">
        <w:t xml:space="preserve">at </w:t>
      </w:r>
      <w:r w:rsidR="003569A5">
        <w:t>an early stage</w:t>
      </w:r>
      <w:r w:rsidR="00F6066A">
        <w:t xml:space="preserve"> </w:t>
      </w:r>
      <w:r w:rsidR="00746760">
        <w:t xml:space="preserve">of </w:t>
      </w:r>
      <w:r w:rsidR="00645EB8">
        <w:t xml:space="preserve">the </w:t>
      </w:r>
      <w:r w:rsidR="0026077D" w:rsidRPr="0026077D">
        <w:t>application period</w:t>
      </w:r>
      <w:r w:rsidR="00896556">
        <w:t>.</w:t>
      </w:r>
      <w:r w:rsidR="0026077D" w:rsidRPr="0026077D">
        <w:t xml:space="preserve"> </w:t>
      </w:r>
      <w:r w:rsidR="00896556">
        <w:t>That way</w:t>
      </w:r>
      <w:r w:rsidR="00593066">
        <w:t>,</w:t>
      </w:r>
      <w:r w:rsidR="00896556">
        <w:t xml:space="preserve"> if the </w:t>
      </w:r>
      <w:r w:rsidR="00705F07">
        <w:t>Commission rejects the app</w:t>
      </w:r>
      <w:r w:rsidR="00896556">
        <w:t xml:space="preserve">lication </w:t>
      </w:r>
      <w:r w:rsidR="0026077D" w:rsidRPr="0026077D">
        <w:t xml:space="preserve">there </w:t>
      </w:r>
      <w:r w:rsidR="004F2A51">
        <w:t>may</w:t>
      </w:r>
      <w:r w:rsidR="0026077D" w:rsidRPr="0026077D">
        <w:t xml:space="preserve"> </w:t>
      </w:r>
      <w:r w:rsidR="003569A5">
        <w:t xml:space="preserve">be </w:t>
      </w:r>
      <w:r w:rsidR="0026077D" w:rsidRPr="0026077D">
        <w:t xml:space="preserve">time </w:t>
      </w:r>
      <w:r w:rsidR="003569A5">
        <w:t xml:space="preserve">for the importer </w:t>
      </w:r>
      <w:r w:rsidR="0026077D" w:rsidRPr="0026077D">
        <w:t xml:space="preserve">to </w:t>
      </w:r>
      <w:r w:rsidR="003E0FBA">
        <w:t>amend</w:t>
      </w:r>
      <w:r w:rsidR="003E0FBA" w:rsidRPr="0026077D">
        <w:t xml:space="preserve"> </w:t>
      </w:r>
      <w:r w:rsidR="0026077D" w:rsidRPr="0026077D">
        <w:t>and resubmit the application</w:t>
      </w:r>
      <w:r w:rsidR="00896556">
        <w:t xml:space="preserve"> prior to </w:t>
      </w:r>
      <w:r w:rsidR="0026077D" w:rsidRPr="0026077D">
        <w:t xml:space="preserve">the </w:t>
      </w:r>
      <w:r w:rsidR="003569A5">
        <w:t>end of the application period</w:t>
      </w:r>
      <w:r w:rsidR="00896556">
        <w:t>.</w:t>
      </w:r>
    </w:p>
    <w:p w14:paraId="7D3AAD5F" w14:textId="134D4B91" w:rsidR="0026077D" w:rsidRPr="0026077D" w:rsidRDefault="0026077D" w:rsidP="0026077D">
      <w:pPr>
        <w:pStyle w:val="TOCHeading"/>
      </w:pPr>
      <w:bookmarkStart w:id="5" w:name="_Toc17187260"/>
      <w:r w:rsidRPr="0026077D">
        <w:t>How to apply</w:t>
      </w:r>
      <w:bookmarkEnd w:id="5"/>
    </w:p>
    <w:p w14:paraId="780E45A2" w14:textId="4C187591" w:rsidR="005E37FD" w:rsidRDefault="003656C1" w:rsidP="0026077D">
      <w:r>
        <w:t xml:space="preserve">Section 269W of the </w:t>
      </w:r>
      <w:hyperlink r:id="rId18" w:history="1">
        <w:r w:rsidRPr="00BA305F">
          <w:rPr>
            <w:rStyle w:val="Hyperlink"/>
            <w:i/>
          </w:rPr>
          <w:t>Customs Act 1901</w:t>
        </w:r>
      </w:hyperlink>
      <w:r>
        <w:t xml:space="preserve"> sets of the requirements of an application for a duty assessment. </w:t>
      </w:r>
      <w:r w:rsidR="001C47CE">
        <w:t>The Commissioner must reject an application for duty assessment if it not does contain everything required under section 269W.</w:t>
      </w:r>
    </w:p>
    <w:p w14:paraId="368F44C7" w14:textId="3CD3A3D7" w:rsidR="00F250F0" w:rsidRDefault="00BF74D1" w:rsidP="0026077D">
      <w:r>
        <w:t>Importers</w:t>
      </w:r>
      <w:r w:rsidR="0026077D" w:rsidRPr="0026077D">
        <w:t xml:space="preserve"> </w:t>
      </w:r>
      <w:r w:rsidR="00E967DE">
        <w:t>are encouraged to</w:t>
      </w:r>
      <w:r w:rsidR="00E967DE" w:rsidRPr="0026077D">
        <w:t xml:space="preserve"> </w:t>
      </w:r>
      <w:r w:rsidR="00DF676A">
        <w:t xml:space="preserve">fill in </w:t>
      </w:r>
      <w:r w:rsidR="00F250F0">
        <w:t xml:space="preserve">the </w:t>
      </w:r>
      <w:r w:rsidR="000F40E7">
        <w:t>A</w:t>
      </w:r>
      <w:r w:rsidR="00F250F0">
        <w:t xml:space="preserve">pplication </w:t>
      </w:r>
      <w:r w:rsidR="000F40E7">
        <w:t>for D</w:t>
      </w:r>
      <w:r w:rsidR="00F250F0">
        <w:t xml:space="preserve">uty </w:t>
      </w:r>
      <w:r w:rsidR="000F40E7">
        <w:t>A</w:t>
      </w:r>
      <w:r w:rsidR="00F250F0">
        <w:t xml:space="preserve">ssessment Form </w:t>
      </w:r>
      <w:r w:rsidR="00011C3A">
        <w:t>(</w:t>
      </w:r>
      <w:r w:rsidR="00F250F0">
        <w:t>ADC2</w:t>
      </w:r>
      <w:r w:rsidR="00011C3A">
        <w:t>)</w:t>
      </w:r>
      <w:r w:rsidR="00E967DE">
        <w:t xml:space="preserve"> </w:t>
      </w:r>
      <w:r w:rsidR="003656C1">
        <w:t xml:space="preserve">and the Duty Assessment Calculation spreadsheet </w:t>
      </w:r>
      <w:r w:rsidR="00E967DE">
        <w:t>on the</w:t>
      </w:r>
      <w:r w:rsidR="00750559">
        <w:t xml:space="preserve"> </w:t>
      </w:r>
      <w:hyperlink r:id="rId19" w:history="1">
        <w:r w:rsidR="00750559" w:rsidRPr="00750559">
          <w:rPr>
            <w:rStyle w:val="Hyperlink"/>
          </w:rPr>
          <w:t>Commission’s website</w:t>
        </w:r>
      </w:hyperlink>
      <w:r w:rsidR="00F250F0">
        <w:t>.</w:t>
      </w:r>
      <w:r w:rsidR="00B537CC">
        <w:t xml:space="preserve"> </w:t>
      </w:r>
      <w:r w:rsidR="00B537CC" w:rsidRPr="001669D2">
        <w:t xml:space="preserve">The </w:t>
      </w:r>
      <w:r w:rsidR="00B537CC" w:rsidRPr="00DC242E">
        <w:t>Duty Assessment Calculation spreadsheet </w:t>
      </w:r>
      <w:r w:rsidR="00B537CC" w:rsidRPr="001669D2">
        <w:t>assist</w:t>
      </w:r>
      <w:r w:rsidR="00F17D20" w:rsidRPr="001669D2">
        <w:t>s</w:t>
      </w:r>
      <w:r w:rsidR="00B537CC" w:rsidRPr="001669D2">
        <w:t xml:space="preserve"> applicants to prepare for and lodge </w:t>
      </w:r>
      <w:r w:rsidR="00E4570B" w:rsidRPr="001669D2">
        <w:t>a duty assessment applic</w:t>
      </w:r>
      <w:r w:rsidR="00B537CC" w:rsidRPr="001669D2">
        <w:t>ation.</w:t>
      </w:r>
      <w:r w:rsidR="009C4E94">
        <w:t xml:space="preserve"> </w:t>
      </w:r>
    </w:p>
    <w:p w14:paraId="6B0FE963" w14:textId="34807D37" w:rsidR="00ED6CB0" w:rsidRDefault="002F25CD" w:rsidP="0026077D">
      <w:r>
        <w:t>The application</w:t>
      </w:r>
      <w:r w:rsidR="005E2B9A">
        <w:t xml:space="preserve"> </w:t>
      </w:r>
      <w:r w:rsidR="0026077D" w:rsidRPr="0026077D">
        <w:t xml:space="preserve">must </w:t>
      </w:r>
      <w:r w:rsidR="005E2B9A">
        <w:t xml:space="preserve">include </w:t>
      </w:r>
      <w:r w:rsidR="005E37FD" w:rsidRPr="00B94D61">
        <w:rPr>
          <w:i/>
        </w:rPr>
        <w:t>all</w:t>
      </w:r>
      <w:r w:rsidR="005E37FD">
        <w:t xml:space="preserve"> consignments</w:t>
      </w:r>
      <w:r w:rsidR="0072459E">
        <w:t xml:space="preserve"> of the goods</w:t>
      </w:r>
      <w:r w:rsidR="005E37FD">
        <w:t xml:space="preserve"> imported</w:t>
      </w:r>
      <w:r w:rsidR="0026077D" w:rsidRPr="0026077D">
        <w:t xml:space="preserve"> </w:t>
      </w:r>
      <w:r w:rsidR="00ED6CB0">
        <w:t xml:space="preserve">by the applicant </w:t>
      </w:r>
      <w:r w:rsidR="0026077D" w:rsidRPr="0026077D">
        <w:t xml:space="preserve">from </w:t>
      </w:r>
      <w:r w:rsidR="0026077D" w:rsidRPr="009C4E94">
        <w:rPr>
          <w:i/>
        </w:rPr>
        <w:t>all</w:t>
      </w:r>
      <w:r w:rsidR="0026077D" w:rsidRPr="0026077D">
        <w:t xml:space="preserve"> exporters</w:t>
      </w:r>
      <w:r w:rsidR="00E967DE">
        <w:t xml:space="preserve"> </w:t>
      </w:r>
      <w:r w:rsidR="007F5805" w:rsidRPr="007F5805">
        <w:t>during the importation period</w:t>
      </w:r>
      <w:r w:rsidR="005E2B9A">
        <w:t>.</w:t>
      </w:r>
      <w:r w:rsidR="007F5805">
        <w:t xml:space="preserve"> </w:t>
      </w:r>
    </w:p>
    <w:p w14:paraId="0D1E412E" w14:textId="408F275A" w:rsidR="003656C1" w:rsidRDefault="0072459E" w:rsidP="00A22912">
      <w:pPr>
        <w:ind w:left="426"/>
      </w:pPr>
      <w:r>
        <w:lastRenderedPageBreak/>
        <w:t xml:space="preserve">Goods covered by an exemption notice or not </w:t>
      </w:r>
      <w:r w:rsidR="00373F64">
        <w:t>subject to</w:t>
      </w:r>
      <w:r>
        <w:t xml:space="preserve"> </w:t>
      </w:r>
      <w:r w:rsidR="006A6BC1">
        <w:t>anti-dumping measures</w:t>
      </w:r>
      <w:r>
        <w:t xml:space="preserve"> do not need to be included. However, where goods are </w:t>
      </w:r>
      <w:r w:rsidR="00373F64">
        <w:t>subject to</w:t>
      </w:r>
      <w:r>
        <w:t xml:space="preserve"> </w:t>
      </w:r>
      <w:r w:rsidR="00373F64">
        <w:t xml:space="preserve">interim </w:t>
      </w:r>
      <w:r>
        <w:t xml:space="preserve">duties but </w:t>
      </w:r>
      <w:r w:rsidR="00A31F05">
        <w:t>the importer</w:t>
      </w:r>
      <w:r>
        <w:t xml:space="preserve"> ha</w:t>
      </w:r>
      <w:r w:rsidR="00A31F05">
        <w:t xml:space="preserve">s </w:t>
      </w:r>
      <w:r>
        <w:t>not paid duty (for example, where a floor price duty is in place and the goods are imported at a price above that floor price) these must be included.</w:t>
      </w:r>
    </w:p>
    <w:p w14:paraId="2A125360" w14:textId="4D93090D" w:rsidR="00A31F05" w:rsidRPr="006A6BC1" w:rsidRDefault="00FA4BE2" w:rsidP="0026077D">
      <w:r w:rsidRPr="006A6BC1">
        <w:t xml:space="preserve">For each consignment of goods imported, you must </w:t>
      </w:r>
      <w:r w:rsidR="000C7375" w:rsidRPr="006A6BC1">
        <w:t xml:space="preserve">state what </w:t>
      </w:r>
      <w:r w:rsidRPr="006A6BC1">
        <w:t>you</w:t>
      </w:r>
      <w:r w:rsidR="000C7375" w:rsidRPr="006A6BC1">
        <w:t xml:space="preserve"> </w:t>
      </w:r>
      <w:r w:rsidRPr="006A6BC1">
        <w:t>believe</w:t>
      </w:r>
      <w:r w:rsidR="000C7375" w:rsidRPr="006A6BC1">
        <w:t xml:space="preserve"> </w:t>
      </w:r>
      <w:r w:rsidR="00DB7BE8" w:rsidRPr="006A6BC1">
        <w:t>are</w:t>
      </w:r>
      <w:r w:rsidR="000C7375" w:rsidRPr="006A6BC1">
        <w:t xml:space="preserve"> the export price, normal value and/or </w:t>
      </w:r>
      <w:r w:rsidR="006A6BC1">
        <w:t xml:space="preserve">amount of </w:t>
      </w:r>
      <w:r w:rsidR="000C7375" w:rsidRPr="006A6BC1">
        <w:t>countervailable subsidy (as relevant). And</w:t>
      </w:r>
      <w:r w:rsidRPr="006A6BC1">
        <w:t>,</w:t>
      </w:r>
      <w:r w:rsidR="000C7375" w:rsidRPr="006A6BC1">
        <w:t xml:space="preserve"> </w:t>
      </w:r>
      <w:r w:rsidRPr="006A6BC1">
        <w:t>you</w:t>
      </w:r>
      <w:r w:rsidR="000C7375" w:rsidRPr="006A6BC1">
        <w:t xml:space="preserve"> must provide supporting evidence for </w:t>
      </w:r>
      <w:r w:rsidR="00DB7BE8" w:rsidRPr="006A6BC1">
        <w:t>your opinion</w:t>
      </w:r>
      <w:r w:rsidR="006A6BC1">
        <w:t>—the ap</w:t>
      </w:r>
      <w:r w:rsidR="00A31F05" w:rsidRPr="006A6BC1">
        <w:t>plication must contain either:</w:t>
      </w:r>
    </w:p>
    <w:p w14:paraId="1C1552DC" w14:textId="49E771E2" w:rsidR="00A31F05" w:rsidRDefault="00A31F05" w:rsidP="00FE5232">
      <w:pPr>
        <w:pStyle w:val="ListParagraph"/>
      </w:pPr>
      <w:r>
        <w:t xml:space="preserve">sufficient evidence to establish that </w:t>
      </w:r>
      <w:r w:rsidR="00FA4BE2">
        <w:t>your</w:t>
      </w:r>
      <w:r>
        <w:t xml:space="preserve"> opinion is correct, OR</w:t>
      </w:r>
    </w:p>
    <w:p w14:paraId="597E2DA9" w14:textId="66339C3D" w:rsidR="00A31F05" w:rsidRDefault="00A31F05" w:rsidP="00FE5232">
      <w:pPr>
        <w:pStyle w:val="ListParagraph"/>
      </w:pPr>
      <w:r>
        <w:t xml:space="preserve">evidence </w:t>
      </w:r>
      <w:r w:rsidR="00FA4BE2">
        <w:t>that your opinion is correct</w:t>
      </w:r>
      <w:r>
        <w:t xml:space="preserve"> PLUS a commitment that someone else will </w:t>
      </w:r>
      <w:r w:rsidR="00DB7BE8">
        <w:t xml:space="preserve">provide further </w:t>
      </w:r>
      <w:r>
        <w:t>evidence</w:t>
      </w:r>
      <w:r w:rsidR="00DB7BE8">
        <w:t xml:space="preserve"> within 30 days</w:t>
      </w:r>
      <w:r w:rsidR="00DB7BE8">
        <w:rPr>
          <w:rStyle w:val="FootnoteReference"/>
        </w:rPr>
        <w:footnoteReference w:id="2"/>
      </w:r>
      <w:r>
        <w:t xml:space="preserve"> so that the Commission </w:t>
      </w:r>
      <w:r w:rsidRPr="0051017E">
        <w:t>will</w:t>
      </w:r>
      <w:r>
        <w:t xml:space="preserve"> have sufficient evidence to establish that </w:t>
      </w:r>
      <w:r w:rsidR="00DB7BE8">
        <w:t>your</w:t>
      </w:r>
      <w:r>
        <w:t xml:space="preserve"> opinion is correct. </w:t>
      </w:r>
    </w:p>
    <w:p w14:paraId="57740F69" w14:textId="0DAAFE46" w:rsidR="00072D19" w:rsidRDefault="0033336C" w:rsidP="0026077D">
      <w:r>
        <w:t>Normally, your exporter(s) will need to provide this further evidence</w:t>
      </w:r>
      <w:r w:rsidR="00A94613">
        <w:t xml:space="preserve">. </w:t>
      </w:r>
    </w:p>
    <w:p w14:paraId="71E3972C" w14:textId="5244BFD8" w:rsidR="00A94613" w:rsidRDefault="005E37FD" w:rsidP="0026077D">
      <w:r w:rsidRPr="005E37FD">
        <w:t>Shortly after an application is received</w:t>
      </w:r>
      <w:r w:rsidR="00072D19">
        <w:t>,</w:t>
      </w:r>
      <w:r w:rsidRPr="005E37FD">
        <w:t xml:space="preserve"> the Commission will generally send each exporter identified in the application form an exporter questionnaire to assist them in providing the required information. However, </w:t>
      </w:r>
      <w:r w:rsidR="00075B7D">
        <w:t>a</w:t>
      </w:r>
      <w:r w:rsidR="00075B7D" w:rsidRPr="005E37FD">
        <w:t xml:space="preserve"> </w:t>
      </w:r>
      <w:r w:rsidRPr="005E37FD">
        <w:t xml:space="preserve">commitment </w:t>
      </w:r>
      <w:r w:rsidR="00075B7D">
        <w:t xml:space="preserve">that further evidence will be provided </w:t>
      </w:r>
      <w:r w:rsidRPr="005E37FD">
        <w:t xml:space="preserve">must be fulfilled regardless of whether or not the exporter receives a questionnaire from the Commission. </w:t>
      </w:r>
      <w:r>
        <w:t xml:space="preserve">If </w:t>
      </w:r>
      <w:r w:rsidRPr="00FE5232">
        <w:t>further evidence</w:t>
      </w:r>
      <w:r>
        <w:t xml:space="preserve"> is not provided, </w:t>
      </w:r>
      <w:r w:rsidRPr="0026077D">
        <w:t xml:space="preserve">the </w:t>
      </w:r>
      <w:r>
        <w:t xml:space="preserve">Commission may </w:t>
      </w:r>
      <w:r w:rsidRPr="00692D8F">
        <w:t xml:space="preserve">reject </w:t>
      </w:r>
      <w:r>
        <w:t xml:space="preserve">the </w:t>
      </w:r>
      <w:r w:rsidRPr="0026077D">
        <w:t>application</w:t>
      </w:r>
      <w:r>
        <w:t>.</w:t>
      </w:r>
    </w:p>
    <w:p w14:paraId="34501B5E" w14:textId="2474FDCE" w:rsidR="0026077D" w:rsidRPr="0026077D" w:rsidRDefault="002F64C0" w:rsidP="0026077D">
      <w:r>
        <w:t xml:space="preserve">What is </w:t>
      </w:r>
      <w:r w:rsidR="00072D19">
        <w:t>‘</w:t>
      </w:r>
      <w:r w:rsidR="00E57D7C" w:rsidRPr="00072D19">
        <w:t>sufficient evidence</w:t>
      </w:r>
      <w:r w:rsidR="00072D19">
        <w:t>’</w:t>
      </w:r>
      <w:r w:rsidR="00E57D7C">
        <w:t xml:space="preserve"> </w:t>
      </w:r>
      <w:r w:rsidR="00317F4C">
        <w:t>will vary from case to case</w:t>
      </w:r>
      <w:r>
        <w:t>.</w:t>
      </w:r>
      <w:r w:rsidR="00317F4C">
        <w:t xml:space="preserve"> </w:t>
      </w:r>
      <w:r>
        <w:t>E</w:t>
      </w:r>
      <w:r w:rsidR="003656C1">
        <w:t xml:space="preserve">xamples </w:t>
      </w:r>
      <w:r w:rsidR="00E57D7C">
        <w:t xml:space="preserve">of supporting documents </w:t>
      </w:r>
      <w:r w:rsidR="00CC6BC9">
        <w:t>that</w:t>
      </w:r>
      <w:r w:rsidR="00072D19">
        <w:t xml:space="preserve"> may</w:t>
      </w:r>
      <w:r w:rsidR="00A94613">
        <w:t xml:space="preserve"> </w:t>
      </w:r>
      <w:r w:rsidR="00CC6BC9">
        <w:t>be ‘</w:t>
      </w:r>
      <w:r w:rsidR="00E57D7C">
        <w:t>sufficient evidence</w:t>
      </w:r>
      <w:r w:rsidR="00CC6BC9">
        <w:t>’</w:t>
      </w:r>
      <w:r w:rsidR="00E57D7C">
        <w:t xml:space="preserve"> include</w:t>
      </w:r>
      <w:r w:rsidR="003656C1">
        <w:t>:</w:t>
      </w:r>
    </w:p>
    <w:p w14:paraId="26826B29" w14:textId="24F3F4B0" w:rsidR="0026077D" w:rsidRPr="0026077D" w:rsidRDefault="0026077D" w:rsidP="00317F4C">
      <w:pPr>
        <w:pStyle w:val="ListParagraph"/>
      </w:pPr>
      <w:r w:rsidRPr="0026077D">
        <w:t>import declarations - to show the importation dates and relevant IDD and ICD paid</w:t>
      </w:r>
    </w:p>
    <w:p w14:paraId="7455D6D6" w14:textId="696AAD34" w:rsidR="0026077D" w:rsidRPr="0026077D" w:rsidRDefault="0026077D" w:rsidP="00317F4C">
      <w:pPr>
        <w:pStyle w:val="ListParagraph"/>
      </w:pPr>
      <w:r w:rsidRPr="0026077D">
        <w:t xml:space="preserve">purchase evidence for each import declaration (commercial invoice, bill of lading, proof of payment, </w:t>
      </w:r>
      <w:r w:rsidR="00BF74D1" w:rsidRPr="0026077D">
        <w:t>etc.</w:t>
      </w:r>
      <w:r w:rsidRPr="0026077D">
        <w:t>)</w:t>
      </w:r>
    </w:p>
    <w:p w14:paraId="1C1FD2DF" w14:textId="0EC23336" w:rsidR="0026077D" w:rsidRPr="0026077D" w:rsidRDefault="0026077D" w:rsidP="00317F4C">
      <w:pPr>
        <w:pStyle w:val="ListParagraph"/>
      </w:pPr>
      <w:r w:rsidRPr="0026077D">
        <w:t xml:space="preserve">evidence of the amounts that you contend are the </w:t>
      </w:r>
      <w:r w:rsidRPr="00BB56C8">
        <w:t>normal value, countervailable subsidy and export price</w:t>
      </w:r>
      <w:r w:rsidRPr="00317F4C">
        <w:t xml:space="preserve"> </w:t>
      </w:r>
      <w:r w:rsidRPr="0026077D">
        <w:t xml:space="preserve">of the goods in each </w:t>
      </w:r>
      <w:r w:rsidR="00A22912">
        <w:t>consignment</w:t>
      </w:r>
      <w:r w:rsidRPr="0026077D">
        <w:t>, for example</w:t>
      </w:r>
      <w:r w:rsidR="00621B10">
        <w:t>:</w:t>
      </w:r>
      <w:r w:rsidRPr="0026077D">
        <w:t xml:space="preserve">  </w:t>
      </w:r>
    </w:p>
    <w:p w14:paraId="2D821954" w14:textId="2CED44F0" w:rsidR="003C5AAB" w:rsidRDefault="00621B10" w:rsidP="00317F4C">
      <w:pPr>
        <w:pStyle w:val="ListParagraph"/>
        <w:numPr>
          <w:ilvl w:val="1"/>
          <w:numId w:val="1"/>
        </w:numPr>
      </w:pPr>
      <w:r>
        <w:t>E</w:t>
      </w:r>
      <w:r w:rsidR="0026077D" w:rsidRPr="0026077D">
        <w:t xml:space="preserve">xport price: </w:t>
      </w:r>
      <w:r w:rsidR="009B1C58">
        <w:t xml:space="preserve">sales </w:t>
      </w:r>
      <w:r w:rsidR="0026077D" w:rsidRPr="0026077D">
        <w:t xml:space="preserve">invoices from your exporter showing </w:t>
      </w:r>
    </w:p>
    <w:p w14:paraId="7B5A8B76" w14:textId="5EB8FABC" w:rsidR="003C5AAB" w:rsidRDefault="0026077D" w:rsidP="00317F4C">
      <w:pPr>
        <w:pStyle w:val="ListParagraph"/>
        <w:numPr>
          <w:ilvl w:val="2"/>
          <w:numId w:val="1"/>
        </w:numPr>
      </w:pPr>
      <w:r w:rsidRPr="0026077D">
        <w:t xml:space="preserve">the </w:t>
      </w:r>
      <w:r w:rsidR="00757853">
        <w:t>Free on Board (</w:t>
      </w:r>
      <w:r w:rsidRPr="0026077D">
        <w:t>FOB</w:t>
      </w:r>
      <w:r w:rsidR="00757853">
        <w:t>)</w:t>
      </w:r>
      <w:r w:rsidRPr="0026077D">
        <w:t xml:space="preserve"> export price</w:t>
      </w:r>
    </w:p>
    <w:p w14:paraId="6FEECC92" w14:textId="77777777" w:rsidR="003C5AAB" w:rsidRDefault="0026077D" w:rsidP="00317F4C">
      <w:pPr>
        <w:pStyle w:val="ListParagraph"/>
        <w:numPr>
          <w:ilvl w:val="2"/>
          <w:numId w:val="1"/>
        </w:numPr>
      </w:pPr>
      <w:r w:rsidRPr="0026077D">
        <w:t>full description of the goods</w:t>
      </w:r>
    </w:p>
    <w:p w14:paraId="0DB7BD5A" w14:textId="77777777" w:rsidR="003C5AAB" w:rsidRDefault="0026077D" w:rsidP="00317F4C">
      <w:pPr>
        <w:pStyle w:val="ListParagraph"/>
        <w:numPr>
          <w:ilvl w:val="2"/>
          <w:numId w:val="1"/>
        </w:numPr>
      </w:pPr>
      <w:r w:rsidRPr="0026077D">
        <w:t>shipment terms</w:t>
      </w:r>
    </w:p>
    <w:p w14:paraId="1DFAA4DF" w14:textId="77777777" w:rsidR="003C5AAB" w:rsidRDefault="0026077D" w:rsidP="00317F4C">
      <w:pPr>
        <w:pStyle w:val="ListParagraph"/>
        <w:numPr>
          <w:ilvl w:val="2"/>
          <w:numId w:val="1"/>
        </w:numPr>
      </w:pPr>
      <w:r w:rsidRPr="0026077D">
        <w:t>payment terms</w:t>
      </w:r>
    </w:p>
    <w:p w14:paraId="0FEA7C7D" w14:textId="77777777" w:rsidR="003C5AAB" w:rsidRDefault="00F250F0" w:rsidP="00317F4C">
      <w:pPr>
        <w:pStyle w:val="ListParagraph"/>
        <w:numPr>
          <w:ilvl w:val="2"/>
          <w:numId w:val="1"/>
        </w:numPr>
      </w:pPr>
      <w:r>
        <w:t>date</w:t>
      </w:r>
    </w:p>
    <w:p w14:paraId="0DCAE6D3" w14:textId="77777777" w:rsidR="003C5AAB" w:rsidRDefault="0026077D" w:rsidP="00317F4C">
      <w:pPr>
        <w:pStyle w:val="ListParagraph"/>
        <w:numPr>
          <w:ilvl w:val="2"/>
          <w:numId w:val="1"/>
        </w:numPr>
      </w:pPr>
      <w:r w:rsidRPr="0026077D">
        <w:t>manufacturer</w:t>
      </w:r>
      <w:r w:rsidR="003C5AAB">
        <w:t>,</w:t>
      </w:r>
      <w:r w:rsidRPr="0026077D">
        <w:t xml:space="preserve"> and </w:t>
      </w:r>
    </w:p>
    <w:p w14:paraId="467A3A6C" w14:textId="77777777" w:rsidR="003C5AAB" w:rsidRDefault="0026077D" w:rsidP="00317F4C">
      <w:pPr>
        <w:pStyle w:val="ListParagraph"/>
        <w:numPr>
          <w:ilvl w:val="2"/>
          <w:numId w:val="1"/>
        </w:numPr>
        <w:spacing w:after="0"/>
      </w:pPr>
      <w:r w:rsidRPr="00726202">
        <w:t xml:space="preserve">country of origin. </w:t>
      </w:r>
    </w:p>
    <w:p w14:paraId="1ED5277D" w14:textId="44A6C476" w:rsidR="00B537CC" w:rsidRPr="00726202" w:rsidRDefault="00B537CC" w:rsidP="00AB1C55">
      <w:pPr>
        <w:pStyle w:val="ListParagraph"/>
        <w:numPr>
          <w:ilvl w:val="1"/>
          <w:numId w:val="1"/>
        </w:numPr>
        <w:spacing w:after="0"/>
      </w:pPr>
      <w:r>
        <w:t>Export Price: if interim duty was calculated with reference to a deductive export price</w:t>
      </w:r>
      <w:r w:rsidR="00B8440C">
        <w:t>,</w:t>
      </w:r>
      <w:r>
        <w:t xml:space="preserve"> </w:t>
      </w:r>
      <w:r w:rsidR="00B8440C">
        <w:t>there is additional evidence that you must provide</w:t>
      </w:r>
      <w:r w:rsidR="00F17D20">
        <w:t>.</w:t>
      </w:r>
      <w:r w:rsidR="00B8440C">
        <w:t xml:space="preserve"> The application form provides further information on what is required. </w:t>
      </w:r>
    </w:p>
    <w:p w14:paraId="13A25D5D" w14:textId="44DE5FFD" w:rsidR="0026077D" w:rsidRPr="0026077D" w:rsidRDefault="00621B10" w:rsidP="00317F4C">
      <w:pPr>
        <w:pStyle w:val="ListParagraph"/>
        <w:numPr>
          <w:ilvl w:val="1"/>
          <w:numId w:val="1"/>
        </w:numPr>
        <w:spacing w:before="0" w:after="0"/>
      </w:pPr>
      <w:r>
        <w:lastRenderedPageBreak/>
        <w:t>N</w:t>
      </w:r>
      <w:r w:rsidR="0026077D" w:rsidRPr="0026077D">
        <w:t xml:space="preserve">ormal value: a statement from your exporter on their letterhead, noting the average </w:t>
      </w:r>
      <w:r w:rsidR="00373F64">
        <w:t xml:space="preserve">selling price or </w:t>
      </w:r>
      <w:r w:rsidR="0026077D" w:rsidRPr="0026077D">
        <w:t>cost to make and sell the goods on the domestic market of the country of export during the relevant importation period</w:t>
      </w:r>
      <w:r w:rsidR="00BF74D1">
        <w:t>.</w:t>
      </w:r>
    </w:p>
    <w:p w14:paraId="56E46704" w14:textId="4A2B36B8" w:rsidR="0026077D" w:rsidRPr="0026077D" w:rsidRDefault="00621B10" w:rsidP="00317F4C">
      <w:pPr>
        <w:pStyle w:val="ListParagraph"/>
        <w:numPr>
          <w:ilvl w:val="1"/>
          <w:numId w:val="1"/>
        </w:numPr>
      </w:pPr>
      <w:r>
        <w:t>C</w:t>
      </w:r>
      <w:r w:rsidR="0026077D" w:rsidRPr="0026077D">
        <w:t xml:space="preserve">ountervailable subsidy: a statement from your exporter on their letterhead, noting the amount of subsidies they have received (if any) in respect of their exports of the goods to Australia. </w:t>
      </w:r>
      <w:r w:rsidR="00D95021">
        <w:t xml:space="preserve">If </w:t>
      </w:r>
      <w:r w:rsidR="00CF0B0C">
        <w:t>applicable</w:t>
      </w:r>
      <w:r w:rsidR="00D95021">
        <w:t>, t</w:t>
      </w:r>
      <w:r w:rsidR="001F1DFC" w:rsidRPr="001F1DFC">
        <w:t>h</w:t>
      </w:r>
      <w:r w:rsidR="001F1DFC">
        <w:t>is</w:t>
      </w:r>
      <w:r w:rsidR="001F1DFC" w:rsidRPr="001F1DFC">
        <w:t xml:space="preserve"> statement </w:t>
      </w:r>
      <w:r w:rsidR="004925CF" w:rsidRPr="004925CF">
        <w:t xml:space="preserve">should note </w:t>
      </w:r>
      <w:r w:rsidR="00757853">
        <w:t xml:space="preserve">if </w:t>
      </w:r>
      <w:r w:rsidR="00D95021" w:rsidRPr="00D95021">
        <w:t xml:space="preserve">the exporter </w:t>
      </w:r>
      <w:r w:rsidR="00D95021">
        <w:t xml:space="preserve">has not received any </w:t>
      </w:r>
      <w:r w:rsidR="0026077D" w:rsidRPr="0026077D">
        <w:t>subsidies.</w:t>
      </w:r>
    </w:p>
    <w:p w14:paraId="20D71023" w14:textId="77777777" w:rsidR="0026077D" w:rsidRPr="0026077D" w:rsidRDefault="0026077D" w:rsidP="0026077D">
      <w:pPr>
        <w:pStyle w:val="TOCHeading"/>
      </w:pPr>
      <w:bookmarkStart w:id="6" w:name="_Toc17187261"/>
      <w:r w:rsidRPr="0026077D">
        <w:t>Exporter cooperation</w:t>
      </w:r>
      <w:bookmarkEnd w:id="6"/>
    </w:p>
    <w:p w14:paraId="086FF50A" w14:textId="035FD574" w:rsidR="005F7FEC" w:rsidRPr="005A0E0C" w:rsidRDefault="00BF74D1" w:rsidP="005F7FEC">
      <w:r w:rsidRPr="00BF74D1">
        <w:t xml:space="preserve">For the Commission to </w:t>
      </w:r>
      <w:r w:rsidR="00621B10">
        <w:t xml:space="preserve">work out </w:t>
      </w:r>
      <w:r w:rsidR="00382C8E">
        <w:t>t</w:t>
      </w:r>
      <w:r w:rsidRPr="00BF74D1">
        <w:t xml:space="preserve">he </w:t>
      </w:r>
      <w:r w:rsidRPr="00BF74D1">
        <w:rPr>
          <w:u w:val="single"/>
        </w:rPr>
        <w:t>final duty liability</w:t>
      </w:r>
      <w:r w:rsidRPr="00BF74D1">
        <w:t xml:space="preserve">, </w:t>
      </w:r>
      <w:r w:rsidR="00593066">
        <w:t xml:space="preserve">it </w:t>
      </w:r>
      <w:r w:rsidR="007B5E3E">
        <w:t xml:space="preserve">is likely to need information from your exporter(s). </w:t>
      </w:r>
      <w:r w:rsidR="005F7FEC">
        <w:t>It is</w:t>
      </w:r>
      <w:r w:rsidR="005F7FEC" w:rsidRPr="005A0E0C">
        <w:t xml:space="preserve"> recommend</w:t>
      </w:r>
      <w:r w:rsidR="005F7FEC">
        <w:t>ed that</w:t>
      </w:r>
      <w:r w:rsidR="005F7FEC" w:rsidRPr="005A0E0C">
        <w:t xml:space="preserve"> importers contact their exporters </w:t>
      </w:r>
      <w:r w:rsidR="005F7FEC" w:rsidRPr="005A0E0C">
        <w:rPr>
          <w:b/>
        </w:rPr>
        <w:t>before</w:t>
      </w:r>
      <w:r w:rsidR="005F7FEC" w:rsidRPr="005A0E0C">
        <w:t xml:space="preserve"> they lodge </w:t>
      </w:r>
      <w:r w:rsidR="008C1701">
        <w:t xml:space="preserve">an application for </w:t>
      </w:r>
      <w:r w:rsidR="005F7FEC" w:rsidRPr="005A0E0C">
        <w:t xml:space="preserve">a duty assessment. </w:t>
      </w:r>
    </w:p>
    <w:p w14:paraId="4749A069" w14:textId="62976400" w:rsidR="00A94613" w:rsidRDefault="00A94613" w:rsidP="00BD73EE">
      <w:r w:rsidRPr="00A94613">
        <w:t xml:space="preserve">Cooperation may involve responding to requests for information, completing an exporter questionnaire and agreeing to a verification visit </w:t>
      </w:r>
      <w:r w:rsidR="008C1701">
        <w:t xml:space="preserve">conducted by Commission officers </w:t>
      </w:r>
      <w:r w:rsidRPr="00A94613">
        <w:t xml:space="preserve">on </w:t>
      </w:r>
      <w:r w:rsidR="008C1701">
        <w:t xml:space="preserve">the exporter’s </w:t>
      </w:r>
      <w:r w:rsidRPr="00A94613">
        <w:t xml:space="preserve">premises. </w:t>
      </w:r>
      <w:r w:rsidR="00367B4A">
        <w:t xml:space="preserve">Examples of exporter questionnaires are on the Commission’s website. </w:t>
      </w:r>
      <w:r w:rsidRPr="00A94613">
        <w:t xml:space="preserve">What is required from the exporter(s) is determined on a case-by-case basis. </w:t>
      </w:r>
    </w:p>
    <w:p w14:paraId="40688D72" w14:textId="284B7A61" w:rsidR="00DC56A7" w:rsidRDefault="00BD73EE" w:rsidP="00DC56A7">
      <w:r>
        <w:t xml:space="preserve">The Commission uses the data </w:t>
      </w:r>
      <w:r w:rsidR="00A94613">
        <w:t>from the exporter</w:t>
      </w:r>
      <w:r w:rsidR="005E37FD">
        <w:t>s</w:t>
      </w:r>
      <w:r>
        <w:t xml:space="preserve"> </w:t>
      </w:r>
      <w:r w:rsidR="0026077D" w:rsidRPr="0026077D">
        <w:t xml:space="preserve">to </w:t>
      </w:r>
      <w:r w:rsidR="007E7707">
        <w:t xml:space="preserve">calculate </w:t>
      </w:r>
      <w:r w:rsidR="00BF1684">
        <w:t xml:space="preserve">the </w:t>
      </w:r>
      <w:r w:rsidR="007E7707" w:rsidRPr="0026077D">
        <w:t>variable</w:t>
      </w:r>
      <w:r w:rsidR="0026077D" w:rsidRPr="0026077D">
        <w:t xml:space="preserve"> factors</w:t>
      </w:r>
      <w:r>
        <w:t xml:space="preserve">. </w:t>
      </w:r>
      <w:r w:rsidR="00DC56A7" w:rsidRPr="00DC56A7">
        <w:t>An exporter is not obliged to cooperate, however when exporters do not cooperate this can make as</w:t>
      </w:r>
      <w:r w:rsidR="00DC56A7">
        <w:t>sessing</w:t>
      </w:r>
      <w:r w:rsidR="00DC56A7" w:rsidRPr="00DC56A7">
        <w:t xml:space="preserve"> </w:t>
      </w:r>
      <w:r w:rsidR="008C1701">
        <w:t xml:space="preserve">the </w:t>
      </w:r>
      <w:r w:rsidR="00DC56A7" w:rsidRPr="00DC56A7">
        <w:t>variable factors more difficult</w:t>
      </w:r>
      <w:r w:rsidR="008C1701">
        <w:t xml:space="preserve">. In some circumstances, this </w:t>
      </w:r>
      <w:r w:rsidR="005C508D">
        <w:t>may result in the Commission terminating the duty assessment</w:t>
      </w:r>
      <w:r w:rsidR="00DC56A7" w:rsidRPr="00DC56A7">
        <w:t>.</w:t>
      </w:r>
      <w:r w:rsidR="00DC56A7">
        <w:t xml:space="preserve"> </w:t>
      </w:r>
    </w:p>
    <w:p w14:paraId="1A44C292" w14:textId="64742A51" w:rsidR="0026077D" w:rsidRPr="0026077D" w:rsidRDefault="00BF1684" w:rsidP="0026077D">
      <w:r>
        <w:t xml:space="preserve">Once </w:t>
      </w:r>
      <w:r w:rsidR="00621B10">
        <w:t xml:space="preserve">the Commission </w:t>
      </w:r>
      <w:r w:rsidR="00882D6E">
        <w:t xml:space="preserve">has </w:t>
      </w:r>
      <w:r w:rsidR="00621B10">
        <w:t>work</w:t>
      </w:r>
      <w:r w:rsidR="00882D6E">
        <w:t>ed</w:t>
      </w:r>
      <w:r w:rsidR="00621B10">
        <w:t xml:space="preserve"> out the </w:t>
      </w:r>
      <w:r w:rsidR="004925CF" w:rsidRPr="004925CF">
        <w:t xml:space="preserve">variable factors </w:t>
      </w:r>
      <w:r w:rsidR="00621B10">
        <w:t xml:space="preserve">it can </w:t>
      </w:r>
      <w:r>
        <w:t xml:space="preserve">then </w:t>
      </w:r>
      <w:r w:rsidR="004925CF">
        <w:t>determine t</w:t>
      </w:r>
      <w:r w:rsidR="0026077D" w:rsidRPr="0026077D">
        <w:t xml:space="preserve">he </w:t>
      </w:r>
      <w:r w:rsidR="009B1C58">
        <w:t>final</w:t>
      </w:r>
      <w:r w:rsidR="009B1C58" w:rsidRPr="0026077D">
        <w:t xml:space="preserve"> </w:t>
      </w:r>
      <w:r w:rsidR="00DB611E">
        <w:t>duty</w:t>
      </w:r>
      <w:r w:rsidR="009B1C58">
        <w:t xml:space="preserve"> payable and whether there is any excess to be </w:t>
      </w:r>
      <w:r w:rsidR="008A299C">
        <w:t>refunded</w:t>
      </w:r>
      <w:r w:rsidR="0026077D" w:rsidRPr="0026077D">
        <w:t>.</w:t>
      </w:r>
    </w:p>
    <w:p w14:paraId="4FB4B936" w14:textId="77777777" w:rsidR="0026077D" w:rsidRPr="0026077D" w:rsidRDefault="0026077D" w:rsidP="0026077D">
      <w:pPr>
        <w:pStyle w:val="TOCHeading"/>
      </w:pPr>
      <w:bookmarkStart w:id="7" w:name="_Toc17187262"/>
      <w:r w:rsidRPr="0026077D">
        <w:t>Pre-lodgement documentation check</w:t>
      </w:r>
      <w:bookmarkEnd w:id="7"/>
    </w:p>
    <w:p w14:paraId="7A7714B2" w14:textId="3D95B195" w:rsidR="00BF4181" w:rsidRDefault="0026077D" w:rsidP="0026077D">
      <w:r w:rsidRPr="0026077D">
        <w:t>The Commission provides</w:t>
      </w:r>
      <w:r w:rsidR="008C1701">
        <w:t>,</w:t>
      </w:r>
      <w:r w:rsidRPr="0026077D">
        <w:t xml:space="preserve"> free</w:t>
      </w:r>
      <w:r w:rsidR="00896556">
        <w:t xml:space="preserve"> </w:t>
      </w:r>
      <w:r w:rsidRPr="0026077D">
        <w:t>of</w:t>
      </w:r>
      <w:r w:rsidR="00896556">
        <w:t xml:space="preserve"> </w:t>
      </w:r>
      <w:r w:rsidRPr="0026077D">
        <w:t>charge</w:t>
      </w:r>
      <w:r w:rsidR="008C1701">
        <w:t>, a</w:t>
      </w:r>
      <w:r w:rsidRPr="0026077D">
        <w:t xml:space="preserve"> document check prior to formal lodgement</w:t>
      </w:r>
      <w:r w:rsidR="00BF4181">
        <w:t xml:space="preserve">. This check </w:t>
      </w:r>
      <w:r w:rsidR="00593066">
        <w:t>helps importers</w:t>
      </w:r>
      <w:r w:rsidRPr="0026077D">
        <w:t xml:space="preserve"> </w:t>
      </w:r>
      <w:r w:rsidR="00593066">
        <w:t xml:space="preserve">know </w:t>
      </w:r>
      <w:r w:rsidRPr="0026077D">
        <w:t xml:space="preserve">that their </w:t>
      </w:r>
      <w:r w:rsidR="00593066" w:rsidRPr="008C1701">
        <w:t>proposed a</w:t>
      </w:r>
      <w:r w:rsidR="00593066">
        <w:t>pplication</w:t>
      </w:r>
      <w:r w:rsidRPr="0026077D">
        <w:t xml:space="preserve"> meet</w:t>
      </w:r>
      <w:r w:rsidR="00593066">
        <w:t>s</w:t>
      </w:r>
      <w:r w:rsidRPr="0026077D">
        <w:t xml:space="preserve"> the </w:t>
      </w:r>
      <w:r w:rsidR="00200DAB">
        <w:t>documentary requirements</w:t>
      </w:r>
      <w:r w:rsidRPr="0026077D">
        <w:t>.</w:t>
      </w:r>
    </w:p>
    <w:p w14:paraId="7A783349" w14:textId="04AF0BD4" w:rsidR="00CE4B77" w:rsidRDefault="00D95021" w:rsidP="0026077D">
      <w:r>
        <w:t>If you would like a pre-lodgement check, e</w:t>
      </w:r>
      <w:r w:rsidR="00ED0970">
        <w:t>mail t</w:t>
      </w:r>
      <w:r w:rsidR="0026077D" w:rsidRPr="0026077D">
        <w:t xml:space="preserve">he application plus relevant documents to </w:t>
      </w:r>
      <w:hyperlink r:id="rId20" w:history="1">
        <w:r w:rsidR="0026077D" w:rsidRPr="0026077D">
          <w:rPr>
            <w:rStyle w:val="Hyperlink"/>
            <w:lang w:val="en"/>
          </w:rPr>
          <w:t>clientsupport@adcommission.gov.au</w:t>
        </w:r>
      </w:hyperlink>
      <w:r w:rsidR="008C1701" w:rsidRPr="008C1701">
        <w:rPr>
          <w:rStyle w:val="Hyperlink"/>
          <w:color w:val="auto"/>
          <w:u w:val="none"/>
          <w:lang w:val="en"/>
        </w:rPr>
        <w:t>.</w:t>
      </w:r>
    </w:p>
    <w:p w14:paraId="633221E2" w14:textId="517D464E" w:rsidR="0026077D" w:rsidRPr="0026077D" w:rsidRDefault="00CE4B77" w:rsidP="0026077D">
      <w:r>
        <w:t>C</w:t>
      </w:r>
      <w:r w:rsidR="00D95021">
        <w:t xml:space="preserve">learly state in the </w:t>
      </w:r>
      <w:r w:rsidR="0026077D" w:rsidRPr="0026077D">
        <w:t xml:space="preserve">email </w:t>
      </w:r>
      <w:r w:rsidR="00D95021">
        <w:t xml:space="preserve">that </w:t>
      </w:r>
      <w:r w:rsidR="00EF12A5">
        <w:t xml:space="preserve">you </w:t>
      </w:r>
      <w:r w:rsidR="00ED0970">
        <w:t>are</w:t>
      </w:r>
      <w:r w:rsidR="00EF12A5">
        <w:t xml:space="preserve"> </w:t>
      </w:r>
      <w:r w:rsidR="0026077D" w:rsidRPr="0026077D">
        <w:t>request</w:t>
      </w:r>
      <w:r w:rsidR="00EF12A5">
        <w:t xml:space="preserve">ing </w:t>
      </w:r>
      <w:r w:rsidR="0026077D" w:rsidRPr="0026077D">
        <w:t>a pre-lodgement check.</w:t>
      </w:r>
      <w:r w:rsidR="00DB611E">
        <w:t xml:space="preserve"> A pre-lodgement check should be requested </w:t>
      </w:r>
      <w:r w:rsidR="00C0056E">
        <w:t xml:space="preserve">as early as possible and </w:t>
      </w:r>
      <w:r w:rsidR="00DB611E">
        <w:t xml:space="preserve">well before the end of the application period. </w:t>
      </w:r>
    </w:p>
    <w:p w14:paraId="154AD011" w14:textId="2EBD3881" w:rsidR="0026077D" w:rsidRPr="0026077D" w:rsidRDefault="002F290D" w:rsidP="0026077D">
      <w:pPr>
        <w:pStyle w:val="TOCHeading"/>
      </w:pPr>
      <w:bookmarkStart w:id="8" w:name="_Toc17187263"/>
      <w:r>
        <w:lastRenderedPageBreak/>
        <w:t>How to</w:t>
      </w:r>
      <w:r w:rsidR="0026077D" w:rsidRPr="0026077D">
        <w:t xml:space="preserve"> lodge </w:t>
      </w:r>
      <w:r w:rsidR="001D7C76">
        <w:t xml:space="preserve">the </w:t>
      </w:r>
      <w:r w:rsidR="00F62F23">
        <w:t>application</w:t>
      </w:r>
      <w:bookmarkEnd w:id="8"/>
    </w:p>
    <w:p w14:paraId="66BF9394" w14:textId="41FA7C09" w:rsidR="002F290D" w:rsidRDefault="00B537CC" w:rsidP="0026077D">
      <w:pPr>
        <w:rPr>
          <w:rStyle w:val="Hyperlink"/>
          <w:lang w:val="en"/>
        </w:rPr>
      </w:pPr>
      <w:r>
        <w:t>The preferred method of lodging a duty assessment is</w:t>
      </w:r>
      <w:r w:rsidR="00E80659">
        <w:t xml:space="preserve"> to email </w:t>
      </w:r>
      <w:r w:rsidR="0026077D" w:rsidRPr="0026077D">
        <w:t>application</w:t>
      </w:r>
      <w:r w:rsidR="00EF12A5">
        <w:t>s</w:t>
      </w:r>
      <w:r w:rsidR="0026077D" w:rsidRPr="0026077D">
        <w:t xml:space="preserve"> to </w:t>
      </w:r>
      <w:hyperlink r:id="rId21" w:history="1">
        <w:r w:rsidR="0026077D" w:rsidRPr="0026077D">
          <w:rPr>
            <w:rStyle w:val="Hyperlink"/>
            <w:lang w:val="en"/>
          </w:rPr>
          <w:t>clientsupport@adcommission.gov.au</w:t>
        </w:r>
      </w:hyperlink>
      <w:r w:rsidR="00F17D20">
        <w:rPr>
          <w:rStyle w:val="Hyperlink"/>
          <w:lang w:val="en"/>
        </w:rPr>
        <w:t xml:space="preserve">. </w:t>
      </w:r>
    </w:p>
    <w:p w14:paraId="721CE467" w14:textId="2090AA50" w:rsidR="0026077D" w:rsidRPr="002F290D" w:rsidRDefault="00F17D20" w:rsidP="0026077D">
      <w:r w:rsidRPr="002F290D">
        <w:rPr>
          <w:rStyle w:val="Hyperlink"/>
          <w:color w:val="auto"/>
          <w:u w:val="none"/>
          <w:lang w:val="en"/>
        </w:rPr>
        <w:t xml:space="preserve">Please include all supporting evidence with your application. If file sizes are too large to email, please contact </w:t>
      </w:r>
      <w:r w:rsidR="002F290D" w:rsidRPr="002F290D">
        <w:rPr>
          <w:rStyle w:val="Hyperlink"/>
          <w:color w:val="auto"/>
          <w:u w:val="none"/>
          <w:lang w:val="en"/>
        </w:rPr>
        <w:t xml:space="preserve">the </w:t>
      </w:r>
      <w:hyperlink r:id="rId22" w:history="1">
        <w:r w:rsidR="002F290D" w:rsidRPr="00A877B6">
          <w:rPr>
            <w:rStyle w:val="Hyperlink"/>
            <w:lang w:val="en"/>
          </w:rPr>
          <w:t>Commission</w:t>
        </w:r>
      </w:hyperlink>
      <w:r w:rsidRPr="002F290D">
        <w:rPr>
          <w:rStyle w:val="Hyperlink"/>
          <w:color w:val="auto"/>
          <w:u w:val="none"/>
          <w:lang w:val="en"/>
        </w:rPr>
        <w:t xml:space="preserve"> to arrange a secure file transfer.</w:t>
      </w:r>
    </w:p>
    <w:p w14:paraId="59734784" w14:textId="4E0B3586" w:rsidR="0026077D" w:rsidRPr="0026077D" w:rsidRDefault="00B537CC" w:rsidP="0026077D">
      <w:r>
        <w:t>Alternatively</w:t>
      </w:r>
      <w:r w:rsidR="008C1701">
        <w:t>,</w:t>
      </w:r>
      <w:r>
        <w:t xml:space="preserve"> y</w:t>
      </w:r>
      <w:r w:rsidR="00EC098B">
        <w:t xml:space="preserve">ou can </w:t>
      </w:r>
      <w:r w:rsidR="00ED0970">
        <w:t>post</w:t>
      </w:r>
      <w:r>
        <w:t xml:space="preserve"> completed</w:t>
      </w:r>
      <w:r w:rsidR="00ED0970">
        <w:t xml:space="preserve"> a</w:t>
      </w:r>
      <w:r w:rsidR="0026077D" w:rsidRPr="0026077D">
        <w:t xml:space="preserve">pplications </w:t>
      </w:r>
      <w:r w:rsidR="00ED0970">
        <w:t xml:space="preserve">to the </w:t>
      </w:r>
      <w:r w:rsidR="004B45B9" w:rsidRPr="0026077D">
        <w:t>Commission</w:t>
      </w:r>
      <w:r w:rsidR="00E23EE4">
        <w:t>.</w:t>
      </w:r>
      <w:r w:rsidR="00ED0970">
        <w:t xml:space="preserve"> </w:t>
      </w:r>
      <w:r w:rsidR="00E23EE4">
        <w:t>R</w:t>
      </w:r>
      <w:r w:rsidR="00ED0970">
        <w:t xml:space="preserve">efer </w:t>
      </w:r>
      <w:r w:rsidR="00E23EE4">
        <w:t xml:space="preserve">to </w:t>
      </w:r>
      <w:hyperlink r:id="rId23" w:history="1">
        <w:r w:rsidR="0026077D" w:rsidRPr="00A877B6">
          <w:rPr>
            <w:rStyle w:val="Hyperlink"/>
          </w:rPr>
          <w:t>contact</w:t>
        </w:r>
      </w:hyperlink>
      <w:r w:rsidR="0026077D" w:rsidRPr="0026077D">
        <w:t xml:space="preserve"> details.</w:t>
      </w:r>
    </w:p>
    <w:p w14:paraId="368B75C9" w14:textId="34E7D450" w:rsidR="0026077D" w:rsidRPr="0026077D" w:rsidRDefault="0026077D" w:rsidP="0026077D">
      <w:pPr>
        <w:pStyle w:val="TOCHeading"/>
      </w:pPr>
      <w:bookmarkStart w:id="9" w:name="_Toc17187264"/>
      <w:r w:rsidRPr="0026077D">
        <w:t>Timeframe</w:t>
      </w:r>
      <w:r w:rsidR="001D7C76">
        <w:t>s</w:t>
      </w:r>
      <w:bookmarkEnd w:id="9"/>
    </w:p>
    <w:p w14:paraId="6F2A6996" w14:textId="33A1FC76" w:rsidR="00E32802" w:rsidRDefault="0026077D" w:rsidP="0026077D">
      <w:r w:rsidRPr="0026077D">
        <w:t xml:space="preserve">The Commission has 155 days to </w:t>
      </w:r>
      <w:r w:rsidR="008A299C">
        <w:t>examine</w:t>
      </w:r>
      <w:r w:rsidR="00A877B6">
        <w:t xml:space="preserve"> and make a </w:t>
      </w:r>
      <w:r w:rsidR="009C4E94">
        <w:t>recommendation</w:t>
      </w:r>
      <w:r w:rsidR="00A877B6">
        <w:t xml:space="preserve"> on</w:t>
      </w:r>
      <w:r w:rsidR="00EC098B">
        <w:t xml:space="preserve"> </w:t>
      </w:r>
      <w:r w:rsidR="008A299C">
        <w:t xml:space="preserve">an </w:t>
      </w:r>
      <w:r w:rsidRPr="0026077D">
        <w:t xml:space="preserve">application for </w:t>
      </w:r>
      <w:r w:rsidR="00A877B6">
        <w:t xml:space="preserve">a </w:t>
      </w:r>
      <w:r w:rsidRPr="0026077D">
        <w:t>duty assessment</w:t>
      </w:r>
      <w:r w:rsidR="00E32802">
        <w:t>.</w:t>
      </w:r>
      <w:r w:rsidR="00374BA6">
        <w:t xml:space="preserve"> However, this timeframe can be extended.</w:t>
      </w:r>
    </w:p>
    <w:p w14:paraId="77485F49" w14:textId="70FD9A7C" w:rsidR="00D92256" w:rsidRDefault="0026077D" w:rsidP="006968B9">
      <w:r w:rsidRPr="0026077D">
        <w:t xml:space="preserve">The </w:t>
      </w:r>
      <w:r w:rsidR="001133F1">
        <w:t>Commissioner</w:t>
      </w:r>
      <w:r w:rsidR="00B803D2">
        <w:t xml:space="preserve"> </w:t>
      </w:r>
      <w:r w:rsidRPr="0026077D">
        <w:t xml:space="preserve">has 30 days to </w:t>
      </w:r>
      <w:r w:rsidR="00D92256">
        <w:t>consider the Commissio</w:t>
      </w:r>
      <w:r w:rsidR="00434D61">
        <w:t>n</w:t>
      </w:r>
      <w:r w:rsidR="00D92256">
        <w:t>’s recommendation and order repayment or waiver of duty</w:t>
      </w:r>
      <w:r w:rsidR="00434D61">
        <w:t xml:space="preserve"> (</w:t>
      </w:r>
      <w:r w:rsidR="00D92256">
        <w:t>as the case requires).</w:t>
      </w:r>
    </w:p>
    <w:p w14:paraId="1F3269E7" w14:textId="6C3793B8" w:rsidR="0026077D" w:rsidRPr="0026077D" w:rsidRDefault="00D92256" w:rsidP="006968B9">
      <w:r>
        <w:t xml:space="preserve">Please note, </w:t>
      </w:r>
      <w:r w:rsidR="00B803D2">
        <w:t>additional time will be required</w:t>
      </w:r>
      <w:r>
        <w:t xml:space="preserve"> if you seek review of the Commission’s decision </w:t>
      </w:r>
      <w:r w:rsidR="00F71158">
        <w:t>(</w:t>
      </w:r>
      <w:r>
        <w:rPr>
          <w:i/>
        </w:rPr>
        <w:t xml:space="preserve">see </w:t>
      </w:r>
      <w:r w:rsidR="00E66547">
        <w:rPr>
          <w:i/>
        </w:rPr>
        <w:t>‘</w:t>
      </w:r>
      <w:r w:rsidRPr="00B803D2">
        <w:t>Rights of Review</w:t>
      </w:r>
      <w:r w:rsidR="00E66547">
        <w:t>’</w:t>
      </w:r>
      <w:r w:rsidRPr="00B803D2">
        <w:t xml:space="preserve"> below</w:t>
      </w:r>
      <w:r w:rsidR="00F71158">
        <w:t>)</w:t>
      </w:r>
      <w:r w:rsidR="0026077D" w:rsidRPr="0026077D">
        <w:t>.</w:t>
      </w:r>
      <w:r w:rsidR="00DB611E">
        <w:t xml:space="preserve"> </w:t>
      </w:r>
    </w:p>
    <w:p w14:paraId="445E3974" w14:textId="77777777" w:rsidR="002F290D" w:rsidRPr="001D7C76" w:rsidRDefault="002F290D" w:rsidP="002F290D">
      <w:pPr>
        <w:pStyle w:val="TOCHeading"/>
      </w:pPr>
      <w:bookmarkStart w:id="10" w:name="_Toc17187265"/>
      <w:r>
        <w:t>R</w:t>
      </w:r>
      <w:r w:rsidRPr="00B30365">
        <w:t xml:space="preserve">ejection </w:t>
      </w:r>
      <w:r>
        <w:t>or t</w:t>
      </w:r>
      <w:r w:rsidRPr="001D7C76">
        <w:t>ermination</w:t>
      </w:r>
      <w:bookmarkEnd w:id="10"/>
      <w:r w:rsidRPr="001D7C76">
        <w:t xml:space="preserve"> </w:t>
      </w:r>
    </w:p>
    <w:p w14:paraId="6DCEDE18" w14:textId="4D5EB2FF" w:rsidR="002F290D" w:rsidRDefault="002F290D" w:rsidP="002F290D">
      <w:r w:rsidRPr="0026077D">
        <w:t>The Commission</w:t>
      </w:r>
      <w:r>
        <w:t xml:space="preserve"> must, within 20 days after it is lodged,</w:t>
      </w:r>
      <w:r w:rsidRPr="0026077D">
        <w:t xml:space="preserve"> </w:t>
      </w:r>
      <w:r>
        <w:t xml:space="preserve">reject an application that does </w:t>
      </w:r>
      <w:r w:rsidR="00B803D2">
        <w:t xml:space="preserve">not </w:t>
      </w:r>
      <w:r>
        <w:t xml:space="preserve">contain everything it must under the legislation. </w:t>
      </w:r>
    </w:p>
    <w:p w14:paraId="342B3F72" w14:textId="77777777" w:rsidR="002F290D" w:rsidRDefault="002F290D" w:rsidP="002F290D">
      <w:r>
        <w:t xml:space="preserve">Where an application contains a commitment that someone else will give the Commission further evidence and the Commission is satisfied that this further information was not provided in the time allowed, it may reject the application. </w:t>
      </w:r>
    </w:p>
    <w:p w14:paraId="7A2DD4A6" w14:textId="0C598910" w:rsidR="002F290D" w:rsidRDefault="002F290D" w:rsidP="002F290D">
      <w:r>
        <w:t xml:space="preserve">The Commission may terminate its </w:t>
      </w:r>
      <w:r w:rsidRPr="0026077D">
        <w:t xml:space="preserve">assessment </w:t>
      </w:r>
      <w:r>
        <w:t xml:space="preserve">of a duty assessment application </w:t>
      </w:r>
      <w:r w:rsidRPr="0026077D">
        <w:t xml:space="preserve">if </w:t>
      </w:r>
      <w:r>
        <w:t xml:space="preserve">it </w:t>
      </w:r>
      <w:r w:rsidRPr="0026077D">
        <w:t xml:space="preserve">does not have enough information to </w:t>
      </w:r>
      <w:r>
        <w:t xml:space="preserve">calculate the </w:t>
      </w:r>
      <w:r w:rsidRPr="00A22912">
        <w:rPr>
          <w:u w:val="single"/>
        </w:rPr>
        <w:t>final duty liability</w:t>
      </w:r>
      <w:r>
        <w:t>.</w:t>
      </w:r>
      <w:r w:rsidRPr="0026077D">
        <w:t xml:space="preserve"> This may happen if </w:t>
      </w:r>
      <w:r>
        <w:t xml:space="preserve">your </w:t>
      </w:r>
      <w:r w:rsidRPr="0026077D">
        <w:t xml:space="preserve">exporter does not provide the Commission </w:t>
      </w:r>
      <w:r>
        <w:t xml:space="preserve">with </w:t>
      </w:r>
      <w:r w:rsidRPr="0026077D">
        <w:t xml:space="preserve">the </w:t>
      </w:r>
      <w:r w:rsidRPr="00FE5232">
        <w:t>required information</w:t>
      </w:r>
      <w:r w:rsidR="008279C2">
        <w:t xml:space="preserve"> or there are deficiencies with the information</w:t>
      </w:r>
      <w:r>
        <w:t>.</w:t>
      </w:r>
      <w:r w:rsidRPr="0026077D">
        <w:t xml:space="preserve"> </w:t>
      </w:r>
    </w:p>
    <w:p w14:paraId="6332C1B5" w14:textId="77777777" w:rsidR="0026077D" w:rsidRPr="0026077D" w:rsidRDefault="0026077D" w:rsidP="0026077D">
      <w:pPr>
        <w:pStyle w:val="TOCHeading"/>
      </w:pPr>
      <w:bookmarkStart w:id="11" w:name="_Toc17187266"/>
      <w:r w:rsidRPr="0026077D">
        <w:t>The assessment process</w:t>
      </w:r>
      <w:bookmarkEnd w:id="11"/>
    </w:p>
    <w:p w14:paraId="2D3E1DB6" w14:textId="726A8F36" w:rsidR="0026077D" w:rsidRPr="0026077D" w:rsidRDefault="005F0E0E" w:rsidP="0026077D">
      <w:r>
        <w:t>When th</w:t>
      </w:r>
      <w:r w:rsidR="0026077D" w:rsidRPr="0026077D">
        <w:t xml:space="preserve">e Commission </w:t>
      </w:r>
      <w:r>
        <w:t xml:space="preserve">receives </w:t>
      </w:r>
      <w:r w:rsidR="007E7707">
        <w:t xml:space="preserve">an </w:t>
      </w:r>
      <w:r>
        <w:t xml:space="preserve">application, it </w:t>
      </w:r>
      <w:r w:rsidR="0026077D" w:rsidRPr="0026077D">
        <w:t xml:space="preserve">will </w:t>
      </w:r>
      <w:r w:rsidR="007E7707">
        <w:t xml:space="preserve">confirm </w:t>
      </w:r>
      <w:r w:rsidR="0026077D" w:rsidRPr="0026077D">
        <w:t>receipt and examine</w:t>
      </w:r>
      <w:r>
        <w:t xml:space="preserve"> it </w:t>
      </w:r>
      <w:r w:rsidR="0026077D" w:rsidRPr="0026077D">
        <w:t xml:space="preserve">to </w:t>
      </w:r>
      <w:r w:rsidR="0094737F">
        <w:t xml:space="preserve">work out </w:t>
      </w:r>
      <w:r w:rsidR="0026077D" w:rsidRPr="0026077D">
        <w:t xml:space="preserve">if </w:t>
      </w:r>
      <w:r>
        <w:t xml:space="preserve">it satisfies </w:t>
      </w:r>
      <w:r w:rsidR="0026077D" w:rsidRPr="0026077D">
        <w:t>the legislative requirements</w:t>
      </w:r>
      <w:r>
        <w:t>.</w:t>
      </w:r>
      <w:r w:rsidR="0026077D" w:rsidRPr="0026077D">
        <w:t xml:space="preserve"> </w:t>
      </w:r>
      <w:r w:rsidR="00A17220">
        <w:t>T</w:t>
      </w:r>
      <w:r w:rsidR="00653F42">
        <w:t xml:space="preserve">he Commission </w:t>
      </w:r>
      <w:r w:rsidR="0026077D" w:rsidRPr="0026077D">
        <w:t xml:space="preserve">will advise </w:t>
      </w:r>
      <w:r w:rsidR="00A22912">
        <w:t>you</w:t>
      </w:r>
      <w:r w:rsidR="00653F42">
        <w:t xml:space="preserve"> if it has rejected </w:t>
      </w:r>
      <w:r w:rsidR="00A22912">
        <w:t>your</w:t>
      </w:r>
      <w:r w:rsidR="0026077D" w:rsidRPr="0026077D">
        <w:t xml:space="preserve"> application</w:t>
      </w:r>
      <w:r w:rsidR="00653F42">
        <w:t>.</w:t>
      </w:r>
    </w:p>
    <w:p w14:paraId="7C087E9A" w14:textId="557DE3D8" w:rsidR="00EF12A5" w:rsidRDefault="00A22912" w:rsidP="0026077D">
      <w:r>
        <w:lastRenderedPageBreak/>
        <w:t>If your application is</w:t>
      </w:r>
      <w:r w:rsidR="0026077D" w:rsidRPr="0026077D">
        <w:t xml:space="preserve"> not </w:t>
      </w:r>
      <w:r w:rsidR="000A57B1">
        <w:t>rejected t</w:t>
      </w:r>
      <w:r w:rsidR="0026077D" w:rsidRPr="0026077D">
        <w:t xml:space="preserve">he Commission </w:t>
      </w:r>
      <w:r w:rsidR="000B1566">
        <w:t>may</w:t>
      </w:r>
      <w:r w:rsidR="000B1566" w:rsidRPr="0026077D">
        <w:t xml:space="preserve"> </w:t>
      </w:r>
      <w:r>
        <w:t>request</w:t>
      </w:r>
      <w:r w:rsidR="0026077D" w:rsidRPr="0026077D">
        <w:t xml:space="preserve"> further information</w:t>
      </w:r>
      <w:r>
        <w:t xml:space="preserve"> from you</w:t>
      </w:r>
      <w:r w:rsidR="000A57B1">
        <w:t xml:space="preserve">. It </w:t>
      </w:r>
      <w:r>
        <w:t xml:space="preserve">may </w:t>
      </w:r>
      <w:r w:rsidR="000A57B1">
        <w:t xml:space="preserve">also </w:t>
      </w:r>
      <w:r>
        <w:t xml:space="preserve">request a </w:t>
      </w:r>
      <w:r w:rsidR="009C4E94">
        <w:t xml:space="preserve">visit to </w:t>
      </w:r>
      <w:r>
        <w:t>your</w:t>
      </w:r>
      <w:r w:rsidR="0026077D" w:rsidRPr="0026077D">
        <w:t xml:space="preserve"> premises </w:t>
      </w:r>
      <w:r w:rsidR="00D20301">
        <w:t xml:space="preserve">to verify the </w:t>
      </w:r>
      <w:r w:rsidR="009E6297">
        <w:t xml:space="preserve">contents of </w:t>
      </w:r>
      <w:r>
        <w:t>your</w:t>
      </w:r>
      <w:r w:rsidR="00EF12A5">
        <w:t xml:space="preserve"> application.</w:t>
      </w:r>
    </w:p>
    <w:p w14:paraId="7A2D6495" w14:textId="4717004D" w:rsidR="009E6297" w:rsidRDefault="0026077D" w:rsidP="000A57B1">
      <w:pPr>
        <w:keepNext/>
      </w:pPr>
      <w:r w:rsidRPr="0026077D">
        <w:t xml:space="preserve">Verification visits to importers generally take one day. </w:t>
      </w:r>
      <w:r w:rsidR="009E6297">
        <w:t xml:space="preserve">The Commission </w:t>
      </w:r>
      <w:r w:rsidR="009E6297" w:rsidRPr="0026077D">
        <w:t>usually</w:t>
      </w:r>
      <w:r w:rsidRPr="0026077D">
        <w:t xml:space="preserve"> verifie</w:t>
      </w:r>
      <w:r w:rsidR="009E6297">
        <w:t>s:</w:t>
      </w:r>
    </w:p>
    <w:p w14:paraId="4193D9FD" w14:textId="126819F4" w:rsidR="009E6297" w:rsidRDefault="0026077D" w:rsidP="000A57B1">
      <w:pPr>
        <w:pStyle w:val="ListParagraph"/>
        <w:keepNext/>
      </w:pPr>
      <w:r w:rsidRPr="0026077D">
        <w:t>export prices and payments,</w:t>
      </w:r>
    </w:p>
    <w:p w14:paraId="6CA65FB3" w14:textId="4ACBCBAA" w:rsidR="009E6297" w:rsidRDefault="0026077D" w:rsidP="000A57B1">
      <w:pPr>
        <w:pStyle w:val="ListParagraph"/>
        <w:keepNext/>
      </w:pPr>
      <w:r w:rsidRPr="0026077D">
        <w:t>import costs and payments</w:t>
      </w:r>
      <w:r w:rsidR="009E6297">
        <w:t>,</w:t>
      </w:r>
      <w:r w:rsidRPr="0026077D">
        <w:t xml:space="preserve"> and</w:t>
      </w:r>
    </w:p>
    <w:p w14:paraId="71CBCDD4" w14:textId="04C84768" w:rsidR="0026077D" w:rsidRDefault="0026077D" w:rsidP="009E6297">
      <w:pPr>
        <w:pStyle w:val="ListParagraph"/>
      </w:pPr>
      <w:r w:rsidRPr="0026077D">
        <w:t>where applicable</w:t>
      </w:r>
      <w:r w:rsidR="009E6297">
        <w:t>,</w:t>
      </w:r>
      <w:r w:rsidRPr="0026077D">
        <w:t xml:space="preserve"> </w:t>
      </w:r>
      <w:r w:rsidR="00EF12A5" w:rsidRPr="00EF12A5">
        <w:t xml:space="preserve">sales of imports </w:t>
      </w:r>
      <w:r w:rsidRPr="0026077D">
        <w:t>into the Australian market.</w:t>
      </w:r>
    </w:p>
    <w:p w14:paraId="7AB7D7CB" w14:textId="784C82F2" w:rsidR="00A77657" w:rsidRDefault="00D74E9F" w:rsidP="00D74E9F">
      <w:r>
        <w:t>Once the Commission has completed its assessment,</w:t>
      </w:r>
      <w:r w:rsidR="000E6E60">
        <w:t xml:space="preserve"> it will </w:t>
      </w:r>
      <w:r w:rsidR="003447FB">
        <w:t>calculate the final duty payable and decide what recommendation to make</w:t>
      </w:r>
      <w:r w:rsidR="0048356E">
        <w:t xml:space="preserve"> </w:t>
      </w:r>
      <w:r w:rsidR="001133F1">
        <w:t xml:space="preserve">to the Commissioner </w:t>
      </w:r>
      <w:r w:rsidR="0048356E">
        <w:t xml:space="preserve">(unless the application is terminated, </w:t>
      </w:r>
      <w:r w:rsidR="0048356E">
        <w:rPr>
          <w:i/>
        </w:rPr>
        <w:t xml:space="preserve">see </w:t>
      </w:r>
      <w:r w:rsidR="0048356E" w:rsidRPr="001133F1">
        <w:t>‘Rejection or termination’</w:t>
      </w:r>
      <w:r w:rsidR="0048356E">
        <w:rPr>
          <w:i/>
        </w:rPr>
        <w:t xml:space="preserve"> </w:t>
      </w:r>
      <w:r w:rsidR="0048356E">
        <w:t>above)</w:t>
      </w:r>
      <w:r w:rsidR="003447FB">
        <w:t xml:space="preserve">. </w:t>
      </w:r>
      <w:r w:rsidR="001133F1">
        <w:t>You will be informed of this</w:t>
      </w:r>
      <w:r w:rsidR="00A77657">
        <w:t xml:space="preserve"> </w:t>
      </w:r>
      <w:r w:rsidR="00A77657" w:rsidRPr="001133F1">
        <w:rPr>
          <w:u w:val="single"/>
        </w:rPr>
        <w:t>preliminary</w:t>
      </w:r>
      <w:r w:rsidR="00A77657" w:rsidRPr="00EE2986">
        <w:rPr>
          <w:u w:val="single"/>
        </w:rPr>
        <w:t xml:space="preserve"> decision</w:t>
      </w:r>
      <w:r w:rsidR="00A77657">
        <w:t xml:space="preserve"> by the Commission.</w:t>
      </w:r>
    </w:p>
    <w:p w14:paraId="65027702" w14:textId="0F9748E6" w:rsidR="0048356E" w:rsidRDefault="0048356E" w:rsidP="001133F1">
      <w:r>
        <w:t>If the Commission makes</w:t>
      </w:r>
      <w:r w:rsidRPr="0048356E">
        <w:t xml:space="preserve"> a </w:t>
      </w:r>
      <w:r w:rsidRPr="001133F1">
        <w:rPr>
          <w:u w:val="single"/>
        </w:rPr>
        <w:t>positive preliminary</w:t>
      </w:r>
      <w:r w:rsidRPr="00EE2986">
        <w:rPr>
          <w:u w:val="single"/>
        </w:rPr>
        <w:t xml:space="preserve"> decision</w:t>
      </w:r>
      <w:r>
        <w:t xml:space="preserve">, it </w:t>
      </w:r>
      <w:r w:rsidR="00EE2986">
        <w:t xml:space="preserve">will </w:t>
      </w:r>
      <w:r>
        <w:t xml:space="preserve">recommend </w:t>
      </w:r>
      <w:r w:rsidR="00EE2986">
        <w:t xml:space="preserve">(within seven days of making the decision) </w:t>
      </w:r>
      <w:r>
        <w:t xml:space="preserve">that the </w:t>
      </w:r>
      <w:r w:rsidR="001133F1">
        <w:t>Commissioner</w:t>
      </w:r>
      <w:r>
        <w:t xml:space="preserve"> give effect to that decision. A </w:t>
      </w:r>
      <w:r w:rsidRPr="00EE2986">
        <w:rPr>
          <w:u w:val="single"/>
        </w:rPr>
        <w:t>positive preliminary decision</w:t>
      </w:r>
      <w:r>
        <w:t xml:space="preserve"> is where </w:t>
      </w:r>
      <w:r w:rsidR="003D6886">
        <w:t>the outcome is a full refund of the amount sought</w:t>
      </w:r>
      <w:r>
        <w:t xml:space="preserve">. The </w:t>
      </w:r>
      <w:r w:rsidR="001133F1">
        <w:t>Commissioner</w:t>
      </w:r>
      <w:r>
        <w:t xml:space="preserve"> has 30 days to consider the Commission’s recommendation. </w:t>
      </w:r>
    </w:p>
    <w:p w14:paraId="509F8D2E" w14:textId="2A6BD807" w:rsidR="00A77657" w:rsidRPr="002F3D85" w:rsidRDefault="00EF102F" w:rsidP="001133F1">
      <w:r>
        <w:t xml:space="preserve">If the Commission makes a </w:t>
      </w:r>
      <w:r>
        <w:rPr>
          <w:u w:val="single"/>
        </w:rPr>
        <w:t>negative preliminary decision,</w:t>
      </w:r>
      <w:r w:rsidRPr="001133F1">
        <w:t xml:space="preserve"> y</w:t>
      </w:r>
      <w:r w:rsidR="00A77657">
        <w:t xml:space="preserve">ou can seek </w:t>
      </w:r>
      <w:r>
        <w:t>a</w:t>
      </w:r>
      <w:r w:rsidR="00A77657">
        <w:t xml:space="preserve"> review before</w:t>
      </w:r>
      <w:r w:rsidR="0048356E">
        <w:t xml:space="preserve"> a final </w:t>
      </w:r>
      <w:r w:rsidR="00EE2986">
        <w:t>recommendation</w:t>
      </w:r>
      <w:r w:rsidR="0048356E">
        <w:t xml:space="preserve"> is </w:t>
      </w:r>
      <w:r w:rsidR="00A77657">
        <w:t xml:space="preserve">made </w:t>
      </w:r>
      <w:r w:rsidR="000E6E60">
        <w:t>(</w:t>
      </w:r>
      <w:r w:rsidR="000E6E60" w:rsidRPr="0051017E">
        <w:rPr>
          <w:i/>
        </w:rPr>
        <w:t xml:space="preserve">see </w:t>
      </w:r>
      <w:r w:rsidR="000E6E60">
        <w:t>‘Rights of review’</w:t>
      </w:r>
      <w:r w:rsidR="00682383">
        <w:t xml:space="preserve"> below</w:t>
      </w:r>
      <w:r w:rsidR="00B3300D">
        <w:t>)</w:t>
      </w:r>
      <w:r w:rsidR="000E6E60">
        <w:t xml:space="preserve">. </w:t>
      </w:r>
      <w:r w:rsidR="00A77657">
        <w:t xml:space="preserve">A </w:t>
      </w:r>
      <w:r w:rsidR="00A77657" w:rsidRPr="00EE2986">
        <w:rPr>
          <w:u w:val="single"/>
        </w:rPr>
        <w:t>negative preliminary decision</w:t>
      </w:r>
      <w:r w:rsidR="00A77657">
        <w:t xml:space="preserve"> is a decision </w:t>
      </w:r>
      <w:r w:rsidR="00A77657" w:rsidRPr="002F3D85">
        <w:t>recommend</w:t>
      </w:r>
      <w:r w:rsidR="001133F1">
        <w:t xml:space="preserve">ing less than the amount sought or no refund at all. </w:t>
      </w:r>
      <w:r w:rsidR="00A77657" w:rsidRPr="002F3D85">
        <w:t xml:space="preserve"> </w:t>
      </w:r>
    </w:p>
    <w:p w14:paraId="77699E6D" w14:textId="1DA3030F" w:rsidR="00D74E9F" w:rsidRPr="0026077D" w:rsidRDefault="00B3300D" w:rsidP="00D74E9F">
      <w:r>
        <w:t xml:space="preserve">If </w:t>
      </w:r>
      <w:r w:rsidR="001133F1">
        <w:t>you do not seek a</w:t>
      </w:r>
      <w:r>
        <w:t xml:space="preserve"> </w:t>
      </w:r>
      <w:r w:rsidR="0000284B">
        <w:t>review</w:t>
      </w:r>
      <w:r w:rsidR="000E6E60">
        <w:t xml:space="preserve">, the Commission </w:t>
      </w:r>
      <w:r w:rsidR="00173431">
        <w:t xml:space="preserve">will </w:t>
      </w:r>
      <w:r w:rsidR="00682383">
        <w:t>recommend</w:t>
      </w:r>
      <w:r w:rsidR="00173431">
        <w:t xml:space="preserve"> the </w:t>
      </w:r>
      <w:r w:rsidR="001133F1">
        <w:t>Commissioner</w:t>
      </w:r>
      <w:r w:rsidR="00FF6987">
        <w:t xml:space="preserve"> </w:t>
      </w:r>
      <w:r w:rsidR="00682383">
        <w:t>give effect to the decision</w:t>
      </w:r>
      <w:r w:rsidR="0051017E">
        <w:t xml:space="preserve"> within 7 days of the</w:t>
      </w:r>
      <w:r w:rsidR="000E6E60">
        <w:t xml:space="preserve"> expiry of the </w:t>
      </w:r>
      <w:r>
        <w:t>30-day</w:t>
      </w:r>
      <w:r w:rsidR="000E6E60" w:rsidRPr="000E6E60">
        <w:t xml:space="preserve"> </w:t>
      </w:r>
      <w:r w:rsidR="00B803D2">
        <w:t>review application</w:t>
      </w:r>
      <w:r w:rsidR="000E6E60" w:rsidRPr="000E6E60">
        <w:t xml:space="preserve"> period.</w:t>
      </w:r>
    </w:p>
    <w:p w14:paraId="013075A8" w14:textId="19857DA3" w:rsidR="0026077D" w:rsidRPr="0026077D" w:rsidRDefault="0026077D" w:rsidP="0026077D">
      <w:pPr>
        <w:pStyle w:val="TOCHeading"/>
      </w:pPr>
      <w:bookmarkStart w:id="12" w:name="_Toc17187267"/>
      <w:r w:rsidRPr="0026077D">
        <w:t>Possible outcomes</w:t>
      </w:r>
      <w:bookmarkEnd w:id="12"/>
    </w:p>
    <w:p w14:paraId="095D815A" w14:textId="0271061E" w:rsidR="00A13AAF" w:rsidRDefault="00483A3C" w:rsidP="00A13AAF">
      <w:r>
        <w:t>I</w:t>
      </w:r>
      <w:r w:rsidR="0026077D" w:rsidRPr="0026077D">
        <w:t xml:space="preserve">f </w:t>
      </w:r>
      <w:r w:rsidR="00A13AAF">
        <w:t xml:space="preserve">the </w:t>
      </w:r>
      <w:r w:rsidR="0026077D" w:rsidRPr="0026077D">
        <w:t xml:space="preserve">final duty </w:t>
      </w:r>
      <w:r w:rsidR="006E41B2">
        <w:t xml:space="preserve">payable </w:t>
      </w:r>
      <w:r w:rsidR="0026077D" w:rsidRPr="0026077D">
        <w:t xml:space="preserve">is less than the </w:t>
      </w:r>
      <w:r w:rsidR="008C62B6">
        <w:t xml:space="preserve">total </w:t>
      </w:r>
      <w:r w:rsidR="0026077D" w:rsidRPr="0026077D">
        <w:t>interim duty</w:t>
      </w:r>
      <w:r w:rsidR="00682383">
        <w:t xml:space="preserve"> paid</w:t>
      </w:r>
      <w:r w:rsidR="0026077D" w:rsidRPr="0026077D">
        <w:t xml:space="preserve">, the </w:t>
      </w:r>
      <w:r w:rsidR="0090000C">
        <w:t xml:space="preserve">government </w:t>
      </w:r>
      <w:r w:rsidR="00DC20D9">
        <w:t xml:space="preserve">will </w:t>
      </w:r>
      <w:r w:rsidR="0090000C">
        <w:t>repay the</w:t>
      </w:r>
      <w:r w:rsidR="00050B7D">
        <w:t xml:space="preserve"> amount overpaid</w:t>
      </w:r>
      <w:r w:rsidR="00A13AAF">
        <w:t>.</w:t>
      </w:r>
    </w:p>
    <w:p w14:paraId="7C58CC6D" w14:textId="7E3DF86B" w:rsidR="0026077D" w:rsidRPr="0026077D" w:rsidRDefault="00A13AAF" w:rsidP="00A13AAF">
      <w:r>
        <w:t xml:space="preserve">If </w:t>
      </w:r>
      <w:r w:rsidR="0026077D" w:rsidRPr="0026077D">
        <w:t>the</w:t>
      </w:r>
      <w:r w:rsidR="008C62B6">
        <w:t xml:space="preserve"> </w:t>
      </w:r>
      <w:r w:rsidR="0026077D" w:rsidRPr="0026077D">
        <w:t xml:space="preserve">final duty </w:t>
      </w:r>
      <w:r w:rsidR="006E41B2">
        <w:t xml:space="preserve">payable </w:t>
      </w:r>
      <w:r w:rsidR="0026077D" w:rsidRPr="0026077D">
        <w:t>is more than the</w:t>
      </w:r>
      <w:r w:rsidR="00075773">
        <w:t xml:space="preserve"> </w:t>
      </w:r>
      <w:r w:rsidR="00AD701D">
        <w:t>total</w:t>
      </w:r>
      <w:r w:rsidR="0026077D" w:rsidRPr="0026077D">
        <w:t xml:space="preserve"> interim duty</w:t>
      </w:r>
      <w:r w:rsidR="000A57B1">
        <w:t xml:space="preserve"> paid</w:t>
      </w:r>
      <w:r w:rsidR="0026077D" w:rsidRPr="0026077D">
        <w:t xml:space="preserve">, the </w:t>
      </w:r>
      <w:r w:rsidR="00423B5B">
        <w:t xml:space="preserve">government </w:t>
      </w:r>
      <w:r w:rsidR="00050B7D">
        <w:t xml:space="preserve">will </w:t>
      </w:r>
      <w:r w:rsidR="0026077D" w:rsidRPr="0026077D">
        <w:t>waive</w:t>
      </w:r>
      <w:r w:rsidR="00075773">
        <w:t xml:space="preserve"> the balance</w:t>
      </w:r>
      <w:r w:rsidR="00050B7D">
        <w:t xml:space="preserve"> - </w:t>
      </w:r>
      <w:r w:rsidR="00423B5B">
        <w:t xml:space="preserve">the </w:t>
      </w:r>
      <w:r w:rsidR="0026077D" w:rsidRPr="0026077D">
        <w:t xml:space="preserve">importer </w:t>
      </w:r>
      <w:r w:rsidR="00483A3C">
        <w:t xml:space="preserve">is </w:t>
      </w:r>
      <w:r w:rsidR="0026077D" w:rsidRPr="0026077D">
        <w:t>not required to pay any extra</w:t>
      </w:r>
      <w:r w:rsidR="00423B5B">
        <w:t xml:space="preserve"> duty</w:t>
      </w:r>
      <w:r>
        <w:t>.</w:t>
      </w:r>
    </w:p>
    <w:p w14:paraId="75A76B21" w14:textId="48FDD46D" w:rsidR="0026077D" w:rsidRPr="0026077D" w:rsidRDefault="00483A3C" w:rsidP="00483A3C">
      <w:r>
        <w:t>I</w:t>
      </w:r>
      <w:r w:rsidR="009D23E0" w:rsidRPr="0026077D">
        <w:t>f</w:t>
      </w:r>
      <w:r w:rsidR="0026077D" w:rsidRPr="0026077D">
        <w:t xml:space="preserve"> the importer fails, within the time limits available, to </w:t>
      </w:r>
      <w:r w:rsidR="002F3D85">
        <w:t xml:space="preserve">apply for </w:t>
      </w:r>
      <w:r w:rsidR="0026077D" w:rsidRPr="0026077D">
        <w:t>a</w:t>
      </w:r>
      <w:r w:rsidR="002F3D85">
        <w:t xml:space="preserve"> duty a</w:t>
      </w:r>
      <w:r w:rsidR="0026077D" w:rsidRPr="0026077D">
        <w:t xml:space="preserve">ssessment, </w:t>
      </w:r>
      <w:r w:rsidR="00423B5B">
        <w:t xml:space="preserve">the </w:t>
      </w:r>
      <w:r w:rsidR="0026077D" w:rsidRPr="0026077D">
        <w:t xml:space="preserve">interim duty paid on the goods </w:t>
      </w:r>
      <w:r w:rsidR="00AE5369">
        <w:t xml:space="preserve">is deemed to be </w:t>
      </w:r>
      <w:r w:rsidR="009D23E0">
        <w:t xml:space="preserve">the </w:t>
      </w:r>
      <w:r w:rsidR="0026077D" w:rsidRPr="0026077D">
        <w:t>final duty</w:t>
      </w:r>
      <w:r w:rsidR="00050B7D">
        <w:t xml:space="preserve"> payable</w:t>
      </w:r>
      <w:r w:rsidR="0026077D" w:rsidRPr="0026077D">
        <w:t>.</w:t>
      </w:r>
    </w:p>
    <w:p w14:paraId="32C5C2CE" w14:textId="77777777" w:rsidR="0026077D" w:rsidRPr="00CF0B0C" w:rsidRDefault="0026077D" w:rsidP="00F20880">
      <w:pPr>
        <w:pStyle w:val="TOCHeading"/>
        <w:rPr>
          <w:lang w:val="en-US"/>
        </w:rPr>
      </w:pPr>
      <w:bookmarkStart w:id="13" w:name="_Toc17187268"/>
      <w:r w:rsidRPr="0026077D">
        <w:lastRenderedPageBreak/>
        <w:t>Rights of review</w:t>
      </w:r>
      <w:bookmarkEnd w:id="13"/>
    </w:p>
    <w:p w14:paraId="535F8B46" w14:textId="38846487" w:rsidR="00291D4C" w:rsidRDefault="00291D4C" w:rsidP="00F20880">
      <w:pPr>
        <w:keepNext/>
      </w:pPr>
      <w:r>
        <w:t>You may apply to the</w:t>
      </w:r>
      <w:r w:rsidRPr="008B15E7">
        <w:t xml:space="preserve"> </w:t>
      </w:r>
      <w:hyperlink r:id="rId24" w:history="1">
        <w:r w:rsidRPr="00910A15">
          <w:rPr>
            <w:rStyle w:val="Hyperlink"/>
          </w:rPr>
          <w:t>Anti-Dumping Review Panel</w:t>
        </w:r>
      </w:hyperlink>
      <w:r>
        <w:t xml:space="preserve"> (ADRP) for review of the following decisions:</w:t>
      </w:r>
    </w:p>
    <w:p w14:paraId="2F3DACE3" w14:textId="20499677" w:rsidR="00BE52E8" w:rsidRDefault="006E41B2" w:rsidP="00F20880">
      <w:pPr>
        <w:keepNext/>
        <w:numPr>
          <w:ilvl w:val="0"/>
          <w:numId w:val="1"/>
        </w:numPr>
        <w:spacing w:before="0"/>
      </w:pPr>
      <w:r>
        <w:t>D</w:t>
      </w:r>
      <w:r w:rsidR="008B15E7">
        <w:t>ecision to reject or terminate a duty assessment.</w:t>
      </w:r>
    </w:p>
    <w:p w14:paraId="5E5863D5" w14:textId="17BA1F7C" w:rsidR="00BE52E8" w:rsidRDefault="006E41B2" w:rsidP="00F20880">
      <w:pPr>
        <w:keepNext/>
        <w:numPr>
          <w:ilvl w:val="0"/>
          <w:numId w:val="1"/>
        </w:numPr>
        <w:spacing w:before="0"/>
      </w:pPr>
      <w:r>
        <w:t>A</w:t>
      </w:r>
      <w:r w:rsidR="00050B7D">
        <w:t xml:space="preserve"> </w:t>
      </w:r>
      <w:r w:rsidR="00050B7D" w:rsidRPr="00BE52E8">
        <w:t>negative preliminary decision</w:t>
      </w:r>
      <w:r w:rsidR="00050B7D">
        <w:t xml:space="preserve">. </w:t>
      </w:r>
    </w:p>
    <w:p w14:paraId="6CCF7BCC" w14:textId="1A246C66" w:rsidR="008B15E7" w:rsidRDefault="00065AAC" w:rsidP="0026077D">
      <w:r>
        <w:t>If applying to the ADRP for a review, you must do so</w:t>
      </w:r>
      <w:r w:rsidR="002F3D85">
        <w:t xml:space="preserve"> within </w:t>
      </w:r>
      <w:r w:rsidR="0026077D" w:rsidRPr="0026077D">
        <w:t xml:space="preserve">30 days of </w:t>
      </w:r>
      <w:r w:rsidR="008435EE">
        <w:t xml:space="preserve">the Commission </w:t>
      </w:r>
      <w:r w:rsidR="00050B7D">
        <w:t>notifying you of</w:t>
      </w:r>
      <w:r w:rsidR="008435EE">
        <w:t xml:space="preserve"> the </w:t>
      </w:r>
      <w:r w:rsidR="00050B7D">
        <w:t>decision</w:t>
      </w:r>
      <w:r w:rsidR="002F3D85">
        <w:t>.</w:t>
      </w:r>
    </w:p>
    <w:p w14:paraId="0BE5DC85" w14:textId="77777777" w:rsidR="0026077D" w:rsidRPr="0026077D" w:rsidRDefault="0026077D" w:rsidP="0026077D">
      <w:pPr>
        <w:pStyle w:val="TOCHeading"/>
      </w:pPr>
      <w:bookmarkStart w:id="14" w:name="_Toc17187269"/>
      <w:r w:rsidRPr="0026077D">
        <w:t>Find out more</w:t>
      </w:r>
      <w:bookmarkEnd w:id="14"/>
    </w:p>
    <w:p w14:paraId="1CFABA13" w14:textId="2834978C" w:rsidR="009D2047" w:rsidRPr="0026077D" w:rsidRDefault="009D2047" w:rsidP="009D2047">
      <w:pPr>
        <w:pStyle w:val="ListParagraph"/>
        <w:rPr>
          <w:lang w:val="en"/>
        </w:rPr>
      </w:pPr>
      <w:r>
        <w:rPr>
          <w:lang w:val="en"/>
        </w:rPr>
        <w:t xml:space="preserve">Read more about the </w:t>
      </w:r>
      <w:r w:rsidRPr="00FE5232">
        <w:t>duty assessment process</w:t>
      </w:r>
      <w:r>
        <w:rPr>
          <w:lang w:val="en"/>
        </w:rPr>
        <w:t xml:space="preserve"> in the </w:t>
      </w:r>
      <w:hyperlink r:id="rId25" w:history="1">
        <w:r w:rsidRPr="00675725">
          <w:rPr>
            <w:rStyle w:val="Hyperlink"/>
            <w:lang w:val="en"/>
          </w:rPr>
          <w:t>Dumping and Subsidy Manual</w:t>
        </w:r>
      </w:hyperlink>
    </w:p>
    <w:p w14:paraId="0C499810" w14:textId="7B350924" w:rsidR="0026077D" w:rsidRDefault="0026077D" w:rsidP="00F47B38">
      <w:pPr>
        <w:pStyle w:val="ListParagraph"/>
        <w:rPr>
          <w:lang w:val="en"/>
        </w:rPr>
      </w:pPr>
      <w:r w:rsidRPr="0026077D">
        <w:rPr>
          <w:lang w:val="en"/>
        </w:rPr>
        <w:t xml:space="preserve">Find out </w:t>
      </w:r>
      <w:r w:rsidR="00CD5655">
        <w:rPr>
          <w:lang w:val="en"/>
        </w:rPr>
        <w:t>about</w:t>
      </w:r>
      <w:r w:rsidR="00470619">
        <w:rPr>
          <w:lang w:val="en"/>
        </w:rPr>
        <w:t xml:space="preserve"> </w:t>
      </w:r>
      <w:r w:rsidR="009D2047">
        <w:rPr>
          <w:lang w:val="en"/>
        </w:rPr>
        <w:t xml:space="preserve">accessing </w:t>
      </w:r>
      <w:r w:rsidR="00470619">
        <w:rPr>
          <w:lang w:val="en"/>
        </w:rPr>
        <w:t xml:space="preserve">Australia’s </w:t>
      </w:r>
      <w:hyperlink r:id="rId26" w:history="1">
        <w:r w:rsidR="00470619" w:rsidRPr="00470619">
          <w:rPr>
            <w:rStyle w:val="Hyperlink"/>
            <w:lang w:val="en"/>
          </w:rPr>
          <w:t>anti-dumping system</w:t>
        </w:r>
      </w:hyperlink>
    </w:p>
    <w:p w14:paraId="0E676B49" w14:textId="26235FE6" w:rsidR="0026077D" w:rsidRPr="0026077D" w:rsidRDefault="0026077D" w:rsidP="00F47B38">
      <w:pPr>
        <w:pStyle w:val="ListParagraph"/>
        <w:rPr>
          <w:lang w:val="en"/>
        </w:rPr>
      </w:pPr>
      <w:r w:rsidRPr="0026077D">
        <w:rPr>
          <w:lang w:val="en"/>
        </w:rPr>
        <w:t xml:space="preserve">Research the </w:t>
      </w:r>
      <w:hyperlink r:id="rId27" w:history="1">
        <w:r w:rsidRPr="0026077D">
          <w:rPr>
            <w:rStyle w:val="Hyperlink"/>
            <w:lang w:val="en"/>
          </w:rPr>
          <w:t>Dumping Commodity Register</w:t>
        </w:r>
      </w:hyperlink>
    </w:p>
    <w:p w14:paraId="7366BFB8" w14:textId="5B028BC4" w:rsidR="0026077D" w:rsidRPr="0026077D" w:rsidRDefault="00CD5655" w:rsidP="00DC20D9">
      <w:pPr>
        <w:pStyle w:val="ListParagraph"/>
      </w:pPr>
      <w:r>
        <w:t>Small-medium enterprises can seek assistance from</w:t>
      </w:r>
      <w:r w:rsidR="0026077D" w:rsidRPr="0026077D">
        <w:t xml:space="preserve"> the </w:t>
      </w:r>
      <w:hyperlink r:id="rId28" w:history="1">
        <w:r w:rsidR="0026077D" w:rsidRPr="00CD5655">
          <w:rPr>
            <w:rStyle w:val="Hyperlink"/>
          </w:rPr>
          <w:t>ITRA Service</w:t>
        </w:r>
      </w:hyperlink>
      <w:r w:rsidR="0026077D" w:rsidRPr="0026077D">
        <w:t xml:space="preserve"> by email </w:t>
      </w:r>
      <w:hyperlink r:id="rId29" w:history="1">
        <w:r w:rsidR="0026077D" w:rsidRPr="0026077D">
          <w:rPr>
            <w:rStyle w:val="Hyperlink"/>
          </w:rPr>
          <w:t>itra@industry.gov.au</w:t>
        </w:r>
      </w:hyperlink>
      <w:r w:rsidR="0026077D" w:rsidRPr="0026077D">
        <w:t xml:space="preserve"> or the ITRA Hotline (02)</w:t>
      </w:r>
      <w:r w:rsidR="00882D6E">
        <w:t> </w:t>
      </w:r>
      <w:r w:rsidR="0026077D" w:rsidRPr="0026077D">
        <w:t>6213</w:t>
      </w:r>
      <w:r w:rsidR="00882D6E">
        <w:t> </w:t>
      </w:r>
      <w:r w:rsidR="0026077D" w:rsidRPr="0026077D">
        <w:t>7267</w:t>
      </w:r>
    </w:p>
    <w:p w14:paraId="65C11AF5" w14:textId="75243164" w:rsidR="00E051ED" w:rsidRPr="00D05BC0" w:rsidRDefault="0026077D" w:rsidP="00D05BC0">
      <w:pPr>
        <w:pStyle w:val="ListParagraph"/>
      </w:pPr>
      <w:r w:rsidRPr="0026077D">
        <w:t xml:space="preserve">Contact the Anti-Dumping Commission by email </w:t>
      </w:r>
      <w:hyperlink r:id="rId30" w:history="1">
        <w:r w:rsidRPr="0026077D">
          <w:rPr>
            <w:rStyle w:val="Hyperlink"/>
          </w:rPr>
          <w:t>clientsupport@adcommission.gov.au</w:t>
        </w:r>
      </w:hyperlink>
      <w:r w:rsidRPr="0026077D">
        <w:t xml:space="preserve"> or by business.gov.au on 13 28 46</w:t>
      </w:r>
      <w:bookmarkStart w:id="15" w:name="_GoBack"/>
      <w:bookmarkEnd w:id="15"/>
    </w:p>
    <w:sectPr w:rsidR="00E051ED" w:rsidRPr="00D05BC0" w:rsidSect="00043D7C">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E120DB" w16cid:durableId="1E8C7074"/>
  <w16cid:commentId w16cid:paraId="60B62BA0" w16cid:durableId="1E8C70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652EB" w14:textId="77777777" w:rsidR="00DE499A" w:rsidRDefault="00DE499A" w:rsidP="007240FE">
      <w:pPr>
        <w:spacing w:before="0" w:after="0" w:line="240" w:lineRule="auto"/>
      </w:pPr>
      <w:r>
        <w:separator/>
      </w:r>
    </w:p>
  </w:endnote>
  <w:endnote w:type="continuationSeparator" w:id="0">
    <w:p w14:paraId="4122819A" w14:textId="77777777" w:rsidR="00DE499A" w:rsidRDefault="00DE499A" w:rsidP="007240FE">
      <w:pPr>
        <w:spacing w:before="0" w:after="0" w:line="240" w:lineRule="auto"/>
      </w:pPr>
      <w:r>
        <w:continuationSeparator/>
      </w:r>
    </w:p>
  </w:endnote>
  <w:endnote w:type="continuationNotice" w:id="1">
    <w:p w14:paraId="2722250F" w14:textId="77777777" w:rsidR="00DE499A" w:rsidRDefault="00DE49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8F8FA" w14:textId="77777777" w:rsidR="00A47D27" w:rsidRDefault="00A47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85DB7" w14:textId="444048F9" w:rsidR="00DE499A" w:rsidRDefault="00DE499A">
    <w:pPr>
      <w:pStyle w:val="Footer"/>
      <w:jc w:val="right"/>
    </w:pPr>
    <w:r>
      <w:t>How to apply for a duty assessment</w:t>
    </w:r>
    <w:r>
      <w:tab/>
    </w:r>
    <w:r>
      <w:tab/>
    </w:r>
    <w:sdt>
      <w:sdtPr>
        <w:id w:val="-443145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7D27">
          <w:rPr>
            <w:noProof/>
          </w:rPr>
          <w:t>9</w:t>
        </w:r>
        <w:r>
          <w:rPr>
            <w:noProof/>
          </w:rPr>
          <w:fldChar w:fldCharType="end"/>
        </w:r>
      </w:sdtContent>
    </w:sdt>
  </w:p>
  <w:p w14:paraId="283FF625" w14:textId="77777777" w:rsidR="00DE499A" w:rsidRDefault="00DE49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FCDDB" w14:textId="77777777" w:rsidR="00A47D27" w:rsidRDefault="00A47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D5346" w14:textId="77777777" w:rsidR="00DE499A" w:rsidRDefault="00DE499A" w:rsidP="007240FE">
      <w:pPr>
        <w:spacing w:before="0" w:after="0" w:line="240" w:lineRule="auto"/>
      </w:pPr>
      <w:r>
        <w:separator/>
      </w:r>
    </w:p>
  </w:footnote>
  <w:footnote w:type="continuationSeparator" w:id="0">
    <w:p w14:paraId="1329C224" w14:textId="77777777" w:rsidR="00DE499A" w:rsidRDefault="00DE499A" w:rsidP="007240FE">
      <w:pPr>
        <w:spacing w:before="0" w:after="0" w:line="240" w:lineRule="auto"/>
      </w:pPr>
      <w:r>
        <w:continuationSeparator/>
      </w:r>
    </w:p>
  </w:footnote>
  <w:footnote w:type="continuationNotice" w:id="1">
    <w:p w14:paraId="3EDD9C89" w14:textId="77777777" w:rsidR="00DE499A" w:rsidRDefault="00DE499A">
      <w:pPr>
        <w:spacing w:before="0" w:after="0" w:line="240" w:lineRule="auto"/>
      </w:pPr>
    </w:p>
  </w:footnote>
  <w:footnote w:id="2">
    <w:p w14:paraId="60F9702B" w14:textId="09F02EF5" w:rsidR="00DB7BE8" w:rsidRDefault="00DB7BE8">
      <w:pPr>
        <w:pStyle w:val="FootnoteText"/>
      </w:pPr>
      <w:r>
        <w:rPr>
          <w:rStyle w:val="FootnoteReference"/>
        </w:rPr>
        <w:footnoteRef/>
      </w:r>
      <w:r>
        <w:t xml:space="preserve"> Or such longer period as </w:t>
      </w:r>
      <w:r w:rsidR="00A22912">
        <w:t>allowed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A027A" w14:textId="77777777" w:rsidR="00A47D27" w:rsidRDefault="00A47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5DE7D" w14:textId="77777777" w:rsidR="00A47D27" w:rsidRDefault="00A47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322FF" w14:textId="37FF7E08" w:rsidR="00DE499A" w:rsidRDefault="00DE499A" w:rsidP="007240FE">
    <w:pPr>
      <w:pStyle w:val="Header"/>
      <w:spacing w:after="240"/>
    </w:pPr>
    <w:r>
      <w:rPr>
        <w:noProof/>
        <w:lang w:eastAsia="en-AU"/>
      </w:rPr>
      <w:drawing>
        <wp:inline distT="0" distB="0" distL="0" distR="0" wp14:anchorId="1AA450BC" wp14:editId="5749358A">
          <wp:extent cx="4960306" cy="826718"/>
          <wp:effectExtent l="0" t="0" r="0" b="0"/>
          <wp:docPr id="4" name="Picture 4" descr="Australian Government&#10;Department of Industry Innovation and Science&#10;Anti-Dumping Commission" title="Australian Government branding - Anti-Dumping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4383" cy="83406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72C7D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9AEB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B4C9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9AE2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AED9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4E19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053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F2D2F078"/>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09507726"/>
    <w:multiLevelType w:val="hybridMultilevel"/>
    <w:tmpl w:val="5DDC54B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09F7735C"/>
    <w:multiLevelType w:val="hybridMultilevel"/>
    <w:tmpl w:val="C3924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A4A5A71"/>
    <w:multiLevelType w:val="hybridMultilevel"/>
    <w:tmpl w:val="F9CEDB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C735BA9"/>
    <w:multiLevelType w:val="hybridMultilevel"/>
    <w:tmpl w:val="52E6B55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EAE5EA8"/>
    <w:multiLevelType w:val="hybridMultilevel"/>
    <w:tmpl w:val="8D78C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8F2412"/>
    <w:multiLevelType w:val="hybridMultilevel"/>
    <w:tmpl w:val="1EA60C3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B50AF3"/>
    <w:multiLevelType w:val="hybridMultilevel"/>
    <w:tmpl w:val="F812807A"/>
    <w:lvl w:ilvl="0" w:tplc="E5AE0812">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AB20EB"/>
    <w:multiLevelType w:val="hybridMultilevel"/>
    <w:tmpl w:val="07BE7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9810A7"/>
    <w:multiLevelType w:val="hybridMultilevel"/>
    <w:tmpl w:val="2F36A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EB100D3"/>
    <w:multiLevelType w:val="hybridMultilevel"/>
    <w:tmpl w:val="B51455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767878"/>
    <w:multiLevelType w:val="hybridMultilevel"/>
    <w:tmpl w:val="450E9CB8"/>
    <w:lvl w:ilvl="0" w:tplc="3D0EC3E8">
      <w:start w:val="1"/>
      <w:numFmt w:val="bullet"/>
      <w:lvlText w:val=""/>
      <w:lvlJc w:val="left"/>
      <w:pPr>
        <w:ind w:left="72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4302CF"/>
    <w:multiLevelType w:val="hybridMultilevel"/>
    <w:tmpl w:val="BCA0C4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55238F7"/>
    <w:multiLevelType w:val="hybridMultilevel"/>
    <w:tmpl w:val="59A468DE"/>
    <w:lvl w:ilvl="0" w:tplc="0F4897F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A1337A"/>
    <w:multiLevelType w:val="hybridMultilevel"/>
    <w:tmpl w:val="224C1F88"/>
    <w:lvl w:ilvl="0" w:tplc="D270B3B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5A396E"/>
    <w:multiLevelType w:val="hybridMultilevel"/>
    <w:tmpl w:val="FFB2FA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3EC00F27"/>
    <w:multiLevelType w:val="hybridMultilevel"/>
    <w:tmpl w:val="89423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2EE7638"/>
    <w:multiLevelType w:val="hybridMultilevel"/>
    <w:tmpl w:val="1764C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AC7074"/>
    <w:multiLevelType w:val="hybridMultilevel"/>
    <w:tmpl w:val="D5723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4C7B02"/>
    <w:multiLevelType w:val="hybridMultilevel"/>
    <w:tmpl w:val="1E121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EF482A"/>
    <w:multiLevelType w:val="hybridMultilevel"/>
    <w:tmpl w:val="48F410AA"/>
    <w:lvl w:ilvl="0" w:tplc="C9E4EB90">
      <w:start w:val="1"/>
      <w:numFmt w:val="decimal"/>
      <w:pStyle w:val="Table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1016C6"/>
    <w:multiLevelType w:val="hybridMultilevel"/>
    <w:tmpl w:val="614C3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C1C25FC"/>
    <w:multiLevelType w:val="hybridMultilevel"/>
    <w:tmpl w:val="45DEC5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60562"/>
    <w:multiLevelType w:val="hybridMultilevel"/>
    <w:tmpl w:val="686204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64EE53CB"/>
    <w:multiLevelType w:val="hybridMultilevel"/>
    <w:tmpl w:val="C16CC1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173210"/>
    <w:multiLevelType w:val="hybridMultilevel"/>
    <w:tmpl w:val="B600C7A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9" w15:restartNumberingAfterBreak="0">
    <w:nsid w:val="699C49BA"/>
    <w:multiLevelType w:val="hybridMultilevel"/>
    <w:tmpl w:val="55CE2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5F5606"/>
    <w:multiLevelType w:val="hybridMultilevel"/>
    <w:tmpl w:val="CA5A8F7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6404FEB"/>
    <w:multiLevelType w:val="hybridMultilevel"/>
    <w:tmpl w:val="5BC87F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F3744D2"/>
    <w:multiLevelType w:val="hybridMultilevel"/>
    <w:tmpl w:val="D5B88F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5"/>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9"/>
  </w:num>
  <w:num w:numId="15">
    <w:abstractNumId w:val="16"/>
  </w:num>
  <w:num w:numId="16">
    <w:abstractNumId w:val="25"/>
  </w:num>
  <w:num w:numId="17">
    <w:abstractNumId w:val="32"/>
  </w:num>
  <w:num w:numId="18">
    <w:abstractNumId w:val="40"/>
  </w:num>
  <w:num w:numId="19">
    <w:abstractNumId w:val="37"/>
  </w:num>
  <w:num w:numId="20">
    <w:abstractNumId w:val="21"/>
  </w:num>
  <w:num w:numId="21">
    <w:abstractNumId w:val="14"/>
  </w:num>
  <w:num w:numId="22">
    <w:abstractNumId w:val="26"/>
  </w:num>
  <w:num w:numId="23">
    <w:abstractNumId w:val="23"/>
  </w:num>
  <w:num w:numId="24">
    <w:abstractNumId w:val="11"/>
  </w:num>
  <w:num w:numId="25">
    <w:abstractNumId w:val="36"/>
  </w:num>
  <w:num w:numId="26">
    <w:abstractNumId w:val="27"/>
  </w:num>
  <w:num w:numId="27">
    <w:abstractNumId w:val="31"/>
  </w:num>
  <w:num w:numId="28">
    <w:abstractNumId w:val="10"/>
  </w:num>
  <w:num w:numId="29">
    <w:abstractNumId w:val="30"/>
  </w:num>
  <w:num w:numId="30">
    <w:abstractNumId w:val="22"/>
  </w:num>
  <w:num w:numId="31">
    <w:abstractNumId w:val="34"/>
  </w:num>
  <w:num w:numId="32">
    <w:abstractNumId w:val="17"/>
  </w:num>
  <w:num w:numId="33">
    <w:abstractNumId w:val="13"/>
  </w:num>
  <w:num w:numId="34">
    <w:abstractNumId w:val="29"/>
  </w:num>
  <w:num w:numId="35">
    <w:abstractNumId w:val="35"/>
  </w:num>
  <w:num w:numId="36">
    <w:abstractNumId w:val="12"/>
  </w:num>
  <w:num w:numId="37">
    <w:abstractNumId w:val="42"/>
  </w:num>
  <w:num w:numId="38">
    <w:abstractNumId w:val="24"/>
  </w:num>
  <w:num w:numId="39">
    <w:abstractNumId w:val="35"/>
  </w:num>
  <w:num w:numId="40">
    <w:abstractNumId w:val="41"/>
  </w:num>
  <w:num w:numId="41">
    <w:abstractNumId w:val="35"/>
  </w:num>
  <w:num w:numId="42">
    <w:abstractNumId w:val="18"/>
  </w:num>
  <w:num w:numId="43">
    <w:abstractNumId w:val="28"/>
  </w:num>
  <w:num w:numId="44">
    <w:abstractNumId w:val="35"/>
  </w:num>
  <w:num w:numId="45">
    <w:abstractNumId w:val="15"/>
  </w:num>
  <w:num w:numId="46">
    <w:abstractNumId w:val="38"/>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szQzsrAwMDY0MjVT0lEKTi0uzszPAykwrQUA1x0kxSwAAAA="/>
  </w:docVars>
  <w:rsids>
    <w:rsidRoot w:val="00BA4498"/>
    <w:rsid w:val="00001221"/>
    <w:rsid w:val="0000284B"/>
    <w:rsid w:val="00005306"/>
    <w:rsid w:val="00011C3A"/>
    <w:rsid w:val="00027292"/>
    <w:rsid w:val="00040232"/>
    <w:rsid w:val="00043D7C"/>
    <w:rsid w:val="00050B7D"/>
    <w:rsid w:val="00054E70"/>
    <w:rsid w:val="00057F8B"/>
    <w:rsid w:val="00065AAC"/>
    <w:rsid w:val="00072D19"/>
    <w:rsid w:val="00075773"/>
    <w:rsid w:val="00075B7D"/>
    <w:rsid w:val="0007766A"/>
    <w:rsid w:val="000824A2"/>
    <w:rsid w:val="000A57B1"/>
    <w:rsid w:val="000A7200"/>
    <w:rsid w:val="000B1566"/>
    <w:rsid w:val="000C7375"/>
    <w:rsid w:val="000C7392"/>
    <w:rsid w:val="000C75FA"/>
    <w:rsid w:val="000E6E60"/>
    <w:rsid w:val="000E7B43"/>
    <w:rsid w:val="000F40E7"/>
    <w:rsid w:val="000F49E9"/>
    <w:rsid w:val="000F5108"/>
    <w:rsid w:val="0010002E"/>
    <w:rsid w:val="00106846"/>
    <w:rsid w:val="00110BC1"/>
    <w:rsid w:val="001133F1"/>
    <w:rsid w:val="0015099C"/>
    <w:rsid w:val="001541DD"/>
    <w:rsid w:val="00157609"/>
    <w:rsid w:val="001603D2"/>
    <w:rsid w:val="0016317F"/>
    <w:rsid w:val="001669D2"/>
    <w:rsid w:val="00173431"/>
    <w:rsid w:val="0017492A"/>
    <w:rsid w:val="001755A2"/>
    <w:rsid w:val="001768A9"/>
    <w:rsid w:val="00183D4F"/>
    <w:rsid w:val="00187EB9"/>
    <w:rsid w:val="001905EB"/>
    <w:rsid w:val="001A09CA"/>
    <w:rsid w:val="001C47CE"/>
    <w:rsid w:val="001C6FC3"/>
    <w:rsid w:val="001D351B"/>
    <w:rsid w:val="001D789F"/>
    <w:rsid w:val="001D7C76"/>
    <w:rsid w:val="001E5127"/>
    <w:rsid w:val="001F03DA"/>
    <w:rsid w:val="001F1DFC"/>
    <w:rsid w:val="00200DAB"/>
    <w:rsid w:val="00203CC1"/>
    <w:rsid w:val="0021248F"/>
    <w:rsid w:val="00214F5E"/>
    <w:rsid w:val="002220D3"/>
    <w:rsid w:val="00235F1C"/>
    <w:rsid w:val="00241100"/>
    <w:rsid w:val="00252E1F"/>
    <w:rsid w:val="0026077D"/>
    <w:rsid w:val="0026290B"/>
    <w:rsid w:val="00267A84"/>
    <w:rsid w:val="0029079F"/>
    <w:rsid w:val="00291D4C"/>
    <w:rsid w:val="00296F23"/>
    <w:rsid w:val="002A0F64"/>
    <w:rsid w:val="002C58A1"/>
    <w:rsid w:val="002D2FD6"/>
    <w:rsid w:val="002F25CD"/>
    <w:rsid w:val="002F290D"/>
    <w:rsid w:val="002F3D85"/>
    <w:rsid w:val="002F64C0"/>
    <w:rsid w:val="00304740"/>
    <w:rsid w:val="003147EB"/>
    <w:rsid w:val="00317F4C"/>
    <w:rsid w:val="0033336C"/>
    <w:rsid w:val="003442B9"/>
    <w:rsid w:val="003447FB"/>
    <w:rsid w:val="00346E30"/>
    <w:rsid w:val="0035464E"/>
    <w:rsid w:val="003569A5"/>
    <w:rsid w:val="003623E5"/>
    <w:rsid w:val="0036247C"/>
    <w:rsid w:val="00363E63"/>
    <w:rsid w:val="003656C1"/>
    <w:rsid w:val="00367B4A"/>
    <w:rsid w:val="00373F64"/>
    <w:rsid w:val="00374BA6"/>
    <w:rsid w:val="00374EEE"/>
    <w:rsid w:val="00376877"/>
    <w:rsid w:val="003808AD"/>
    <w:rsid w:val="00382C8E"/>
    <w:rsid w:val="00395775"/>
    <w:rsid w:val="003A627B"/>
    <w:rsid w:val="003B0CA3"/>
    <w:rsid w:val="003C5AAB"/>
    <w:rsid w:val="003D4AAB"/>
    <w:rsid w:val="003D6886"/>
    <w:rsid w:val="003E0FBA"/>
    <w:rsid w:val="003F102E"/>
    <w:rsid w:val="003F6AD9"/>
    <w:rsid w:val="00411EF6"/>
    <w:rsid w:val="00423B5B"/>
    <w:rsid w:val="00426C1E"/>
    <w:rsid w:val="00433066"/>
    <w:rsid w:val="004346B2"/>
    <w:rsid w:val="00434D61"/>
    <w:rsid w:val="00465529"/>
    <w:rsid w:val="0046581A"/>
    <w:rsid w:val="00470619"/>
    <w:rsid w:val="004715DB"/>
    <w:rsid w:val="00474D94"/>
    <w:rsid w:val="0047557A"/>
    <w:rsid w:val="004762CA"/>
    <w:rsid w:val="004822D0"/>
    <w:rsid w:val="0048356E"/>
    <w:rsid w:val="00483A3C"/>
    <w:rsid w:val="00490CC4"/>
    <w:rsid w:val="004925CF"/>
    <w:rsid w:val="00493F7A"/>
    <w:rsid w:val="00496B2D"/>
    <w:rsid w:val="004A2892"/>
    <w:rsid w:val="004A3488"/>
    <w:rsid w:val="004A5055"/>
    <w:rsid w:val="004B45B9"/>
    <w:rsid w:val="004C05C7"/>
    <w:rsid w:val="004C3712"/>
    <w:rsid w:val="004C6042"/>
    <w:rsid w:val="004E13B2"/>
    <w:rsid w:val="004E2060"/>
    <w:rsid w:val="004E5452"/>
    <w:rsid w:val="004F2A51"/>
    <w:rsid w:val="00503141"/>
    <w:rsid w:val="0051017E"/>
    <w:rsid w:val="005165B7"/>
    <w:rsid w:val="005208FE"/>
    <w:rsid w:val="00523956"/>
    <w:rsid w:val="00527E00"/>
    <w:rsid w:val="00545F35"/>
    <w:rsid w:val="00553E4E"/>
    <w:rsid w:val="00555C78"/>
    <w:rsid w:val="005570BB"/>
    <w:rsid w:val="00567516"/>
    <w:rsid w:val="00575DD4"/>
    <w:rsid w:val="00590967"/>
    <w:rsid w:val="00591BD7"/>
    <w:rsid w:val="00593066"/>
    <w:rsid w:val="005A02B6"/>
    <w:rsid w:val="005A090A"/>
    <w:rsid w:val="005A0E0C"/>
    <w:rsid w:val="005A1F63"/>
    <w:rsid w:val="005C1CCD"/>
    <w:rsid w:val="005C2356"/>
    <w:rsid w:val="005C26DB"/>
    <w:rsid w:val="005C508D"/>
    <w:rsid w:val="005C5958"/>
    <w:rsid w:val="005D1785"/>
    <w:rsid w:val="005D5092"/>
    <w:rsid w:val="005D6E57"/>
    <w:rsid w:val="005E2B9A"/>
    <w:rsid w:val="005E37FD"/>
    <w:rsid w:val="005E7B3B"/>
    <w:rsid w:val="005F0E0E"/>
    <w:rsid w:val="005F4203"/>
    <w:rsid w:val="005F7FEC"/>
    <w:rsid w:val="0061068E"/>
    <w:rsid w:val="00621B10"/>
    <w:rsid w:val="0062551C"/>
    <w:rsid w:val="006302E4"/>
    <w:rsid w:val="00643F2F"/>
    <w:rsid w:val="00645EB8"/>
    <w:rsid w:val="00653F42"/>
    <w:rsid w:val="00654790"/>
    <w:rsid w:val="006628B5"/>
    <w:rsid w:val="006703BB"/>
    <w:rsid w:val="00670BB8"/>
    <w:rsid w:val="006720FE"/>
    <w:rsid w:val="00674F73"/>
    <w:rsid w:val="00675725"/>
    <w:rsid w:val="006761AA"/>
    <w:rsid w:val="006809EA"/>
    <w:rsid w:val="00682383"/>
    <w:rsid w:val="00692D8F"/>
    <w:rsid w:val="006968B9"/>
    <w:rsid w:val="006978A5"/>
    <w:rsid w:val="006A0630"/>
    <w:rsid w:val="006A6BC1"/>
    <w:rsid w:val="006A7DE5"/>
    <w:rsid w:val="006B1A45"/>
    <w:rsid w:val="006D3F76"/>
    <w:rsid w:val="006E41B2"/>
    <w:rsid w:val="006F428F"/>
    <w:rsid w:val="00705F07"/>
    <w:rsid w:val="007240FE"/>
    <w:rsid w:val="0072459E"/>
    <w:rsid w:val="00726202"/>
    <w:rsid w:val="00726929"/>
    <w:rsid w:val="0074530D"/>
    <w:rsid w:val="00746760"/>
    <w:rsid w:val="00750559"/>
    <w:rsid w:val="00750E22"/>
    <w:rsid w:val="00751ABE"/>
    <w:rsid w:val="00757853"/>
    <w:rsid w:val="00760EDD"/>
    <w:rsid w:val="007610DD"/>
    <w:rsid w:val="00767EAA"/>
    <w:rsid w:val="00772503"/>
    <w:rsid w:val="007734F9"/>
    <w:rsid w:val="007B5E3E"/>
    <w:rsid w:val="007B602E"/>
    <w:rsid w:val="007C235C"/>
    <w:rsid w:val="007C6905"/>
    <w:rsid w:val="007D13AC"/>
    <w:rsid w:val="007D5D01"/>
    <w:rsid w:val="007D6D9E"/>
    <w:rsid w:val="007E7707"/>
    <w:rsid w:val="007E7A4E"/>
    <w:rsid w:val="007F3011"/>
    <w:rsid w:val="007F4268"/>
    <w:rsid w:val="007F5805"/>
    <w:rsid w:val="007F5BB5"/>
    <w:rsid w:val="008279C2"/>
    <w:rsid w:val="0083735F"/>
    <w:rsid w:val="008435EE"/>
    <w:rsid w:val="0084403D"/>
    <w:rsid w:val="008530E8"/>
    <w:rsid w:val="00860A87"/>
    <w:rsid w:val="00860C80"/>
    <w:rsid w:val="00873BA5"/>
    <w:rsid w:val="00882D6E"/>
    <w:rsid w:val="00890FCF"/>
    <w:rsid w:val="008940D5"/>
    <w:rsid w:val="008958F6"/>
    <w:rsid w:val="00896556"/>
    <w:rsid w:val="008A299C"/>
    <w:rsid w:val="008A504F"/>
    <w:rsid w:val="008B0A84"/>
    <w:rsid w:val="008B15E7"/>
    <w:rsid w:val="008B6BD1"/>
    <w:rsid w:val="008C1701"/>
    <w:rsid w:val="008C62B6"/>
    <w:rsid w:val="008C79BB"/>
    <w:rsid w:val="008D0E71"/>
    <w:rsid w:val="008D6056"/>
    <w:rsid w:val="008F2A9C"/>
    <w:rsid w:val="008F4630"/>
    <w:rsid w:val="008F5DBA"/>
    <w:rsid w:val="0090000C"/>
    <w:rsid w:val="0090503C"/>
    <w:rsid w:val="00906924"/>
    <w:rsid w:val="00910A15"/>
    <w:rsid w:val="00916273"/>
    <w:rsid w:val="0094737F"/>
    <w:rsid w:val="00953918"/>
    <w:rsid w:val="009562A7"/>
    <w:rsid w:val="0096456E"/>
    <w:rsid w:val="0096517C"/>
    <w:rsid w:val="00966C1F"/>
    <w:rsid w:val="00984B33"/>
    <w:rsid w:val="0099221C"/>
    <w:rsid w:val="009A43C9"/>
    <w:rsid w:val="009B1C58"/>
    <w:rsid w:val="009B1F76"/>
    <w:rsid w:val="009C4E94"/>
    <w:rsid w:val="009D2047"/>
    <w:rsid w:val="009D23E0"/>
    <w:rsid w:val="009D48D2"/>
    <w:rsid w:val="009E6297"/>
    <w:rsid w:val="009E74FA"/>
    <w:rsid w:val="009F0152"/>
    <w:rsid w:val="009F15F2"/>
    <w:rsid w:val="00A13AAF"/>
    <w:rsid w:val="00A15666"/>
    <w:rsid w:val="00A17220"/>
    <w:rsid w:val="00A17FD1"/>
    <w:rsid w:val="00A22912"/>
    <w:rsid w:val="00A31F05"/>
    <w:rsid w:val="00A46C49"/>
    <w:rsid w:val="00A47D27"/>
    <w:rsid w:val="00A605F3"/>
    <w:rsid w:val="00A62C76"/>
    <w:rsid w:val="00A63293"/>
    <w:rsid w:val="00A66DDB"/>
    <w:rsid w:val="00A73D22"/>
    <w:rsid w:val="00A77657"/>
    <w:rsid w:val="00A877B6"/>
    <w:rsid w:val="00A91AC1"/>
    <w:rsid w:val="00A92140"/>
    <w:rsid w:val="00A94613"/>
    <w:rsid w:val="00A95BFA"/>
    <w:rsid w:val="00AA6A43"/>
    <w:rsid w:val="00AB1C55"/>
    <w:rsid w:val="00AC2E90"/>
    <w:rsid w:val="00AD3D9D"/>
    <w:rsid w:val="00AD701D"/>
    <w:rsid w:val="00AE06A2"/>
    <w:rsid w:val="00AE46DA"/>
    <w:rsid w:val="00AE4CAE"/>
    <w:rsid w:val="00AE5369"/>
    <w:rsid w:val="00AE7FB3"/>
    <w:rsid w:val="00AF3517"/>
    <w:rsid w:val="00B07610"/>
    <w:rsid w:val="00B12F0F"/>
    <w:rsid w:val="00B26C19"/>
    <w:rsid w:val="00B30365"/>
    <w:rsid w:val="00B32E71"/>
    <w:rsid w:val="00B3300D"/>
    <w:rsid w:val="00B4273F"/>
    <w:rsid w:val="00B45C09"/>
    <w:rsid w:val="00B45F58"/>
    <w:rsid w:val="00B46DBD"/>
    <w:rsid w:val="00B537CC"/>
    <w:rsid w:val="00B612F8"/>
    <w:rsid w:val="00B803D2"/>
    <w:rsid w:val="00B81321"/>
    <w:rsid w:val="00B81EA5"/>
    <w:rsid w:val="00B8440C"/>
    <w:rsid w:val="00B8656E"/>
    <w:rsid w:val="00B9024B"/>
    <w:rsid w:val="00B940F7"/>
    <w:rsid w:val="00B94D61"/>
    <w:rsid w:val="00BA305F"/>
    <w:rsid w:val="00BA4498"/>
    <w:rsid w:val="00BA6FF9"/>
    <w:rsid w:val="00BB14D3"/>
    <w:rsid w:val="00BB56C8"/>
    <w:rsid w:val="00BC31B8"/>
    <w:rsid w:val="00BC344A"/>
    <w:rsid w:val="00BC7C73"/>
    <w:rsid w:val="00BD73EE"/>
    <w:rsid w:val="00BE52E8"/>
    <w:rsid w:val="00BF1684"/>
    <w:rsid w:val="00BF2B33"/>
    <w:rsid w:val="00BF4181"/>
    <w:rsid w:val="00BF74D1"/>
    <w:rsid w:val="00C0056E"/>
    <w:rsid w:val="00C04997"/>
    <w:rsid w:val="00C06F81"/>
    <w:rsid w:val="00C10276"/>
    <w:rsid w:val="00C119DA"/>
    <w:rsid w:val="00C15B72"/>
    <w:rsid w:val="00C15D12"/>
    <w:rsid w:val="00C17C2B"/>
    <w:rsid w:val="00C23226"/>
    <w:rsid w:val="00C27728"/>
    <w:rsid w:val="00C32880"/>
    <w:rsid w:val="00C35698"/>
    <w:rsid w:val="00C520EE"/>
    <w:rsid w:val="00C6041D"/>
    <w:rsid w:val="00C6703E"/>
    <w:rsid w:val="00C67C3B"/>
    <w:rsid w:val="00C73642"/>
    <w:rsid w:val="00C91253"/>
    <w:rsid w:val="00C9583C"/>
    <w:rsid w:val="00C979E9"/>
    <w:rsid w:val="00CA347B"/>
    <w:rsid w:val="00CA4767"/>
    <w:rsid w:val="00CB1436"/>
    <w:rsid w:val="00CB25B3"/>
    <w:rsid w:val="00CB32A9"/>
    <w:rsid w:val="00CC6BC9"/>
    <w:rsid w:val="00CC7EB3"/>
    <w:rsid w:val="00CD2A4A"/>
    <w:rsid w:val="00CD5655"/>
    <w:rsid w:val="00CE4B77"/>
    <w:rsid w:val="00CE77BB"/>
    <w:rsid w:val="00CF0B0C"/>
    <w:rsid w:val="00CF1406"/>
    <w:rsid w:val="00CF436A"/>
    <w:rsid w:val="00D05BC0"/>
    <w:rsid w:val="00D20301"/>
    <w:rsid w:val="00D2667E"/>
    <w:rsid w:val="00D36DBC"/>
    <w:rsid w:val="00D370CD"/>
    <w:rsid w:val="00D41B1B"/>
    <w:rsid w:val="00D60BB6"/>
    <w:rsid w:val="00D65898"/>
    <w:rsid w:val="00D65EBF"/>
    <w:rsid w:val="00D74E9F"/>
    <w:rsid w:val="00D75A9D"/>
    <w:rsid w:val="00D92256"/>
    <w:rsid w:val="00D95021"/>
    <w:rsid w:val="00D95137"/>
    <w:rsid w:val="00DB611E"/>
    <w:rsid w:val="00DB7BE8"/>
    <w:rsid w:val="00DC20D9"/>
    <w:rsid w:val="00DC242E"/>
    <w:rsid w:val="00DC40C8"/>
    <w:rsid w:val="00DC56A7"/>
    <w:rsid w:val="00DC6E38"/>
    <w:rsid w:val="00DD1B25"/>
    <w:rsid w:val="00DE3D00"/>
    <w:rsid w:val="00DE499A"/>
    <w:rsid w:val="00DF647C"/>
    <w:rsid w:val="00DF676A"/>
    <w:rsid w:val="00E051ED"/>
    <w:rsid w:val="00E11F64"/>
    <w:rsid w:val="00E1559A"/>
    <w:rsid w:val="00E23EE4"/>
    <w:rsid w:val="00E27234"/>
    <w:rsid w:val="00E32802"/>
    <w:rsid w:val="00E36A49"/>
    <w:rsid w:val="00E40E97"/>
    <w:rsid w:val="00E4570B"/>
    <w:rsid w:val="00E4776B"/>
    <w:rsid w:val="00E47906"/>
    <w:rsid w:val="00E57D7C"/>
    <w:rsid w:val="00E627BA"/>
    <w:rsid w:val="00E66547"/>
    <w:rsid w:val="00E80659"/>
    <w:rsid w:val="00E84D07"/>
    <w:rsid w:val="00E86252"/>
    <w:rsid w:val="00E90028"/>
    <w:rsid w:val="00E967DE"/>
    <w:rsid w:val="00E967FB"/>
    <w:rsid w:val="00EC098B"/>
    <w:rsid w:val="00EC76AE"/>
    <w:rsid w:val="00ED0970"/>
    <w:rsid w:val="00ED3EE0"/>
    <w:rsid w:val="00ED6CB0"/>
    <w:rsid w:val="00ED7E89"/>
    <w:rsid w:val="00EE12E5"/>
    <w:rsid w:val="00EE2986"/>
    <w:rsid w:val="00EE6C16"/>
    <w:rsid w:val="00EF102F"/>
    <w:rsid w:val="00EF11A3"/>
    <w:rsid w:val="00EF12A5"/>
    <w:rsid w:val="00F027F1"/>
    <w:rsid w:val="00F149E3"/>
    <w:rsid w:val="00F1541F"/>
    <w:rsid w:val="00F17D20"/>
    <w:rsid w:val="00F20880"/>
    <w:rsid w:val="00F250F0"/>
    <w:rsid w:val="00F25445"/>
    <w:rsid w:val="00F25462"/>
    <w:rsid w:val="00F319C0"/>
    <w:rsid w:val="00F4087B"/>
    <w:rsid w:val="00F45F88"/>
    <w:rsid w:val="00F47B38"/>
    <w:rsid w:val="00F47FDA"/>
    <w:rsid w:val="00F51C49"/>
    <w:rsid w:val="00F6066A"/>
    <w:rsid w:val="00F62F23"/>
    <w:rsid w:val="00F65520"/>
    <w:rsid w:val="00F71158"/>
    <w:rsid w:val="00F7670F"/>
    <w:rsid w:val="00F8250E"/>
    <w:rsid w:val="00F94841"/>
    <w:rsid w:val="00FA4BE2"/>
    <w:rsid w:val="00FB3843"/>
    <w:rsid w:val="00FC48EE"/>
    <w:rsid w:val="00FD1DFC"/>
    <w:rsid w:val="00FE1412"/>
    <w:rsid w:val="00FE5232"/>
    <w:rsid w:val="00FE7D2C"/>
    <w:rsid w:val="00FF6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20459B"/>
  <w15:chartTrackingRefBased/>
  <w15:docId w15:val="{1B9B0FE0-ED0D-4633-9094-C817E3B8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16"/>
    <w:pPr>
      <w:spacing w:before="240" w:after="240" w:line="300" w:lineRule="auto"/>
    </w:pPr>
    <w:rPr>
      <w:rFonts w:ascii="Arial" w:hAnsi="Arial"/>
    </w:rPr>
  </w:style>
  <w:style w:type="paragraph" w:styleId="Heading1">
    <w:name w:val="heading 1"/>
    <w:basedOn w:val="Normal"/>
    <w:next w:val="Normal"/>
    <w:link w:val="Heading1Char"/>
    <w:uiPriority w:val="9"/>
    <w:qFormat/>
    <w:rsid w:val="00EE6C1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EE6C16"/>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EE6C16"/>
    <w:pPr>
      <w:spacing w:before="2880" w:after="48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EE6C16"/>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EE6C1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EE6C16"/>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aliases w:val="~List Paragraph"/>
    <w:basedOn w:val="Normal"/>
    <w:link w:val="ListParagraphChar"/>
    <w:uiPriority w:val="34"/>
    <w:qFormat/>
    <w:rsid w:val="00527E00"/>
    <w:pPr>
      <w:numPr>
        <w:numId w:val="1"/>
      </w:numPr>
      <w:contextualSpacing/>
    </w:pPr>
  </w:style>
  <w:style w:type="paragraph" w:styleId="ListBullet">
    <w:name w:val="List Bullet"/>
    <w:basedOn w:val="ListParagraph"/>
    <w:uiPriority w:val="99"/>
    <w:unhideWhenUsed/>
    <w:rsid w:val="00DE3D00"/>
    <w:pPr>
      <w:numPr>
        <w:numId w:val="14"/>
      </w:numPr>
    </w:pPr>
  </w:style>
  <w:style w:type="paragraph" w:styleId="ListBullet2">
    <w:name w:val="List Bullet 2"/>
    <w:basedOn w:val="Normal"/>
    <w:uiPriority w:val="99"/>
    <w:unhideWhenUsed/>
    <w:rsid w:val="00040232"/>
    <w:pPr>
      <w:numPr>
        <w:numId w:val="4"/>
      </w:numPr>
      <w:spacing w:before="120"/>
      <w:ind w:left="641" w:hanging="357"/>
      <w:contextualSpacing/>
    </w:pPr>
  </w:style>
  <w:style w:type="paragraph" w:styleId="ListNumber">
    <w:name w:val="List Number"/>
    <w:basedOn w:val="ListParagraph"/>
    <w:uiPriority w:val="99"/>
    <w:unhideWhenUsed/>
    <w:rsid w:val="00DE3D00"/>
    <w:pPr>
      <w:numPr>
        <w:numId w:val="15"/>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3808AD"/>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styleId="TOCHeading">
    <w:name w:val="TOC Heading"/>
    <w:basedOn w:val="Heading1"/>
    <w:next w:val="Normal"/>
    <w:uiPriority w:val="39"/>
    <w:unhideWhenUsed/>
    <w:qFormat/>
    <w:rsid w:val="00EE6C16"/>
  </w:style>
  <w:style w:type="paragraph" w:styleId="TOC1">
    <w:name w:val="toc 1"/>
    <w:basedOn w:val="Normal"/>
    <w:next w:val="Normal"/>
    <w:autoRedefine/>
    <w:uiPriority w:val="39"/>
    <w:unhideWhenUsed/>
    <w:rsid w:val="009F0152"/>
    <w:pPr>
      <w:tabs>
        <w:tab w:val="right" w:leader="dot" w:pos="9016"/>
      </w:tabs>
      <w:spacing w:after="100"/>
    </w:pPr>
  </w:style>
  <w:style w:type="paragraph" w:styleId="TOC2">
    <w:name w:val="toc 2"/>
    <w:basedOn w:val="Normal"/>
    <w:next w:val="Normal"/>
    <w:autoRedefine/>
    <w:uiPriority w:val="39"/>
    <w:unhideWhenUsed/>
    <w:rsid w:val="00EE6C16"/>
    <w:pPr>
      <w:spacing w:after="100"/>
      <w:ind w:left="220"/>
    </w:pPr>
  </w:style>
  <w:style w:type="paragraph" w:styleId="TOC3">
    <w:name w:val="toc 3"/>
    <w:basedOn w:val="Normal"/>
    <w:next w:val="Normal"/>
    <w:autoRedefine/>
    <w:uiPriority w:val="39"/>
    <w:unhideWhenUsed/>
    <w:rsid w:val="00EE6C16"/>
    <w:pPr>
      <w:spacing w:after="100"/>
      <w:ind w:left="440"/>
    </w:pPr>
  </w:style>
  <w:style w:type="paragraph" w:styleId="Subtitle">
    <w:name w:val="Subtitle"/>
    <w:basedOn w:val="Title"/>
    <w:next w:val="Normal"/>
    <w:link w:val="SubtitleChar"/>
    <w:uiPriority w:val="11"/>
    <w:qFormat/>
    <w:rsid w:val="00EE6C16"/>
    <w:pPr>
      <w:spacing w:before="240" w:after="240"/>
      <w:contextualSpacing w:val="0"/>
    </w:pPr>
    <w:rPr>
      <w:color w:val="7F7F7F" w:themeColor="text1" w:themeTint="80"/>
      <w:sz w:val="40"/>
    </w:rPr>
  </w:style>
  <w:style w:type="character" w:customStyle="1" w:styleId="SubtitleChar">
    <w:name w:val="Subtitle Char"/>
    <w:basedOn w:val="DefaultParagraphFont"/>
    <w:link w:val="Subtitle"/>
    <w:uiPriority w:val="11"/>
    <w:rsid w:val="00EE6C16"/>
    <w:rPr>
      <w:rFonts w:ascii="Arial" w:eastAsiaTheme="majorEastAsia" w:hAnsi="Arial" w:cstheme="majorBidi"/>
      <w:color w:val="7F7F7F" w:themeColor="text1" w:themeTint="80"/>
      <w:spacing w:val="-10"/>
      <w:kern w:val="28"/>
      <w:sz w:val="40"/>
      <w:szCs w:val="56"/>
    </w:rPr>
  </w:style>
  <w:style w:type="paragraph" w:customStyle="1" w:styleId="Normalinstructions">
    <w:name w:val="Normal + instructions"/>
    <w:basedOn w:val="Normal"/>
    <w:qFormat/>
    <w:rsid w:val="00CC7EB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120" w:line="280" w:lineRule="atLeast"/>
    </w:pPr>
    <w:rPr>
      <w:rFonts w:eastAsia="Times New Roman" w:cs="Times New Roman"/>
      <w:sz w:val="20"/>
    </w:rPr>
  </w:style>
  <w:style w:type="paragraph" w:customStyle="1" w:styleId="TableHeading">
    <w:name w:val="Table Heading"/>
    <w:basedOn w:val="Normal"/>
    <w:link w:val="TableHeadingChar"/>
    <w:qFormat/>
    <w:rsid w:val="00AF3517"/>
    <w:pPr>
      <w:jc w:val="center"/>
    </w:pPr>
    <w:rPr>
      <w:bCs/>
      <w:color w:val="FFFFFF" w:themeColor="background1"/>
    </w:rPr>
  </w:style>
  <w:style w:type="paragraph" w:customStyle="1" w:styleId="TableSideheading">
    <w:name w:val="Table Side heading"/>
    <w:basedOn w:val="Normal"/>
    <w:qFormat/>
    <w:rsid w:val="00AF3517"/>
    <w:rPr>
      <w:bCs/>
      <w:color w:val="FFFFFF" w:themeColor="background1"/>
    </w:rPr>
  </w:style>
  <w:style w:type="paragraph" w:customStyle="1" w:styleId="TableBody">
    <w:name w:val="Table Body"/>
    <w:basedOn w:val="Normal"/>
    <w:qFormat/>
    <w:rsid w:val="00AF3517"/>
    <w:pPr>
      <w:jc w:val="center"/>
    </w:pPr>
  </w:style>
  <w:style w:type="paragraph" w:customStyle="1" w:styleId="Tablebullet">
    <w:name w:val="Table bullet"/>
    <w:basedOn w:val="TableBody"/>
    <w:qFormat/>
    <w:rsid w:val="00AF3517"/>
    <w:pPr>
      <w:numPr>
        <w:numId w:val="16"/>
      </w:numPr>
      <w:ind w:left="284" w:hanging="284"/>
    </w:pPr>
  </w:style>
  <w:style w:type="paragraph" w:customStyle="1" w:styleId="TableNumber">
    <w:name w:val="Table Number"/>
    <w:basedOn w:val="TableBody"/>
    <w:qFormat/>
    <w:rsid w:val="00AF3517"/>
    <w:pPr>
      <w:numPr>
        <w:numId w:val="17"/>
      </w:numPr>
      <w:ind w:left="284" w:hanging="284"/>
    </w:pPr>
  </w:style>
  <w:style w:type="character" w:customStyle="1" w:styleId="TableHeadingChar">
    <w:name w:val="Table Heading Char"/>
    <w:basedOn w:val="DefaultParagraphFont"/>
    <w:link w:val="TableHeading"/>
    <w:rsid w:val="00AF3517"/>
    <w:rPr>
      <w:rFonts w:ascii="Arial" w:hAnsi="Arial"/>
      <w:bCs/>
      <w:color w:val="FFFFFF" w:themeColor="background1"/>
    </w:rPr>
  </w:style>
  <w:style w:type="paragraph" w:styleId="BalloonText">
    <w:name w:val="Balloon Text"/>
    <w:basedOn w:val="Normal"/>
    <w:link w:val="BalloonTextChar"/>
    <w:uiPriority w:val="99"/>
    <w:semiHidden/>
    <w:unhideWhenUsed/>
    <w:rsid w:val="00AF35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17"/>
    <w:rPr>
      <w:rFonts w:ascii="Segoe UI" w:hAnsi="Segoe UI" w:cs="Segoe UI"/>
      <w:sz w:val="18"/>
      <w:szCs w:val="18"/>
    </w:rPr>
  </w:style>
  <w:style w:type="table" w:customStyle="1" w:styleId="Style1">
    <w:name w:val="Style1"/>
    <w:basedOn w:val="TableList1"/>
    <w:uiPriority w:val="99"/>
    <w:rsid w:val="002D2FD6"/>
    <w:pPr>
      <w:spacing w:before="120" w:after="0" w:line="240" w:lineRule="auto"/>
    </w:p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cPr>
      <w:shd w:val="clear" w:color="auto" w:fill="FFFFFF" w:themeFill="background1"/>
    </w:tcPr>
    <w:tblStylePr w:type="firstRow">
      <w:rPr>
        <w:rFonts w:ascii="Arial" w:hAnsi="Arial"/>
        <w:b/>
        <w:bCs/>
        <w:i w:val="0"/>
        <w:iCs/>
        <w:color w:val="FFFFFF" w:themeColor="background1"/>
        <w:sz w:val="22"/>
      </w:rPr>
      <w:tblPr/>
      <w:tcPr>
        <w:tcBorders>
          <w:bottom w:val="single" w:sz="6" w:space="0" w:color="000000"/>
          <w:tl2br w:val="none" w:sz="0" w:space="0" w:color="auto"/>
          <w:tr2bl w:val="none" w:sz="0" w:space="0" w:color="auto"/>
        </w:tcBorders>
        <w:shd w:val="clear" w:color="auto" w:fill="005677"/>
      </w:tcPr>
    </w:tblStylePr>
    <w:tblStylePr w:type="lastRow">
      <w:tblPr/>
      <w:tcPr>
        <w:tcBorders>
          <w:top w:val="single" w:sz="6" w:space="0" w:color="000000"/>
          <w:tl2br w:val="none" w:sz="0" w:space="0" w:color="auto"/>
          <w:tr2bl w:val="none" w:sz="0" w:space="0" w:color="auto"/>
        </w:tcBorders>
      </w:tcPr>
    </w:tblStylePr>
    <w:tblStylePr w:type="band1Horz">
      <w:rPr>
        <w:rFonts w:ascii="Arial" w:hAnsi="Arial"/>
        <w:color w:val="auto"/>
        <w:sz w:val="22"/>
      </w:rPr>
      <w:tblPr/>
      <w:tcPr>
        <w:tcBorders>
          <w:tl2br w:val="none" w:sz="0" w:space="0" w:color="auto"/>
          <w:tr2bl w:val="none" w:sz="0" w:space="0" w:color="auto"/>
        </w:tcBorders>
        <w:shd w:val="clear" w:color="auto" w:fill="FFFFFF" w:themeFill="background1"/>
      </w:tcPr>
    </w:tblStylePr>
    <w:tblStylePr w:type="band2Horz">
      <w:rPr>
        <w:rFonts w:ascii="Arial" w:hAnsi="Arial"/>
        <w:color w:val="auto"/>
        <w:sz w:val="22"/>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D2FD6"/>
    <w:pPr>
      <w:spacing w:before="240" w:after="240"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Grid1"/>
    <w:uiPriority w:val="99"/>
    <w:rsid w:val="007C6905"/>
    <w:pPr>
      <w:spacing w:after="0" w:line="240" w:lineRule="auto"/>
    </w:pPr>
    <w:rPr>
      <w:rFonts w:ascii="Arial" w:hAnsi="Arial"/>
      <w:sz w:val="20"/>
      <w:szCs w:val="20"/>
      <w:lang w:eastAsia="en-AU"/>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left w:w="57" w:type="dxa"/>
      </w:tblCellMar>
    </w:tblPr>
    <w:tcPr>
      <w:shd w:val="clear" w:color="auto" w:fill="auto"/>
    </w:tcPr>
    <w:tblStylePr w:type="firstRow">
      <w:rPr>
        <w:b/>
        <w:color w:val="FFFFFF" w:themeColor="background1"/>
      </w:rPr>
      <w:tblPr/>
      <w:tcPr>
        <w:shd w:val="clear" w:color="auto" w:fill="005677"/>
      </w:tcPr>
    </w:tblStylePr>
    <w:tblStylePr w:type="lastRow">
      <w:rPr>
        <w:i/>
        <w:iCs/>
      </w:rPr>
      <w:tblPr/>
      <w:tcPr>
        <w:tcBorders>
          <w:tl2br w:val="none" w:sz="0" w:space="0" w:color="auto"/>
          <w:tr2bl w:val="none" w:sz="0" w:space="0" w:color="auto"/>
        </w:tcBorders>
      </w:tcPr>
    </w:tblStylePr>
    <w:tblStylePr w:type="firstCol">
      <w:pPr>
        <w:jc w:val="left"/>
      </w:pPr>
      <w:rPr>
        <w:b/>
        <w:color w:val="FFFFFF" w:themeColor="background1"/>
      </w:rPr>
      <w:tblPr/>
      <w:tcPr>
        <w:shd w:val="clear" w:color="auto" w:fill="005677"/>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2FD6"/>
    <w:pPr>
      <w:spacing w:before="240"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Normal"/>
    <w:uiPriority w:val="99"/>
    <w:rsid w:val="003808AD"/>
    <w:pPr>
      <w:spacing w:after="0" w:line="240" w:lineRule="auto"/>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Col">
      <w:rPr>
        <w:color w:val="FFFFFF" w:themeColor="background1"/>
      </w:rPr>
      <w:tblPr/>
      <w:tcPr>
        <w:shd w:val="clear" w:color="auto" w:fill="005677"/>
      </w:tcPr>
    </w:tblStylePr>
  </w:style>
  <w:style w:type="table" w:customStyle="1" w:styleId="Style4">
    <w:name w:val="Style4"/>
    <w:basedOn w:val="TableGrid1"/>
    <w:uiPriority w:val="99"/>
    <w:rsid w:val="003808AD"/>
    <w:pPr>
      <w:spacing w:after="0" w:line="240" w:lineRule="auto"/>
    </w:pPr>
    <w:rPr>
      <w:rFonts w:ascii="Arial" w:hAnsi="Aria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rPr>
        <w:color w:val="auto"/>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color w:val="auto"/>
      </w:rPr>
      <w:tblPr/>
      <w:tcPr>
        <w:shd w:val="clear" w:color="auto" w:fill="D9D9D9"/>
      </w:tcPr>
    </w:tblStylePr>
    <w:tblStylePr w:type="lastCol">
      <w:rPr>
        <w:i/>
        <w:iCs/>
      </w:rPr>
      <w:tblPr/>
      <w:tcPr>
        <w:tcBorders>
          <w:tl2br w:val="none" w:sz="0" w:space="0" w:color="auto"/>
          <w:tr2bl w:val="none" w:sz="0" w:space="0" w:color="auto"/>
        </w:tcBorders>
      </w:tcPr>
    </w:tblStylePr>
  </w:style>
  <w:style w:type="table" w:customStyle="1" w:styleId="Style5">
    <w:name w:val="Style5"/>
    <w:basedOn w:val="TableNormal"/>
    <w:uiPriority w:val="99"/>
    <w:rsid w:val="003808A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rPr>
        <w:cantSplit/>
      </w:trPr>
      <w:tcPr>
        <w:shd w:val="clear" w:color="auto" w:fill="D9D9D9"/>
      </w:tcPr>
    </w:tblStylePr>
  </w:style>
  <w:style w:type="table" w:customStyle="1" w:styleId="Style6">
    <w:name w:val="Style6"/>
    <w:basedOn w:val="TableNormal"/>
    <w:uiPriority w:val="99"/>
    <w:rsid w:val="0007766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rPr>
      <w:tblPr/>
      <w:trPr>
        <w:cantSplit/>
      </w:trPr>
      <w:tcPr>
        <w:shd w:val="clear" w:color="auto" w:fill="D9D9D9"/>
      </w:tcPr>
    </w:tblStylePr>
  </w:style>
  <w:style w:type="character" w:customStyle="1" w:styleId="UnresolvedMention">
    <w:name w:val="Unresolved Mention"/>
    <w:basedOn w:val="DefaultParagraphFont"/>
    <w:uiPriority w:val="99"/>
    <w:semiHidden/>
    <w:unhideWhenUsed/>
    <w:rsid w:val="00C520EE"/>
    <w:rPr>
      <w:color w:val="808080"/>
      <w:shd w:val="clear" w:color="auto" w:fill="E6E6E6"/>
    </w:rPr>
  </w:style>
  <w:style w:type="paragraph" w:styleId="CommentText">
    <w:name w:val="annotation text"/>
    <w:basedOn w:val="Normal"/>
    <w:link w:val="CommentTextChar"/>
    <w:uiPriority w:val="99"/>
    <w:semiHidden/>
    <w:unhideWhenUsed/>
    <w:rsid w:val="00C520EE"/>
    <w:pPr>
      <w:spacing w:line="240" w:lineRule="auto"/>
    </w:pPr>
    <w:rPr>
      <w:sz w:val="20"/>
      <w:szCs w:val="20"/>
    </w:rPr>
  </w:style>
  <w:style w:type="character" w:customStyle="1" w:styleId="CommentTextChar">
    <w:name w:val="Comment Text Char"/>
    <w:basedOn w:val="DefaultParagraphFont"/>
    <w:link w:val="CommentText"/>
    <w:uiPriority w:val="99"/>
    <w:semiHidden/>
    <w:rsid w:val="00C520EE"/>
    <w:rPr>
      <w:rFonts w:ascii="Arial" w:hAnsi="Arial"/>
      <w:sz w:val="20"/>
      <w:szCs w:val="20"/>
    </w:rPr>
  </w:style>
  <w:style w:type="character" w:styleId="CommentReference">
    <w:name w:val="annotation reference"/>
    <w:basedOn w:val="DefaultParagraphFont"/>
    <w:rsid w:val="00C520EE"/>
    <w:rPr>
      <w:sz w:val="16"/>
      <w:szCs w:val="16"/>
    </w:rPr>
  </w:style>
  <w:style w:type="paragraph" w:styleId="NoSpacing">
    <w:name w:val="No Spacing"/>
    <w:basedOn w:val="Normal"/>
    <w:link w:val="NoSpacingChar"/>
    <w:uiPriority w:val="1"/>
    <w:qFormat/>
    <w:rsid w:val="004A2892"/>
    <w:pPr>
      <w:spacing w:before="0" w:after="0" w:line="240" w:lineRule="auto"/>
    </w:pPr>
    <w:rPr>
      <w:rFonts w:ascii="Calibri" w:hAnsi="Calibri" w:cs="Times New Roman"/>
    </w:rPr>
  </w:style>
  <w:style w:type="character" w:customStyle="1" w:styleId="NoSpacingChar">
    <w:name w:val="No Spacing Char"/>
    <w:basedOn w:val="DefaultParagraphFont"/>
    <w:link w:val="NoSpacing"/>
    <w:uiPriority w:val="1"/>
    <w:rsid w:val="004A2892"/>
    <w:rPr>
      <w:rFonts w:ascii="Calibri" w:hAnsi="Calibri" w:cs="Times New Roman"/>
    </w:rPr>
  </w:style>
  <w:style w:type="character" w:customStyle="1" w:styleId="ListParagraphChar">
    <w:name w:val="List Paragraph Char"/>
    <w:aliases w:val="~List Paragraph Char"/>
    <w:basedOn w:val="DefaultParagraphFont"/>
    <w:link w:val="ListParagraph"/>
    <w:uiPriority w:val="34"/>
    <w:rsid w:val="008530E8"/>
    <w:rPr>
      <w:rFonts w:ascii="Arial" w:hAnsi="Arial"/>
    </w:rPr>
  </w:style>
  <w:style w:type="character" w:styleId="FollowedHyperlink">
    <w:name w:val="FollowedHyperlink"/>
    <w:basedOn w:val="DefaultParagraphFont"/>
    <w:uiPriority w:val="99"/>
    <w:semiHidden/>
    <w:unhideWhenUsed/>
    <w:rsid w:val="00984B33"/>
    <w:rPr>
      <w:color w:val="7030A0" w:themeColor="followedHyperlink"/>
      <w:u w:val="single"/>
    </w:rPr>
  </w:style>
  <w:style w:type="paragraph" w:styleId="CommentSubject">
    <w:name w:val="annotation subject"/>
    <w:basedOn w:val="CommentText"/>
    <w:next w:val="CommentText"/>
    <w:link w:val="CommentSubjectChar"/>
    <w:uiPriority w:val="99"/>
    <w:semiHidden/>
    <w:unhideWhenUsed/>
    <w:rsid w:val="003656C1"/>
    <w:rPr>
      <w:b/>
      <w:bCs/>
    </w:rPr>
  </w:style>
  <w:style w:type="character" w:customStyle="1" w:styleId="CommentSubjectChar">
    <w:name w:val="Comment Subject Char"/>
    <w:basedOn w:val="CommentTextChar"/>
    <w:link w:val="CommentSubject"/>
    <w:uiPriority w:val="99"/>
    <w:semiHidden/>
    <w:rsid w:val="003656C1"/>
    <w:rPr>
      <w:rFonts w:ascii="Arial" w:hAnsi="Arial"/>
      <w:b/>
      <w:bCs/>
      <w:sz w:val="20"/>
      <w:szCs w:val="20"/>
    </w:rPr>
  </w:style>
  <w:style w:type="paragraph" w:styleId="Revision">
    <w:name w:val="Revision"/>
    <w:hidden/>
    <w:uiPriority w:val="99"/>
    <w:semiHidden/>
    <w:rsid w:val="00CD5655"/>
    <w:pPr>
      <w:spacing w:after="0" w:line="240" w:lineRule="auto"/>
    </w:pPr>
    <w:rPr>
      <w:rFonts w:ascii="Arial" w:hAnsi="Arial"/>
    </w:rPr>
  </w:style>
  <w:style w:type="paragraph" w:styleId="FootnoteText">
    <w:name w:val="footnote text"/>
    <w:basedOn w:val="Normal"/>
    <w:link w:val="FootnoteTextChar"/>
    <w:uiPriority w:val="99"/>
    <w:semiHidden/>
    <w:unhideWhenUsed/>
    <w:rsid w:val="0017492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7492A"/>
    <w:rPr>
      <w:rFonts w:ascii="Arial" w:hAnsi="Arial"/>
      <w:sz w:val="20"/>
      <w:szCs w:val="20"/>
    </w:rPr>
  </w:style>
  <w:style w:type="character" w:styleId="FootnoteReference">
    <w:name w:val="footnote reference"/>
    <w:basedOn w:val="DefaultParagraphFont"/>
    <w:uiPriority w:val="99"/>
    <w:semiHidden/>
    <w:unhideWhenUsed/>
    <w:rsid w:val="00174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749">
      <w:bodyDiv w:val="1"/>
      <w:marLeft w:val="0"/>
      <w:marRight w:val="0"/>
      <w:marTop w:val="0"/>
      <w:marBottom w:val="0"/>
      <w:divBdr>
        <w:top w:val="none" w:sz="0" w:space="0" w:color="auto"/>
        <w:left w:val="none" w:sz="0" w:space="0" w:color="auto"/>
        <w:bottom w:val="none" w:sz="0" w:space="0" w:color="auto"/>
        <w:right w:val="none" w:sz="0" w:space="0" w:color="auto"/>
      </w:divBdr>
    </w:div>
    <w:div w:id="13573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C2019C00090/Html/Volume_3" TargetMode="External"/><Relationship Id="rId18" Type="http://schemas.openxmlformats.org/officeDocument/2006/relationships/hyperlink" Target="https://www.legislation.gov.au/Details/C2019C00090/Html/Volume_3" TargetMode="External"/><Relationship Id="rId26" Type="http://schemas.openxmlformats.org/officeDocument/2006/relationships/hyperlink" Target="https://www.industry.gov.au/regulations-and-standards/anti-dumping-and-countervailing-system" TargetMode="External"/><Relationship Id="rId3" Type="http://schemas.openxmlformats.org/officeDocument/2006/relationships/customXml" Target="../customXml/item3.xml"/><Relationship Id="rId21" Type="http://schemas.openxmlformats.org/officeDocument/2006/relationships/hyperlink" Target="mailto:clientsupport@adcommission.gov.au"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industry.gov.au/about-us/our-structure/anti-dumping-commission" TargetMode="External"/><Relationship Id="rId17" Type="http://schemas.openxmlformats.org/officeDocument/2006/relationships/hyperlink" Target="https://www.industry.gov.au/data-and-publications/anti-dumping-commission-measures" TargetMode="External"/><Relationship Id="rId25" Type="http://schemas.openxmlformats.org/officeDocument/2006/relationships/hyperlink" Target="https://www.industry.gov.au/data-and-publications/dumping-and-subsidy-manua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advisory-services/international-trade-remedies-advisory-service" TargetMode="External"/><Relationship Id="rId20" Type="http://schemas.openxmlformats.org/officeDocument/2006/relationships/hyperlink" Target="mailto:clientsupport@adcommission.gov.au" TargetMode="External"/><Relationship Id="rId29" Type="http://schemas.openxmlformats.org/officeDocument/2006/relationships/hyperlink" Target="mailto:itra@industr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dustry.gov.au/about-us/our-structure/anti-dumping-review-pane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ndustry.gov.au/data-and-publications/anti-dumping-commission-measures" TargetMode="External"/><Relationship Id="rId23" Type="http://schemas.openxmlformats.org/officeDocument/2006/relationships/hyperlink" Target="https://www.industry.gov.au/about-us/our-structure/anti-dumping-commission" TargetMode="External"/><Relationship Id="rId28" Type="http://schemas.openxmlformats.org/officeDocument/2006/relationships/hyperlink" Target="https://www.business.gov.au/advisory-services/international-trade-remedies-advisory-service"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industry.gov.au/regulations-and-standards/anti-dumping-and-countervailing-system/importers-and-exporters-in-the-anti-dumping-system" TargetMode="External"/><Relationship Id="rId31" Type="http://schemas.openxmlformats.org/officeDocument/2006/relationships/header" Target="header1.xm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ustry.gov.au/about-us/our-structure/anti-dumping-commission" TargetMode="External"/><Relationship Id="rId22" Type="http://schemas.openxmlformats.org/officeDocument/2006/relationships/hyperlink" Target="https://www.industry.gov.au/about-us/our-structure/anti-dumping-commission" TargetMode="External"/><Relationship Id="rId27" Type="http://schemas.openxmlformats.org/officeDocument/2006/relationships/hyperlink" Target="https://www.industry.gov.au/data-and-publications/anti-dumping-commission-measures" TargetMode="External"/><Relationship Id="rId30" Type="http://schemas.openxmlformats.org/officeDocument/2006/relationships/hyperlink" Target="mailto:clientsupport@adcommission.gov.au"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Report.dotx" TargetMode="Externa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197FD79BA644F831AD3034DAD8D30" ma:contentTypeVersion="14" ma:contentTypeDescription="Create a new document." ma:contentTypeScope="" ma:versionID="3a1bd91a2865bfb2d2e75cc357ce051c">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8426150d95cc83be71ef7fbbcd59e148"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adb9bed2e36e4a93af574aeb444da63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db9bed2e36e4a93af574aeb444da63e" ma:index="22"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Version using Grants Administrations Guide template</Comments>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g7bcb40ba23249a78edca7d43a67c1c9 xmlns="5d55e9dd-4cea-4593-8805-904a126b9efb">
      <Terms xmlns="http://schemas.microsoft.com/office/infopath/2007/PartnerControls"/>
    </g7bcb40ba23249a78edca7d43a67c1c9>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5d55e9dd-4cea-4593-8805-904a126b9efb">X37KMNPMRHAR-1987610605-78</_dlc_DocId>
    <TaxCatchAll xmlns="5d55e9dd-4cea-4593-8805-904a126b9efb">
      <Value>767</Value>
      <Value>3</Value>
      <Value>1801</Value>
    </TaxCatchAll>
    <_dlc_DocIdUrl xmlns="5d55e9dd-4cea-4593-8805-904a126b9efb">
      <Url>https://dochub/div/antidumpingcommission/_layouts/15/DocIdRedir.aspx?ID=X37KMNPMRHAR-1987610605-78</Url>
      <Description>X37KMNPMRHAR-1987610605-78</Description>
    </_dlc_DocIdUrl>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a4ca7698-9492-435d-8c80-0e92d5f30f1b</TermId>
        </TermInfo>
      </Terms>
    </pe2555c81638466f9eb614edb9ecde52>
    <adb9bed2e36e4a93af574aeb444da63e xmlns="5d55e9dd-4cea-4593-8805-904a126b9efb">
      <Terms xmlns="http://schemas.microsoft.com/office/infopath/2007/PartnerControls"/>
    </adb9bed2e36e4a93af574aeb444da63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E907-86B6-4D5D-B04E-AEA80588D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F768A-BAD9-4239-BAF3-2DC780053EE6}">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5d55e9dd-4cea-4593-8805-904a126b9efb"/>
    <ds:schemaRef ds:uri="http://www.w3.org/XML/1998/namespace"/>
    <ds:schemaRef ds:uri="http://purl.org/dc/elements/1.1/"/>
  </ds:schemaRefs>
</ds:datastoreItem>
</file>

<file path=customXml/itemProps3.xml><?xml version="1.0" encoding="utf-8"?>
<ds:datastoreItem xmlns:ds="http://schemas.openxmlformats.org/officeDocument/2006/customXml" ds:itemID="{11CE12D8-2766-44F1-AC02-8E4844B3AE0D}">
  <ds:schemaRefs>
    <ds:schemaRef ds:uri="http://schemas.microsoft.com/sharepoint/events"/>
  </ds:schemaRefs>
</ds:datastoreItem>
</file>

<file path=customXml/itemProps4.xml><?xml version="1.0" encoding="utf-8"?>
<ds:datastoreItem xmlns:ds="http://schemas.openxmlformats.org/officeDocument/2006/customXml" ds:itemID="{C3D95965-B73E-4D46-BC4B-CEE7FB9FDDE5}">
  <ds:schemaRefs>
    <ds:schemaRef ds:uri="http://schemas.microsoft.com/sharepoint/v3/contenttype/forms"/>
  </ds:schemaRefs>
</ds:datastoreItem>
</file>

<file path=customXml/itemProps5.xml><?xml version="1.0" encoding="utf-8"?>
<ds:datastoreItem xmlns:ds="http://schemas.openxmlformats.org/officeDocument/2006/customXml" ds:itemID="{C43962DB-3959-4AE0-97BB-62932371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Report.dotx</Template>
  <TotalTime>1</TotalTime>
  <Pages>9</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Web site content - Duty assessment</vt:lpstr>
    </vt:vector>
  </TitlesOfParts>
  <Company>Department of Industry, Innovation and Science</Company>
  <LinksUpToDate>false</LinksUpToDate>
  <CharactersWithSpaces>15237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site content - Duty assessment</dc:title>
  <dc:subject/>
  <dc:creator>Department of Industry, Innovation and Science</dc:creator>
  <cp:keywords/>
  <dc:description/>
  <cp:lastModifiedBy>Fox, Nic</cp:lastModifiedBy>
  <cp:revision>2</cp:revision>
  <cp:lastPrinted>2019-08-19T23:37:00Z</cp:lastPrinted>
  <dcterms:created xsi:type="dcterms:W3CDTF">2019-10-02T02:05:00Z</dcterms:created>
  <dcterms:modified xsi:type="dcterms:W3CDTF">2019-10-02T02:05:00Z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1801;#2018|224abc7b-6f7e-4064-b773-6750976429b5</vt:lpwstr>
  </property>
  <property fmtid="{D5CDD505-2E9C-101B-9397-08002B2CF9AE}" pid="3" name="DocHub_DocumentType">
    <vt:lpwstr>767;#Guide|a4ca7698-9492-435d-8c80-0e92d5f30f1b</vt:lpwstr>
  </property>
  <property fmtid="{D5CDD505-2E9C-101B-9397-08002B2CF9AE}" pid="4" name="DocHub_SecurityClassification">
    <vt:lpwstr>3;#UNCLASSIFIED|6106d03b-a1a0-4e30-9d91-d5e9fb4314f9</vt:lpwstr>
  </property>
  <property fmtid="{D5CDD505-2E9C-101B-9397-08002B2CF9AE}" pid="5" name="ContentTypeId">
    <vt:lpwstr>0x010100362197FD79BA644F831AD3034DAD8D30</vt:lpwstr>
  </property>
  <property fmtid="{D5CDD505-2E9C-101B-9397-08002B2CF9AE}" pid="6" name="DocHub_Keywords">
    <vt:lpwstr/>
  </property>
  <property fmtid="{D5CDD505-2E9C-101B-9397-08002B2CF9AE}" pid="7" name="DocHub_WorkActivity">
    <vt:lpwstr/>
  </property>
  <property fmtid="{D5CDD505-2E9C-101B-9397-08002B2CF9AE}" pid="8" name="_dlc_DocIdItemGuid">
    <vt:lpwstr>97a34429-58f2-4b54-a723-2c9a3028c03d</vt:lpwstr>
  </property>
  <property fmtid="{D5CDD505-2E9C-101B-9397-08002B2CF9AE}" pid="9" name="DocHub_BGHProgramLifecyclePhase">
    <vt:lpwstr>20147;#5 - Manage|e650e787-1666-43f5-8888-8bfba453f889</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
  </property>
  <property fmtid="{D5CDD505-2E9C-101B-9397-08002B2CF9AE}" pid="12" name="DocHub_Templatecategory">
    <vt:lpwstr/>
  </property>
  <property fmtid="{D5CDD505-2E9C-101B-9397-08002B2CF9AE}" pid="13" name="VersionNumber">
    <vt:i4>0</vt:i4>
  </property>
  <property fmtid="{D5CDD505-2E9C-101B-9397-08002B2CF9AE}" pid="14" name="FileNumberPty">
    <vt:lpwstr/>
  </property>
  <property fmtid="{D5CDD505-2E9C-101B-9397-08002B2CF9AE}" pid="15" name="CorporateTmplBased">
    <vt:lpwstr>No</vt:lpwstr>
  </property>
  <property fmtid="{D5CDD505-2E9C-101B-9397-08002B2CF9AE}" pid="16" name="DocHub_EntityCustomer">
    <vt:lpwstr/>
  </property>
  <property fmtid="{D5CDD505-2E9C-101B-9397-08002B2CF9AE}" pid="17" name="ClassificationPty">
    <vt:lpwstr/>
  </property>
  <property fmtid="{D5CDD505-2E9C-101B-9397-08002B2CF9AE}" pid="18" name="DocHub_ITRASServiceType">
    <vt:lpwstr/>
  </property>
  <property fmtid="{D5CDD505-2E9C-101B-9397-08002B2CF9AE}" pid="19" name="DocHub_CaseType">
    <vt:lpwstr>20;#Duty assessment|0448f88d-083c-4229-af9f-cdca40fd92d9</vt:lpwstr>
  </property>
  <property fmtid="{D5CDD505-2E9C-101B-9397-08002B2CF9AE}" pid="20" name="DocHub_Entity">
    <vt:lpwstr/>
  </property>
  <property fmtid="{D5CDD505-2E9C-101B-9397-08002B2CF9AE}" pid="21" name="DocHub_PolicyTopic">
    <vt:lpwstr/>
  </property>
  <property fmtid="{D5CDD505-2E9C-101B-9397-08002B2CF9AE}" pid="22" name="DocHub_Goods">
    <vt:lpwstr/>
  </property>
  <property fmtid="{D5CDD505-2E9C-101B-9397-08002B2CF9AE}" pid="23" name="DocHub_Country">
    <vt:lpwstr/>
  </property>
  <property fmtid="{D5CDD505-2E9C-101B-9397-08002B2CF9AE}" pid="24" name="DocHub_ReportType">
    <vt:lpwstr/>
  </property>
  <property fmtid="{D5CDD505-2E9C-101B-9397-08002B2CF9AE}" pid="25" name="he2708d2568a40a6ba455dff069e5096">
    <vt:lpwstr/>
  </property>
  <property fmtid="{D5CDD505-2E9C-101B-9397-08002B2CF9AE}" pid="26" name="DocHub_CaseNumber">
    <vt:lpwstr/>
  </property>
  <property fmtid="{D5CDD505-2E9C-101B-9397-08002B2CF9AE}" pid="27" name="a525dd14246c4526810fcf7cf11229a1">
    <vt:lpwstr/>
  </property>
  <property fmtid="{D5CDD505-2E9C-101B-9397-08002B2CF9AE}" pid="28" name="g7b8dd3acdce4b2a96ed1fde7b8ea352">
    <vt:lpwstr/>
  </property>
  <property fmtid="{D5CDD505-2E9C-101B-9397-08002B2CF9AE}" pid="29" name="a9e5005df30c49b59c550e68528fb7bc">
    <vt:lpwstr>Duty assessment|0448f88d-083c-4229-af9f-cdca40fd92d9</vt:lpwstr>
  </property>
  <property fmtid="{D5CDD505-2E9C-101B-9397-08002B2CF9AE}" pid="30" name="IconOverlay">
    <vt:lpwstr/>
  </property>
  <property fmtid="{D5CDD505-2E9C-101B-9397-08002B2CF9AE}" pid="31" name="fed433c90bd444998726ebeea3584a59">
    <vt:lpwstr/>
  </property>
  <property fmtid="{D5CDD505-2E9C-101B-9397-08002B2CF9AE}" pid="32" name="e1a8023ac9bd4d13a46790ba8a934c2f">
    <vt:lpwstr/>
  </property>
</Properties>
</file>