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45818" w14:textId="30C378D3" w:rsidR="00EC00A2" w:rsidRDefault="00A86C97" w:rsidP="00EC00A2">
      <w:pPr>
        <w:pStyle w:val="Title"/>
      </w:pPr>
      <w:bookmarkStart w:id="0" w:name="_GoBack"/>
      <w:bookmarkEnd w:id="0"/>
      <w:r>
        <w:rPr>
          <w:rStyle w:val="PlaceholderText"/>
        </w:rPr>
        <w:t>Neighbour Sentiment Survey</w:t>
      </w:r>
    </w:p>
    <w:p w14:paraId="22645819" w14:textId="77777777" w:rsidR="00EC00A2" w:rsidRDefault="00094A1C" w:rsidP="00EC00A2">
      <w:pPr>
        <w:pStyle w:val="Subtitle"/>
      </w:pPr>
      <w:r>
        <w:t>2019 detailed guidelines</w:t>
      </w:r>
    </w:p>
    <w:p w14:paraId="2264581A" w14:textId="77777777" w:rsidR="005628BE" w:rsidRDefault="005628BE" w:rsidP="00094A1C">
      <w:pPr>
        <w:pStyle w:val="Calloutbox"/>
      </w:pPr>
      <w:r w:rsidRPr="005628BE">
        <w:t xml:space="preserve">These guidelines have been developed by the Department of Industry, Innovation and Science, with advice from Geoscience Australia, independent market research company ORIMA Research the Kimba Consultative Committees, and the Barndioota Consultative Committees. </w:t>
      </w:r>
    </w:p>
    <w:p w14:paraId="2264581B" w14:textId="77777777" w:rsidR="00094A1C" w:rsidRDefault="00094A1C" w:rsidP="00094A1C">
      <w:pPr>
        <w:pStyle w:val="Heading2"/>
      </w:pPr>
      <w:r>
        <w:t>Overview</w:t>
      </w:r>
    </w:p>
    <w:p w14:paraId="2264581C" w14:textId="77777777" w:rsidR="005628BE" w:rsidRDefault="005628BE" w:rsidP="005628BE">
      <w:r>
        <w:t>T</w:t>
      </w:r>
      <w:r w:rsidRPr="001F6FB1">
        <w:t xml:space="preserve">he Australian Government is committed to delivering the </w:t>
      </w:r>
      <w:r w:rsidRPr="00B929ED">
        <w:t xml:space="preserve">National Radioactive Waste Management Facility (the facility) </w:t>
      </w:r>
      <w:r w:rsidRPr="001F6FB1">
        <w:t>on a site volunteered by the owner alongside a community t</w:t>
      </w:r>
      <w:r>
        <w:t>hat broadly supports hosting it. Indicators informing community sentiment include the community ballots, public submissions, and business and neighbour surveys.</w:t>
      </w:r>
    </w:p>
    <w:p w14:paraId="2264581D" w14:textId="43A063A3" w:rsidR="005628BE" w:rsidRPr="00D43074" w:rsidRDefault="005628BE" w:rsidP="005628BE">
      <w:pPr>
        <w:rPr>
          <w:b/>
          <w:sz w:val="24"/>
        </w:rPr>
      </w:pPr>
      <w:r>
        <w:t>This document provides more detail on eligibility and the method we will use to collect and manage the information you provide.</w:t>
      </w:r>
    </w:p>
    <w:p w14:paraId="2264581E" w14:textId="77777777" w:rsidR="005628BE" w:rsidRPr="00C57FA3" w:rsidRDefault="00102023" w:rsidP="005628BE">
      <w:pPr>
        <w:spacing w:after="0" w:line="240" w:lineRule="auto"/>
      </w:pPr>
      <w:hyperlink w:anchor="_Objective" w:history="1">
        <w:r w:rsidR="005628BE" w:rsidRPr="00C57FA3">
          <w:rPr>
            <w:rStyle w:val="Hyperlink"/>
          </w:rPr>
          <w:t xml:space="preserve">Neighbour </w:t>
        </w:r>
        <w:r w:rsidR="005628BE">
          <w:rPr>
            <w:rStyle w:val="Hyperlink"/>
          </w:rPr>
          <w:t>s</w:t>
        </w:r>
        <w:r w:rsidR="005628BE" w:rsidRPr="00C57FA3">
          <w:rPr>
            <w:rStyle w:val="Hyperlink"/>
          </w:rPr>
          <w:t xml:space="preserve">urvey </w:t>
        </w:r>
        <w:r w:rsidR="005628BE">
          <w:rPr>
            <w:rStyle w:val="Hyperlink"/>
          </w:rPr>
          <w:t>o</w:t>
        </w:r>
        <w:r w:rsidR="005628BE" w:rsidRPr="00C57FA3">
          <w:rPr>
            <w:rStyle w:val="Hyperlink"/>
          </w:rPr>
          <w:t>bjective</w:t>
        </w:r>
      </w:hyperlink>
      <w:r w:rsidR="005628BE" w:rsidRPr="00C57FA3">
        <w:t xml:space="preserve"> </w:t>
      </w:r>
    </w:p>
    <w:p w14:paraId="2264581F" w14:textId="77777777" w:rsidR="005628BE" w:rsidRPr="00C57FA3" w:rsidRDefault="00102023" w:rsidP="005628BE">
      <w:pPr>
        <w:spacing w:after="0" w:line="240" w:lineRule="auto"/>
      </w:pPr>
      <w:hyperlink w:anchor="_Definitions" w:history="1">
        <w:r w:rsidR="005628BE" w:rsidRPr="00FC598E">
          <w:rPr>
            <w:rStyle w:val="Hyperlink"/>
          </w:rPr>
          <w:t>Definitions</w:t>
        </w:r>
      </w:hyperlink>
    </w:p>
    <w:p w14:paraId="22645820" w14:textId="77777777" w:rsidR="005628BE" w:rsidRPr="00C57FA3" w:rsidRDefault="00102023" w:rsidP="005628BE">
      <w:pPr>
        <w:spacing w:after="0" w:line="240" w:lineRule="auto"/>
      </w:pPr>
      <w:hyperlink w:anchor="_Eligibility" w:history="1">
        <w:r w:rsidR="005628BE" w:rsidRPr="00FC598E">
          <w:rPr>
            <w:rStyle w:val="Hyperlink"/>
          </w:rPr>
          <w:t>Eligibility</w:t>
        </w:r>
      </w:hyperlink>
    </w:p>
    <w:p w14:paraId="22645821" w14:textId="77777777" w:rsidR="005628BE" w:rsidRPr="00C57FA3" w:rsidRDefault="00102023" w:rsidP="005628BE">
      <w:pPr>
        <w:spacing w:after="0" w:line="240" w:lineRule="auto"/>
      </w:pPr>
      <w:hyperlink w:anchor="_Participation_Process" w:history="1">
        <w:r w:rsidR="005628BE" w:rsidRPr="00FC598E">
          <w:rPr>
            <w:rStyle w:val="Hyperlink"/>
          </w:rPr>
          <w:t xml:space="preserve">Participation </w:t>
        </w:r>
        <w:r w:rsidR="005628BE">
          <w:rPr>
            <w:rStyle w:val="Hyperlink"/>
          </w:rPr>
          <w:t>p</w:t>
        </w:r>
        <w:r w:rsidR="005628BE" w:rsidRPr="00FC598E">
          <w:rPr>
            <w:rStyle w:val="Hyperlink"/>
          </w:rPr>
          <w:t>rocess</w:t>
        </w:r>
      </w:hyperlink>
      <w:r w:rsidR="005628BE" w:rsidRPr="00C57FA3">
        <w:t xml:space="preserve"> </w:t>
      </w:r>
    </w:p>
    <w:p w14:paraId="22645822" w14:textId="77777777" w:rsidR="005628BE" w:rsidRPr="00C57FA3" w:rsidRDefault="00102023" w:rsidP="005628BE">
      <w:pPr>
        <w:spacing w:after="0" w:line="240" w:lineRule="auto"/>
      </w:pPr>
      <w:hyperlink w:anchor="_Methodology" w:history="1">
        <w:r w:rsidR="005628BE" w:rsidRPr="00FC598E">
          <w:rPr>
            <w:rStyle w:val="Hyperlink"/>
          </w:rPr>
          <w:t>Methodology</w:t>
        </w:r>
      </w:hyperlink>
      <w:r w:rsidR="005628BE" w:rsidRPr="00C57FA3">
        <w:t xml:space="preserve"> </w:t>
      </w:r>
    </w:p>
    <w:p w14:paraId="22645823" w14:textId="77777777" w:rsidR="005628BE" w:rsidRPr="00C57FA3" w:rsidRDefault="00102023" w:rsidP="005628BE">
      <w:pPr>
        <w:spacing w:after="0" w:line="240" w:lineRule="auto"/>
      </w:pPr>
      <w:hyperlink w:anchor="_Implementation_Timing" w:history="1">
        <w:r w:rsidR="005628BE" w:rsidRPr="00C57FA3">
          <w:rPr>
            <w:rStyle w:val="Hyperlink"/>
          </w:rPr>
          <w:t xml:space="preserve">Implementation </w:t>
        </w:r>
        <w:r w:rsidR="005628BE">
          <w:rPr>
            <w:rStyle w:val="Hyperlink"/>
          </w:rPr>
          <w:t>t</w:t>
        </w:r>
        <w:r w:rsidR="005628BE" w:rsidRPr="00C57FA3">
          <w:rPr>
            <w:rStyle w:val="Hyperlink"/>
          </w:rPr>
          <w:t xml:space="preserve">iming </w:t>
        </w:r>
      </w:hyperlink>
    </w:p>
    <w:p w14:paraId="22645824" w14:textId="77777777" w:rsidR="005628BE" w:rsidRPr="00C57FA3" w:rsidRDefault="00102023" w:rsidP="005628BE">
      <w:pPr>
        <w:spacing w:after="0" w:line="240" w:lineRule="auto"/>
      </w:pPr>
      <w:hyperlink w:anchor="_Implementation_Considerations" w:history="1">
        <w:r w:rsidR="005628BE" w:rsidRPr="00C57FA3">
          <w:rPr>
            <w:rStyle w:val="Hyperlink"/>
          </w:rPr>
          <w:t xml:space="preserve">Implementation </w:t>
        </w:r>
        <w:r w:rsidR="005628BE">
          <w:rPr>
            <w:rStyle w:val="Hyperlink"/>
          </w:rPr>
          <w:t>c</w:t>
        </w:r>
        <w:r w:rsidR="005628BE" w:rsidRPr="00C57FA3">
          <w:rPr>
            <w:rStyle w:val="Hyperlink"/>
          </w:rPr>
          <w:t>onsiderations</w:t>
        </w:r>
      </w:hyperlink>
    </w:p>
    <w:p w14:paraId="22645825" w14:textId="77777777" w:rsidR="005628BE" w:rsidRDefault="00102023" w:rsidP="005628BE">
      <w:pPr>
        <w:spacing w:after="0" w:line="240" w:lineRule="auto"/>
      </w:pPr>
      <w:hyperlink w:anchor="_About_ORIMA_Research" w:history="1">
        <w:r w:rsidR="005628BE" w:rsidRPr="00C57FA3">
          <w:rPr>
            <w:rStyle w:val="Hyperlink"/>
          </w:rPr>
          <w:t>About ORIMA Research</w:t>
        </w:r>
      </w:hyperlink>
      <w:r w:rsidR="005628BE" w:rsidRPr="00C57FA3">
        <w:t xml:space="preserve"> </w:t>
      </w:r>
    </w:p>
    <w:p w14:paraId="22645826" w14:textId="77777777" w:rsidR="005628BE" w:rsidRPr="00C57FA3" w:rsidRDefault="005628BE" w:rsidP="005628BE">
      <w:pPr>
        <w:spacing w:after="0" w:line="240" w:lineRule="auto"/>
      </w:pPr>
    </w:p>
    <w:p w14:paraId="22645827" w14:textId="77777777" w:rsidR="005628BE" w:rsidRPr="00104DEC" w:rsidRDefault="005628BE" w:rsidP="005628BE">
      <w:pPr>
        <w:pStyle w:val="Heading2"/>
      </w:pPr>
      <w:r>
        <w:t xml:space="preserve">Neighbour survey </w:t>
      </w:r>
      <w:bookmarkStart w:id="1" w:name="_Objective"/>
      <w:bookmarkEnd w:id="1"/>
      <w:r>
        <w:t>o</w:t>
      </w:r>
      <w:r w:rsidRPr="00104DEC">
        <w:t>bjective</w:t>
      </w:r>
    </w:p>
    <w:p w14:paraId="22645828" w14:textId="77777777" w:rsidR="005628BE" w:rsidRDefault="005628BE" w:rsidP="005628BE">
      <w:r w:rsidRPr="00B929ED">
        <w:t>To determine</w:t>
      </w:r>
      <w:r w:rsidRPr="00927EC8">
        <w:t xml:space="preserve"> the sentiment </w:t>
      </w:r>
      <w:r w:rsidRPr="00A979AE">
        <w:t xml:space="preserve">held by direct and near neighbours of the nominated sites toward the facility. </w:t>
      </w:r>
    </w:p>
    <w:p w14:paraId="22645829" w14:textId="77777777" w:rsidR="005628BE" w:rsidRDefault="005628BE" w:rsidP="005628BE">
      <w:pPr>
        <w:pStyle w:val="Heading2"/>
      </w:pPr>
      <w:bookmarkStart w:id="2" w:name="_Challenges"/>
      <w:bookmarkStart w:id="3" w:name="_Definitions"/>
      <w:bookmarkEnd w:id="2"/>
      <w:bookmarkEnd w:id="3"/>
      <w:r>
        <w:t xml:space="preserve">Definitions </w:t>
      </w:r>
    </w:p>
    <w:p w14:paraId="2264582A" w14:textId="45F89DB5" w:rsidR="005628BE" w:rsidRDefault="005628BE" w:rsidP="005628BE">
      <w:r w:rsidRPr="00927EC8">
        <w:rPr>
          <w:i/>
        </w:rPr>
        <w:t>N</w:t>
      </w:r>
      <w:r w:rsidRPr="00D727E9">
        <w:rPr>
          <w:i/>
        </w:rPr>
        <w:t>ominated site</w:t>
      </w:r>
      <w:r>
        <w:rPr>
          <w:i/>
        </w:rPr>
        <w:t>/</w:t>
      </w:r>
      <w:r w:rsidRPr="00927EC8">
        <w:rPr>
          <w:i/>
        </w:rPr>
        <w:t>s</w:t>
      </w:r>
      <w:r>
        <w:t xml:space="preserve"> means</w:t>
      </w:r>
      <w:r w:rsidR="00380D92">
        <w:t xml:space="preserve"> </w:t>
      </w:r>
      <w:r w:rsidR="00762AFA">
        <w:t xml:space="preserve">the </w:t>
      </w:r>
      <w:r w:rsidR="00380D92">
        <w:t>part of the</w:t>
      </w:r>
      <w:r>
        <w:t xml:space="preserve"> land at Lyndhurst, Napandee or Wallerberdina Station which was nominated under part two of the </w:t>
      </w:r>
      <w:r w:rsidRPr="007A6D61">
        <w:rPr>
          <w:i/>
        </w:rPr>
        <w:t>National Radioactive Waste Management Act</w:t>
      </w:r>
      <w:r>
        <w:t xml:space="preserve"> 2012. </w:t>
      </w:r>
    </w:p>
    <w:p w14:paraId="58F9D66E" w14:textId="77777777" w:rsidR="00C82966" w:rsidRDefault="005628BE" w:rsidP="00762AFA">
      <w:r>
        <w:t xml:space="preserve">A </w:t>
      </w:r>
      <w:r w:rsidRPr="004E0A03">
        <w:rPr>
          <w:i/>
        </w:rPr>
        <w:t>neighbour</w:t>
      </w:r>
      <w:r>
        <w:t xml:space="preserve"> is</w:t>
      </w:r>
      <w:r w:rsidR="00C82966">
        <w:t>:</w:t>
      </w:r>
      <w:r>
        <w:t xml:space="preserve"> </w:t>
      </w:r>
    </w:p>
    <w:p w14:paraId="08552A8B" w14:textId="43C79EDF" w:rsidR="00767D49" w:rsidRDefault="005628BE" w:rsidP="00762AFA">
      <w:pPr>
        <w:pStyle w:val="ListParagraph"/>
        <w:numPr>
          <w:ilvl w:val="0"/>
          <w:numId w:val="37"/>
        </w:numPr>
      </w:pPr>
      <w:r>
        <w:t>a person or entity that</w:t>
      </w:r>
      <w:r w:rsidR="00767D49">
        <w:t xml:space="preserve">, at the </w:t>
      </w:r>
      <w:r w:rsidR="00767D49" w:rsidRPr="00BA5385">
        <w:t xml:space="preserve">survey </w:t>
      </w:r>
      <w:r w:rsidR="00C53C9B" w:rsidRPr="00A4655D">
        <w:t xml:space="preserve">start </w:t>
      </w:r>
      <w:r w:rsidR="00767D49" w:rsidRPr="00BA5385">
        <w:t>date:</w:t>
      </w:r>
    </w:p>
    <w:p w14:paraId="4091DE7A" w14:textId="1BB437A6" w:rsidR="00DB0517" w:rsidRDefault="00C82966" w:rsidP="00A4655D">
      <w:pPr>
        <w:pStyle w:val="ListParagraph"/>
        <w:numPr>
          <w:ilvl w:val="1"/>
          <w:numId w:val="37"/>
        </w:numPr>
      </w:pPr>
      <w:r>
        <w:t xml:space="preserve">is the proprietor of </w:t>
      </w:r>
      <w:r w:rsidR="00EE1266">
        <w:t xml:space="preserve">a </w:t>
      </w:r>
      <w:r w:rsidR="00B6375D">
        <w:t>freehold</w:t>
      </w:r>
      <w:r w:rsidR="00EE1266">
        <w:t xml:space="preserve"> estate</w:t>
      </w:r>
      <w:r w:rsidR="00B6375D">
        <w:t xml:space="preserve"> registered </w:t>
      </w:r>
      <w:r w:rsidR="00EE1266">
        <w:t xml:space="preserve">as such </w:t>
      </w:r>
      <w:r w:rsidR="00B6375D">
        <w:t xml:space="preserve">in the Register Book under the </w:t>
      </w:r>
      <w:r w:rsidR="00B6375D">
        <w:rPr>
          <w:i/>
        </w:rPr>
        <w:t xml:space="preserve">Real Property Act 1886 </w:t>
      </w:r>
      <w:r w:rsidR="00B6375D">
        <w:t>(SA)</w:t>
      </w:r>
      <w:r w:rsidR="00762AFA">
        <w:t xml:space="preserve"> for land within the neighbour radius</w:t>
      </w:r>
      <w:r w:rsidR="00DB0517">
        <w:t>;</w:t>
      </w:r>
      <w:r w:rsidR="00E470F8">
        <w:t xml:space="preserve"> or</w:t>
      </w:r>
    </w:p>
    <w:p w14:paraId="50F74554" w14:textId="006E0F84" w:rsidR="00C82966" w:rsidRDefault="00DB0517" w:rsidP="00762AFA">
      <w:pPr>
        <w:pStyle w:val="ListParagraph"/>
        <w:numPr>
          <w:ilvl w:val="1"/>
          <w:numId w:val="37"/>
        </w:numPr>
      </w:pPr>
      <w:r>
        <w:t>is a Crown lessee</w:t>
      </w:r>
      <w:r w:rsidR="00767D49">
        <w:t xml:space="preserve"> </w:t>
      </w:r>
      <w:r>
        <w:t>as registered in the Register of Crown Leases</w:t>
      </w:r>
      <w:r w:rsidR="008E5740">
        <w:t xml:space="preserve"> (referred to in the </w:t>
      </w:r>
      <w:r w:rsidR="008E5740">
        <w:rPr>
          <w:i/>
        </w:rPr>
        <w:t xml:space="preserve">Real Property Act 1886 </w:t>
      </w:r>
      <w:r w:rsidR="008E5740">
        <w:t xml:space="preserve">(SA)) </w:t>
      </w:r>
      <w:r w:rsidR="00767D49">
        <w:t xml:space="preserve">for </w:t>
      </w:r>
      <w:r w:rsidR="00762AFA">
        <w:t>land within the neighbour radius</w:t>
      </w:r>
      <w:r w:rsidR="003445DF">
        <w:t>,</w:t>
      </w:r>
      <w:r>
        <w:t xml:space="preserve"> </w:t>
      </w:r>
    </w:p>
    <w:p w14:paraId="226DDFC4" w14:textId="24E5FFED" w:rsidR="003445DF" w:rsidRPr="00FC6CC0" w:rsidRDefault="003445DF" w:rsidP="00A4655D">
      <w:pPr>
        <w:ind w:left="1080"/>
      </w:pPr>
      <w:r>
        <w:t xml:space="preserve">(each, an </w:t>
      </w:r>
      <w:r>
        <w:rPr>
          <w:i/>
        </w:rPr>
        <w:t>owner</w:t>
      </w:r>
      <w:r>
        <w:t>); or</w:t>
      </w:r>
    </w:p>
    <w:p w14:paraId="063CEDA1" w14:textId="235F951A" w:rsidR="0007068B" w:rsidRDefault="00DB0517">
      <w:pPr>
        <w:pStyle w:val="ListParagraph"/>
        <w:numPr>
          <w:ilvl w:val="0"/>
          <w:numId w:val="37"/>
        </w:numPr>
      </w:pPr>
      <w:r>
        <w:lastRenderedPageBreak/>
        <w:t>a person who</w:t>
      </w:r>
      <w:r w:rsidR="00AB7628">
        <w:t xml:space="preserve">, </w:t>
      </w:r>
      <w:r w:rsidR="00AB7628" w:rsidRPr="00BA5385">
        <w:t>as at the survey</w:t>
      </w:r>
      <w:r w:rsidR="00C53C9B" w:rsidRPr="00A4655D">
        <w:t xml:space="preserve"> start</w:t>
      </w:r>
      <w:r w:rsidR="00AB7628" w:rsidRPr="00BA5385">
        <w:t xml:space="preserve"> date</w:t>
      </w:r>
      <w:r w:rsidR="00AB7628">
        <w:t xml:space="preserve">, had </w:t>
      </w:r>
      <w:r w:rsidR="00C9719F">
        <w:t>resided within the neighbour radius</w:t>
      </w:r>
      <w:r w:rsidR="00AB7628">
        <w:t xml:space="preserve"> for at least 30 </w:t>
      </w:r>
      <w:r w:rsidR="00CA4F48">
        <w:t xml:space="preserve">consecutive </w:t>
      </w:r>
      <w:r w:rsidR="00AB7628">
        <w:t>days immediately prior to that date</w:t>
      </w:r>
      <w:r w:rsidR="00CA4F48">
        <w:t xml:space="preserve"> (a person resides at a place if they temporarily or permanently live at that place)</w:t>
      </w:r>
      <w:r w:rsidR="00AA4E1E">
        <w:t xml:space="preserve"> (a </w:t>
      </w:r>
      <w:r w:rsidR="00AA4E1E">
        <w:rPr>
          <w:i/>
        </w:rPr>
        <w:t>resident</w:t>
      </w:r>
      <w:r w:rsidR="00AA4E1E">
        <w:t>)</w:t>
      </w:r>
      <w:r w:rsidR="0007068B">
        <w:t>,</w:t>
      </w:r>
    </w:p>
    <w:p w14:paraId="29F562FD" w14:textId="712A7A35" w:rsidR="00DB0517" w:rsidRDefault="0007068B" w:rsidP="00A4655D">
      <w:pPr>
        <w:ind w:left="360"/>
      </w:pPr>
      <w:r>
        <w:t xml:space="preserve">provided that </w:t>
      </w:r>
      <w:r w:rsidR="003B2A8E">
        <w:t xml:space="preserve">if the </w:t>
      </w:r>
      <w:r w:rsidR="003B2A8E">
        <w:rPr>
          <w:i/>
        </w:rPr>
        <w:t xml:space="preserve">neighbour </w:t>
      </w:r>
      <w:r w:rsidR="003B2A8E">
        <w:t>is an individual, they are 18 years or older</w:t>
      </w:r>
      <w:r w:rsidR="00CA4F48">
        <w:t>.</w:t>
      </w:r>
      <w:r w:rsidR="00EE1266">
        <w:t xml:space="preserve"> A neighbour cannot be the Crown in any capacity, a district council or any other State or Commonwealth government body.</w:t>
      </w:r>
    </w:p>
    <w:p w14:paraId="2264582C" w14:textId="77777777" w:rsidR="005628BE" w:rsidRDefault="005628BE" w:rsidP="005628BE">
      <w:r>
        <w:t xml:space="preserve">The </w:t>
      </w:r>
      <w:r w:rsidRPr="004E0A03">
        <w:rPr>
          <w:i/>
        </w:rPr>
        <w:t>neighbour radius</w:t>
      </w:r>
      <w:r>
        <w:t>:</w:t>
      </w:r>
    </w:p>
    <w:p w14:paraId="2264582D" w14:textId="16DD6284" w:rsidR="005628BE" w:rsidRDefault="005628BE" w:rsidP="004D6060">
      <w:pPr>
        <w:numPr>
          <w:ilvl w:val="0"/>
          <w:numId w:val="31"/>
        </w:numPr>
      </w:pPr>
      <w:r>
        <w:t>for the purposes of the Kimba neighbour survey, is the 5 kilometre radius drawn from all points along the boundary of the nominated sites of Lyndhurst and Napandee, as determined by Geoscience Australia; and</w:t>
      </w:r>
    </w:p>
    <w:p w14:paraId="2264582E" w14:textId="77777777" w:rsidR="005628BE" w:rsidRDefault="005628BE" w:rsidP="004D6060">
      <w:pPr>
        <w:numPr>
          <w:ilvl w:val="0"/>
          <w:numId w:val="31"/>
        </w:numPr>
      </w:pPr>
      <w:r>
        <w:t xml:space="preserve">for the purposes of the Hawker/Quorn neighbour survey, is the 5 kilometre radius drawn from all points along the boundary of the Wallerberdina Station (as nominated), as determined by Geoscience Australia. </w:t>
      </w:r>
    </w:p>
    <w:p w14:paraId="6C125450" w14:textId="5B26D51B" w:rsidR="00A176D9" w:rsidRPr="00A4655D" w:rsidRDefault="00A176D9" w:rsidP="005628BE">
      <w:pPr>
        <w:rPr>
          <w:b/>
          <w:i/>
        </w:rPr>
      </w:pPr>
      <w:r>
        <w:rPr>
          <w:i/>
        </w:rPr>
        <w:t xml:space="preserve">Survey </w:t>
      </w:r>
      <w:r w:rsidR="00C53C9B">
        <w:rPr>
          <w:i/>
        </w:rPr>
        <w:t xml:space="preserve">start </w:t>
      </w:r>
      <w:r>
        <w:rPr>
          <w:i/>
        </w:rPr>
        <w:t xml:space="preserve">date </w:t>
      </w:r>
      <w:r>
        <w:t>means</w:t>
      </w:r>
      <w:r w:rsidR="00C53C9B">
        <w:t xml:space="preserve"> 4 November 2019.</w:t>
      </w:r>
    </w:p>
    <w:p w14:paraId="22645831" w14:textId="6A79E7ED" w:rsidR="005628BE" w:rsidRPr="004E0A03" w:rsidRDefault="005628BE"/>
    <w:p w14:paraId="22645832" w14:textId="77777777" w:rsidR="005628BE" w:rsidRDefault="005628BE" w:rsidP="005628BE">
      <w:pPr>
        <w:pStyle w:val="Heading2"/>
      </w:pPr>
      <w:bookmarkStart w:id="4" w:name="_Eligibility"/>
      <w:bookmarkEnd w:id="4"/>
      <w:r w:rsidRPr="00104DEC">
        <w:t>Eligibility</w:t>
      </w:r>
    </w:p>
    <w:p w14:paraId="22645833" w14:textId="77777777" w:rsidR="005628BE" w:rsidRPr="00432D23" w:rsidRDefault="005628BE" w:rsidP="00432D23">
      <w:pPr>
        <w:pStyle w:val="Heading3"/>
        <w:rPr>
          <w:rStyle w:val="IntenseEmphasis"/>
          <w:i w:val="0"/>
          <w:iCs w:val="0"/>
          <w:color w:val="005677" w:themeColor="text2"/>
        </w:rPr>
      </w:pPr>
      <w:r w:rsidRPr="00432D23">
        <w:rPr>
          <w:rStyle w:val="IntenseEmphasis"/>
          <w:i w:val="0"/>
          <w:iCs w:val="0"/>
          <w:color w:val="005677" w:themeColor="text2"/>
        </w:rPr>
        <w:t xml:space="preserve">Neighbours who are owners </w:t>
      </w:r>
    </w:p>
    <w:p w14:paraId="22645835" w14:textId="1DFC7469" w:rsidR="005628BE" w:rsidRPr="009E42F3" w:rsidRDefault="005628BE" w:rsidP="00A4655D">
      <w:r w:rsidRPr="00793041">
        <w:t>Owners</w:t>
      </w:r>
      <w:r w:rsidRPr="00793041" w:rsidDel="00E04269">
        <w:t xml:space="preserve"> </w:t>
      </w:r>
      <w:r w:rsidR="001B357A" w:rsidRPr="00793041">
        <w:t xml:space="preserve">can be </w:t>
      </w:r>
      <w:r w:rsidRPr="00793041">
        <w:t xml:space="preserve">individuals or </w:t>
      </w:r>
      <w:r w:rsidR="00F639EB" w:rsidRPr="00793041">
        <w:t>organisations</w:t>
      </w:r>
      <w:r w:rsidRPr="00793041">
        <w:t xml:space="preserve"> (one response per owner per property)</w:t>
      </w:r>
      <w:r w:rsidR="009E42F3" w:rsidRPr="00793041">
        <w:t>.</w:t>
      </w:r>
      <w:r w:rsidR="00D07789" w:rsidRPr="00793041">
        <w:t xml:space="preserve"> </w:t>
      </w:r>
      <w:r w:rsidR="00A41797" w:rsidRPr="00793041">
        <w:t>For</w:t>
      </w:r>
      <w:r w:rsidR="001B357A" w:rsidRPr="00793041">
        <w:t xml:space="preserve"> clarity,</w:t>
      </w:r>
      <w:r w:rsidR="00A41797" w:rsidRPr="00793041">
        <w:t xml:space="preserve"> owners that are:</w:t>
      </w:r>
    </w:p>
    <w:p w14:paraId="22645836" w14:textId="4EAC77FF" w:rsidR="005628BE" w:rsidRPr="00927EC8" w:rsidRDefault="005628BE" w:rsidP="004D6060">
      <w:pPr>
        <w:numPr>
          <w:ilvl w:val="0"/>
          <w:numId w:val="32"/>
        </w:numPr>
        <w:rPr>
          <w:lang w:val="en-US"/>
        </w:rPr>
      </w:pPr>
      <w:r w:rsidRPr="003A0F20">
        <w:rPr>
          <w:lang w:val="en-US"/>
        </w:rPr>
        <w:t>Trustees</w:t>
      </w:r>
      <w:r w:rsidR="00A41797">
        <w:rPr>
          <w:lang w:val="en-US"/>
        </w:rPr>
        <w:t xml:space="preserve"> are entitled to</w:t>
      </w:r>
      <w:r w:rsidRPr="003A0F20" w:rsidDel="00A41797">
        <w:rPr>
          <w:lang w:val="en-US"/>
        </w:rPr>
        <w:t xml:space="preserve"> </w:t>
      </w:r>
      <w:r w:rsidRPr="003A0F20">
        <w:rPr>
          <w:lang w:val="en-US"/>
        </w:rPr>
        <w:t>one response per trustee per property</w:t>
      </w:r>
      <w:r>
        <w:rPr>
          <w:lang w:val="en-US"/>
        </w:rPr>
        <w:t>; or</w:t>
      </w:r>
    </w:p>
    <w:p w14:paraId="22645837" w14:textId="602D9B1F" w:rsidR="005628BE" w:rsidRPr="00B929ED" w:rsidRDefault="005628BE">
      <w:pPr>
        <w:numPr>
          <w:ilvl w:val="0"/>
          <w:numId w:val="32"/>
        </w:numPr>
      </w:pPr>
      <w:r w:rsidRPr="003A0F20">
        <w:rPr>
          <w:lang w:val="en-US"/>
        </w:rPr>
        <w:t>Partners</w:t>
      </w:r>
      <w:r w:rsidR="00E04269">
        <w:rPr>
          <w:lang w:val="en-US"/>
        </w:rPr>
        <w:t xml:space="preserve"> in a partners</w:t>
      </w:r>
      <w:r w:rsidRPr="003A0F20">
        <w:rPr>
          <w:lang w:val="en-US"/>
        </w:rPr>
        <w:t>hip</w:t>
      </w:r>
      <w:r w:rsidR="00A41797">
        <w:rPr>
          <w:lang w:val="en-US"/>
        </w:rPr>
        <w:t xml:space="preserve"> are entitled to</w:t>
      </w:r>
      <w:r w:rsidRPr="003A0F20">
        <w:rPr>
          <w:lang w:val="en-US"/>
        </w:rPr>
        <w:t xml:space="preserve"> one response per partner per property</w:t>
      </w:r>
      <w:r w:rsidRPr="009E42F3">
        <w:rPr>
          <w:lang w:val="en-US"/>
        </w:rPr>
        <w:t>.</w:t>
      </w:r>
      <w:r w:rsidRPr="00B929ED" w:rsidDel="0051094B">
        <w:t xml:space="preserve"> </w:t>
      </w:r>
    </w:p>
    <w:p w14:paraId="22645838" w14:textId="1410606D" w:rsidR="005628BE" w:rsidRPr="00A4655D" w:rsidRDefault="00A176D9" w:rsidP="004D6060">
      <w:pPr>
        <w:rPr>
          <w:b/>
          <w:i/>
        </w:rPr>
      </w:pPr>
      <w:r>
        <w:t>Owners</w:t>
      </w:r>
      <w:r w:rsidR="00954B5B">
        <w:t xml:space="preserve"> that are individuals</w:t>
      </w:r>
      <w:r>
        <w:t xml:space="preserve"> </w:t>
      </w:r>
      <w:r w:rsidR="005628BE">
        <w:t xml:space="preserve">must be aged 18 years or older on the survey </w:t>
      </w:r>
      <w:r>
        <w:t>date</w:t>
      </w:r>
      <w:r w:rsidR="005628BE">
        <w:t xml:space="preserve">. </w:t>
      </w:r>
    </w:p>
    <w:p w14:paraId="22645839" w14:textId="77777777" w:rsidR="005628BE" w:rsidRDefault="005628BE" w:rsidP="004D6060">
      <w:r>
        <w:t xml:space="preserve">Neighbours who own an eligible property do not need to reside at the property to be eligible to participate. </w:t>
      </w:r>
    </w:p>
    <w:p w14:paraId="2264583A" w14:textId="28FFEDE3" w:rsidR="005628BE" w:rsidRDefault="005628BE" w:rsidP="004D6060">
      <w:r>
        <w:t>Where a neighbour is both an owner and a resident, the neighbour will have one opportunity to participate as an owner</w:t>
      </w:r>
      <w:r w:rsidR="00AA4E1E">
        <w:t xml:space="preserve"> </w:t>
      </w:r>
      <w:r w:rsidR="00954B5B" w:rsidRPr="004E4DDB">
        <w:t>(i</w:t>
      </w:r>
      <w:r w:rsidR="001B7180">
        <w:t>.</w:t>
      </w:r>
      <w:r w:rsidR="00954B5B" w:rsidRPr="004E4DDB">
        <w:t>e</w:t>
      </w:r>
      <w:r w:rsidR="001B7180">
        <w:t>.</w:t>
      </w:r>
      <w:r w:rsidR="00954B5B" w:rsidRPr="004E4DDB">
        <w:t xml:space="preserve"> </w:t>
      </w:r>
      <w:r w:rsidR="00E04269">
        <w:t>they do</w:t>
      </w:r>
      <w:r w:rsidR="00954B5B" w:rsidRPr="004E4DDB">
        <w:t xml:space="preserve"> not have a second opportunity to participate because </w:t>
      </w:r>
      <w:r w:rsidR="00E04269">
        <w:t>they are</w:t>
      </w:r>
      <w:r w:rsidR="00954B5B" w:rsidRPr="004E4DDB">
        <w:t xml:space="preserve"> also </w:t>
      </w:r>
      <w:r w:rsidR="00AA4E1E" w:rsidRPr="004E4DDB">
        <w:t>a resident</w:t>
      </w:r>
      <w:r w:rsidR="00954B5B" w:rsidRPr="004E4DDB">
        <w:t>)</w:t>
      </w:r>
      <w:r w:rsidRPr="004E4DDB">
        <w:t>.</w:t>
      </w:r>
      <w:r>
        <w:t xml:space="preserve"> </w:t>
      </w:r>
    </w:p>
    <w:p w14:paraId="2264583B" w14:textId="2BEB76E2" w:rsidR="005628BE" w:rsidRDefault="005628BE" w:rsidP="004D6060">
      <w:r>
        <w:t xml:space="preserve">Where a neighbour </w:t>
      </w:r>
      <w:r w:rsidR="00AA4E1E">
        <w:t xml:space="preserve">is </w:t>
      </w:r>
      <w:r w:rsidR="00DC5680">
        <w:t xml:space="preserve">eligible to participate multiple times in the survey because they are the owner of </w:t>
      </w:r>
      <w:r>
        <w:t>multiple</w:t>
      </w:r>
      <w:r w:rsidDel="00DC5680">
        <w:t xml:space="preserve"> </w:t>
      </w:r>
      <w:r>
        <w:t>properties, the default approach will be to record their response once and to apply that response to each property they own. If they wish to record different responses for each property, they can elect do so when contacted by ORIMA.</w:t>
      </w:r>
    </w:p>
    <w:p w14:paraId="2264583C" w14:textId="20DA9CB1" w:rsidR="005628BE" w:rsidRPr="00432D23" w:rsidRDefault="005628BE" w:rsidP="00432D23">
      <w:pPr>
        <w:pStyle w:val="Heading3"/>
        <w:rPr>
          <w:rStyle w:val="IntenseEmphasis"/>
          <w:i w:val="0"/>
          <w:iCs w:val="0"/>
          <w:color w:val="005677" w:themeColor="text2"/>
        </w:rPr>
      </w:pPr>
      <w:r w:rsidRPr="00432D23">
        <w:rPr>
          <w:rStyle w:val="IntenseEmphasis"/>
          <w:i w:val="0"/>
          <w:iCs w:val="0"/>
          <w:color w:val="005677" w:themeColor="text2"/>
        </w:rPr>
        <w:t>Neighbours who</w:t>
      </w:r>
      <w:r w:rsidR="005C10F0">
        <w:rPr>
          <w:rStyle w:val="IntenseEmphasis"/>
          <w:i w:val="0"/>
          <w:iCs w:val="0"/>
          <w:color w:val="005677" w:themeColor="text2"/>
        </w:rPr>
        <w:t xml:space="preserve"> </w:t>
      </w:r>
      <w:r w:rsidR="004E4DDB">
        <w:rPr>
          <w:rStyle w:val="IntenseEmphasis"/>
          <w:i w:val="0"/>
          <w:iCs w:val="0"/>
          <w:color w:val="005677" w:themeColor="text2"/>
        </w:rPr>
        <w:t>are residents</w:t>
      </w:r>
    </w:p>
    <w:p w14:paraId="2264583D" w14:textId="78CDDC6C" w:rsidR="005628BE" w:rsidRDefault="005628BE" w:rsidP="004D6060">
      <w:r>
        <w:t xml:space="preserve">Neighbours who reside </w:t>
      </w:r>
      <w:r w:rsidR="00227837">
        <w:t>within the neighbour radius</w:t>
      </w:r>
      <w:r>
        <w:t xml:space="preserve"> will be eligible if, on the </w:t>
      </w:r>
      <w:r w:rsidR="00227837">
        <w:t>survey date</w:t>
      </w:r>
      <w:r>
        <w:t xml:space="preserve">, they: </w:t>
      </w:r>
    </w:p>
    <w:p w14:paraId="2264583E" w14:textId="77777777" w:rsidR="005628BE" w:rsidRDefault="005628BE" w:rsidP="004D6060">
      <w:pPr>
        <w:numPr>
          <w:ilvl w:val="0"/>
          <w:numId w:val="33"/>
        </w:numPr>
      </w:pPr>
      <w:r>
        <w:t xml:space="preserve">are a person aged 18 or over; and </w:t>
      </w:r>
    </w:p>
    <w:p w14:paraId="2264583F" w14:textId="0C8E245B" w:rsidR="005628BE" w:rsidRDefault="005628BE" w:rsidP="004D6060">
      <w:pPr>
        <w:numPr>
          <w:ilvl w:val="0"/>
          <w:numId w:val="33"/>
        </w:numPr>
      </w:pPr>
      <w:r>
        <w:t xml:space="preserve">have resided </w:t>
      </w:r>
      <w:r w:rsidR="00227837">
        <w:t>within the neighbour radius</w:t>
      </w:r>
      <w:r>
        <w:t xml:space="preserve"> for at least 30 consecutive days prior</w:t>
      </w:r>
      <w:r w:rsidR="00227837">
        <w:t xml:space="preserve"> (a person resides at a place if they temporarily or permanently live at that place)</w:t>
      </w:r>
      <w:r>
        <w:t>.</w:t>
      </w:r>
    </w:p>
    <w:p w14:paraId="22645840" w14:textId="2D82F91D" w:rsidR="005628BE" w:rsidRDefault="005628BE" w:rsidP="004D6060">
      <w:r>
        <w:lastRenderedPageBreak/>
        <w:t xml:space="preserve">A neighbour who is not an owner needs to either nominate or be nominated to participate and will be entitled to one survey response. </w:t>
      </w:r>
      <w:r w:rsidR="00C53C9B">
        <w:t xml:space="preserve">To self-nominate, neighbours can contact the department through the Kimba or Hawker Offices, the hotline (1800 682 704), or by emailing </w:t>
      </w:r>
      <w:hyperlink r:id="rId12" w:history="1">
        <w:r w:rsidR="00C53C9B" w:rsidRPr="00CD0650">
          <w:rPr>
            <w:rStyle w:val="Hyperlink"/>
          </w:rPr>
          <w:t>radioactivewaste@industry.gov.au</w:t>
        </w:r>
      </w:hyperlink>
      <w:r w:rsidR="00C53C9B">
        <w:t>.</w:t>
      </w:r>
    </w:p>
    <w:p w14:paraId="22645842" w14:textId="77777777" w:rsidR="005628BE" w:rsidRDefault="005628BE" w:rsidP="005628BE">
      <w:pPr>
        <w:pStyle w:val="Heading2"/>
      </w:pPr>
      <w:bookmarkStart w:id="5" w:name="_Participation_Process"/>
      <w:bookmarkEnd w:id="5"/>
      <w:r>
        <w:t xml:space="preserve">Participation process </w:t>
      </w:r>
    </w:p>
    <w:p w14:paraId="22645843" w14:textId="212C3639" w:rsidR="005628BE" w:rsidRDefault="005628BE" w:rsidP="004D6060">
      <w:r>
        <w:t>Step 1 –</w:t>
      </w:r>
      <w:r w:rsidR="00BF2528">
        <w:rPr>
          <w:rFonts w:cstheme="minorHAnsi"/>
          <w:bCs/>
          <w:color w:val="000000"/>
          <w:szCs w:val="23"/>
        </w:rPr>
        <w:t xml:space="preserve">Owners </w:t>
      </w:r>
      <w:r>
        <w:t>will receive a letter from the department asking them to:</w:t>
      </w:r>
    </w:p>
    <w:p w14:paraId="22645844" w14:textId="77777777" w:rsidR="005628BE" w:rsidRDefault="005628BE" w:rsidP="004D6060">
      <w:pPr>
        <w:numPr>
          <w:ilvl w:val="0"/>
          <w:numId w:val="34"/>
        </w:numPr>
      </w:pPr>
      <w:r>
        <w:t>nominate to participate in the survey;</w:t>
      </w:r>
    </w:p>
    <w:p w14:paraId="22645845" w14:textId="4806AB2D" w:rsidR="005628BE" w:rsidRDefault="005628BE" w:rsidP="004D6060">
      <w:pPr>
        <w:numPr>
          <w:ilvl w:val="0"/>
          <w:numId w:val="34"/>
        </w:numPr>
      </w:pPr>
      <w:r>
        <w:t>provide the number of neighbours residing at the eligible property;</w:t>
      </w:r>
      <w:r w:rsidR="00537793">
        <w:t xml:space="preserve"> and</w:t>
      </w:r>
    </w:p>
    <w:p w14:paraId="22645847" w14:textId="77777777" w:rsidR="005628BE" w:rsidRDefault="005628BE" w:rsidP="004D6060">
      <w:pPr>
        <w:numPr>
          <w:ilvl w:val="0"/>
          <w:numId w:val="34"/>
        </w:numPr>
      </w:pPr>
      <w:r>
        <w:t>provide suitable time(s) to call.</w:t>
      </w:r>
    </w:p>
    <w:p w14:paraId="22645848" w14:textId="2DA1C421" w:rsidR="005628BE" w:rsidRDefault="005628BE" w:rsidP="004D6060">
      <w:r>
        <w:t xml:space="preserve">Step 2 – </w:t>
      </w:r>
      <w:r w:rsidR="00047086">
        <w:t>For residents, the</w:t>
      </w:r>
      <w:r>
        <w:t xml:space="preserve"> nomination period will be 10 business days </w:t>
      </w:r>
      <w:r w:rsidR="00537793">
        <w:t>from</w:t>
      </w:r>
      <w:r w:rsidR="00C53C9B">
        <w:t xml:space="preserve"> 4 November 2019</w:t>
      </w:r>
      <w:r w:rsidR="00537793">
        <w:t xml:space="preserve"> </w:t>
      </w:r>
      <w:r>
        <w:t>and</w:t>
      </w:r>
      <w:r w:rsidDel="00047086">
        <w:t xml:space="preserve"> </w:t>
      </w:r>
      <w:r w:rsidR="00047086">
        <w:t xml:space="preserve">residents </w:t>
      </w:r>
      <w:r>
        <w:t xml:space="preserve">can send their completed nomination form back to </w:t>
      </w:r>
      <w:hyperlink r:id="rId13" w:history="1">
        <w:r w:rsidRPr="00D43074">
          <w:rPr>
            <w:rStyle w:val="Hyperlink"/>
            <w:rFonts w:cstheme="minorHAnsi"/>
            <w:color w:val="005677"/>
            <w:bdr w:val="dotted" w:sz="6" w:space="0" w:color="auto" w:frame="1"/>
            <w:shd w:val="clear" w:color="auto" w:fill="FFFFFF"/>
          </w:rPr>
          <w:t>radioactivewaste@industry.gov.au</w:t>
        </w:r>
      </w:hyperlink>
      <w:r w:rsidRPr="00C57FA3">
        <w:rPr>
          <w:rStyle w:val="Hyperlink"/>
          <w:rFonts w:cstheme="minorHAnsi"/>
          <w:color w:val="005677"/>
          <w:bdr w:val="dotted" w:sz="6" w:space="0" w:color="auto" w:frame="1"/>
          <w:shd w:val="clear" w:color="auto" w:fill="FFFFFF"/>
        </w:rPr>
        <w:t xml:space="preserve"> </w:t>
      </w:r>
      <w:r w:rsidRPr="00FC24A0">
        <w:t xml:space="preserve">or via the reply paid envelope supplied. </w:t>
      </w:r>
      <w:r w:rsidR="00686CA4" w:rsidRPr="00FC24A0">
        <w:t xml:space="preserve">The </w:t>
      </w:r>
      <w:r w:rsidR="00C2772A">
        <w:t xml:space="preserve">department reserves the right to </w:t>
      </w:r>
      <w:r w:rsidR="006F49D8">
        <w:t xml:space="preserve">include a </w:t>
      </w:r>
      <w:r w:rsidR="00047086">
        <w:t>resident if they are eligible to participate, notwithstanding that the nomination form was not provided within the nomination period.</w:t>
      </w:r>
      <w:r w:rsidR="006F49D8">
        <w:t xml:space="preserve"> </w:t>
      </w:r>
    </w:p>
    <w:p w14:paraId="22645849" w14:textId="220E0CEB" w:rsidR="005628BE" w:rsidRDefault="005628BE" w:rsidP="004D6060">
      <w:r>
        <w:t>Step 3 – On behalf of the department, ORIMA Research will contact the neighbours via phone at the convenient times provided and at least three attempts will be made to contact neighbours.</w:t>
      </w:r>
    </w:p>
    <w:p w14:paraId="2264584A" w14:textId="3F44AA72" w:rsidR="005628BE" w:rsidRDefault="005628BE" w:rsidP="004D6060">
      <w:r>
        <w:t xml:space="preserve">Note that you may be required to validate your neighbour status verbally </w:t>
      </w:r>
      <w:r w:rsidR="00047086">
        <w:t>over the phone</w:t>
      </w:r>
      <w:r>
        <w:t xml:space="preserve"> during the survey or provide documentation that can validate that you </w:t>
      </w:r>
      <w:r w:rsidR="00C5795A">
        <w:t>are an owner or resident</w:t>
      </w:r>
      <w:r>
        <w:t>. This can include a driver licence, utility bill, lease arrangement, statutory declaration or record of employment for transient workers.</w:t>
      </w:r>
      <w:r w:rsidR="00164E25">
        <w:t xml:space="preserve"> If you are a resident, you may also be asked to provide a statutory declaration. </w:t>
      </w:r>
    </w:p>
    <w:p w14:paraId="2264584B" w14:textId="77777777" w:rsidR="005628BE" w:rsidRDefault="005628BE" w:rsidP="005628BE">
      <w:pPr>
        <w:pStyle w:val="Heading2"/>
      </w:pPr>
      <w:bookmarkStart w:id="6" w:name="_Methodology"/>
      <w:bookmarkEnd w:id="6"/>
      <w:r>
        <w:t xml:space="preserve">Methodology </w:t>
      </w:r>
    </w:p>
    <w:p w14:paraId="2264584C" w14:textId="77777777" w:rsidR="005628BE" w:rsidRPr="004E0A03" w:rsidRDefault="005628BE" w:rsidP="00432D23">
      <w:pPr>
        <w:pStyle w:val="Heading3"/>
        <w:rPr>
          <w:rStyle w:val="IntenseEmphasis"/>
        </w:rPr>
      </w:pPr>
      <w:r w:rsidRPr="00432D23">
        <w:rPr>
          <w:rStyle w:val="IntenseEmphasis"/>
          <w:i w:val="0"/>
          <w:iCs w:val="0"/>
          <w:color w:val="005677" w:themeColor="text2"/>
        </w:rPr>
        <w:t>Participant</w:t>
      </w:r>
      <w:r w:rsidRPr="004E0A03">
        <w:rPr>
          <w:rStyle w:val="IntenseEmphasis"/>
        </w:rPr>
        <w:t xml:space="preserve"> </w:t>
      </w:r>
      <w:r w:rsidR="004D6060" w:rsidRPr="00432D23">
        <w:rPr>
          <w:rStyle w:val="IntenseEmphasis"/>
          <w:i w:val="0"/>
          <w:iCs w:val="0"/>
          <w:color w:val="005677" w:themeColor="text2"/>
        </w:rPr>
        <w:t>i</w:t>
      </w:r>
      <w:r w:rsidRPr="00432D23">
        <w:rPr>
          <w:rStyle w:val="IntenseEmphasis"/>
          <w:i w:val="0"/>
          <w:iCs w:val="0"/>
          <w:color w:val="005677" w:themeColor="text2"/>
        </w:rPr>
        <w:t>dentification</w:t>
      </w:r>
      <w:r w:rsidRPr="004E0A03">
        <w:rPr>
          <w:rStyle w:val="IntenseEmphasis"/>
        </w:rPr>
        <w:t xml:space="preserve"> </w:t>
      </w:r>
    </w:p>
    <w:p w14:paraId="2264584D" w14:textId="5773DFE1" w:rsidR="005628BE" w:rsidRDefault="00C5795A" w:rsidP="004D6060">
      <w:r>
        <w:t>P</w:t>
      </w:r>
      <w:r w:rsidR="005628BE">
        <w:t xml:space="preserve">roperties </w:t>
      </w:r>
      <w:r>
        <w:t xml:space="preserve">within the neighbour radius </w:t>
      </w:r>
      <w:r w:rsidR="005628BE">
        <w:t>have been identified in conjunction with Geoscience Australia, and owners of these properties will be identified through information supplied by the South Australian</w:t>
      </w:r>
      <w:r w:rsidR="005628BE" w:rsidRPr="00D12A67">
        <w:t xml:space="preserve"> Surveyor-General</w:t>
      </w:r>
      <w:r w:rsidR="005628BE">
        <w:t>.</w:t>
      </w:r>
    </w:p>
    <w:p w14:paraId="2264584E" w14:textId="1360903C" w:rsidR="005628BE" w:rsidRPr="005764AE" w:rsidRDefault="005628BE" w:rsidP="004D6060">
      <w:pPr>
        <w:rPr>
          <w:strike/>
        </w:rPr>
      </w:pPr>
      <w:r w:rsidRPr="005764AE">
        <w:t>The size of properties</w:t>
      </w:r>
      <w:r w:rsidR="00C5795A">
        <w:t xml:space="preserve"> within the neighbour radius</w:t>
      </w:r>
      <w:r w:rsidRPr="005764AE">
        <w:t xml:space="preserve"> will not be used to weight responses.</w:t>
      </w:r>
    </w:p>
    <w:p w14:paraId="2264584F" w14:textId="77777777" w:rsidR="005628BE" w:rsidRPr="004E0A03" w:rsidRDefault="005628BE" w:rsidP="00432D23">
      <w:pPr>
        <w:pStyle w:val="Heading3"/>
        <w:rPr>
          <w:rStyle w:val="IntenseEmphasis"/>
        </w:rPr>
      </w:pPr>
      <w:r w:rsidRPr="00432D23">
        <w:rPr>
          <w:rStyle w:val="IntenseEmphasis"/>
          <w:i w:val="0"/>
          <w:iCs w:val="0"/>
          <w:color w:val="005677" w:themeColor="text2"/>
        </w:rPr>
        <w:t>Validation</w:t>
      </w:r>
      <w:r w:rsidRPr="004E0A03">
        <w:rPr>
          <w:rStyle w:val="IntenseEmphasis"/>
        </w:rPr>
        <w:t xml:space="preserve"> </w:t>
      </w:r>
    </w:p>
    <w:p w14:paraId="22645850" w14:textId="51D596CE" w:rsidR="005628BE" w:rsidRDefault="005628BE" w:rsidP="005628BE">
      <w:r>
        <w:t xml:space="preserve">A letter will be sent to </w:t>
      </w:r>
      <w:r w:rsidR="00C5795A">
        <w:t>owners</w:t>
      </w:r>
      <w:r>
        <w:t>, asking them to complete a nomination form to participate in the survey.</w:t>
      </w:r>
    </w:p>
    <w:p w14:paraId="22645851" w14:textId="77777777" w:rsidR="005628BE" w:rsidRDefault="005628BE" w:rsidP="005628BE">
      <w:r>
        <w:t xml:space="preserve">During each individual survey a neighbour will be required to verbally confirm their eligibility. </w:t>
      </w:r>
    </w:p>
    <w:p w14:paraId="22645852" w14:textId="5DED496E" w:rsidR="005628BE" w:rsidRDefault="005628BE" w:rsidP="005628BE">
      <w:r>
        <w:t>Individuals may also be required to provide documentation that can validate their eligibility to participate in the survey</w:t>
      </w:r>
      <w:r w:rsidR="00C53C9B" w:rsidRPr="00C53C9B">
        <w:t xml:space="preserve"> </w:t>
      </w:r>
      <w:r w:rsidR="00C53C9B">
        <w:t xml:space="preserve">eg. a </w:t>
      </w:r>
      <w:r w:rsidR="009874BF">
        <w:t>driver’s</w:t>
      </w:r>
      <w:r w:rsidR="00C53C9B">
        <w:t xml:space="preserve"> license or a statutory declaration</w:t>
      </w:r>
      <w:r w:rsidDel="00C53C9B">
        <w:t>.</w:t>
      </w:r>
    </w:p>
    <w:p w14:paraId="22645853" w14:textId="77777777" w:rsidR="005628BE" w:rsidRPr="004E0A03" w:rsidRDefault="004D6060" w:rsidP="00432D23">
      <w:pPr>
        <w:pStyle w:val="Heading3"/>
        <w:rPr>
          <w:rStyle w:val="IntenseEmphasis"/>
        </w:rPr>
      </w:pPr>
      <w:r w:rsidRPr="00432D23">
        <w:rPr>
          <w:rStyle w:val="IntenseEmphasis"/>
          <w:i w:val="0"/>
          <w:iCs w:val="0"/>
          <w:color w:val="005677" w:themeColor="text2"/>
        </w:rPr>
        <w:t>Survey</w:t>
      </w:r>
      <w:r>
        <w:rPr>
          <w:rStyle w:val="IntenseEmphasis"/>
        </w:rPr>
        <w:t xml:space="preserve"> </w:t>
      </w:r>
      <w:r w:rsidRPr="00432D23">
        <w:rPr>
          <w:rStyle w:val="IntenseEmphasis"/>
          <w:i w:val="0"/>
          <w:iCs w:val="0"/>
          <w:color w:val="005677" w:themeColor="text2"/>
        </w:rPr>
        <w:t>c</w:t>
      </w:r>
      <w:r w:rsidR="005628BE" w:rsidRPr="00432D23">
        <w:rPr>
          <w:rStyle w:val="IntenseEmphasis"/>
          <w:i w:val="0"/>
          <w:iCs w:val="0"/>
          <w:color w:val="005677" w:themeColor="text2"/>
        </w:rPr>
        <w:t>ontent</w:t>
      </w:r>
    </w:p>
    <w:p w14:paraId="22645854" w14:textId="77777777" w:rsidR="005628BE" w:rsidRDefault="005628BE" w:rsidP="005628BE">
      <w:r>
        <w:t>Eligible participants will be asked:</w:t>
      </w:r>
    </w:p>
    <w:p w14:paraId="22645855" w14:textId="77777777" w:rsidR="005628BE" w:rsidRDefault="005628BE" w:rsidP="005628BE">
      <w:pPr>
        <w:pStyle w:val="ListParagraph"/>
        <w:numPr>
          <w:ilvl w:val="0"/>
          <w:numId w:val="26"/>
        </w:numPr>
      </w:pPr>
      <w:r>
        <w:t>Do you support the proposed radioactive waste management facility neighbouring the property you own or where you reside? [Yes/No/Abstain]</w:t>
      </w:r>
    </w:p>
    <w:p w14:paraId="22645856" w14:textId="77777777" w:rsidR="005628BE" w:rsidRPr="004E0A03" w:rsidRDefault="005628BE" w:rsidP="00432D23">
      <w:pPr>
        <w:pStyle w:val="Heading3"/>
        <w:rPr>
          <w:rStyle w:val="IntenseEmphasis"/>
        </w:rPr>
      </w:pPr>
      <w:r w:rsidRPr="00432D23">
        <w:rPr>
          <w:rStyle w:val="IntenseEmphasis"/>
          <w:i w:val="0"/>
          <w:iCs w:val="0"/>
          <w:color w:val="005677" w:themeColor="text2"/>
        </w:rPr>
        <w:t>Privacy</w:t>
      </w:r>
      <w:r w:rsidRPr="004E0A03">
        <w:rPr>
          <w:rStyle w:val="IntenseEmphasis"/>
        </w:rPr>
        <w:t xml:space="preserve"> </w:t>
      </w:r>
    </w:p>
    <w:p w14:paraId="22645857" w14:textId="77777777" w:rsidR="005628BE" w:rsidRDefault="005628BE" w:rsidP="004D6060">
      <w:r>
        <w:t xml:space="preserve">As this is a targeted survey of neighbours, you will be asked if you consent to allowing your individual view to be associated with your property. If you consent, only the department, the Minister for Resources and Northern Australia, and their representatives will have access to this information. </w:t>
      </w:r>
    </w:p>
    <w:p w14:paraId="22645858" w14:textId="01D44C87" w:rsidR="005628BE" w:rsidRDefault="00F96869" w:rsidP="004D6060">
      <w:r>
        <w:t>Except as noted above, i</w:t>
      </w:r>
      <w:r w:rsidR="005628BE">
        <w:t>ndividuals’ survey responses will be treated as confidential. De-identified and aggregated findings from the survey may be published at the end of the consultation period.</w:t>
      </w:r>
    </w:p>
    <w:p w14:paraId="22645859" w14:textId="77777777" w:rsidR="005628BE" w:rsidRPr="00F720DE" w:rsidRDefault="005628BE" w:rsidP="004D6060">
      <w:r>
        <w:t xml:space="preserve">The department is bound by the Australian Privacy Principles which regulate how entities may collect, use, disclose and store personal information. Please see the attached Privacy Collection Statement for further details on how the department will use your information. </w:t>
      </w:r>
    </w:p>
    <w:p w14:paraId="2264585A" w14:textId="00050462" w:rsidR="005628BE" w:rsidRPr="005764AE" w:rsidRDefault="005628BE" w:rsidP="004D6060">
      <w:pPr>
        <w:rPr>
          <w:rFonts w:cstheme="minorHAnsi"/>
        </w:rPr>
      </w:pPr>
      <w:r w:rsidRPr="005764AE">
        <w:rPr>
          <w:rFonts w:cstheme="minorHAnsi"/>
        </w:rPr>
        <w:t xml:space="preserve">Neighbour survey results may be analysed into categories </w:t>
      </w:r>
      <w:r w:rsidR="008E5740">
        <w:rPr>
          <w:rFonts w:cstheme="minorHAnsi"/>
        </w:rPr>
        <w:t>such as:</w:t>
      </w:r>
      <w:r w:rsidR="008E5740" w:rsidRPr="005764AE">
        <w:rPr>
          <w:rFonts w:cstheme="minorHAnsi"/>
        </w:rPr>
        <w:t xml:space="preserve"> </w:t>
      </w:r>
      <w:r w:rsidRPr="005764AE">
        <w:rPr>
          <w:rFonts w:cstheme="minorHAnsi"/>
        </w:rPr>
        <w:t>neighbours with a boundary</w:t>
      </w:r>
      <w:r w:rsidR="00F96869">
        <w:rPr>
          <w:rFonts w:cstheme="minorHAnsi"/>
        </w:rPr>
        <w:t xml:space="preserve"> </w:t>
      </w:r>
      <w:r w:rsidR="005841AE">
        <w:rPr>
          <w:rFonts w:cstheme="minorHAnsi"/>
        </w:rPr>
        <w:t>to</w:t>
      </w:r>
      <w:r w:rsidR="00F96869">
        <w:rPr>
          <w:rFonts w:cstheme="minorHAnsi"/>
        </w:rPr>
        <w:t xml:space="preserve"> a nominated site</w:t>
      </w:r>
      <w:r w:rsidRPr="005764AE">
        <w:rPr>
          <w:rFonts w:cstheme="minorHAnsi"/>
        </w:rPr>
        <w:t>, neighbours</w:t>
      </w:r>
      <w:r w:rsidR="00F96869">
        <w:rPr>
          <w:rFonts w:cstheme="minorHAnsi"/>
        </w:rPr>
        <w:t xml:space="preserve"> near to a nominated site</w:t>
      </w:r>
      <w:r w:rsidRPr="005764AE">
        <w:rPr>
          <w:rFonts w:cstheme="minorHAnsi"/>
        </w:rPr>
        <w:t xml:space="preserve">, residents, owners and/or </w:t>
      </w:r>
      <w:r w:rsidR="00F96869">
        <w:rPr>
          <w:rFonts w:cstheme="minorHAnsi"/>
        </w:rPr>
        <w:t>short term residents (being less than 6 months)</w:t>
      </w:r>
      <w:r w:rsidRPr="005764AE">
        <w:rPr>
          <w:rFonts w:cstheme="minorHAnsi"/>
        </w:rPr>
        <w:t>.</w:t>
      </w:r>
      <w:r w:rsidR="00AF472B">
        <w:rPr>
          <w:rFonts w:cstheme="minorHAnsi"/>
        </w:rPr>
        <w:t xml:space="preserve"> </w:t>
      </w:r>
      <w:r w:rsidR="00AF472B" w:rsidRPr="004E4DDB">
        <w:rPr>
          <w:rFonts w:cstheme="minorHAnsi"/>
        </w:rPr>
        <w:t>(An example of a short term resident may be a transient worker.)</w:t>
      </w:r>
      <w:r w:rsidRPr="005764AE">
        <w:rPr>
          <w:rFonts w:cstheme="minorHAnsi"/>
        </w:rPr>
        <w:t xml:space="preserve"> </w:t>
      </w:r>
    </w:p>
    <w:p w14:paraId="2264585B" w14:textId="0B330620" w:rsidR="005628BE" w:rsidRPr="002804FF" w:rsidRDefault="005628BE" w:rsidP="004D6060">
      <w:r w:rsidRPr="004E4DDB">
        <w:t>Results will be aggregated</w:t>
      </w:r>
      <w:r w:rsidRPr="002804FF">
        <w:t xml:space="preserve"> for each nominated site</w:t>
      </w:r>
      <w:r>
        <w:t xml:space="preserve"> and</w:t>
      </w:r>
      <w:r w:rsidRPr="002804FF">
        <w:t xml:space="preserve"> </w:t>
      </w:r>
      <w:r w:rsidR="00AF472B">
        <w:t>may</w:t>
      </w:r>
      <w:r w:rsidR="004E4DDB">
        <w:t xml:space="preserve"> also</w:t>
      </w:r>
      <w:r w:rsidR="00AF472B">
        <w:t xml:space="preserve"> be </w:t>
      </w:r>
      <w:r w:rsidRPr="002804FF">
        <w:t>broken down by:</w:t>
      </w:r>
    </w:p>
    <w:p w14:paraId="2264585C" w14:textId="77777777" w:rsidR="005628BE" w:rsidRPr="002804FF" w:rsidRDefault="005628BE" w:rsidP="004D6060">
      <w:pPr>
        <w:numPr>
          <w:ilvl w:val="0"/>
          <w:numId w:val="35"/>
        </w:numPr>
      </w:pPr>
      <w:r w:rsidRPr="002804FF">
        <w:t>support (support (Yes), oppos</w:t>
      </w:r>
      <w:r>
        <w:t>ition</w:t>
      </w:r>
      <w:r w:rsidRPr="002804FF">
        <w:t xml:space="preserve"> (No) and </w:t>
      </w:r>
      <w:r>
        <w:t>abstention)</w:t>
      </w:r>
      <w:r w:rsidRPr="002804FF">
        <w:t>; and</w:t>
      </w:r>
    </w:p>
    <w:p w14:paraId="2264585D" w14:textId="2C0BBAA7" w:rsidR="005628BE" w:rsidRPr="002804FF" w:rsidRDefault="005628BE" w:rsidP="004D6060">
      <w:pPr>
        <w:numPr>
          <w:ilvl w:val="0"/>
          <w:numId w:val="35"/>
        </w:numPr>
      </w:pPr>
      <w:r w:rsidRPr="002804FF">
        <w:t xml:space="preserve">neighbour type – </w:t>
      </w:r>
      <w:r>
        <w:t>neighbours with a boundary</w:t>
      </w:r>
      <w:r w:rsidR="005841AE">
        <w:t xml:space="preserve"> to a nominated site</w:t>
      </w:r>
      <w:r>
        <w:t>, neighbours</w:t>
      </w:r>
      <w:r w:rsidR="005841AE">
        <w:t xml:space="preserve"> near to a nominated site</w:t>
      </w:r>
      <w:r>
        <w:t>, residents, owners and</w:t>
      </w:r>
      <w:r w:rsidR="005841AE">
        <w:t>/</w:t>
      </w:r>
      <w:r>
        <w:t xml:space="preserve">or </w:t>
      </w:r>
      <w:r w:rsidR="005841AE">
        <w:t>short term residents</w:t>
      </w:r>
      <w:r>
        <w:t>.</w:t>
      </w:r>
      <w:r w:rsidRPr="002804FF">
        <w:t xml:space="preserve"> </w:t>
      </w:r>
    </w:p>
    <w:p w14:paraId="2264585E" w14:textId="77777777" w:rsidR="005628BE" w:rsidRDefault="005628BE" w:rsidP="004D6060">
      <w:r>
        <w:t>Aggregated r</w:t>
      </w:r>
      <w:r w:rsidRPr="002804FF">
        <w:t xml:space="preserve">esults will be included in the </w:t>
      </w:r>
      <w:r>
        <w:t>Community Sentiment Report provided to the Minister</w:t>
      </w:r>
      <w:r w:rsidRPr="002804FF">
        <w:t xml:space="preserve">. </w:t>
      </w:r>
      <w:r>
        <w:t xml:space="preserve">The Minister may refer to the results in a proposed decision statement and statement of reasons prepared for the purposes of a declaration under section 14 of the </w:t>
      </w:r>
      <w:r>
        <w:rPr>
          <w:i/>
        </w:rPr>
        <w:t>National Radioactive Waste Management Act 2012</w:t>
      </w:r>
      <w:r>
        <w:t>.</w:t>
      </w:r>
    </w:p>
    <w:p w14:paraId="2264585F" w14:textId="77777777" w:rsidR="005628BE" w:rsidRDefault="005628BE" w:rsidP="004D6060">
      <w:r>
        <w:t>The Community Sentiment Report will note that some people may have expressed their sentiment through multiple channels (i.e. the community ballot, business sentiment survey, submissions and this survey) and provided consent through other channels to publish their views.</w:t>
      </w:r>
    </w:p>
    <w:p w14:paraId="22645860" w14:textId="77777777" w:rsidR="005628BE" w:rsidRPr="004D6060" w:rsidRDefault="005628BE" w:rsidP="004D6060">
      <w:pPr>
        <w:rPr>
          <w:rFonts w:cstheme="minorHAnsi"/>
          <w:i/>
        </w:rPr>
      </w:pPr>
      <w:r w:rsidRPr="005764AE">
        <w:rPr>
          <w:rFonts w:cstheme="minorHAnsi"/>
        </w:rPr>
        <w:t xml:space="preserve">Any personal or sensitive information collected will be dealt with in a manner consistent with the relevant privacy laws, including the </w:t>
      </w:r>
      <w:r w:rsidRPr="005764AE">
        <w:rPr>
          <w:rFonts w:cstheme="minorHAnsi"/>
          <w:i/>
        </w:rPr>
        <w:t xml:space="preserve">Privacy Act 1988. </w:t>
      </w:r>
    </w:p>
    <w:p w14:paraId="22645861" w14:textId="77777777" w:rsidR="005628BE" w:rsidRDefault="005628BE" w:rsidP="005628BE">
      <w:pPr>
        <w:pStyle w:val="Heading2"/>
      </w:pPr>
      <w:r>
        <w:t xml:space="preserve">Implementation </w:t>
      </w:r>
      <w:r w:rsidR="004D6060">
        <w:t>T</w:t>
      </w:r>
      <w:r>
        <w:t xml:space="preserve">iming </w:t>
      </w:r>
    </w:p>
    <w:p w14:paraId="22645862" w14:textId="433EAC6B" w:rsidR="005628BE" w:rsidRPr="00E4318B" w:rsidRDefault="005628BE" w:rsidP="004D6060">
      <w:pPr>
        <w:rPr>
          <w:b/>
          <w:i/>
        </w:rPr>
      </w:pPr>
      <w:r w:rsidRPr="00ED1499">
        <w:t xml:space="preserve">The </w:t>
      </w:r>
      <w:r w:rsidRPr="004E0A03">
        <w:t>neighbour survey</w:t>
      </w:r>
      <w:r>
        <w:t>s</w:t>
      </w:r>
      <w:r w:rsidRPr="004E0A03">
        <w:t xml:space="preserve"> will be undertaken during or close to the respective</w:t>
      </w:r>
      <w:r>
        <w:t xml:space="preserve"> community</w:t>
      </w:r>
      <w:r w:rsidRPr="004E0A03">
        <w:t xml:space="preserve"> ballot periods for each geographic region, with the survey</w:t>
      </w:r>
      <w:r>
        <w:t>s</w:t>
      </w:r>
      <w:r w:rsidRPr="004E0A03">
        <w:t xml:space="preserve"> to be completed </w:t>
      </w:r>
      <w:r w:rsidR="00583E8E">
        <w:t xml:space="preserve">once at </w:t>
      </w:r>
      <w:r w:rsidR="00583E8E" w:rsidRPr="00583E8E">
        <w:t xml:space="preserve">least three attempts </w:t>
      </w:r>
      <w:r w:rsidR="00583E8E">
        <w:t xml:space="preserve">have been </w:t>
      </w:r>
      <w:r w:rsidR="00583E8E" w:rsidRPr="00583E8E">
        <w:t>made to contact neighbours</w:t>
      </w:r>
      <w:r w:rsidR="00583E8E">
        <w:t xml:space="preserve">, </w:t>
      </w:r>
      <w:r w:rsidR="00E4318B">
        <w:t>but no later than the</w:t>
      </w:r>
      <w:r w:rsidRPr="004E0A03">
        <w:t xml:space="preserve"> close of business on </w:t>
      </w:r>
      <w:r w:rsidR="00DE670B">
        <w:t>19</w:t>
      </w:r>
      <w:r w:rsidR="00C53C9B" w:rsidRPr="00BA5385">
        <w:t xml:space="preserve"> </w:t>
      </w:r>
      <w:r w:rsidRPr="00BA5385">
        <w:t>December 2019</w:t>
      </w:r>
      <w:r w:rsidRPr="004E0A03">
        <w:t xml:space="preserve">. </w:t>
      </w:r>
    </w:p>
    <w:p w14:paraId="22645863" w14:textId="3D42B6DF" w:rsidR="005628BE" w:rsidRPr="00E4318B" w:rsidRDefault="005628BE" w:rsidP="004D6060">
      <w:pPr>
        <w:rPr>
          <w:b/>
          <w:i/>
        </w:rPr>
      </w:pPr>
      <w:r w:rsidRPr="004E0A03">
        <w:t>Implementation includes a period of consultation on the neighbour survey guidelines</w:t>
      </w:r>
      <w:r w:rsidR="00C53C9B">
        <w:t xml:space="preserve"> and</w:t>
      </w:r>
      <w:r w:rsidRPr="004E0A03">
        <w:t xml:space="preserve"> a neighbour participation nomination period. </w:t>
      </w:r>
    </w:p>
    <w:p w14:paraId="22645864" w14:textId="77777777" w:rsidR="005628BE" w:rsidRDefault="005628BE" w:rsidP="005628BE">
      <w:pPr>
        <w:pStyle w:val="Heading2"/>
      </w:pPr>
      <w:bookmarkStart w:id="7" w:name="_Implementation_Considerations"/>
      <w:bookmarkEnd w:id="7"/>
      <w:r>
        <w:t xml:space="preserve">Implementation </w:t>
      </w:r>
      <w:r w:rsidR="004D6060">
        <w:t>C</w:t>
      </w:r>
      <w:r>
        <w:t>onsiderations</w:t>
      </w:r>
    </w:p>
    <w:p w14:paraId="22645865" w14:textId="3BE8D73B" w:rsidR="005628BE" w:rsidRDefault="005628BE" w:rsidP="004D6060">
      <w:r>
        <w:t xml:space="preserve">If no response to the initial letter </w:t>
      </w:r>
      <w:r w:rsidR="00EE4109">
        <w:t xml:space="preserve">sent to owners </w:t>
      </w:r>
      <w:r>
        <w:t>is received within two weeks, a follow up letter may be sent.</w:t>
      </w:r>
    </w:p>
    <w:p w14:paraId="22645866" w14:textId="275B09F3" w:rsidR="005628BE" w:rsidRDefault="005628BE" w:rsidP="004D6060">
      <w:r>
        <w:t xml:space="preserve">If </w:t>
      </w:r>
      <w:r w:rsidR="00F33BAE">
        <w:t>the letter</w:t>
      </w:r>
      <w:r w:rsidDel="00EE4109">
        <w:t xml:space="preserve"> </w:t>
      </w:r>
      <w:r>
        <w:t>is not responded to after four weeks, the property may be visited by departmental representatives to check for occupancy and a letter will be left if appropriate (i.e. if the property appears occupied).</w:t>
      </w:r>
    </w:p>
    <w:p w14:paraId="22645867" w14:textId="18C145DB" w:rsidR="005628BE" w:rsidRDefault="005628BE" w:rsidP="004D6060">
      <w:r>
        <w:t>If it is deemed inappropriate to leave a letter at the property, a third and final letter will be sent to owners (if their address is different from the property address) requesting their input.</w:t>
      </w:r>
    </w:p>
    <w:p w14:paraId="22645868" w14:textId="79668A72" w:rsidR="005628BE" w:rsidRPr="00583E8E" w:rsidRDefault="005628BE" w:rsidP="004D6060">
      <w:pPr>
        <w:rPr>
          <w:b/>
          <w:i/>
        </w:rPr>
      </w:pPr>
      <w:r>
        <w:t>Departmental representatives will make themselves available in the community for a week during the survey period to conduct in-person interviews of neighbours if required.</w:t>
      </w:r>
    </w:p>
    <w:p w14:paraId="22645869" w14:textId="77777777" w:rsidR="005628BE" w:rsidRPr="00194B7B" w:rsidRDefault="005628BE" w:rsidP="005628BE">
      <w:pPr>
        <w:pStyle w:val="Heading2"/>
      </w:pPr>
      <w:bookmarkStart w:id="8" w:name="_About_ORIMA_Research"/>
      <w:bookmarkEnd w:id="8"/>
      <w:r>
        <w:t>About ORIMA Research</w:t>
      </w:r>
    </w:p>
    <w:p w14:paraId="2264586A" w14:textId="77777777" w:rsidR="005628BE" w:rsidRDefault="005628BE" w:rsidP="004D6060">
      <w:r>
        <w:t xml:space="preserve">The Department has engaged ORIMA Research, an Australian company that </w:t>
      </w:r>
      <w:r w:rsidRPr="00217BA1">
        <w:t>provide</w:t>
      </w:r>
      <w:r>
        <w:t>s</w:t>
      </w:r>
      <w:r w:rsidRPr="00217BA1">
        <w:t xml:space="preserve"> end-to-end research and data analytics services to the public sector</w:t>
      </w:r>
      <w:r>
        <w:t xml:space="preserve">, to assist with validating the data set and ensuring that it aligns to the defined eligibility criteria. </w:t>
      </w:r>
    </w:p>
    <w:p w14:paraId="2264586B" w14:textId="77777777" w:rsidR="00AA740C" w:rsidRPr="005628BE" w:rsidRDefault="005628BE" w:rsidP="004D6060">
      <w:pPr>
        <w:rPr>
          <w:bCs/>
          <w:szCs w:val="23"/>
        </w:rPr>
      </w:pPr>
      <w:r>
        <w:t xml:space="preserve">ORIMA Research is an </w:t>
      </w:r>
      <w:r w:rsidRPr="008061ED">
        <w:t xml:space="preserve">ISO20252 </w:t>
      </w:r>
      <w:r>
        <w:t>a</w:t>
      </w:r>
      <w:r w:rsidRPr="008061ED">
        <w:t xml:space="preserve">ccredited company </w:t>
      </w:r>
      <w:r>
        <w:t xml:space="preserve">and an </w:t>
      </w:r>
      <w:r w:rsidRPr="008061ED">
        <w:t>affiliate</w:t>
      </w:r>
      <w:r>
        <w:t xml:space="preserve"> of </w:t>
      </w:r>
      <w:r w:rsidRPr="008061ED">
        <w:t>the Australian Market and Social Research Society.</w:t>
      </w:r>
      <w:r>
        <w:t xml:space="preserve"> </w:t>
      </w:r>
      <w:r w:rsidRPr="008061ED">
        <w:t>ORIMA</w:t>
      </w:r>
      <w:r>
        <w:t xml:space="preserve"> Research</w:t>
      </w:r>
      <w:r w:rsidRPr="008061ED">
        <w:t>’s preferred fieldwork partner</w:t>
      </w:r>
      <w:r>
        <w:t xml:space="preserve"> is </w:t>
      </w:r>
      <w:r w:rsidRPr="008061ED">
        <w:t>Action Market Research</w:t>
      </w:r>
      <w:r>
        <w:t xml:space="preserve">. </w:t>
      </w:r>
      <w:r w:rsidRPr="008061ED">
        <w:t>Action</w:t>
      </w:r>
      <w:r>
        <w:t xml:space="preserve"> Market Research</w:t>
      </w:r>
      <w:r w:rsidRPr="008061ED">
        <w:t xml:space="preserve"> is an Adelaide-based research company that ORIMA </w:t>
      </w:r>
      <w:r>
        <w:t xml:space="preserve">Research </w:t>
      </w:r>
      <w:r w:rsidRPr="008061ED">
        <w:t>has worked extensively with since 2015</w:t>
      </w:r>
      <w:r>
        <w:t xml:space="preserve"> and is also </w:t>
      </w:r>
      <w:r w:rsidRPr="008061ED">
        <w:t xml:space="preserve">ISO20252 </w:t>
      </w:r>
      <w:r>
        <w:t>a</w:t>
      </w:r>
      <w:r w:rsidRPr="008061ED">
        <w:t>ccredited</w:t>
      </w:r>
      <w:r>
        <w:t>.</w:t>
      </w:r>
    </w:p>
    <w:sectPr w:rsidR="00AA740C" w:rsidRPr="005628BE" w:rsidSect="00EC00A2">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A00B" w14:textId="77777777" w:rsidR="00F61A21" w:rsidRDefault="00F61A21" w:rsidP="00B251DB">
      <w:pPr>
        <w:spacing w:after="0" w:line="240" w:lineRule="auto"/>
      </w:pPr>
      <w:r>
        <w:separator/>
      </w:r>
    </w:p>
  </w:endnote>
  <w:endnote w:type="continuationSeparator" w:id="0">
    <w:p w14:paraId="7A93FA54" w14:textId="77777777" w:rsidR="00F61A21" w:rsidRDefault="00F61A21" w:rsidP="00B251DB">
      <w:pPr>
        <w:spacing w:after="0" w:line="240" w:lineRule="auto"/>
      </w:pPr>
      <w:r>
        <w:continuationSeparator/>
      </w:r>
    </w:p>
  </w:endnote>
  <w:endnote w:type="continuationNotice" w:id="1">
    <w:p w14:paraId="4AF6D936" w14:textId="77777777" w:rsidR="00CB1F98" w:rsidRDefault="00CB1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4731" w14:textId="77777777" w:rsidR="00F61A21" w:rsidRDefault="00F6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5870" w14:textId="77777777" w:rsidR="00F61A21" w:rsidRDefault="00F61A21" w:rsidP="00BD0F8A">
    <w:pPr>
      <w:pStyle w:val="Footer"/>
      <w:jc w:val="right"/>
    </w:pPr>
    <w:r>
      <w:rPr>
        <w:rStyle w:val="PlaceholderText"/>
      </w:rPr>
      <w:t>[Title]</w:t>
    </w:r>
    <w:r>
      <w:tab/>
      <w:t>radioactivewaste.gov.au</w:t>
    </w:r>
    <w:r>
      <w:tab/>
    </w:r>
    <w:sdt>
      <w:sdtPr>
        <w:id w:val="-1026176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2023">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5872" w14:textId="77777777" w:rsidR="00F61A21" w:rsidRPr="00EC00A2" w:rsidRDefault="00F61A21" w:rsidP="00EC00A2">
    <w:pPr>
      <w:pStyle w:val="Footer"/>
      <w:jc w:val="right"/>
    </w:pPr>
    <w:r>
      <w:rPr>
        <w:rStyle w:val="PlaceholderText"/>
      </w:rPr>
      <w:t>[Title]</w:t>
    </w:r>
    <w:r>
      <w:tab/>
      <w:t>radioactivewaste.gov.au</w:t>
    </w:r>
    <w:r>
      <w:tab/>
    </w:r>
    <w:sdt>
      <w:sdtPr>
        <w:id w:val="-202623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202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61D43" w14:textId="77777777" w:rsidR="00F61A21" w:rsidRDefault="00F61A21" w:rsidP="00B251DB">
      <w:pPr>
        <w:spacing w:after="0" w:line="240" w:lineRule="auto"/>
      </w:pPr>
      <w:r>
        <w:separator/>
      </w:r>
    </w:p>
  </w:footnote>
  <w:footnote w:type="continuationSeparator" w:id="0">
    <w:p w14:paraId="40C840C9" w14:textId="77777777" w:rsidR="00F61A21" w:rsidRDefault="00F61A21" w:rsidP="00B251DB">
      <w:pPr>
        <w:spacing w:after="0" w:line="240" w:lineRule="auto"/>
      </w:pPr>
      <w:r>
        <w:continuationSeparator/>
      </w:r>
    </w:p>
  </w:footnote>
  <w:footnote w:type="continuationNotice" w:id="1">
    <w:p w14:paraId="747C414E" w14:textId="77777777" w:rsidR="00CB1F98" w:rsidRDefault="00CB1F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13AD3" w14:textId="77777777" w:rsidR="00F61A21" w:rsidRDefault="00F61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0536" w14:textId="77777777" w:rsidR="00F61A21" w:rsidRDefault="00F61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5871" w14:textId="77777777" w:rsidR="00F61A21" w:rsidRDefault="00806473">
    <w:pPr>
      <w:pStyle w:val="Header"/>
    </w:pPr>
    <w:r w:rsidRPr="00180BF8">
      <w:rPr>
        <w:noProof/>
        <w:lang w:eastAsia="en-AU"/>
      </w:rPr>
      <w:drawing>
        <wp:inline distT="0" distB="0" distL="0" distR="0" wp14:anchorId="22645873" wp14:editId="22645874">
          <wp:extent cx="4327577" cy="647114"/>
          <wp:effectExtent l="0" t="0" r="0" b="635"/>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4433181" cy="6629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CE4"/>
    <w:multiLevelType w:val="hybridMultilevel"/>
    <w:tmpl w:val="34E6C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359C4"/>
    <w:multiLevelType w:val="hybridMultilevel"/>
    <w:tmpl w:val="DA14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61961"/>
    <w:multiLevelType w:val="hybridMultilevel"/>
    <w:tmpl w:val="A1EE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02262"/>
    <w:multiLevelType w:val="hybridMultilevel"/>
    <w:tmpl w:val="7C5A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13D39"/>
    <w:multiLevelType w:val="hybridMultilevel"/>
    <w:tmpl w:val="9ED041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777A6"/>
    <w:multiLevelType w:val="hybridMultilevel"/>
    <w:tmpl w:val="C69CDA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81DC4"/>
    <w:multiLevelType w:val="hybridMultilevel"/>
    <w:tmpl w:val="444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14CE2"/>
    <w:multiLevelType w:val="hybridMultilevel"/>
    <w:tmpl w:val="5F52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B309E"/>
    <w:multiLevelType w:val="hybridMultilevel"/>
    <w:tmpl w:val="CD20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F5B16"/>
    <w:multiLevelType w:val="hybridMultilevel"/>
    <w:tmpl w:val="39B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02455"/>
    <w:multiLevelType w:val="hybridMultilevel"/>
    <w:tmpl w:val="1EF4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F5A49"/>
    <w:multiLevelType w:val="hybridMultilevel"/>
    <w:tmpl w:val="D9C6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7B73F2"/>
    <w:multiLevelType w:val="hybridMultilevel"/>
    <w:tmpl w:val="D1E00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12578"/>
    <w:multiLevelType w:val="hybridMultilevel"/>
    <w:tmpl w:val="4322E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62573F"/>
    <w:multiLevelType w:val="hybridMultilevel"/>
    <w:tmpl w:val="A55433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FC3D76"/>
    <w:multiLevelType w:val="hybridMultilevel"/>
    <w:tmpl w:val="2384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6D60D8"/>
    <w:multiLevelType w:val="hybridMultilevel"/>
    <w:tmpl w:val="171A7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A869A1"/>
    <w:multiLevelType w:val="hybridMultilevel"/>
    <w:tmpl w:val="23B4F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4FD16EE"/>
    <w:multiLevelType w:val="hybridMultilevel"/>
    <w:tmpl w:val="CEA63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B10B69"/>
    <w:multiLevelType w:val="hybridMultilevel"/>
    <w:tmpl w:val="CCE62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7F3387"/>
    <w:multiLevelType w:val="hybridMultilevel"/>
    <w:tmpl w:val="04D6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87272"/>
    <w:multiLevelType w:val="hybridMultilevel"/>
    <w:tmpl w:val="9984C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6"/>
  </w:num>
  <w:num w:numId="2">
    <w:abstractNumId w:val="12"/>
  </w:num>
  <w:num w:numId="3">
    <w:abstractNumId w:val="23"/>
  </w:num>
  <w:num w:numId="4">
    <w:abstractNumId w:val="18"/>
  </w:num>
  <w:num w:numId="5">
    <w:abstractNumId w:val="27"/>
  </w:num>
  <w:num w:numId="6">
    <w:abstractNumId w:val="8"/>
  </w:num>
  <w:num w:numId="7">
    <w:abstractNumId w:val="5"/>
  </w:num>
  <w:num w:numId="8">
    <w:abstractNumId w:val="6"/>
  </w:num>
  <w:num w:numId="9">
    <w:abstractNumId w:val="22"/>
  </w:num>
  <w:num w:numId="10">
    <w:abstractNumId w:val="24"/>
  </w:num>
  <w:num w:numId="11">
    <w:abstractNumId w:val="9"/>
  </w:num>
  <w:num w:numId="12">
    <w:abstractNumId w:val="36"/>
  </w:num>
  <w:num w:numId="13">
    <w:abstractNumId w:val="30"/>
  </w:num>
  <w:num w:numId="14">
    <w:abstractNumId w:val="17"/>
  </w:num>
  <w:num w:numId="15">
    <w:abstractNumId w:val="32"/>
  </w:num>
  <w:num w:numId="16">
    <w:abstractNumId w:val="31"/>
  </w:num>
  <w:num w:numId="17">
    <w:abstractNumId w:val="20"/>
  </w:num>
  <w:num w:numId="18">
    <w:abstractNumId w:val="3"/>
  </w:num>
  <w:num w:numId="19">
    <w:abstractNumId w:val="2"/>
  </w:num>
  <w:num w:numId="20">
    <w:abstractNumId w:val="35"/>
  </w:num>
  <w:num w:numId="21">
    <w:abstractNumId w:val="33"/>
  </w:num>
  <w:num w:numId="22">
    <w:abstractNumId w:val="1"/>
  </w:num>
  <w:num w:numId="23">
    <w:abstractNumId w:val="19"/>
  </w:num>
  <w:num w:numId="24">
    <w:abstractNumId w:val="26"/>
  </w:num>
  <w:num w:numId="25">
    <w:abstractNumId w:val="10"/>
  </w:num>
  <w:num w:numId="26">
    <w:abstractNumId w:val="4"/>
  </w:num>
  <w:num w:numId="27">
    <w:abstractNumId w:val="29"/>
  </w:num>
  <w:num w:numId="28">
    <w:abstractNumId w:val="14"/>
  </w:num>
  <w:num w:numId="29">
    <w:abstractNumId w:val="28"/>
  </w:num>
  <w:num w:numId="30">
    <w:abstractNumId w:val="21"/>
  </w:num>
  <w:num w:numId="31">
    <w:abstractNumId w:val="0"/>
  </w:num>
  <w:num w:numId="32">
    <w:abstractNumId w:val="11"/>
  </w:num>
  <w:num w:numId="33">
    <w:abstractNumId w:val="34"/>
  </w:num>
  <w:num w:numId="34">
    <w:abstractNumId w:val="13"/>
  </w:num>
  <w:num w:numId="35">
    <w:abstractNumId w:val="15"/>
  </w:num>
  <w:num w:numId="36">
    <w:abstractNumId w:val="2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2"/>
    <w:rsid w:val="00032995"/>
    <w:rsid w:val="00046C20"/>
    <w:rsid w:val="00047086"/>
    <w:rsid w:val="000552B3"/>
    <w:rsid w:val="0007067B"/>
    <w:rsid w:val="0007068B"/>
    <w:rsid w:val="00081D07"/>
    <w:rsid w:val="00094A1C"/>
    <w:rsid w:val="000A21DF"/>
    <w:rsid w:val="000C3494"/>
    <w:rsid w:val="000E599A"/>
    <w:rsid w:val="000F2564"/>
    <w:rsid w:val="00102023"/>
    <w:rsid w:val="00153C15"/>
    <w:rsid w:val="00164E25"/>
    <w:rsid w:val="001733A6"/>
    <w:rsid w:val="001831CF"/>
    <w:rsid w:val="001B357A"/>
    <w:rsid w:val="001B7180"/>
    <w:rsid w:val="001C7E3C"/>
    <w:rsid w:val="001D216A"/>
    <w:rsid w:val="001D2E82"/>
    <w:rsid w:val="001D3782"/>
    <w:rsid w:val="001F5AB1"/>
    <w:rsid w:val="00205863"/>
    <w:rsid w:val="00205DF3"/>
    <w:rsid w:val="0022083E"/>
    <w:rsid w:val="00221522"/>
    <w:rsid w:val="00222D0B"/>
    <w:rsid w:val="00227837"/>
    <w:rsid w:val="00241D3D"/>
    <w:rsid w:val="00254DA8"/>
    <w:rsid w:val="00272B04"/>
    <w:rsid w:val="002B5C69"/>
    <w:rsid w:val="002D230B"/>
    <w:rsid w:val="003060FB"/>
    <w:rsid w:val="00343107"/>
    <w:rsid w:val="003445DF"/>
    <w:rsid w:val="00380D92"/>
    <w:rsid w:val="00381FD3"/>
    <w:rsid w:val="003B2A8E"/>
    <w:rsid w:val="003D38ED"/>
    <w:rsid w:val="004112A5"/>
    <w:rsid w:val="00432D23"/>
    <w:rsid w:val="00453AE9"/>
    <w:rsid w:val="004632E9"/>
    <w:rsid w:val="0046678C"/>
    <w:rsid w:val="004B4254"/>
    <w:rsid w:val="004D1DFD"/>
    <w:rsid w:val="004D3B0F"/>
    <w:rsid w:val="004D6060"/>
    <w:rsid w:val="004E3646"/>
    <w:rsid w:val="004E4DDB"/>
    <w:rsid w:val="004E6162"/>
    <w:rsid w:val="00516B0E"/>
    <w:rsid w:val="00537793"/>
    <w:rsid w:val="0055520C"/>
    <w:rsid w:val="005628BE"/>
    <w:rsid w:val="00583E8E"/>
    <w:rsid w:val="005841AE"/>
    <w:rsid w:val="00584B74"/>
    <w:rsid w:val="005C10F0"/>
    <w:rsid w:val="00603DDF"/>
    <w:rsid w:val="00607188"/>
    <w:rsid w:val="006626A4"/>
    <w:rsid w:val="00671D1D"/>
    <w:rsid w:val="0068286F"/>
    <w:rsid w:val="00686CA4"/>
    <w:rsid w:val="006B731B"/>
    <w:rsid w:val="006C4C9C"/>
    <w:rsid w:val="006C5288"/>
    <w:rsid w:val="006C6E92"/>
    <w:rsid w:val="006D2221"/>
    <w:rsid w:val="006E1E6A"/>
    <w:rsid w:val="006E4001"/>
    <w:rsid w:val="006F1CC2"/>
    <w:rsid w:val="006F49D8"/>
    <w:rsid w:val="006F58A5"/>
    <w:rsid w:val="00711349"/>
    <w:rsid w:val="00723C5D"/>
    <w:rsid w:val="00730C73"/>
    <w:rsid w:val="00734324"/>
    <w:rsid w:val="00737DA0"/>
    <w:rsid w:val="00742384"/>
    <w:rsid w:val="00762AFA"/>
    <w:rsid w:val="00767D49"/>
    <w:rsid w:val="007833EE"/>
    <w:rsid w:val="00793041"/>
    <w:rsid w:val="007B553F"/>
    <w:rsid w:val="007C70F0"/>
    <w:rsid w:val="00806473"/>
    <w:rsid w:val="008223AC"/>
    <w:rsid w:val="00853A7A"/>
    <w:rsid w:val="00892B6E"/>
    <w:rsid w:val="00893B40"/>
    <w:rsid w:val="008A1064"/>
    <w:rsid w:val="008E5740"/>
    <w:rsid w:val="008F152C"/>
    <w:rsid w:val="008F514A"/>
    <w:rsid w:val="00945EC5"/>
    <w:rsid w:val="00954B5B"/>
    <w:rsid w:val="0095717D"/>
    <w:rsid w:val="009824A2"/>
    <w:rsid w:val="009874BF"/>
    <w:rsid w:val="009A549D"/>
    <w:rsid w:val="009E42F3"/>
    <w:rsid w:val="00A1126F"/>
    <w:rsid w:val="00A176D9"/>
    <w:rsid w:val="00A20B47"/>
    <w:rsid w:val="00A41797"/>
    <w:rsid w:val="00A4655D"/>
    <w:rsid w:val="00A52F3D"/>
    <w:rsid w:val="00A731BB"/>
    <w:rsid w:val="00A86C97"/>
    <w:rsid w:val="00AA4E1E"/>
    <w:rsid w:val="00AA740C"/>
    <w:rsid w:val="00AB7628"/>
    <w:rsid w:val="00AF472B"/>
    <w:rsid w:val="00B073F5"/>
    <w:rsid w:val="00B251DB"/>
    <w:rsid w:val="00B26C25"/>
    <w:rsid w:val="00B35C0C"/>
    <w:rsid w:val="00B6375D"/>
    <w:rsid w:val="00BA5385"/>
    <w:rsid w:val="00BC1902"/>
    <w:rsid w:val="00BD0F8A"/>
    <w:rsid w:val="00BE6EEA"/>
    <w:rsid w:val="00BF2528"/>
    <w:rsid w:val="00BF4C22"/>
    <w:rsid w:val="00C2772A"/>
    <w:rsid w:val="00C506B7"/>
    <w:rsid w:val="00C53C9B"/>
    <w:rsid w:val="00C5795A"/>
    <w:rsid w:val="00C703FD"/>
    <w:rsid w:val="00C82966"/>
    <w:rsid w:val="00C9719F"/>
    <w:rsid w:val="00CA4F48"/>
    <w:rsid w:val="00CB1F98"/>
    <w:rsid w:val="00CC5DC2"/>
    <w:rsid w:val="00D07789"/>
    <w:rsid w:val="00D220CF"/>
    <w:rsid w:val="00D55652"/>
    <w:rsid w:val="00D841E9"/>
    <w:rsid w:val="00DB0517"/>
    <w:rsid w:val="00DC5680"/>
    <w:rsid w:val="00DD7094"/>
    <w:rsid w:val="00DE670B"/>
    <w:rsid w:val="00E01D7D"/>
    <w:rsid w:val="00E04269"/>
    <w:rsid w:val="00E068E6"/>
    <w:rsid w:val="00E27E31"/>
    <w:rsid w:val="00E3027E"/>
    <w:rsid w:val="00E36441"/>
    <w:rsid w:val="00E4318B"/>
    <w:rsid w:val="00E470F8"/>
    <w:rsid w:val="00EC00A2"/>
    <w:rsid w:val="00EE1266"/>
    <w:rsid w:val="00EE4109"/>
    <w:rsid w:val="00EF20B5"/>
    <w:rsid w:val="00EF2513"/>
    <w:rsid w:val="00F171D7"/>
    <w:rsid w:val="00F22BB9"/>
    <w:rsid w:val="00F316C5"/>
    <w:rsid w:val="00F33BAE"/>
    <w:rsid w:val="00F61A21"/>
    <w:rsid w:val="00F639EB"/>
    <w:rsid w:val="00F937FA"/>
    <w:rsid w:val="00F96869"/>
    <w:rsid w:val="00FC24A0"/>
    <w:rsid w:val="00FC5A9F"/>
    <w:rsid w:val="00FC6CC0"/>
    <w:rsid w:val="00FD17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645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styleId="IntenseEmphasis">
    <w:name w:val="Intense Emphasis"/>
    <w:basedOn w:val="DefaultParagraphFont"/>
    <w:uiPriority w:val="21"/>
    <w:qFormat/>
    <w:rsid w:val="00094A1C"/>
    <w:rPr>
      <w:i/>
      <w:iCs/>
      <w:color w:val="939598" w:themeColor="accent1"/>
    </w:rPr>
  </w:style>
  <w:style w:type="character" w:styleId="SubtleEmphasis">
    <w:name w:val="Subtle Emphasis"/>
    <w:basedOn w:val="DefaultParagraphFont"/>
    <w:uiPriority w:val="19"/>
    <w:qFormat/>
    <w:rsid w:val="00742384"/>
    <w:rPr>
      <w:i/>
      <w:iCs/>
      <w:color w:val="404040" w:themeColor="text1" w:themeTint="BF"/>
    </w:rPr>
  </w:style>
  <w:style w:type="character" w:styleId="FollowedHyperlink">
    <w:name w:val="FollowedHyperlink"/>
    <w:basedOn w:val="DefaultParagraphFont"/>
    <w:uiPriority w:val="99"/>
    <w:semiHidden/>
    <w:unhideWhenUsed/>
    <w:rsid w:val="00FC6CC0"/>
    <w:rPr>
      <w:color w:val="551A8B" w:themeColor="followedHyperlink"/>
      <w:u w:val="single"/>
    </w:rPr>
  </w:style>
  <w:style w:type="character" w:styleId="CommentReference">
    <w:name w:val="annotation reference"/>
    <w:basedOn w:val="DefaultParagraphFont"/>
    <w:uiPriority w:val="99"/>
    <w:semiHidden/>
    <w:unhideWhenUsed/>
    <w:rsid w:val="00C703FD"/>
    <w:rPr>
      <w:sz w:val="16"/>
      <w:szCs w:val="16"/>
    </w:rPr>
  </w:style>
  <w:style w:type="paragraph" w:styleId="CommentText">
    <w:name w:val="annotation text"/>
    <w:basedOn w:val="Normal"/>
    <w:link w:val="CommentTextChar"/>
    <w:uiPriority w:val="99"/>
    <w:semiHidden/>
    <w:unhideWhenUsed/>
    <w:rsid w:val="00C703FD"/>
    <w:pPr>
      <w:spacing w:line="240" w:lineRule="auto"/>
    </w:pPr>
    <w:rPr>
      <w:sz w:val="20"/>
      <w:szCs w:val="20"/>
    </w:rPr>
  </w:style>
  <w:style w:type="character" w:customStyle="1" w:styleId="CommentTextChar">
    <w:name w:val="Comment Text Char"/>
    <w:basedOn w:val="DefaultParagraphFont"/>
    <w:link w:val="CommentText"/>
    <w:uiPriority w:val="99"/>
    <w:semiHidden/>
    <w:rsid w:val="00C703FD"/>
    <w:rPr>
      <w:sz w:val="20"/>
      <w:szCs w:val="20"/>
    </w:rPr>
  </w:style>
  <w:style w:type="paragraph" w:styleId="CommentSubject">
    <w:name w:val="annotation subject"/>
    <w:basedOn w:val="CommentText"/>
    <w:next w:val="CommentText"/>
    <w:link w:val="CommentSubjectChar"/>
    <w:uiPriority w:val="99"/>
    <w:semiHidden/>
    <w:unhideWhenUsed/>
    <w:rsid w:val="00C703FD"/>
    <w:rPr>
      <w:b/>
      <w:bCs/>
    </w:rPr>
  </w:style>
  <w:style w:type="character" w:customStyle="1" w:styleId="CommentSubjectChar">
    <w:name w:val="Comment Subject Char"/>
    <w:basedOn w:val="CommentTextChar"/>
    <w:link w:val="CommentSubject"/>
    <w:uiPriority w:val="99"/>
    <w:semiHidden/>
    <w:rsid w:val="00C70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dioactivewaste@industry.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adioactivewaste@industry.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4" ma:contentTypeDescription="Create a new document." ma:contentTypeScope="" ma:versionID="12012e9222ad5fc435b339dbc43b3937">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d7d4e1b042bd56bc2f8fc7f6c4aa7ee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For Official Use Only</TermName>
          <TermId>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f7542fce-ffe0-493b-b9b7-89db4158a116">
      <Terms xmlns="http://schemas.microsoft.com/office/infopath/2007/PartnerControls">
        <TermInfo xmlns="http://schemas.microsoft.com/office/infopath/2007/PartnerControls">
          <TermName>Survey</TermName>
          <TermId>bc7bcd06-a95a-42f7-a64d-17252e18353c</TermId>
        </TermInfo>
        <TermInfo xmlns="http://schemas.microsoft.com/office/infopath/2007/PartnerControls">
          <TermName>Neighbour Views</TermName>
          <TermId>2743516f-a9d8-4a43-b56c-81929e7c3355</TermId>
        </TermInfo>
      </Terms>
    </adb9bed2e36e4a93af574aeb444da63e>
    <TaxCatchAll xmlns="f7542fce-ffe0-493b-b9b7-89db4158a116">
      <Value>69</Value>
      <Value>749</Value>
      <Value>2764</Value>
      <Value>2500</Value>
      <Value>252</Value>
    </TaxCatchAll>
    <pe2555c81638466f9eb614edb9ecde52 xmlns="f7542fce-ffe0-493b-b9b7-89db4158a116">
      <Terms xmlns="http://schemas.microsoft.com/office/infopath/2007/PartnerControls">
        <TermInfo xmlns="http://schemas.microsoft.com/office/infopath/2007/PartnerControls">
          <TermName>Guideline</TermName>
          <TermId>1cb7cffe-f5b4-42ac-8a71-3f61d9d0fa0a</TermId>
        </TermInfo>
      </Terms>
    </pe2555c81638466f9eb614edb9ecde52>
    <g7bcb40ba23249a78edca7d43a67c1c9 xmlns="f7542fce-ffe0-493b-b9b7-89db4158a116">
      <Terms xmlns="http://schemas.microsoft.com/office/infopath/2007/PartnerControls"/>
    </g7bcb40ba23249a78edca7d43a67c1c9>
    <Comments xmlns="http://schemas.microsoft.com/sharepoint/v3">Revised with assistance from LAAB and KWM</Comments>
    <_dlc_DocId xmlns="f7542fce-ffe0-493b-b9b7-89db4158a116">CVP4KWCTENUR-972021113-269</_dlc_DocId>
    <_dlc_DocIdUrl xmlns="f7542fce-ffe0-493b-b9b7-89db4158a116">
      <Url>https://dochub/div/officeofnorthernaustralia/programmesprojectstaskforces/nrwmft/_layouts/15/DocIdRedir.aspx?ID=CVP4KWCTENUR-972021113-269</Url>
      <Description>CVP4KWCTENUR-972021113-269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178E-EE8D-4C5F-95AE-1D1FF245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16CAB-66E4-4C17-8032-E81C72D2011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34C6F6C2-4DDC-4639-9597-A8587553B293}">
  <ds:schemaRefs>
    <ds:schemaRef ds:uri="http://schemas.microsoft.com/sharepoint/v3/contenttype/forms"/>
  </ds:schemaRefs>
</ds:datastoreItem>
</file>

<file path=customXml/itemProps4.xml><?xml version="1.0" encoding="utf-8"?>
<ds:datastoreItem xmlns:ds="http://schemas.openxmlformats.org/officeDocument/2006/customXml" ds:itemID="{A9451C9E-E2C5-4516-BBC5-C7AC3857F66D}">
  <ds:schemaRefs>
    <ds:schemaRef ds:uri="http://schemas.microsoft.com/sharepoint/events"/>
  </ds:schemaRefs>
</ds:datastoreItem>
</file>

<file path=customXml/itemProps5.xml><?xml version="1.0" encoding="utf-8"?>
<ds:datastoreItem xmlns:ds="http://schemas.openxmlformats.org/officeDocument/2006/customXml" ds:itemID="{434512E9-7C35-4784-BCD8-1E46708E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2019-12-06T00:42:00Z</dcterms:created>
  <dcterms:modified xsi:type="dcterms:W3CDTF">2019-12-06T00:43:00Z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44595529_2</vt:lpwstr>
  </property>
  <property fmtid="{D5CDD505-2E9C-101B-9397-08002B2CF9AE}" pid="3" name="ContentTypeId">
    <vt:lpwstr>0x010100340F68D7ACA63B4BB66C74AD8BD1F30E</vt:lpwstr>
  </property>
  <property fmtid="{D5CDD505-2E9C-101B-9397-08002B2CF9AE}" pid="4" name="DocHub_Year">
    <vt:lpwstr>749;#2019|7e451fe0-4dc6-437a-a849-bab7965a9aee</vt:lpwstr>
  </property>
  <property fmtid="{D5CDD505-2E9C-101B-9397-08002B2CF9AE}" pid="5" name="DocHub_WorkActivity">
    <vt:lpwstr/>
  </property>
  <property fmtid="{D5CDD505-2E9C-101B-9397-08002B2CF9AE}" pid="6" name="DocHub_Keywords">
    <vt:lpwstr>2764;#Survey|bc7bcd06-a95a-42f7-a64d-17252e18353c;#2500;#Neighbour Views|2743516f-a9d8-4a43-b56c-81929e7c3355</vt:lpwstr>
  </property>
  <property fmtid="{D5CDD505-2E9C-101B-9397-08002B2CF9AE}" pid="7" name="DocHub_DocumentType">
    <vt:lpwstr>252;#Guideline|1cb7cffe-f5b4-42ac-8a71-3f61d9d0fa0a</vt:lpwstr>
  </property>
  <property fmtid="{D5CDD505-2E9C-101B-9397-08002B2CF9AE}" pid="8" name="DocHub_SecurityClassification">
    <vt:lpwstr>69;#For Official Use Only|11f6fb0b-52ce-4109-8f7f-521b2a62f692</vt:lpwstr>
  </property>
  <property fmtid="{D5CDD505-2E9C-101B-9397-08002B2CF9AE}" pid="9" name="_dlc_DocIdItemGuid">
    <vt:lpwstr>2a2be080-49f3-4cba-bfaf-b636ee053a2a</vt:lpwstr>
  </property>
</Properties>
</file>