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311B31" w14:textId="3293A789" w:rsidR="00C34E07" w:rsidRPr="00120A5B" w:rsidRDefault="00C34E07" w:rsidP="009832F7">
      <w:pPr>
        <w:pStyle w:val="Heading1"/>
      </w:pPr>
      <w:bookmarkStart w:id="0" w:name="_Toc19023741"/>
      <w:r w:rsidRPr="00120A5B">
        <w:t>Venture Capital Dashboard</w:t>
      </w:r>
      <w:r w:rsidR="00002A3C" w:rsidRPr="00120A5B">
        <w:t xml:space="preserve"> FY 20</w:t>
      </w:r>
      <w:r w:rsidR="0023549A" w:rsidRPr="00120A5B">
        <w:t>2</w:t>
      </w:r>
      <w:r w:rsidR="00F50943">
        <w:t>3/24</w:t>
      </w:r>
    </w:p>
    <w:p w14:paraId="1BCAFB32" w14:textId="77777777" w:rsidR="00800336" w:rsidRDefault="00C34E07" w:rsidP="009832F7">
      <w:pPr>
        <w:rPr>
          <w:lang w:val="en"/>
        </w:rPr>
      </w:pPr>
      <w:r>
        <w:rPr>
          <w:lang w:val="en"/>
        </w:rPr>
        <w:t>This report provides key statistics on Australian venture capital funds and investments registered under the Venture Capital Act 2002. It is an important resource for program and policy representatives, venture capitalists, the academic community and those seeking to enhance their understanding of venture capital.</w:t>
      </w:r>
      <w:r w:rsidR="00800336">
        <w:rPr>
          <w:lang w:val="en"/>
        </w:rPr>
        <w:t xml:space="preserve"> </w:t>
      </w:r>
    </w:p>
    <w:p w14:paraId="4E57EFC9" w14:textId="51288D8B" w:rsidR="00800336" w:rsidRDefault="00EC7013" w:rsidP="009832F7">
      <w:pPr>
        <w:rPr>
          <w:lang w:val="en"/>
        </w:rPr>
      </w:pPr>
      <w:r>
        <w:rPr>
          <w:lang w:val="en"/>
        </w:rPr>
        <w:t xml:space="preserve">If you would like assistance with this document please email </w:t>
      </w:r>
      <w:hyperlink r:id="rId12" w:history="1">
        <w:r w:rsidRPr="00EC7013">
          <w:rPr>
            <w:rStyle w:val="Hyperlink"/>
            <w:lang w:val="en"/>
          </w:rPr>
          <w:t>mailto:venturecapital@industry.gov.au</w:t>
        </w:r>
      </w:hyperlink>
      <w:r>
        <w:rPr>
          <w:lang w:val="en"/>
        </w:rPr>
        <w:t>.</w:t>
      </w:r>
    </w:p>
    <w:p w14:paraId="2A311B34" w14:textId="5411EA57" w:rsidR="00C34E07" w:rsidRDefault="00C34E07" w:rsidP="00AF4110">
      <w:pPr>
        <w:pStyle w:val="Heading1"/>
        <w:pageBreakBefore w:val="0"/>
      </w:pPr>
      <w:r>
        <w:t>Notes</w:t>
      </w:r>
    </w:p>
    <w:p w14:paraId="5BCAB3C8" w14:textId="77777777" w:rsidR="009832F7" w:rsidRDefault="009832F7" w:rsidP="009832F7">
      <w:r>
        <w:t>* Data is from FY10/11 onwards from submitted quarterly and annual returns for ESVCLP and VCLP partnerships as at the date of publishing up to and including the end of the financial year unless otherwise stated. Figures may vary from previously published data for the same time period</w:t>
      </w:r>
    </w:p>
    <w:p w14:paraId="0A5FE629" w14:textId="77777777" w:rsidR="009832F7" w:rsidRDefault="009832F7" w:rsidP="009832F7">
      <w:r>
        <w:t>* All currency figures stated are in Australian dollars</w:t>
      </w:r>
    </w:p>
    <w:p w14:paraId="1C0D78F4" w14:textId="77777777" w:rsidR="009832F7" w:rsidRDefault="009832F7" w:rsidP="009832F7">
      <w:r>
        <w:t>* Data bars in tables represent the proportional value in a cell, making it visually easier to compare values in the table</w:t>
      </w:r>
    </w:p>
    <w:p w14:paraId="4BE5FC1C" w14:textId="77777777" w:rsidR="009832F7" w:rsidRDefault="009832F7" w:rsidP="009832F7">
      <w:r>
        <w:t>* Dry powder includes cash reserves and unpaid management fees</w:t>
      </w:r>
    </w:p>
    <w:p w14:paraId="5105A559" w14:textId="77777777" w:rsidR="009832F7" w:rsidRDefault="009832F7" w:rsidP="009832F7">
      <w:r>
        <w:t>* For number of registrations, a partnership is counted at each registration point and may thus be represented more than once</w:t>
      </w:r>
    </w:p>
    <w:p w14:paraId="60A525BD" w14:textId="77777777" w:rsidR="009832F7" w:rsidRDefault="009832F7" w:rsidP="009832F7">
      <w:r>
        <w:t>* A revocation may occur under either s17.1, s17.5, s17.10 or s17.25 of the Venture Capital Act 2002</w:t>
      </w:r>
    </w:p>
    <w:p w14:paraId="3AA5BEC5" w14:textId="77777777" w:rsidR="009832F7" w:rsidRDefault="009832F7" w:rsidP="009832F7">
      <w:r>
        <w:t>* For number of revocations and lapses, years are only shown where a revocation or lapse event occurred</w:t>
      </w:r>
    </w:p>
    <w:p w14:paraId="03944FC1" w14:textId="77777777" w:rsidR="009832F7" w:rsidRDefault="009832F7" w:rsidP="009832F7">
      <w:r>
        <w:t>* For number of businesses, an entity may be counted more than once if the name is not reported consistently</w:t>
      </w:r>
    </w:p>
    <w:p w14:paraId="6BC45DD3" w14:textId="77777777" w:rsidR="009832F7" w:rsidRDefault="009832F7" w:rsidP="009832F7">
      <w:r>
        <w:t>* Investments with blank reported sectors have been removed</w:t>
      </w:r>
    </w:p>
    <w:p w14:paraId="67506920" w14:textId="77777777" w:rsidR="009832F7" w:rsidRDefault="009832F7" w:rsidP="009832F7">
      <w:r>
        <w:t>* More detailed data for sectors and limited partner types was collected from FY 18/19 onwards</w:t>
      </w:r>
    </w:p>
    <w:p w14:paraId="12DDEC09" w14:textId="77777777" w:rsidR="009832F7" w:rsidRDefault="009832F7" w:rsidP="009832F7">
      <w:r>
        <w:t>* For number of limited partners, an entity may be counted more than once if it has contributed to more than one fund or if the name is not reported consistently.  "Super fund" represents non-</w:t>
      </w:r>
      <w:proofErr w:type="spellStart"/>
      <w:r>
        <w:t>self managed</w:t>
      </w:r>
      <w:proofErr w:type="spellEnd"/>
      <w:r>
        <w:t xml:space="preserve"> super funds, "Other entity" includes universities, foundations and uncategorised entities</w:t>
      </w:r>
    </w:p>
    <w:p w14:paraId="6820D73E" w14:textId="66B4CEF6" w:rsidR="00800336" w:rsidRDefault="009832F7" w:rsidP="009832F7">
      <w:r>
        <w:t>* Limited partner data was not collected prior to FY 09/10</w:t>
      </w:r>
      <w:r w:rsidR="00800336">
        <w:br w:type="page"/>
      </w:r>
    </w:p>
    <w:p w14:paraId="2A311B3D" w14:textId="4DC92927" w:rsidR="00C34E07" w:rsidRPr="00800336" w:rsidRDefault="00C34E07" w:rsidP="009832F7">
      <w:pPr>
        <w:pStyle w:val="Heading1"/>
      </w:pPr>
      <w:r w:rsidRPr="00800336">
        <w:lastRenderedPageBreak/>
        <w:t>Glossary</w:t>
      </w:r>
    </w:p>
    <w:p w14:paraId="6F4F485B" w14:textId="77777777" w:rsidR="009832F7" w:rsidRDefault="009832F7" w:rsidP="009832F7">
      <w:pPr>
        <w:rPr>
          <w:rFonts w:ascii="Calibri" w:hAnsi="Calibri" w:cs="Calibri"/>
          <w:color w:val="2D587D"/>
        </w:rPr>
      </w:pPr>
      <w:r>
        <w:t>* ESVCLP refers to Early Stage Venture Capital Limited Partnerships, VCLP refers to Venture Capital Limited Partnerships</w:t>
      </w:r>
    </w:p>
    <w:p w14:paraId="4F97C1AB" w14:textId="77777777" w:rsidR="009832F7" w:rsidRDefault="009832F7" w:rsidP="009832F7">
      <w:pPr>
        <w:rPr>
          <w:rFonts w:ascii="Calibri" w:hAnsi="Calibri" w:cs="Calibri"/>
          <w:color w:val="2D587D"/>
        </w:rPr>
      </w:pPr>
      <w:r>
        <w:t>* Conditional registration and (full) registration requirements for ESVCLPs and VCLPs are defined in the</w:t>
      </w:r>
      <w:r w:rsidRPr="009832F7">
        <w:rPr>
          <w:rFonts w:ascii="Calibri" w:hAnsi="Calibri" w:cs="Calibri"/>
        </w:rPr>
        <w:t xml:space="preserve"> </w:t>
      </w:r>
      <w:hyperlink r:id="rId13" w:tgtFrame="_blank" w:history="1">
        <w:r w:rsidRPr="009832F7">
          <w:rPr>
            <w:rStyle w:val="Emphasis"/>
            <w:rFonts w:ascii="Calibri" w:hAnsi="Calibri" w:cs="Calibri"/>
            <w:color w:val="000000"/>
            <w:u w:val="single"/>
          </w:rPr>
          <w:t>Venture Capital Act 2002</w:t>
        </w:r>
      </w:hyperlink>
    </w:p>
    <w:p w14:paraId="0BEDABA5" w14:textId="77777777" w:rsidR="009832F7" w:rsidRDefault="009832F7" w:rsidP="009832F7">
      <w:pPr>
        <w:rPr>
          <w:rFonts w:ascii="Calibri" w:hAnsi="Calibri" w:cs="Calibri"/>
          <w:color w:val="2D587D"/>
        </w:rPr>
      </w:pPr>
      <w:r>
        <w:t>* Sectors are based on ANZSIC divisions sourced from</w:t>
      </w:r>
      <w:r w:rsidRPr="009832F7">
        <w:rPr>
          <w:rFonts w:ascii="Calibri" w:hAnsi="Calibri" w:cs="Calibri"/>
        </w:rPr>
        <w:t xml:space="preserve"> </w:t>
      </w:r>
      <w:hyperlink r:id="rId14" w:tgtFrame="_blank" w:history="1">
        <w:r w:rsidRPr="009832F7">
          <w:rPr>
            <w:rStyle w:val="Hyperlink"/>
            <w:rFonts w:ascii="Calibri" w:hAnsi="Calibri" w:cs="Calibri"/>
            <w:color w:val="000000"/>
          </w:rPr>
          <w:t>www.abs.gov.au</w:t>
        </w:r>
      </w:hyperlink>
    </w:p>
    <w:p w14:paraId="37DE8959" w14:textId="77777777" w:rsidR="009832F7" w:rsidRDefault="009832F7" w:rsidP="009832F7">
      <w:pPr>
        <w:rPr>
          <w:rFonts w:ascii="Calibri" w:hAnsi="Calibri" w:cs="Calibri"/>
          <w:color w:val="2D587D"/>
        </w:rPr>
      </w:pPr>
      <w:r>
        <w:t>* Invested amount means the amount invested into businesses, includes initial and follow on investments</w:t>
      </w:r>
    </w:p>
    <w:p w14:paraId="6F47DBD8" w14:textId="77777777" w:rsidR="009832F7" w:rsidRDefault="009832F7" w:rsidP="009832F7">
      <w:pPr>
        <w:rPr>
          <w:rFonts w:ascii="Calibri" w:hAnsi="Calibri" w:cs="Calibri"/>
          <w:color w:val="2D587D"/>
        </w:rPr>
      </w:pPr>
      <w:r>
        <w:t xml:space="preserve">* Regions categories are sourced from </w:t>
      </w:r>
      <w:hyperlink r:id="rId15" w:anchor="api-endpoints-region" w:tgtFrame="_blank" w:history="1">
        <w:r w:rsidRPr="009832F7">
          <w:rPr>
            <w:rStyle w:val="Hyperlink"/>
            <w:rFonts w:cstheme="minorHAnsi"/>
            <w:color w:val="000000"/>
          </w:rPr>
          <w:t>https://restcountries.com</w:t>
        </w:r>
      </w:hyperlink>
    </w:p>
    <w:p w14:paraId="2A311B43" w14:textId="4119FF47" w:rsidR="00C34E07" w:rsidRDefault="00C34E07" w:rsidP="005D69C9">
      <w:pPr>
        <w:pStyle w:val="Heading1"/>
        <w:pageBreakBefore w:val="0"/>
      </w:pPr>
      <w:r>
        <w:t>More Information/Feedback</w:t>
      </w:r>
    </w:p>
    <w:p w14:paraId="148096F9" w14:textId="28E83549" w:rsidR="00C84D96" w:rsidRDefault="00C84D96" w:rsidP="009832F7">
      <w:r>
        <w:t xml:space="preserve">* For more information refer to </w:t>
      </w:r>
      <w:hyperlink r:id="rId16" w:history="1">
        <w:r w:rsidRPr="00A66AC4">
          <w:rPr>
            <w:rStyle w:val="Hyperlink"/>
          </w:rPr>
          <w:t>www.business.gov.au</w:t>
        </w:r>
      </w:hyperlink>
    </w:p>
    <w:p w14:paraId="04A1B518" w14:textId="18F20A61" w:rsidR="0023549A" w:rsidRDefault="00C84D96" w:rsidP="009832F7">
      <w:r>
        <w:t xml:space="preserve">* To provide feedback or receive assistance with this document email </w:t>
      </w:r>
      <w:hyperlink r:id="rId17" w:history="1">
        <w:r w:rsidR="00800336" w:rsidRPr="00A66AC4">
          <w:rPr>
            <w:rStyle w:val="Hyperlink"/>
          </w:rPr>
          <w:t>venturecapital@industry.gov.au</w:t>
        </w:r>
      </w:hyperlink>
    </w:p>
    <w:p w14:paraId="633591F4" w14:textId="1884FBA4" w:rsidR="00800336" w:rsidRDefault="00800336" w:rsidP="009832F7">
      <w:r>
        <w:br w:type="page"/>
      </w:r>
    </w:p>
    <w:p w14:paraId="2A311B47" w14:textId="1E6689D5" w:rsidR="00C34E07" w:rsidRDefault="00C34E07" w:rsidP="009832F7">
      <w:pPr>
        <w:pStyle w:val="Heading1"/>
      </w:pPr>
      <w:r>
        <w:lastRenderedPageBreak/>
        <w:t>Benefits at a Glance</w:t>
      </w:r>
    </w:p>
    <w:p w14:paraId="67DC8AB2" w14:textId="74F02036" w:rsidR="00857239" w:rsidRDefault="00627172" w:rsidP="009832F7">
      <w:r>
        <w:rPr>
          <w:noProof/>
        </w:rPr>
        <w:drawing>
          <wp:inline distT="0" distB="0" distL="0" distR="0" wp14:anchorId="04B6011C" wp14:editId="03324D87">
            <wp:extent cx="8967470" cy="1791970"/>
            <wp:effectExtent l="0" t="0" r="5080" b="0"/>
            <wp:docPr id="84601614" name="Picture 1" descr="Benefits at a glance&#10;&#10;This image has five visuals highlighting benefits of the venture capital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01614" name="Picture 1" descr="Benefits at a glance&#10;&#10;This image has five visuals highlighting benefits of the venture capital programs"/>
                    <pic:cNvPicPr/>
                  </pic:nvPicPr>
                  <pic:blipFill>
                    <a:blip r:embed="rId18"/>
                    <a:stretch>
                      <a:fillRect/>
                    </a:stretch>
                  </pic:blipFill>
                  <pic:spPr>
                    <a:xfrm>
                      <a:off x="0" y="0"/>
                      <a:ext cx="8967470" cy="1791970"/>
                    </a:xfrm>
                    <a:prstGeom prst="rect">
                      <a:avLst/>
                    </a:prstGeom>
                  </pic:spPr>
                </pic:pic>
              </a:graphicData>
            </a:graphic>
          </wp:inline>
        </w:drawing>
      </w:r>
    </w:p>
    <w:p w14:paraId="2A311B49" w14:textId="0E4AD510" w:rsidR="00582389" w:rsidRDefault="00582389" w:rsidP="009832F7">
      <w:pPr>
        <w:pStyle w:val="Heading1"/>
      </w:pPr>
      <w:r>
        <w:lastRenderedPageBreak/>
        <w:t>Committed Capital and Investment – ESVCLP and VCLP</w:t>
      </w:r>
    </w:p>
    <w:p w14:paraId="4902D588" w14:textId="20AFDEA1" w:rsidR="00857239" w:rsidRDefault="00627172" w:rsidP="009832F7">
      <w:r>
        <w:rPr>
          <w:noProof/>
        </w:rPr>
        <w:drawing>
          <wp:inline distT="0" distB="0" distL="0" distR="0" wp14:anchorId="772B97A4" wp14:editId="238C65B4">
            <wp:extent cx="8967470" cy="3770630"/>
            <wp:effectExtent l="0" t="0" r="5080" b="1270"/>
            <wp:docPr id="1643145027" name="Picture 1" descr="Committed Capital and Investment&#10;&#10;This image has four visuals.  The top two are graphs which show (respectively) ESVCLP and VCLP committed capital trends per financial year.&#10;&#10;The bottom two are tables of data which show the total committed capital, total invested amount and median invested amount per financi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145027" name="Picture 1" descr="Committed Capital and Investment&#10;&#10;This image has four visuals.  The top two are graphs which show (respectively) ESVCLP and VCLP committed capital trends per financial year.&#10;&#10;The bottom two are tables of data which show the total committed capital, total invested amount and median invested amount per financial year."/>
                    <pic:cNvPicPr/>
                  </pic:nvPicPr>
                  <pic:blipFill>
                    <a:blip r:embed="rId19"/>
                    <a:stretch>
                      <a:fillRect/>
                    </a:stretch>
                  </pic:blipFill>
                  <pic:spPr>
                    <a:xfrm>
                      <a:off x="0" y="0"/>
                      <a:ext cx="8967470" cy="3770630"/>
                    </a:xfrm>
                    <a:prstGeom prst="rect">
                      <a:avLst/>
                    </a:prstGeom>
                  </pic:spPr>
                </pic:pic>
              </a:graphicData>
            </a:graphic>
          </wp:inline>
        </w:drawing>
      </w:r>
    </w:p>
    <w:p w14:paraId="1E50F65D" w14:textId="163C06AA" w:rsidR="007E3FB8" w:rsidRDefault="007E3FB8" w:rsidP="009832F7">
      <w:pPr>
        <w:pStyle w:val="Heading1"/>
      </w:pPr>
      <w:r>
        <w:lastRenderedPageBreak/>
        <w:t>Dry Powder – ESVCLP and VCLP</w:t>
      </w:r>
    </w:p>
    <w:p w14:paraId="50609468" w14:textId="16F9AC22" w:rsidR="00857239" w:rsidRDefault="00627172" w:rsidP="009832F7">
      <w:r>
        <w:rPr>
          <w:noProof/>
        </w:rPr>
        <w:drawing>
          <wp:inline distT="0" distB="0" distL="0" distR="0" wp14:anchorId="034D4A61" wp14:editId="04CA908A">
            <wp:extent cx="8967470" cy="3769995"/>
            <wp:effectExtent l="0" t="0" r="5080" b="1905"/>
            <wp:docPr id="1142512636" name="Picture 1" descr="Dry Powder&#10;&#10;This image has four visuals.  The top two are graphs which show (respectively) ESVCLP and VCLP dry powder trends per financial year.&#10;&#10;The bottom two are graphs of data which show the proportion of total amount not invested and total amount invested per financial year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512636" name="Picture 1" descr="Dry Powder&#10;&#10;This image has four visuals.  The top two are graphs which show (respectively) ESVCLP and VCLP dry powder trends per financial year.&#10;&#10;The bottom two are graphs of data which show the proportion of total amount not invested and total amount invested per financial year quarter."/>
                    <pic:cNvPicPr/>
                  </pic:nvPicPr>
                  <pic:blipFill>
                    <a:blip r:embed="rId20"/>
                    <a:stretch>
                      <a:fillRect/>
                    </a:stretch>
                  </pic:blipFill>
                  <pic:spPr>
                    <a:xfrm>
                      <a:off x="0" y="0"/>
                      <a:ext cx="8967470" cy="3769995"/>
                    </a:xfrm>
                    <a:prstGeom prst="rect">
                      <a:avLst/>
                    </a:prstGeom>
                  </pic:spPr>
                </pic:pic>
              </a:graphicData>
            </a:graphic>
          </wp:inline>
        </w:drawing>
      </w:r>
      <w:r w:rsidR="00857239">
        <w:br w:type="page"/>
      </w:r>
    </w:p>
    <w:p w14:paraId="33234692" w14:textId="79F5890B" w:rsidR="005B2AC9" w:rsidRDefault="005B2AC9" w:rsidP="009832F7">
      <w:pPr>
        <w:pStyle w:val="Heading1"/>
      </w:pPr>
      <w:r>
        <w:lastRenderedPageBreak/>
        <w:t>Registrations</w:t>
      </w:r>
      <w:r w:rsidR="00A56537">
        <w:t xml:space="preserve"> – ESVCLP and VCLP</w:t>
      </w:r>
    </w:p>
    <w:p w14:paraId="16E98D72" w14:textId="32B5953D" w:rsidR="00627172" w:rsidRDefault="00627172" w:rsidP="009832F7">
      <w:r>
        <w:rPr>
          <w:noProof/>
        </w:rPr>
        <w:drawing>
          <wp:inline distT="0" distB="0" distL="0" distR="0" wp14:anchorId="7B2B2032" wp14:editId="1A7E2D68">
            <wp:extent cx="8967470" cy="3777615"/>
            <wp:effectExtent l="0" t="0" r="5080" b="0"/>
            <wp:docPr id="805973694" name="Picture 1" descr="Registrations&#10;&#10;This image has four visuals.  The top two are graphs which show (respectively) ESVCLP and VCLP registration trends per financial year. &#10;&#10;The bottom two are graphs of data which show a count of conditional, and registered partnerships and a combined total per financi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973694" name="Picture 1" descr="Registrations&#10;&#10;This image has four visuals.  The top two are graphs which show (respectively) ESVCLP and VCLP registration trends per financial year. &#10;&#10;The bottom two are graphs of data which show a count of conditional, and registered partnerships and a combined total per financial year."/>
                    <pic:cNvPicPr/>
                  </pic:nvPicPr>
                  <pic:blipFill>
                    <a:blip r:embed="rId21"/>
                    <a:stretch>
                      <a:fillRect/>
                    </a:stretch>
                  </pic:blipFill>
                  <pic:spPr>
                    <a:xfrm>
                      <a:off x="0" y="0"/>
                      <a:ext cx="8967470" cy="3777615"/>
                    </a:xfrm>
                    <a:prstGeom prst="rect">
                      <a:avLst/>
                    </a:prstGeom>
                  </pic:spPr>
                </pic:pic>
              </a:graphicData>
            </a:graphic>
          </wp:inline>
        </w:drawing>
      </w:r>
    </w:p>
    <w:p w14:paraId="27EE8561" w14:textId="5AF29588" w:rsidR="007E3FB8" w:rsidRDefault="00A026B9" w:rsidP="00A026B9">
      <w:pPr>
        <w:pStyle w:val="Heading1"/>
        <w:rPr>
          <w:noProof/>
        </w:rPr>
      </w:pPr>
      <w:r>
        <w:rPr>
          <w:noProof/>
        </w:rPr>
        <w:lastRenderedPageBreak/>
        <w:t>Lapses and revocations</w:t>
      </w:r>
      <w:r w:rsidR="00A56537">
        <w:rPr>
          <w:noProof/>
        </w:rPr>
        <w:t xml:space="preserve"> </w:t>
      </w:r>
      <w:r w:rsidR="00A56537">
        <w:t>– ESVCLP and VCLP</w:t>
      </w:r>
    </w:p>
    <w:p w14:paraId="03CDEA2D" w14:textId="5EF9303E" w:rsidR="00857239" w:rsidRDefault="00627172" w:rsidP="009832F7">
      <w:r>
        <w:rPr>
          <w:noProof/>
        </w:rPr>
        <w:drawing>
          <wp:inline distT="0" distB="0" distL="0" distR="0" wp14:anchorId="4380C3BB" wp14:editId="478B0645">
            <wp:extent cx="8967470" cy="3773805"/>
            <wp:effectExtent l="0" t="0" r="5080" b="0"/>
            <wp:docPr id="1092334766" name="Picture 1" descr="Lapses and revocations&#10;&#10;This image has four visuals.  The top two are graphs which show (respectively) ESVCLP and VCLP lapsed and revoked partnership trends per financial year.&#10;&#10;The bottom two are graphs of data which show a count of lapsed, and revoked partnerships and a combined total per financi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334766" name="Picture 1" descr="Lapses and revocations&#10;&#10;This image has four visuals.  The top two are graphs which show (respectively) ESVCLP and VCLP lapsed and revoked partnership trends per financial year.&#10;&#10;The bottom two are graphs of data which show a count of lapsed, and revoked partnerships and a combined total per financial year."/>
                    <pic:cNvPicPr/>
                  </pic:nvPicPr>
                  <pic:blipFill>
                    <a:blip r:embed="rId22"/>
                    <a:stretch>
                      <a:fillRect/>
                    </a:stretch>
                  </pic:blipFill>
                  <pic:spPr>
                    <a:xfrm>
                      <a:off x="0" y="0"/>
                      <a:ext cx="8967470" cy="3773805"/>
                    </a:xfrm>
                    <a:prstGeom prst="rect">
                      <a:avLst/>
                    </a:prstGeom>
                  </pic:spPr>
                </pic:pic>
              </a:graphicData>
            </a:graphic>
          </wp:inline>
        </w:drawing>
      </w:r>
    </w:p>
    <w:p w14:paraId="3F04AF0C" w14:textId="65872F37" w:rsidR="000E7F34" w:rsidRDefault="000E7F34" w:rsidP="009832F7">
      <w:pPr>
        <w:pStyle w:val="Heading1"/>
      </w:pPr>
      <w:r>
        <w:lastRenderedPageBreak/>
        <w:t>Investment Data Table</w:t>
      </w:r>
      <w:r w:rsidR="00A46599">
        <w:t xml:space="preserve"> – Region and Sector</w:t>
      </w:r>
    </w:p>
    <w:p w14:paraId="4901C113" w14:textId="451C7D37" w:rsidR="00857239" w:rsidRDefault="00627172" w:rsidP="009832F7">
      <w:r>
        <w:rPr>
          <w:noProof/>
        </w:rPr>
        <w:drawing>
          <wp:inline distT="0" distB="0" distL="0" distR="0" wp14:anchorId="383B840C" wp14:editId="47BE5FD4">
            <wp:extent cx="8967470" cy="3777615"/>
            <wp:effectExtent l="0" t="0" r="5080" b="0"/>
            <wp:docPr id="1342193260" name="Picture 1" descr="Investment data tables by region and sector&#10;&#10;The image has two visuals. The top table shows the investment amount and count of businesses by business region for the last six financial years. The count is based on the registered address of the business.  Excludes data for Tasmania and overseas.&#10;&#10;The bottom table shows the investment amount and count of businesses by business sector for the last six financial years. The count is based on the registered address of the business. Excludes Public Administration and Safety s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193260" name="Picture 1" descr="Investment data tables by region and sector&#10;&#10;The image has two visuals. The top table shows the investment amount and count of businesses by business region for the last six financial years. The count is based on the registered address of the business.  Excludes data for Tasmania and overseas.&#10;&#10;The bottom table shows the investment amount and count of businesses by business sector for the last six financial years. The count is based on the registered address of the business. Excludes Public Administration and Safety sectors."/>
                    <pic:cNvPicPr/>
                  </pic:nvPicPr>
                  <pic:blipFill>
                    <a:blip r:embed="rId23"/>
                    <a:stretch>
                      <a:fillRect/>
                    </a:stretch>
                  </pic:blipFill>
                  <pic:spPr>
                    <a:xfrm>
                      <a:off x="0" y="0"/>
                      <a:ext cx="8967470" cy="3777615"/>
                    </a:xfrm>
                    <a:prstGeom prst="rect">
                      <a:avLst/>
                    </a:prstGeom>
                  </pic:spPr>
                </pic:pic>
              </a:graphicData>
            </a:graphic>
          </wp:inline>
        </w:drawing>
      </w:r>
    </w:p>
    <w:p w14:paraId="00E6807E" w14:textId="40E61BE6" w:rsidR="00A46599" w:rsidRDefault="00A46599" w:rsidP="00AF4110">
      <w:pPr>
        <w:pStyle w:val="Heading1"/>
      </w:pPr>
      <w:r>
        <w:lastRenderedPageBreak/>
        <w:t>Investment Data Table – Investment Stage</w:t>
      </w:r>
      <w:r w:rsidR="00A56537">
        <w:t xml:space="preserve"> – ESVCLP and VCLP</w:t>
      </w:r>
    </w:p>
    <w:p w14:paraId="078F8545" w14:textId="4D61A84B" w:rsidR="00A46599" w:rsidRDefault="00627172" w:rsidP="009832F7">
      <w:r>
        <w:rPr>
          <w:noProof/>
        </w:rPr>
        <w:drawing>
          <wp:inline distT="0" distB="0" distL="0" distR="0" wp14:anchorId="7749D477" wp14:editId="5F784013">
            <wp:extent cx="8967470" cy="3792855"/>
            <wp:effectExtent l="0" t="0" r="5080" b="0"/>
            <wp:docPr id="440615376" name="Picture 1" descr="Investment data tables by investment stage&#10;&#10;The image has two visuals. The top table shows the investment amount and median investment amount for the last six financial years for the ESVCLP program.&#10;&#10;The bottom table shows the investment amount and median investment amount for the last six financial years for the VCLP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615376" name="Picture 1" descr="Investment data tables by investment stage&#10;&#10;The image has two visuals. The top table shows the investment amount and median investment amount for the last six financial years for the ESVCLP program.&#10;&#10;The bottom table shows the investment amount and median investment amount for the last six financial years for the VCLP program."/>
                    <pic:cNvPicPr/>
                  </pic:nvPicPr>
                  <pic:blipFill>
                    <a:blip r:embed="rId24"/>
                    <a:stretch>
                      <a:fillRect/>
                    </a:stretch>
                  </pic:blipFill>
                  <pic:spPr>
                    <a:xfrm>
                      <a:off x="0" y="0"/>
                      <a:ext cx="8967470" cy="3792855"/>
                    </a:xfrm>
                    <a:prstGeom prst="rect">
                      <a:avLst/>
                    </a:prstGeom>
                  </pic:spPr>
                </pic:pic>
              </a:graphicData>
            </a:graphic>
          </wp:inline>
        </w:drawing>
      </w:r>
    </w:p>
    <w:p w14:paraId="5CA6BCF5" w14:textId="4C4BC23E" w:rsidR="0030511C" w:rsidRDefault="0030511C" w:rsidP="00AF4110">
      <w:pPr>
        <w:pStyle w:val="Heading1"/>
      </w:pPr>
      <w:r>
        <w:lastRenderedPageBreak/>
        <w:t>Investments by Sector</w:t>
      </w:r>
      <w:r w:rsidR="00CD7CCC">
        <w:t xml:space="preserve"> - ESVCLP</w:t>
      </w:r>
    </w:p>
    <w:p w14:paraId="42972C96" w14:textId="6F7BA792" w:rsidR="00627172" w:rsidRDefault="00627172" w:rsidP="009832F7">
      <w:r>
        <w:rPr>
          <w:noProof/>
        </w:rPr>
        <w:drawing>
          <wp:inline distT="0" distB="0" distL="0" distR="0" wp14:anchorId="75D8912F" wp14:editId="6DB231A0">
            <wp:extent cx="8967470" cy="3775075"/>
            <wp:effectExtent l="0" t="0" r="5080" b="0"/>
            <wp:docPr id="744641217" name="Picture 1" descr="Investments by sector - ESVCLP&#10;&#10;This image has two visuals.  The top left is a table of data showing investment amount, investment amount as a % of total and median investment amount by sector grouping. The visual on the bottom right is a graph of investment amount by sector per financi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41217" name="Picture 1" descr="Investments by sector - ESVCLP&#10;&#10;This image has two visuals.  The top left is a table of data showing investment amount, investment amount as a % of total and median investment amount by sector grouping. The visual on the bottom right is a graph of investment amount by sector per financial year."/>
                    <pic:cNvPicPr/>
                  </pic:nvPicPr>
                  <pic:blipFill>
                    <a:blip r:embed="rId25"/>
                    <a:stretch>
                      <a:fillRect/>
                    </a:stretch>
                  </pic:blipFill>
                  <pic:spPr>
                    <a:xfrm>
                      <a:off x="0" y="0"/>
                      <a:ext cx="8967470" cy="3775075"/>
                    </a:xfrm>
                    <a:prstGeom prst="rect">
                      <a:avLst/>
                    </a:prstGeom>
                  </pic:spPr>
                </pic:pic>
              </a:graphicData>
            </a:graphic>
          </wp:inline>
        </w:drawing>
      </w:r>
    </w:p>
    <w:p w14:paraId="3D3C45BA" w14:textId="10FEF76A" w:rsidR="00CD7CCC" w:rsidRDefault="00CD7CCC" w:rsidP="00AF4110">
      <w:pPr>
        <w:pStyle w:val="Heading1"/>
      </w:pPr>
      <w:r>
        <w:lastRenderedPageBreak/>
        <w:t>Investments by Sector – VCLP</w:t>
      </w:r>
    </w:p>
    <w:p w14:paraId="7021CD2C" w14:textId="7ABCB9E9" w:rsidR="00857239" w:rsidRDefault="00627172" w:rsidP="009832F7">
      <w:r>
        <w:rPr>
          <w:noProof/>
        </w:rPr>
        <w:drawing>
          <wp:inline distT="0" distB="0" distL="0" distR="0" wp14:anchorId="7F6E01EC" wp14:editId="515AEEAD">
            <wp:extent cx="8967470" cy="3784600"/>
            <wp:effectExtent l="0" t="0" r="5080" b="6350"/>
            <wp:docPr id="2091030031" name="Picture 1" descr="Investments by sector - VCLP&#10;&#10;This image has two visuals.  The top left is a table of data showing investment amount, investment amount as a % of total and median investment amount by sector grouping. The visual on the bottom right is graph of investment amount by sector per financi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030031" name="Picture 1" descr="Investments by sector - VCLP&#10;&#10;This image has two visuals.  The top left is a table of data showing investment amount, investment amount as a % of total and median investment amount by sector grouping. The visual on the bottom right is graph of investment amount by sector per financial year."/>
                    <pic:cNvPicPr/>
                  </pic:nvPicPr>
                  <pic:blipFill>
                    <a:blip r:embed="rId26"/>
                    <a:stretch>
                      <a:fillRect/>
                    </a:stretch>
                  </pic:blipFill>
                  <pic:spPr>
                    <a:xfrm>
                      <a:off x="0" y="0"/>
                      <a:ext cx="8967470" cy="3784600"/>
                    </a:xfrm>
                    <a:prstGeom prst="rect">
                      <a:avLst/>
                    </a:prstGeom>
                  </pic:spPr>
                </pic:pic>
              </a:graphicData>
            </a:graphic>
          </wp:inline>
        </w:drawing>
      </w:r>
    </w:p>
    <w:p w14:paraId="53657EAD" w14:textId="60171231" w:rsidR="008D4284" w:rsidRDefault="008D4284" w:rsidP="009832F7">
      <w:pPr>
        <w:pStyle w:val="Heading1"/>
      </w:pPr>
      <w:r>
        <w:lastRenderedPageBreak/>
        <w:t>Investments by Stage – ESVCLP</w:t>
      </w:r>
    </w:p>
    <w:p w14:paraId="3F653F76" w14:textId="1C24BC09" w:rsidR="00857239" w:rsidRDefault="00627172" w:rsidP="009832F7">
      <w:r>
        <w:rPr>
          <w:noProof/>
        </w:rPr>
        <w:drawing>
          <wp:inline distT="0" distB="0" distL="0" distR="0" wp14:anchorId="228FA29F" wp14:editId="28D4CC76">
            <wp:extent cx="8967470" cy="3785235"/>
            <wp:effectExtent l="0" t="0" r="5080" b="5715"/>
            <wp:docPr id="1887499659" name="Picture 1" descr="Investments by stage - ESVCLP&#10;&#10;This image has two visuals.  The top left is a table of data showing investment amount, investment amount as a % of total and median investment amount by investment stage grouping. The visual on the bottom right is a graph of investment amount by investment stage per financi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499659" name="Picture 1" descr="Investments by stage - ESVCLP&#10;&#10;This image has two visuals.  The top left is a table of data showing investment amount, investment amount as a % of total and median investment amount by investment stage grouping. The visual on the bottom right is a graph of investment amount by investment stage per financial year."/>
                    <pic:cNvPicPr/>
                  </pic:nvPicPr>
                  <pic:blipFill>
                    <a:blip r:embed="rId27"/>
                    <a:stretch>
                      <a:fillRect/>
                    </a:stretch>
                  </pic:blipFill>
                  <pic:spPr>
                    <a:xfrm>
                      <a:off x="0" y="0"/>
                      <a:ext cx="8967470" cy="3785235"/>
                    </a:xfrm>
                    <a:prstGeom prst="rect">
                      <a:avLst/>
                    </a:prstGeom>
                  </pic:spPr>
                </pic:pic>
              </a:graphicData>
            </a:graphic>
          </wp:inline>
        </w:drawing>
      </w:r>
    </w:p>
    <w:p w14:paraId="108AA764" w14:textId="449FBEBD" w:rsidR="008D4284" w:rsidRDefault="008D4284" w:rsidP="009832F7">
      <w:pPr>
        <w:pStyle w:val="Heading1"/>
      </w:pPr>
      <w:r>
        <w:lastRenderedPageBreak/>
        <w:t>Investments by Stage – VCLP</w:t>
      </w:r>
    </w:p>
    <w:p w14:paraId="07C37CF0" w14:textId="300741AC" w:rsidR="00857239" w:rsidRDefault="00627172" w:rsidP="009832F7">
      <w:r>
        <w:rPr>
          <w:noProof/>
        </w:rPr>
        <w:drawing>
          <wp:inline distT="0" distB="0" distL="0" distR="0" wp14:anchorId="1689398A" wp14:editId="31BA4BD6">
            <wp:extent cx="8967470" cy="3777615"/>
            <wp:effectExtent l="0" t="0" r="5080" b="0"/>
            <wp:docPr id="1931298398" name="Picture 1" descr="Investments by stage - VCLP&#10;&#10;This image has two visuals.  The top left is a table of data showing investment amount, investment amount as a % of total and median investment amount by investment stage grouping. The visual on the bottom right is  a graph of investment amount by investment stage per financi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298398" name="Picture 1" descr="Investments by stage - VCLP&#10;&#10;This image has two visuals.  The top left is a table of data showing investment amount, investment amount as a % of total and median investment amount by investment stage grouping. The visual on the bottom right is  a graph of investment amount by investment stage per financial year."/>
                    <pic:cNvPicPr/>
                  </pic:nvPicPr>
                  <pic:blipFill>
                    <a:blip r:embed="rId28"/>
                    <a:stretch>
                      <a:fillRect/>
                    </a:stretch>
                  </pic:blipFill>
                  <pic:spPr>
                    <a:xfrm>
                      <a:off x="0" y="0"/>
                      <a:ext cx="8967470" cy="3777615"/>
                    </a:xfrm>
                    <a:prstGeom prst="rect">
                      <a:avLst/>
                    </a:prstGeom>
                  </pic:spPr>
                </pic:pic>
              </a:graphicData>
            </a:graphic>
          </wp:inline>
        </w:drawing>
      </w:r>
      <w:r w:rsidR="00857239">
        <w:br w:type="page"/>
      </w:r>
    </w:p>
    <w:p w14:paraId="6EE5D967" w14:textId="6C18A01E" w:rsidR="00CD7CCC" w:rsidRDefault="00CD7CCC" w:rsidP="009832F7">
      <w:pPr>
        <w:pStyle w:val="Heading1"/>
      </w:pPr>
      <w:r>
        <w:lastRenderedPageBreak/>
        <w:t>Investments by Region – ESVCLP</w:t>
      </w:r>
    </w:p>
    <w:p w14:paraId="0B8B130B" w14:textId="7DA440E0" w:rsidR="00857239" w:rsidRDefault="00627172" w:rsidP="009832F7">
      <w:r>
        <w:rPr>
          <w:noProof/>
        </w:rPr>
        <w:drawing>
          <wp:inline distT="0" distB="0" distL="0" distR="0" wp14:anchorId="7575D51A" wp14:editId="428D5E3A">
            <wp:extent cx="8967470" cy="3771265"/>
            <wp:effectExtent l="0" t="0" r="5080" b="635"/>
            <wp:docPr id="1853374192" name="Picture 1" descr="Investments by region - ESVCLP&#10;&#10;This image has two visuals.  The top left is a table of data showing investment amount, investment amount as a % of total, median investment amount and number of investments as a % of total by region grouping. The visual on the bottom right is  a graph of investment amount by region per financi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374192" name="Picture 1" descr="Investments by region - ESVCLP&#10;&#10;This image has two visuals.  The top left is a table of data showing investment amount, investment amount as a % of total, median investment amount and number of investments as a % of total by region grouping. The visual on the bottom right is  a graph of investment amount by region per financial year."/>
                    <pic:cNvPicPr/>
                  </pic:nvPicPr>
                  <pic:blipFill>
                    <a:blip r:embed="rId29"/>
                    <a:stretch>
                      <a:fillRect/>
                    </a:stretch>
                  </pic:blipFill>
                  <pic:spPr>
                    <a:xfrm>
                      <a:off x="0" y="0"/>
                      <a:ext cx="8967470" cy="3771265"/>
                    </a:xfrm>
                    <a:prstGeom prst="rect">
                      <a:avLst/>
                    </a:prstGeom>
                  </pic:spPr>
                </pic:pic>
              </a:graphicData>
            </a:graphic>
          </wp:inline>
        </w:drawing>
      </w:r>
    </w:p>
    <w:p w14:paraId="4C85468F" w14:textId="3F4A25C3" w:rsidR="00D64AED" w:rsidRDefault="00D64AED" w:rsidP="009832F7">
      <w:pPr>
        <w:pStyle w:val="Heading1"/>
      </w:pPr>
      <w:r>
        <w:lastRenderedPageBreak/>
        <w:t>Investments by Region – VCLP</w:t>
      </w:r>
    </w:p>
    <w:p w14:paraId="425E24EE" w14:textId="73FBA2BE" w:rsidR="00857239" w:rsidRDefault="003435A7" w:rsidP="009832F7">
      <w:r>
        <w:rPr>
          <w:noProof/>
        </w:rPr>
        <w:drawing>
          <wp:inline distT="0" distB="0" distL="0" distR="0" wp14:anchorId="4168F2B3" wp14:editId="44206ADC">
            <wp:extent cx="8967470" cy="3777615"/>
            <wp:effectExtent l="0" t="0" r="5080" b="0"/>
            <wp:docPr id="1404588391" name="Picture 1" descr="Investments by region - VCLP&#10;&#10;This image has two visuals.  The top left is a table of data showing investment amount, investment amount as a % of total, median investment amount and number of investments as a % of total by region grouping. The visual on the bottom right is a graph of investment amount by region per financi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588391" name="Picture 1" descr="Investments by region - VCLP&#10;&#10;This image has two visuals.  The top left is a table of data showing investment amount, investment amount as a % of total, median investment amount and number of investments as a % of total by region grouping. The visual on the bottom right is a graph of investment amount by region per financial year."/>
                    <pic:cNvPicPr/>
                  </pic:nvPicPr>
                  <pic:blipFill>
                    <a:blip r:embed="rId30"/>
                    <a:stretch>
                      <a:fillRect/>
                    </a:stretch>
                  </pic:blipFill>
                  <pic:spPr>
                    <a:xfrm>
                      <a:off x="0" y="0"/>
                      <a:ext cx="8967470" cy="3777615"/>
                    </a:xfrm>
                    <a:prstGeom prst="rect">
                      <a:avLst/>
                    </a:prstGeom>
                  </pic:spPr>
                </pic:pic>
              </a:graphicData>
            </a:graphic>
          </wp:inline>
        </w:drawing>
      </w:r>
      <w:r w:rsidR="00857239">
        <w:br w:type="page"/>
      </w:r>
    </w:p>
    <w:p w14:paraId="73084719" w14:textId="53EB4479" w:rsidR="00D64AED" w:rsidRPr="00CD7CCC" w:rsidRDefault="00D64AED" w:rsidP="009832F7">
      <w:pPr>
        <w:pStyle w:val="Heading1"/>
      </w:pPr>
      <w:r>
        <w:lastRenderedPageBreak/>
        <w:t xml:space="preserve">Initial </w:t>
      </w:r>
      <w:r w:rsidR="00EF5249">
        <w:t xml:space="preserve">and Follow-on </w:t>
      </w:r>
      <w:r>
        <w:t>Investments</w:t>
      </w:r>
    </w:p>
    <w:p w14:paraId="2B76A5E1" w14:textId="7CBEFC33" w:rsidR="00857239" w:rsidRDefault="003435A7" w:rsidP="009832F7">
      <w:r>
        <w:rPr>
          <w:noProof/>
        </w:rPr>
        <w:drawing>
          <wp:inline distT="0" distB="0" distL="0" distR="0" wp14:anchorId="12BDE1DF" wp14:editId="6C9DBCA0">
            <wp:extent cx="8967470" cy="3783330"/>
            <wp:effectExtent l="0" t="0" r="5080" b="7620"/>
            <wp:docPr id="1767237547" name="Picture 1" descr="Initial and follow-on Investments&#10;&#10;This image has six visuals.  The top two are graphs which show (respectively) ESVCLP and VCLP investment trends by initial and follow-on categories per financial year quarter.&#10;&#10;The bottom four are tables of data which show initial and follow-on investment amounts and median investment amounts per financi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237547" name="Picture 1" descr="Initial and follow-on Investments&#10;&#10;This image has six visuals.  The top two are graphs which show (respectively) ESVCLP and VCLP investment trends by initial and follow-on categories per financial year quarter.&#10;&#10;The bottom four are tables of data which show initial and follow-on investment amounts and median investment amounts per financial year."/>
                    <pic:cNvPicPr/>
                  </pic:nvPicPr>
                  <pic:blipFill>
                    <a:blip r:embed="rId31"/>
                    <a:stretch>
                      <a:fillRect/>
                    </a:stretch>
                  </pic:blipFill>
                  <pic:spPr>
                    <a:xfrm>
                      <a:off x="0" y="0"/>
                      <a:ext cx="8967470" cy="3783330"/>
                    </a:xfrm>
                    <a:prstGeom prst="rect">
                      <a:avLst/>
                    </a:prstGeom>
                  </pic:spPr>
                </pic:pic>
              </a:graphicData>
            </a:graphic>
          </wp:inline>
        </w:drawing>
      </w:r>
    </w:p>
    <w:p w14:paraId="2304FFFA" w14:textId="3B1C45CE" w:rsidR="00CD7CCC" w:rsidRDefault="00FA71B5" w:rsidP="009832F7">
      <w:pPr>
        <w:pStyle w:val="Heading1"/>
      </w:pPr>
      <w:r>
        <w:lastRenderedPageBreak/>
        <w:t>Sources of Funding</w:t>
      </w:r>
    </w:p>
    <w:p w14:paraId="7B473BCD" w14:textId="3E7EBE3B" w:rsidR="00857239" w:rsidRDefault="003435A7" w:rsidP="009832F7">
      <w:r>
        <w:rPr>
          <w:noProof/>
        </w:rPr>
        <w:drawing>
          <wp:inline distT="0" distB="0" distL="0" distR="0" wp14:anchorId="39C7C7A5" wp14:editId="31DFCFBF">
            <wp:extent cx="8967470" cy="3780790"/>
            <wp:effectExtent l="0" t="0" r="5080" b="0"/>
            <wp:docPr id="626473183" name="Picture 1" descr="Sources of funding&#10;&#10;This image has three visuals. The one of the left is a map of the world showing locations where ESVCLP and VCLP funding is sourced from as per the country of residence reported in the financial year.&#10;&#10;There are two tables on the right showing ESVCLP above VCLP which list the top 10 countries by capital commitment in the financi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473183" name="Picture 1" descr="Sources of funding&#10;&#10;This image has three visuals. The one of the left is a map of the world showing locations where ESVCLP and VCLP funding is sourced from as per the country of residence reported in the financial year.&#10;&#10;There are two tables on the right showing ESVCLP above VCLP which list the top 10 countries by capital commitment in the financial year."/>
                    <pic:cNvPicPr/>
                  </pic:nvPicPr>
                  <pic:blipFill>
                    <a:blip r:embed="rId32"/>
                    <a:stretch>
                      <a:fillRect/>
                    </a:stretch>
                  </pic:blipFill>
                  <pic:spPr>
                    <a:xfrm>
                      <a:off x="0" y="0"/>
                      <a:ext cx="8967470" cy="3780790"/>
                    </a:xfrm>
                    <a:prstGeom prst="rect">
                      <a:avLst/>
                    </a:prstGeom>
                  </pic:spPr>
                </pic:pic>
              </a:graphicData>
            </a:graphic>
          </wp:inline>
        </w:drawing>
      </w:r>
    </w:p>
    <w:p w14:paraId="005CF718" w14:textId="288B59E6" w:rsidR="00FA71B5" w:rsidRDefault="00FA71B5" w:rsidP="009832F7">
      <w:pPr>
        <w:pStyle w:val="Heading1"/>
      </w:pPr>
      <w:r>
        <w:lastRenderedPageBreak/>
        <w:t>Limited Partners by Type</w:t>
      </w:r>
    </w:p>
    <w:p w14:paraId="6BDDD8C9" w14:textId="72C80D52" w:rsidR="00857239" w:rsidRDefault="003435A7" w:rsidP="009832F7">
      <w:r>
        <w:rPr>
          <w:noProof/>
        </w:rPr>
        <w:drawing>
          <wp:inline distT="0" distB="0" distL="0" distR="0" wp14:anchorId="6483969C" wp14:editId="5750D735">
            <wp:extent cx="8967470" cy="3778250"/>
            <wp:effectExtent l="0" t="0" r="5080" b="0"/>
            <wp:docPr id="2141834845" name="Picture 1" descr="Limited partners by type&#10;&#10;This image has four visuals. The first shows the proportion of committed capital from ESVCLP limited partners by type and categorised by Australian/Foreign.&#10;&#10;The second shows the proportion of committed capital from VCLP limited partners by type and categorised by Australian/Foreign.&#10;&#10;There are two tables on the right. The top one shows number of limited partners by type as reported in the financial year.&#10;&#10;The bottom one shows the total capital commitment of limited partners by type as reported in the financial year.&#10;&#10;The bottom right one shows capital commitment of limited partners by type as reported in the financi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834845" name="Picture 1" descr="Limited partners by type&#10;&#10;This image has four visuals. The first shows the proportion of committed capital from ESVCLP limited partners by type and categorised by Australian/Foreign.&#10;&#10;The second shows the proportion of committed capital from VCLP limited partners by type and categorised by Australian/Foreign.&#10;&#10;There are two tables on the right. The top one shows number of limited partners by type as reported in the financial year.&#10;&#10;The bottom one shows the total capital commitment of limited partners by type as reported in the financial year.&#10;&#10;The bottom right one shows capital commitment of limited partners by type as reported in the financial year."/>
                    <pic:cNvPicPr/>
                  </pic:nvPicPr>
                  <pic:blipFill>
                    <a:blip r:embed="rId33"/>
                    <a:stretch>
                      <a:fillRect/>
                    </a:stretch>
                  </pic:blipFill>
                  <pic:spPr>
                    <a:xfrm>
                      <a:off x="0" y="0"/>
                      <a:ext cx="8967470" cy="3778250"/>
                    </a:xfrm>
                    <a:prstGeom prst="rect">
                      <a:avLst/>
                    </a:prstGeom>
                  </pic:spPr>
                </pic:pic>
              </a:graphicData>
            </a:graphic>
          </wp:inline>
        </w:drawing>
      </w:r>
      <w:r w:rsidR="00857239">
        <w:br w:type="page"/>
      </w:r>
    </w:p>
    <w:p w14:paraId="4CF26AFF" w14:textId="4402E7A2" w:rsidR="00E9484A" w:rsidRDefault="00E9484A" w:rsidP="009832F7">
      <w:pPr>
        <w:pStyle w:val="Heading1"/>
      </w:pPr>
      <w:r>
        <w:lastRenderedPageBreak/>
        <w:t>Limited Partner Committed Capital by Region</w:t>
      </w:r>
    </w:p>
    <w:p w14:paraId="35B0355E" w14:textId="2516F899" w:rsidR="003435A7" w:rsidRPr="00FA71B5" w:rsidRDefault="003435A7" w:rsidP="009832F7">
      <w:r>
        <w:rPr>
          <w:noProof/>
        </w:rPr>
        <w:drawing>
          <wp:inline distT="0" distB="0" distL="0" distR="0" wp14:anchorId="7D4BBAC7" wp14:editId="720EA38C">
            <wp:extent cx="8967470" cy="3775075"/>
            <wp:effectExtent l="0" t="0" r="5080" b="0"/>
            <wp:docPr id="899166496" name="Picture 1" descr="Limited partner committed capital by region&#10;&#10;This image has four visuals.  The top two are graphs which show (respectively) ESVCLP and VCLP proportion of committed capital by world region per financial year.&#10;&#10;The bottom two are graphs which show (respectively) ESVCLP and VCLP median committed capital per financi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166496" name="Picture 1" descr="Limited partner committed capital by region&#10;&#10;This image has four visuals.  The top two are graphs which show (respectively) ESVCLP and VCLP proportion of committed capital by world region per financial year.&#10;&#10;The bottom two are graphs which show (respectively) ESVCLP and VCLP median committed capital per financial year."/>
                    <pic:cNvPicPr/>
                  </pic:nvPicPr>
                  <pic:blipFill>
                    <a:blip r:embed="rId34"/>
                    <a:stretch>
                      <a:fillRect/>
                    </a:stretch>
                  </pic:blipFill>
                  <pic:spPr>
                    <a:xfrm>
                      <a:off x="0" y="0"/>
                      <a:ext cx="8967470" cy="3775075"/>
                    </a:xfrm>
                    <a:prstGeom prst="rect">
                      <a:avLst/>
                    </a:prstGeom>
                  </pic:spPr>
                </pic:pic>
              </a:graphicData>
            </a:graphic>
          </wp:inline>
        </w:drawing>
      </w:r>
    </w:p>
    <w:bookmarkEnd w:id="0"/>
    <w:sectPr w:rsidR="003435A7" w:rsidRPr="00FA71B5" w:rsidSect="00C34E07">
      <w:headerReference w:type="even" r:id="rId35"/>
      <w:headerReference w:type="default" r:id="rId36"/>
      <w:footerReference w:type="even" r:id="rId37"/>
      <w:footerReference w:type="default" r:id="rId38"/>
      <w:headerReference w:type="first" r:id="rId39"/>
      <w:footerReference w:type="first" r:id="rId40"/>
      <w:pgSz w:w="16838" w:h="11906" w:orient="landscape"/>
      <w:pgMar w:top="1440" w:right="1440" w:bottom="1440" w:left="1276" w:header="85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11B53" w14:textId="77777777" w:rsidR="00C34E07" w:rsidRDefault="00C34E07" w:rsidP="009832F7">
      <w:r>
        <w:separator/>
      </w:r>
    </w:p>
  </w:endnote>
  <w:endnote w:type="continuationSeparator" w:id="0">
    <w:p w14:paraId="2A311B54" w14:textId="77777777" w:rsidR="00C34E07" w:rsidRDefault="00C34E07" w:rsidP="009832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A816F" w14:textId="77777777" w:rsidR="00493AA9" w:rsidRDefault="00493A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11B55" w14:textId="6483EE87" w:rsidR="00BD0F8A" w:rsidRDefault="004E6AD4" w:rsidP="009832F7">
    <w:pPr>
      <w:pStyle w:val="Footer"/>
    </w:pPr>
    <w:sdt>
      <w:sdtPr>
        <w:alias w:val="Title"/>
        <w:tag w:val=""/>
        <w:id w:val="-1005120900"/>
        <w:placeholder>
          <w:docPart w:val="ECD960D182274E29B84B26260F1F9885"/>
        </w:placeholder>
        <w:dataBinding w:prefixMappings="xmlns:ns0='http://purl.org/dc/elements/1.1/' xmlns:ns1='http://schemas.openxmlformats.org/package/2006/metadata/core-properties' " w:xpath="/ns1:coreProperties[1]/ns0:title[1]" w:storeItemID="{6C3C8BC8-F283-45AE-878A-BAB7291924A1}"/>
        <w:text/>
      </w:sdtPr>
      <w:sdtEndPr/>
      <w:sdtContent>
        <w:r w:rsidR="00C34E07">
          <w:t>Venture Capital Dashboard</w:t>
        </w:r>
      </w:sdtContent>
    </w:sdt>
    <w:r w:rsidR="00BD0F8A">
      <w:tab/>
    </w:r>
    <w:r w:rsidR="00C34E07">
      <w:tab/>
    </w:r>
    <w:r w:rsidR="00BD0F8A">
      <w:t>industry.gov.au</w:t>
    </w:r>
    <w:r w:rsidR="00BD0F8A">
      <w:tab/>
    </w:r>
    <w:r w:rsidR="00C34E07">
      <w:tab/>
    </w:r>
    <w:r w:rsidR="00C34E07">
      <w:tab/>
    </w:r>
    <w:r w:rsidR="00C34E07">
      <w:tab/>
    </w:r>
    <w:r w:rsidR="00C34E07">
      <w:tab/>
    </w:r>
    <w:r w:rsidR="00C34E07">
      <w:tab/>
    </w:r>
    <w:r w:rsidR="00C34E07">
      <w:tab/>
    </w:r>
    <w:sdt>
      <w:sdtPr>
        <w:id w:val="-1044901746"/>
        <w:docPartObj>
          <w:docPartGallery w:val="Page Numbers (Bottom of Page)"/>
          <w:docPartUnique/>
        </w:docPartObj>
      </w:sdtPr>
      <w:sdtEndPr>
        <w:rPr>
          <w:noProof/>
        </w:rPr>
      </w:sdtEndPr>
      <w:sdtContent>
        <w:r w:rsidR="00BD0F8A">
          <w:fldChar w:fldCharType="begin"/>
        </w:r>
        <w:r w:rsidR="00BD0F8A">
          <w:instrText xml:space="preserve"> PAGE   \* MERGEFORMAT </w:instrText>
        </w:r>
        <w:r w:rsidR="00BD0F8A">
          <w:fldChar w:fldCharType="separate"/>
        </w:r>
        <w:r w:rsidR="00424901">
          <w:rPr>
            <w:noProof/>
          </w:rPr>
          <w:t>2</w:t>
        </w:r>
        <w:r w:rsidR="00BD0F8A">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11B57" w14:textId="77777777" w:rsidR="00607188" w:rsidRPr="00A540AE" w:rsidRDefault="00607188" w:rsidP="009832F7">
    <w:pPr>
      <w:pStyle w:val="Footer"/>
    </w:pPr>
    <w:r w:rsidRPr="00A540AE">
      <w:t>Supporting economic growth and job creation for all Australians |</w:t>
    </w:r>
    <w:r w:rsidRPr="00A540AE">
      <w:rPr>
        <w:b/>
      </w:rPr>
      <w:t xml:space="preserve"> industry.gov.au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311B51" w14:textId="77777777" w:rsidR="00C34E07" w:rsidRDefault="00C34E07" w:rsidP="009832F7">
      <w:r>
        <w:separator/>
      </w:r>
    </w:p>
  </w:footnote>
  <w:footnote w:type="continuationSeparator" w:id="0">
    <w:p w14:paraId="2A311B52" w14:textId="77777777" w:rsidR="00C34E07" w:rsidRDefault="00C34E07" w:rsidP="009832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20171" w14:textId="77777777" w:rsidR="00493AA9" w:rsidRDefault="00493A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BF14E" w14:textId="77777777" w:rsidR="00493AA9" w:rsidRDefault="00493A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11B56" w14:textId="77777777" w:rsidR="00806473" w:rsidRDefault="00A540AE" w:rsidP="009832F7">
    <w:pPr>
      <w:pStyle w:val="Header"/>
    </w:pPr>
    <w:r>
      <w:rPr>
        <w:noProof/>
        <w:lang w:eastAsia="en-AU"/>
      </w:rPr>
      <mc:AlternateContent>
        <mc:Choice Requires="wps">
          <w:drawing>
            <wp:anchor distT="0" distB="0" distL="114300" distR="114300" simplePos="0" relativeHeight="251659264" behindDoc="1" locked="0" layoutInCell="1" allowOverlap="1" wp14:anchorId="2A311B58" wp14:editId="2A311B59">
              <wp:simplePos x="0" y="0"/>
              <wp:positionH relativeFrom="page">
                <wp:align>left</wp:align>
              </wp:positionH>
              <wp:positionV relativeFrom="page">
                <wp:align>top</wp:align>
              </wp:positionV>
              <wp:extent cx="7560000" cy="10692000"/>
              <wp:effectExtent l="0" t="0" r="22225" b="14605"/>
              <wp:wrapNone/>
              <wp:docPr id="1" name="Rectangle 1" descr="Departmental background colour gradient" title="Departmental background colour gradient"/>
              <wp:cNvGraphicFramePr/>
              <a:graphic xmlns:a="http://schemas.openxmlformats.org/drawingml/2006/main">
                <a:graphicData uri="http://schemas.microsoft.com/office/word/2010/wordprocessingShape">
                  <wps:wsp>
                    <wps:cNvSpPr/>
                    <wps:spPr>
                      <a:xfrm>
                        <a:off x="0" y="0"/>
                        <a:ext cx="7560000" cy="10692000"/>
                      </a:xfrm>
                      <a:prstGeom prst="rect">
                        <a:avLst/>
                      </a:prstGeom>
                      <a:gradFill>
                        <a:gsLst>
                          <a:gs pos="0">
                            <a:schemeClr val="accent2"/>
                          </a:gs>
                          <a:gs pos="51000">
                            <a:schemeClr val="tx2"/>
                          </a:gs>
                          <a:gs pos="100000">
                            <a:schemeClr val="accent3"/>
                          </a:gs>
                        </a:gsLst>
                        <a:lin ang="5400000" scaled="1"/>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E792E" id="Rectangle 1" o:spid="_x0000_s1026" alt="Title: Departmental background colour gradient - Description: Departmental background colour gradient" style="position:absolute;margin-left:0;margin-top:0;width:595.3pt;height:841.9pt;z-index:-2516572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" fillcolor="#00283e [3205]" strokecolor="#484a4c [1604]" strokeweight="1pt">
              <v:fill color2="#1b9590 [3206]" colors="0 #00283e;33423f #005677;1 #1b9590" focus="100%" type="gradient"/>
              <w10:wrap anchorx="page" anchory="page"/>
            </v:rect>
          </w:pict>
        </mc:Fallback>
      </mc:AlternateContent>
    </w:r>
    <w:r w:rsidRPr="00180BF8">
      <w:rPr>
        <w:noProof/>
        <w:lang w:eastAsia="en-AU"/>
      </w:rPr>
      <w:drawing>
        <wp:inline distT="0" distB="0" distL="0" distR="0" wp14:anchorId="2A311B5A" wp14:editId="2A311B5B">
          <wp:extent cx="2239200" cy="705600"/>
          <wp:effectExtent l="0" t="0" r="8890" b="0"/>
          <wp:docPr id="7" name="Picture 7" descr="Australian Government | Department of Industry, Innovation and Science logo" title="Australian Government | Department of Industry, Innovation and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IS-header-temp.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239200" cy="7056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84F31"/>
    <w:multiLevelType w:val="hybridMultilevel"/>
    <w:tmpl w:val="7FB26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2B5419C"/>
    <w:multiLevelType w:val="hybridMultilevel"/>
    <w:tmpl w:val="62861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7D26234"/>
    <w:multiLevelType w:val="hybridMultilevel"/>
    <w:tmpl w:val="701C7F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FD5427E"/>
    <w:multiLevelType w:val="hybridMultilevel"/>
    <w:tmpl w:val="29D2E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67F6C54"/>
    <w:multiLevelType w:val="hybridMultilevel"/>
    <w:tmpl w:val="7AEE9BAC"/>
    <w:lvl w:ilvl="0" w:tplc="A704BBF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C6C2AF2"/>
    <w:multiLevelType w:val="hybridMultilevel"/>
    <w:tmpl w:val="A6ACA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D11032A"/>
    <w:multiLevelType w:val="hybridMultilevel"/>
    <w:tmpl w:val="29F4EA92"/>
    <w:lvl w:ilvl="0" w:tplc="E36889C0">
      <w:numFmt w:val="bullet"/>
      <w:lvlText w:val="-"/>
      <w:lvlJc w:val="left"/>
      <w:pPr>
        <w:ind w:left="180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EC722E1"/>
    <w:multiLevelType w:val="hybridMultilevel"/>
    <w:tmpl w:val="E132CB96"/>
    <w:lvl w:ilvl="0" w:tplc="F0C8E05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B1413BA"/>
    <w:multiLevelType w:val="hybridMultilevel"/>
    <w:tmpl w:val="F634B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431355F"/>
    <w:multiLevelType w:val="hybridMultilevel"/>
    <w:tmpl w:val="F2B4A074"/>
    <w:lvl w:ilvl="0" w:tplc="0C090001">
      <w:start w:val="1"/>
      <w:numFmt w:val="bullet"/>
      <w:lvlText w:val=""/>
      <w:lvlJc w:val="left"/>
      <w:pPr>
        <w:ind w:left="1080" w:hanging="720"/>
      </w:pPr>
      <w:rPr>
        <w:rFonts w:ascii="Symbol" w:hAnsi="Symbol" w:hint="default"/>
      </w:rPr>
    </w:lvl>
    <w:lvl w:ilvl="1" w:tplc="E36889C0">
      <w:numFmt w:val="bullet"/>
      <w:lvlText w:val="-"/>
      <w:lvlJc w:val="left"/>
      <w:pPr>
        <w:ind w:left="1800" w:hanging="72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52E10FD"/>
    <w:multiLevelType w:val="hybridMultilevel"/>
    <w:tmpl w:val="A154A084"/>
    <w:lvl w:ilvl="0" w:tplc="A6EACFDA">
      <w:numFmt w:val="bullet"/>
      <w:pStyle w:val="ListParagraph"/>
      <w:lvlText w:val=""/>
      <w:lvlJc w:val="left"/>
      <w:pPr>
        <w:ind w:left="720" w:hanging="360"/>
      </w:pPr>
      <w:rPr>
        <w:rFonts w:ascii="Symbol" w:eastAsiaTheme="minorHAnsi" w:hAnsi="Symbol" w:cstheme="minorBidi" w:hint="default"/>
      </w:rPr>
    </w:lvl>
    <w:lvl w:ilvl="1" w:tplc="E36889C0">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CCF3D3E"/>
    <w:multiLevelType w:val="hybridMultilevel"/>
    <w:tmpl w:val="60E0E362"/>
    <w:lvl w:ilvl="0" w:tplc="F0C8E050">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623A14B5"/>
    <w:multiLevelType w:val="hybridMultilevel"/>
    <w:tmpl w:val="505A2518"/>
    <w:lvl w:ilvl="0" w:tplc="C564280C">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655074E5"/>
    <w:multiLevelType w:val="hybridMultilevel"/>
    <w:tmpl w:val="911412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9BA1CE5"/>
    <w:multiLevelType w:val="hybridMultilevel"/>
    <w:tmpl w:val="43F0DBB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16cid:durableId="763456927">
    <w:abstractNumId w:val="5"/>
  </w:num>
  <w:num w:numId="2" w16cid:durableId="1122922854">
    <w:abstractNumId w:val="4"/>
  </w:num>
  <w:num w:numId="3" w16cid:durableId="1702706412">
    <w:abstractNumId w:val="9"/>
  </w:num>
  <w:num w:numId="4" w16cid:durableId="118960861">
    <w:abstractNumId w:val="7"/>
  </w:num>
  <w:num w:numId="5" w16cid:durableId="605115306">
    <w:abstractNumId w:val="11"/>
  </w:num>
  <w:num w:numId="6" w16cid:durableId="1886091645">
    <w:abstractNumId w:val="2"/>
  </w:num>
  <w:num w:numId="7" w16cid:durableId="1628656154">
    <w:abstractNumId w:val="0"/>
  </w:num>
  <w:num w:numId="8" w16cid:durableId="2033341838">
    <w:abstractNumId w:val="1"/>
  </w:num>
  <w:num w:numId="9" w16cid:durableId="178470582">
    <w:abstractNumId w:val="8"/>
  </w:num>
  <w:num w:numId="10" w16cid:durableId="313997423">
    <w:abstractNumId w:val="10"/>
  </w:num>
  <w:num w:numId="11" w16cid:durableId="659891014">
    <w:abstractNumId w:val="3"/>
  </w:num>
  <w:num w:numId="12" w16cid:durableId="1684018058">
    <w:abstractNumId w:val="14"/>
  </w:num>
  <w:num w:numId="13" w16cid:durableId="1826818874">
    <w:abstractNumId w:val="12"/>
  </w:num>
  <w:num w:numId="14" w16cid:durableId="510028114">
    <w:abstractNumId w:val="6"/>
  </w:num>
  <w:num w:numId="15" w16cid:durableId="31873171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E07"/>
    <w:rsid w:val="00002A3C"/>
    <w:rsid w:val="0002017B"/>
    <w:rsid w:val="00032995"/>
    <w:rsid w:val="0005170A"/>
    <w:rsid w:val="000552B3"/>
    <w:rsid w:val="00060D46"/>
    <w:rsid w:val="00061DA6"/>
    <w:rsid w:val="0007067B"/>
    <w:rsid w:val="000717CE"/>
    <w:rsid w:val="00076A0A"/>
    <w:rsid w:val="00081D07"/>
    <w:rsid w:val="00083DEC"/>
    <w:rsid w:val="000C3494"/>
    <w:rsid w:val="000E599A"/>
    <w:rsid w:val="000E5C2D"/>
    <w:rsid w:val="000E6C86"/>
    <w:rsid w:val="000E7F34"/>
    <w:rsid w:val="000F2564"/>
    <w:rsid w:val="001017CB"/>
    <w:rsid w:val="00120A5B"/>
    <w:rsid w:val="00122FCD"/>
    <w:rsid w:val="00124B94"/>
    <w:rsid w:val="00153C15"/>
    <w:rsid w:val="00167869"/>
    <w:rsid w:val="00195EB2"/>
    <w:rsid w:val="001B6A95"/>
    <w:rsid w:val="001D216A"/>
    <w:rsid w:val="001D2E82"/>
    <w:rsid w:val="001F5AB1"/>
    <w:rsid w:val="00205DF3"/>
    <w:rsid w:val="0022083E"/>
    <w:rsid w:val="00222D0B"/>
    <w:rsid w:val="0023549A"/>
    <w:rsid w:val="00237744"/>
    <w:rsid w:val="00241D3D"/>
    <w:rsid w:val="00254DA8"/>
    <w:rsid w:val="00256A18"/>
    <w:rsid w:val="00272B04"/>
    <w:rsid w:val="00276413"/>
    <w:rsid w:val="00280D0D"/>
    <w:rsid w:val="00282B1E"/>
    <w:rsid w:val="002860BF"/>
    <w:rsid w:val="002B5C69"/>
    <w:rsid w:val="002D230B"/>
    <w:rsid w:val="0030511C"/>
    <w:rsid w:val="003435A7"/>
    <w:rsid w:val="00343E3D"/>
    <w:rsid w:val="003652ED"/>
    <w:rsid w:val="00384DB7"/>
    <w:rsid w:val="003B3212"/>
    <w:rsid w:val="003D38ED"/>
    <w:rsid w:val="004165DD"/>
    <w:rsid w:val="00424901"/>
    <w:rsid w:val="00462060"/>
    <w:rsid w:val="004632E9"/>
    <w:rsid w:val="0046678C"/>
    <w:rsid w:val="00483157"/>
    <w:rsid w:val="004842FC"/>
    <w:rsid w:val="00493AA9"/>
    <w:rsid w:val="004B4254"/>
    <w:rsid w:val="004C1D53"/>
    <w:rsid w:val="004D3B0F"/>
    <w:rsid w:val="004E6AD4"/>
    <w:rsid w:val="004E75D2"/>
    <w:rsid w:val="004F47E9"/>
    <w:rsid w:val="00505552"/>
    <w:rsid w:val="00516B0E"/>
    <w:rsid w:val="005302AA"/>
    <w:rsid w:val="00575853"/>
    <w:rsid w:val="00582389"/>
    <w:rsid w:val="00584B74"/>
    <w:rsid w:val="005B2AC9"/>
    <w:rsid w:val="005B3FFF"/>
    <w:rsid w:val="005B6459"/>
    <w:rsid w:val="005D6031"/>
    <w:rsid w:val="005D69C9"/>
    <w:rsid w:val="00603DDF"/>
    <w:rsid w:val="006040F9"/>
    <w:rsid w:val="00605AE3"/>
    <w:rsid w:val="00607188"/>
    <w:rsid w:val="006109BB"/>
    <w:rsid w:val="00627172"/>
    <w:rsid w:val="00660A55"/>
    <w:rsid w:val="00671D1D"/>
    <w:rsid w:val="00671F0D"/>
    <w:rsid w:val="00672F3D"/>
    <w:rsid w:val="0068286F"/>
    <w:rsid w:val="0068681A"/>
    <w:rsid w:val="00697567"/>
    <w:rsid w:val="006A7B40"/>
    <w:rsid w:val="006B3232"/>
    <w:rsid w:val="006C4C9C"/>
    <w:rsid w:val="006D2221"/>
    <w:rsid w:val="006D6D03"/>
    <w:rsid w:val="006E1E6A"/>
    <w:rsid w:val="006E4001"/>
    <w:rsid w:val="006E4268"/>
    <w:rsid w:val="006F546C"/>
    <w:rsid w:val="006F58A5"/>
    <w:rsid w:val="00705223"/>
    <w:rsid w:val="00711349"/>
    <w:rsid w:val="00712A22"/>
    <w:rsid w:val="00723C5D"/>
    <w:rsid w:val="00727CD8"/>
    <w:rsid w:val="00750685"/>
    <w:rsid w:val="007760E7"/>
    <w:rsid w:val="007833EE"/>
    <w:rsid w:val="007B1750"/>
    <w:rsid w:val="007B553F"/>
    <w:rsid w:val="007B6989"/>
    <w:rsid w:val="007E2EB2"/>
    <w:rsid w:val="007E37BA"/>
    <w:rsid w:val="007E3FB8"/>
    <w:rsid w:val="007E78BF"/>
    <w:rsid w:val="00800336"/>
    <w:rsid w:val="00806473"/>
    <w:rsid w:val="0081179E"/>
    <w:rsid w:val="008406B9"/>
    <w:rsid w:val="00847F0E"/>
    <w:rsid w:val="00853A7A"/>
    <w:rsid w:val="0085610E"/>
    <w:rsid w:val="00856956"/>
    <w:rsid w:val="00857239"/>
    <w:rsid w:val="00860041"/>
    <w:rsid w:val="00864F94"/>
    <w:rsid w:val="00874B97"/>
    <w:rsid w:val="00892B6E"/>
    <w:rsid w:val="008D0B9B"/>
    <w:rsid w:val="008D4284"/>
    <w:rsid w:val="008F1976"/>
    <w:rsid w:val="009100B4"/>
    <w:rsid w:val="00926BDB"/>
    <w:rsid w:val="009474FB"/>
    <w:rsid w:val="0095294B"/>
    <w:rsid w:val="00967F32"/>
    <w:rsid w:val="009832F7"/>
    <w:rsid w:val="009A549D"/>
    <w:rsid w:val="009B03BA"/>
    <w:rsid w:val="009C1375"/>
    <w:rsid w:val="009D42C5"/>
    <w:rsid w:val="009F2BF7"/>
    <w:rsid w:val="00A026B9"/>
    <w:rsid w:val="00A1269A"/>
    <w:rsid w:val="00A15483"/>
    <w:rsid w:val="00A317BB"/>
    <w:rsid w:val="00A46599"/>
    <w:rsid w:val="00A52F3D"/>
    <w:rsid w:val="00A540AE"/>
    <w:rsid w:val="00A56537"/>
    <w:rsid w:val="00A731BB"/>
    <w:rsid w:val="00A74C6E"/>
    <w:rsid w:val="00A8269B"/>
    <w:rsid w:val="00A82C3E"/>
    <w:rsid w:val="00A82FF4"/>
    <w:rsid w:val="00A87B09"/>
    <w:rsid w:val="00AA740C"/>
    <w:rsid w:val="00AB09D1"/>
    <w:rsid w:val="00AD18B0"/>
    <w:rsid w:val="00AE3376"/>
    <w:rsid w:val="00AF4110"/>
    <w:rsid w:val="00B11217"/>
    <w:rsid w:val="00B251DB"/>
    <w:rsid w:val="00B26C25"/>
    <w:rsid w:val="00B34055"/>
    <w:rsid w:val="00B35C0C"/>
    <w:rsid w:val="00B40292"/>
    <w:rsid w:val="00B43164"/>
    <w:rsid w:val="00B50C7B"/>
    <w:rsid w:val="00B57D5F"/>
    <w:rsid w:val="00B67A39"/>
    <w:rsid w:val="00BA659C"/>
    <w:rsid w:val="00BA79B2"/>
    <w:rsid w:val="00BC51FE"/>
    <w:rsid w:val="00BD0F8A"/>
    <w:rsid w:val="00BE2F0F"/>
    <w:rsid w:val="00BE6EEA"/>
    <w:rsid w:val="00BF4EE4"/>
    <w:rsid w:val="00C34E07"/>
    <w:rsid w:val="00C40F1A"/>
    <w:rsid w:val="00C57B48"/>
    <w:rsid w:val="00C60D60"/>
    <w:rsid w:val="00C62BF4"/>
    <w:rsid w:val="00C672D0"/>
    <w:rsid w:val="00C84D96"/>
    <w:rsid w:val="00C915EB"/>
    <w:rsid w:val="00CD4116"/>
    <w:rsid w:val="00CD69DA"/>
    <w:rsid w:val="00CD7CCC"/>
    <w:rsid w:val="00CE213E"/>
    <w:rsid w:val="00CF729F"/>
    <w:rsid w:val="00D220CF"/>
    <w:rsid w:val="00D64AED"/>
    <w:rsid w:val="00D67C15"/>
    <w:rsid w:val="00D71A3F"/>
    <w:rsid w:val="00D841E9"/>
    <w:rsid w:val="00DB3FD2"/>
    <w:rsid w:val="00DB69D4"/>
    <w:rsid w:val="00DB7E9F"/>
    <w:rsid w:val="00DC3986"/>
    <w:rsid w:val="00DF5FF4"/>
    <w:rsid w:val="00E01D7D"/>
    <w:rsid w:val="00E03324"/>
    <w:rsid w:val="00E3027E"/>
    <w:rsid w:val="00E35946"/>
    <w:rsid w:val="00E37CAE"/>
    <w:rsid w:val="00E57627"/>
    <w:rsid w:val="00E9484A"/>
    <w:rsid w:val="00E97867"/>
    <w:rsid w:val="00EB610B"/>
    <w:rsid w:val="00EC7013"/>
    <w:rsid w:val="00EF5249"/>
    <w:rsid w:val="00EF77D5"/>
    <w:rsid w:val="00F076CD"/>
    <w:rsid w:val="00F22BB9"/>
    <w:rsid w:val="00F256F5"/>
    <w:rsid w:val="00F27355"/>
    <w:rsid w:val="00F33941"/>
    <w:rsid w:val="00F37058"/>
    <w:rsid w:val="00F465E3"/>
    <w:rsid w:val="00F50943"/>
    <w:rsid w:val="00F53293"/>
    <w:rsid w:val="00F71297"/>
    <w:rsid w:val="00F95A29"/>
    <w:rsid w:val="00FA22FE"/>
    <w:rsid w:val="00FA4C6A"/>
    <w:rsid w:val="00FA71B5"/>
    <w:rsid w:val="00FB13F3"/>
    <w:rsid w:val="00FE7DB2"/>
    <w:rsid w:val="00FE7F44"/>
    <w:rsid w:val="00FF5C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2A311B3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2F7"/>
    <w:pPr>
      <w:keepNext/>
      <w:keepLines/>
      <w:spacing w:before="40" w:after="40"/>
      <w:outlineLvl w:val="1"/>
    </w:pPr>
  </w:style>
  <w:style w:type="paragraph" w:styleId="Heading1">
    <w:name w:val="heading 1"/>
    <w:basedOn w:val="Normal"/>
    <w:next w:val="Normal"/>
    <w:link w:val="Heading1Char"/>
    <w:uiPriority w:val="9"/>
    <w:qFormat/>
    <w:rsid w:val="00AF4110"/>
    <w:pPr>
      <w:pageBreakBefore/>
      <w:spacing w:before="240" w:after="80"/>
      <w:outlineLvl w:val="0"/>
    </w:pPr>
    <w:rPr>
      <w:rFonts w:ascii="Aptos" w:eastAsiaTheme="majorEastAsia" w:hAnsi="Aptos" w:cstheme="majorBidi"/>
      <w:b/>
      <w:color w:val="0766A5"/>
      <w:sz w:val="48"/>
      <w:szCs w:val="32"/>
    </w:rPr>
  </w:style>
  <w:style w:type="paragraph" w:styleId="Heading2">
    <w:name w:val="heading 2"/>
    <w:basedOn w:val="Normal"/>
    <w:next w:val="Normal"/>
    <w:link w:val="Heading2Char"/>
    <w:uiPriority w:val="9"/>
    <w:unhideWhenUsed/>
    <w:qFormat/>
    <w:rsid w:val="00603DDF"/>
    <w:rPr>
      <w:rFonts w:asciiTheme="majorHAnsi" w:eastAsiaTheme="majorEastAsia" w:hAnsiTheme="majorHAnsi" w:cstheme="majorBidi"/>
      <w:color w:val="005677" w:themeColor="text2"/>
      <w:sz w:val="40"/>
      <w:szCs w:val="48"/>
    </w:rPr>
  </w:style>
  <w:style w:type="paragraph" w:styleId="Heading3">
    <w:name w:val="heading 3"/>
    <w:basedOn w:val="Normal"/>
    <w:next w:val="Normal"/>
    <w:link w:val="Heading3Char"/>
    <w:uiPriority w:val="9"/>
    <w:unhideWhenUsed/>
    <w:qFormat/>
    <w:rsid w:val="006E4001"/>
    <w:pPr>
      <w:spacing w:after="0"/>
      <w:outlineLvl w:val="2"/>
    </w:pPr>
    <w:rPr>
      <w:rFonts w:asciiTheme="majorHAnsi" w:eastAsiaTheme="majorEastAsia" w:hAnsiTheme="majorHAnsi" w:cstheme="majorBidi"/>
      <w:color w:val="005677" w:themeColor="text2"/>
      <w:sz w:val="32"/>
      <w:szCs w:val="40"/>
    </w:rPr>
  </w:style>
  <w:style w:type="paragraph" w:styleId="Heading4">
    <w:name w:val="heading 4"/>
    <w:basedOn w:val="Normal"/>
    <w:next w:val="Normal"/>
    <w:link w:val="Heading4Char"/>
    <w:uiPriority w:val="9"/>
    <w:unhideWhenUsed/>
    <w:qFormat/>
    <w:rsid w:val="006E4001"/>
    <w:pPr>
      <w:spacing w:after="0"/>
      <w:outlineLvl w:val="3"/>
    </w:pPr>
    <w:rPr>
      <w:rFonts w:asciiTheme="majorHAnsi" w:eastAsiaTheme="majorEastAsia" w:hAnsiTheme="majorHAnsi" w:cstheme="majorBidi"/>
      <w:iCs/>
      <w:color w:val="005677" w:themeColor="text2"/>
      <w:sz w:val="28"/>
      <w:szCs w:val="28"/>
    </w:rPr>
  </w:style>
  <w:style w:type="paragraph" w:styleId="Heading5">
    <w:name w:val="heading 5"/>
    <w:basedOn w:val="Normal"/>
    <w:next w:val="Normal"/>
    <w:link w:val="Heading5Char"/>
    <w:uiPriority w:val="9"/>
    <w:unhideWhenUsed/>
    <w:qFormat/>
    <w:rsid w:val="004632E9"/>
    <w:pPr>
      <w:spacing w:after="0"/>
      <w:outlineLvl w:val="4"/>
    </w:pPr>
    <w:rPr>
      <w:rFonts w:asciiTheme="majorHAnsi" w:eastAsiaTheme="majorEastAsia" w:hAnsiTheme="majorHAnsi" w:cstheme="majorBidi"/>
      <w:color w:val="005677" w:themeColor="text2"/>
      <w:sz w:val="26"/>
      <w:szCs w:val="26"/>
    </w:rPr>
  </w:style>
  <w:style w:type="paragraph" w:styleId="Heading6">
    <w:name w:val="heading 6"/>
    <w:basedOn w:val="Normal"/>
    <w:next w:val="Normal"/>
    <w:link w:val="Heading6Char"/>
    <w:uiPriority w:val="9"/>
    <w:unhideWhenUsed/>
    <w:qFormat/>
    <w:rsid w:val="004632E9"/>
    <w:pPr>
      <w:spacing w:after="0"/>
      <w:outlineLvl w:val="5"/>
    </w:pPr>
    <w:rPr>
      <w:rFonts w:asciiTheme="majorHAnsi" w:eastAsiaTheme="majorEastAsia" w:hAnsiTheme="majorHAnsi" w:cstheme="majorBidi"/>
      <w:color w:val="00567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1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51DB"/>
  </w:style>
  <w:style w:type="paragraph" w:styleId="Footer">
    <w:name w:val="footer"/>
    <w:basedOn w:val="Normal"/>
    <w:link w:val="FooterChar"/>
    <w:uiPriority w:val="99"/>
    <w:unhideWhenUsed/>
    <w:rsid w:val="00B251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51DB"/>
  </w:style>
  <w:style w:type="character" w:customStyle="1" w:styleId="Heading1Char">
    <w:name w:val="Heading 1 Char"/>
    <w:basedOn w:val="DefaultParagraphFont"/>
    <w:link w:val="Heading1"/>
    <w:uiPriority w:val="9"/>
    <w:rsid w:val="00AF4110"/>
    <w:rPr>
      <w:rFonts w:ascii="Aptos" w:eastAsiaTheme="majorEastAsia" w:hAnsi="Aptos" w:cstheme="majorBidi"/>
      <w:b/>
      <w:color w:val="0766A5"/>
      <w:sz w:val="48"/>
      <w:szCs w:val="32"/>
    </w:rPr>
  </w:style>
  <w:style w:type="paragraph" w:styleId="Title">
    <w:name w:val="Title"/>
    <w:basedOn w:val="Normal"/>
    <w:next w:val="Normal"/>
    <w:link w:val="TitleChar"/>
    <w:uiPriority w:val="10"/>
    <w:qFormat/>
    <w:rsid w:val="00A540AE"/>
    <w:pPr>
      <w:pBdr>
        <w:bottom w:val="single" w:sz="8" w:space="1" w:color="FFFFFF" w:themeColor="background1"/>
      </w:pBdr>
      <w:spacing w:before="3600" w:after="120" w:line="240" w:lineRule="auto"/>
      <w:contextualSpacing/>
      <w:outlineLvl w:val="0"/>
    </w:pPr>
    <w:rPr>
      <w:rFonts w:asciiTheme="majorHAnsi" w:eastAsiaTheme="majorEastAsia" w:hAnsiTheme="majorHAnsi" w:cstheme="majorBidi"/>
      <w:color w:val="FFFFFF" w:themeColor="background1"/>
      <w:spacing w:val="-10"/>
      <w:kern w:val="28"/>
      <w:sz w:val="72"/>
      <w:szCs w:val="72"/>
    </w:rPr>
  </w:style>
  <w:style w:type="character" w:customStyle="1" w:styleId="TitleChar">
    <w:name w:val="Title Char"/>
    <w:basedOn w:val="DefaultParagraphFont"/>
    <w:link w:val="Title"/>
    <w:uiPriority w:val="10"/>
    <w:rsid w:val="00A540AE"/>
    <w:rPr>
      <w:rFonts w:asciiTheme="majorHAnsi" w:eastAsiaTheme="majorEastAsia" w:hAnsiTheme="majorHAnsi" w:cstheme="majorBidi"/>
      <w:color w:val="FFFFFF" w:themeColor="background1"/>
      <w:spacing w:val="-10"/>
      <w:kern w:val="28"/>
      <w:sz w:val="72"/>
      <w:szCs w:val="72"/>
    </w:rPr>
  </w:style>
  <w:style w:type="paragraph" w:styleId="Subtitle">
    <w:name w:val="Subtitle"/>
    <w:basedOn w:val="Normal"/>
    <w:next w:val="Normal"/>
    <w:link w:val="SubtitleChar"/>
    <w:uiPriority w:val="11"/>
    <w:qFormat/>
    <w:rsid w:val="00A540AE"/>
    <w:pPr>
      <w:numPr>
        <w:ilvl w:val="1"/>
      </w:numPr>
    </w:pPr>
    <w:rPr>
      <w:rFonts w:eastAsiaTheme="minorEastAsia"/>
      <w:color w:val="FFFFFF" w:themeColor="background1"/>
      <w:sz w:val="40"/>
    </w:rPr>
  </w:style>
  <w:style w:type="character" w:customStyle="1" w:styleId="SubtitleChar">
    <w:name w:val="Subtitle Char"/>
    <w:basedOn w:val="DefaultParagraphFont"/>
    <w:link w:val="Subtitle"/>
    <w:uiPriority w:val="11"/>
    <w:rsid w:val="00A540AE"/>
    <w:rPr>
      <w:rFonts w:eastAsiaTheme="minorEastAsia"/>
      <w:color w:val="FFFFFF" w:themeColor="background1"/>
      <w:sz w:val="40"/>
    </w:rPr>
  </w:style>
  <w:style w:type="character" w:customStyle="1" w:styleId="Heading2Char">
    <w:name w:val="Heading 2 Char"/>
    <w:basedOn w:val="DefaultParagraphFont"/>
    <w:link w:val="Heading2"/>
    <w:uiPriority w:val="9"/>
    <w:rsid w:val="00603DDF"/>
    <w:rPr>
      <w:rFonts w:asciiTheme="majorHAnsi" w:eastAsiaTheme="majorEastAsia" w:hAnsiTheme="majorHAnsi" w:cstheme="majorBidi"/>
      <w:color w:val="005677" w:themeColor="text2"/>
      <w:sz w:val="40"/>
      <w:szCs w:val="48"/>
    </w:rPr>
  </w:style>
  <w:style w:type="character" w:customStyle="1" w:styleId="Heading3Char">
    <w:name w:val="Heading 3 Char"/>
    <w:basedOn w:val="DefaultParagraphFont"/>
    <w:link w:val="Heading3"/>
    <w:uiPriority w:val="9"/>
    <w:rsid w:val="006E4001"/>
    <w:rPr>
      <w:rFonts w:asciiTheme="majorHAnsi" w:eastAsiaTheme="majorEastAsia" w:hAnsiTheme="majorHAnsi" w:cstheme="majorBidi"/>
      <w:color w:val="005677" w:themeColor="text2"/>
      <w:sz w:val="32"/>
      <w:szCs w:val="40"/>
    </w:rPr>
  </w:style>
  <w:style w:type="character" w:customStyle="1" w:styleId="Heading4Char">
    <w:name w:val="Heading 4 Char"/>
    <w:basedOn w:val="DefaultParagraphFont"/>
    <w:link w:val="Heading4"/>
    <w:uiPriority w:val="9"/>
    <w:rsid w:val="006E4001"/>
    <w:rPr>
      <w:rFonts w:asciiTheme="majorHAnsi" w:eastAsiaTheme="majorEastAsia" w:hAnsiTheme="majorHAnsi" w:cstheme="majorBidi"/>
      <w:iCs/>
      <w:color w:val="005677" w:themeColor="text2"/>
      <w:sz w:val="28"/>
      <w:szCs w:val="28"/>
    </w:rPr>
  </w:style>
  <w:style w:type="character" w:customStyle="1" w:styleId="Heading5Char">
    <w:name w:val="Heading 5 Char"/>
    <w:basedOn w:val="DefaultParagraphFont"/>
    <w:link w:val="Heading5"/>
    <w:uiPriority w:val="9"/>
    <w:rsid w:val="004632E9"/>
    <w:rPr>
      <w:rFonts w:asciiTheme="majorHAnsi" w:eastAsiaTheme="majorEastAsia" w:hAnsiTheme="majorHAnsi" w:cstheme="majorBidi"/>
      <w:color w:val="005677" w:themeColor="text2"/>
      <w:sz w:val="26"/>
      <w:szCs w:val="26"/>
    </w:rPr>
  </w:style>
  <w:style w:type="paragraph" w:styleId="Quote">
    <w:name w:val="Quote"/>
    <w:basedOn w:val="Normal"/>
    <w:next w:val="Normal"/>
    <w:link w:val="QuoteChar"/>
    <w:uiPriority w:val="29"/>
    <w:qFormat/>
    <w:rsid w:val="00BE6EEA"/>
    <w:pPr>
      <w:pBdr>
        <w:top w:val="single" w:sz="4" w:space="6" w:color="auto"/>
        <w:bottom w:val="single" w:sz="4" w:space="6" w:color="auto"/>
      </w:pBdr>
      <w:spacing w:before="200"/>
      <w:ind w:left="720" w:right="864"/>
      <w:jc w:val="center"/>
    </w:pPr>
    <w:rPr>
      <w:i/>
      <w:iCs/>
      <w:color w:val="000000" w:themeColor="text1"/>
      <w:szCs w:val="24"/>
    </w:rPr>
  </w:style>
  <w:style w:type="character" w:customStyle="1" w:styleId="QuoteChar">
    <w:name w:val="Quote Char"/>
    <w:basedOn w:val="DefaultParagraphFont"/>
    <w:link w:val="Quote"/>
    <w:uiPriority w:val="29"/>
    <w:rsid w:val="00BE6EEA"/>
    <w:rPr>
      <w:i/>
      <w:iCs/>
      <w:color w:val="000000" w:themeColor="text1"/>
      <w:szCs w:val="24"/>
    </w:rPr>
  </w:style>
  <w:style w:type="character" w:styleId="Strong">
    <w:name w:val="Strong"/>
    <w:basedOn w:val="DefaultParagraphFont"/>
    <w:uiPriority w:val="22"/>
    <w:qFormat/>
    <w:rsid w:val="00B251DB"/>
    <w:rPr>
      <w:b/>
      <w:bCs/>
    </w:rPr>
  </w:style>
  <w:style w:type="character" w:styleId="Emphasis">
    <w:name w:val="Emphasis"/>
    <w:basedOn w:val="DefaultParagraphFont"/>
    <w:uiPriority w:val="20"/>
    <w:qFormat/>
    <w:rsid w:val="00B251DB"/>
    <w:rPr>
      <w:i/>
      <w:iCs/>
    </w:rPr>
  </w:style>
  <w:style w:type="paragraph" w:styleId="ListParagraph">
    <w:name w:val="List Paragraph"/>
    <w:basedOn w:val="Normal"/>
    <w:uiPriority w:val="34"/>
    <w:qFormat/>
    <w:rsid w:val="004632E9"/>
    <w:pPr>
      <w:numPr>
        <w:numId w:val="10"/>
      </w:numPr>
      <w:contextualSpacing/>
    </w:pPr>
  </w:style>
  <w:style w:type="character" w:styleId="Hyperlink">
    <w:name w:val="Hyperlink"/>
    <w:basedOn w:val="DefaultParagraphFont"/>
    <w:uiPriority w:val="99"/>
    <w:unhideWhenUsed/>
    <w:rsid w:val="00711349"/>
    <w:rPr>
      <w:color w:val="0070AE" w:themeColor="hyperlink"/>
      <w:u w:val="single"/>
    </w:rPr>
  </w:style>
  <w:style w:type="table" w:styleId="TableGrid">
    <w:name w:val="Table Grid"/>
    <w:basedOn w:val="TableNormal"/>
    <w:uiPriority w:val="39"/>
    <w:rsid w:val="00711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71134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71134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0C3494"/>
    <w:pPr>
      <w:spacing w:after="120" w:line="240" w:lineRule="auto"/>
    </w:pPr>
    <w:rPr>
      <w:i/>
      <w:iCs/>
      <w:color w:val="005677" w:themeColor="text2"/>
      <w:szCs w:val="18"/>
    </w:rPr>
  </w:style>
  <w:style w:type="character" w:styleId="PlaceholderText">
    <w:name w:val="Placeholder Text"/>
    <w:basedOn w:val="DefaultParagraphFont"/>
    <w:uiPriority w:val="99"/>
    <w:semiHidden/>
    <w:rsid w:val="00BD0F8A"/>
    <w:rPr>
      <w:color w:val="808080"/>
    </w:rPr>
  </w:style>
  <w:style w:type="paragraph" w:styleId="NoSpacing">
    <w:name w:val="No Spacing"/>
    <w:link w:val="NoSpacingChar"/>
    <w:uiPriority w:val="1"/>
    <w:qFormat/>
    <w:rsid w:val="00671D1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71D1D"/>
    <w:rPr>
      <w:rFonts w:eastAsiaTheme="minorEastAsia"/>
      <w:lang w:val="en-US"/>
    </w:rPr>
  </w:style>
  <w:style w:type="paragraph" w:styleId="TOCHeading">
    <w:name w:val="TOC Heading"/>
    <w:basedOn w:val="Heading1"/>
    <w:next w:val="Normal"/>
    <w:uiPriority w:val="39"/>
    <w:unhideWhenUsed/>
    <w:qFormat/>
    <w:rsid w:val="000F2564"/>
    <w:pPr>
      <w:spacing w:after="480"/>
      <w:outlineLvl w:val="9"/>
    </w:pPr>
    <w:rPr>
      <w:lang w:val="en-US"/>
    </w:rPr>
  </w:style>
  <w:style w:type="paragraph" w:styleId="TOC1">
    <w:name w:val="toc 1"/>
    <w:basedOn w:val="Normal"/>
    <w:next w:val="Normal"/>
    <w:autoRedefine/>
    <w:uiPriority w:val="39"/>
    <w:unhideWhenUsed/>
    <w:rsid w:val="000F2564"/>
    <w:pPr>
      <w:tabs>
        <w:tab w:val="right" w:leader="dot" w:pos="9016"/>
      </w:tabs>
      <w:spacing w:after="100"/>
    </w:pPr>
  </w:style>
  <w:style w:type="paragraph" w:styleId="TOC2">
    <w:name w:val="toc 2"/>
    <w:basedOn w:val="Normal"/>
    <w:next w:val="Normal"/>
    <w:autoRedefine/>
    <w:uiPriority w:val="39"/>
    <w:unhideWhenUsed/>
    <w:rsid w:val="000F2564"/>
    <w:pPr>
      <w:spacing w:after="100"/>
      <w:ind w:left="220"/>
    </w:pPr>
  </w:style>
  <w:style w:type="paragraph" w:styleId="TOC3">
    <w:name w:val="toc 3"/>
    <w:basedOn w:val="Normal"/>
    <w:next w:val="Normal"/>
    <w:autoRedefine/>
    <w:uiPriority w:val="39"/>
    <w:unhideWhenUsed/>
    <w:rsid w:val="000F2564"/>
    <w:pPr>
      <w:spacing w:after="100"/>
      <w:ind w:left="440"/>
    </w:pPr>
  </w:style>
  <w:style w:type="paragraph" w:customStyle="1" w:styleId="Address">
    <w:name w:val="Address"/>
    <w:basedOn w:val="Subtitle"/>
    <w:qFormat/>
    <w:rsid w:val="009A549D"/>
    <w:pPr>
      <w:spacing w:after="0"/>
    </w:pPr>
    <w:rPr>
      <w:sz w:val="24"/>
    </w:rPr>
  </w:style>
  <w:style w:type="paragraph" w:styleId="BalloonText">
    <w:name w:val="Balloon Text"/>
    <w:basedOn w:val="Normal"/>
    <w:link w:val="BalloonTextChar"/>
    <w:uiPriority w:val="99"/>
    <w:semiHidden/>
    <w:unhideWhenUsed/>
    <w:rsid w:val="00E302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027E"/>
    <w:rPr>
      <w:rFonts w:ascii="Segoe UI" w:hAnsi="Segoe UI" w:cs="Segoe UI"/>
      <w:sz w:val="18"/>
      <w:szCs w:val="18"/>
    </w:rPr>
  </w:style>
  <w:style w:type="table" w:styleId="ListTable3-Accent2">
    <w:name w:val="List Table 3 Accent 2"/>
    <w:basedOn w:val="TableNormal"/>
    <w:uiPriority w:val="48"/>
    <w:rsid w:val="00153C15"/>
    <w:pPr>
      <w:spacing w:after="0" w:line="240" w:lineRule="auto"/>
    </w:pPr>
    <w:tblPr>
      <w:tblStyleRowBandSize w:val="1"/>
      <w:tblStyleColBandSize w:val="1"/>
      <w:tblBorders>
        <w:top w:val="single" w:sz="4" w:space="0" w:color="00283E" w:themeColor="accent2"/>
        <w:left w:val="single" w:sz="4" w:space="0" w:color="00283E" w:themeColor="accent2"/>
        <w:bottom w:val="single" w:sz="4" w:space="0" w:color="00283E" w:themeColor="accent2"/>
        <w:right w:val="single" w:sz="4" w:space="0" w:color="00283E" w:themeColor="accent2"/>
      </w:tblBorders>
    </w:tblPr>
    <w:tblStylePr w:type="firstRow">
      <w:rPr>
        <w:b/>
        <w:bCs/>
        <w:color w:val="FFFFFF" w:themeColor="background1"/>
      </w:rPr>
      <w:tblPr/>
      <w:tcPr>
        <w:shd w:val="clear" w:color="auto" w:fill="00283E" w:themeFill="accent2"/>
      </w:tcPr>
    </w:tblStylePr>
    <w:tblStylePr w:type="lastRow">
      <w:rPr>
        <w:b/>
        <w:bCs/>
      </w:rPr>
      <w:tblPr/>
      <w:tcPr>
        <w:tcBorders>
          <w:top w:val="double" w:sz="4" w:space="0" w:color="00283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83E" w:themeColor="accent2"/>
          <w:right w:val="single" w:sz="4" w:space="0" w:color="00283E" w:themeColor="accent2"/>
        </w:tcBorders>
      </w:tcPr>
    </w:tblStylePr>
    <w:tblStylePr w:type="band1Horz">
      <w:tblPr/>
      <w:tcPr>
        <w:tcBorders>
          <w:top w:val="single" w:sz="4" w:space="0" w:color="00283E" w:themeColor="accent2"/>
          <w:bottom w:val="single" w:sz="4" w:space="0" w:color="00283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83E" w:themeColor="accent2"/>
          <w:left w:val="nil"/>
        </w:tcBorders>
      </w:tcPr>
    </w:tblStylePr>
    <w:tblStylePr w:type="swCell">
      <w:tblPr/>
      <w:tcPr>
        <w:tcBorders>
          <w:top w:val="double" w:sz="4" w:space="0" w:color="00283E" w:themeColor="accent2"/>
          <w:right w:val="nil"/>
        </w:tcBorders>
      </w:tcPr>
    </w:tblStylePr>
  </w:style>
  <w:style w:type="table" w:styleId="ListTable3-Accent3">
    <w:name w:val="List Table 3 Accent 3"/>
    <w:basedOn w:val="TableNormal"/>
    <w:uiPriority w:val="48"/>
    <w:rsid w:val="00153C15"/>
    <w:pPr>
      <w:spacing w:after="0" w:line="240" w:lineRule="auto"/>
    </w:pPr>
    <w:tblPr>
      <w:tblStyleRowBandSize w:val="1"/>
      <w:tblStyleColBandSize w:val="1"/>
      <w:tblBorders>
        <w:top w:val="single" w:sz="4" w:space="0" w:color="1B9590" w:themeColor="accent3"/>
        <w:left w:val="single" w:sz="4" w:space="0" w:color="1B9590" w:themeColor="accent3"/>
        <w:bottom w:val="single" w:sz="4" w:space="0" w:color="1B9590" w:themeColor="accent3"/>
        <w:right w:val="single" w:sz="4" w:space="0" w:color="1B9590" w:themeColor="accent3"/>
      </w:tblBorders>
    </w:tblPr>
    <w:tblStylePr w:type="firstRow">
      <w:rPr>
        <w:b/>
        <w:bCs/>
        <w:color w:val="FFFFFF" w:themeColor="background1"/>
      </w:rPr>
      <w:tblPr/>
      <w:tcPr>
        <w:shd w:val="clear" w:color="auto" w:fill="1B9590" w:themeFill="accent3"/>
      </w:tcPr>
    </w:tblStylePr>
    <w:tblStylePr w:type="lastRow">
      <w:rPr>
        <w:b/>
        <w:bCs/>
      </w:rPr>
      <w:tblPr/>
      <w:tcPr>
        <w:tcBorders>
          <w:top w:val="double" w:sz="4" w:space="0" w:color="1B959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9590" w:themeColor="accent3"/>
          <w:right w:val="single" w:sz="4" w:space="0" w:color="1B9590" w:themeColor="accent3"/>
        </w:tcBorders>
      </w:tcPr>
    </w:tblStylePr>
    <w:tblStylePr w:type="band1Horz">
      <w:tblPr/>
      <w:tcPr>
        <w:tcBorders>
          <w:top w:val="single" w:sz="4" w:space="0" w:color="1B9590" w:themeColor="accent3"/>
          <w:bottom w:val="single" w:sz="4" w:space="0" w:color="1B959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9590" w:themeColor="accent3"/>
          <w:left w:val="nil"/>
        </w:tcBorders>
      </w:tcPr>
    </w:tblStylePr>
    <w:tblStylePr w:type="swCell">
      <w:tblPr/>
      <w:tcPr>
        <w:tcBorders>
          <w:top w:val="double" w:sz="4" w:space="0" w:color="1B9590" w:themeColor="accent3"/>
          <w:right w:val="nil"/>
        </w:tcBorders>
      </w:tcPr>
    </w:tblStylePr>
  </w:style>
  <w:style w:type="paragraph" w:styleId="IntenseQuote">
    <w:name w:val="Intense Quote"/>
    <w:basedOn w:val="Normal"/>
    <w:next w:val="Normal"/>
    <w:link w:val="IntenseQuoteChar"/>
    <w:uiPriority w:val="30"/>
    <w:qFormat/>
    <w:rsid w:val="00BE6EEA"/>
    <w:pPr>
      <w:pBdr>
        <w:top w:val="single" w:sz="4" w:space="6" w:color="DFF3F3" w:themeColor="accent4" w:themeTint="33"/>
        <w:left w:val="single" w:sz="4" w:space="4" w:color="DFF3F3" w:themeColor="accent4" w:themeTint="33"/>
        <w:bottom w:val="single" w:sz="4" w:space="6" w:color="DFF3F3" w:themeColor="accent4" w:themeTint="33"/>
        <w:right w:val="single" w:sz="4" w:space="4" w:color="DFF3F3" w:themeColor="accent4" w:themeTint="33"/>
      </w:pBdr>
      <w:shd w:val="clear" w:color="auto" w:fill="DFF3F3" w:themeFill="accent4" w:themeFillTint="33"/>
      <w:spacing w:before="360" w:after="360"/>
      <w:ind w:left="864" w:right="864"/>
      <w:jc w:val="center"/>
    </w:pPr>
    <w:rPr>
      <w:i/>
      <w:iCs/>
    </w:rPr>
  </w:style>
  <w:style w:type="character" w:customStyle="1" w:styleId="IntenseQuoteChar">
    <w:name w:val="Intense Quote Char"/>
    <w:basedOn w:val="DefaultParagraphFont"/>
    <w:link w:val="IntenseQuote"/>
    <w:uiPriority w:val="30"/>
    <w:rsid w:val="00BE6EEA"/>
    <w:rPr>
      <w:i/>
      <w:iCs/>
      <w:shd w:val="clear" w:color="auto" w:fill="DFF3F3" w:themeFill="accent4" w:themeFillTint="33"/>
    </w:rPr>
  </w:style>
  <w:style w:type="paragraph" w:customStyle="1" w:styleId="Calloutbox">
    <w:name w:val="Call out box"/>
    <w:basedOn w:val="Normal"/>
    <w:qFormat/>
    <w:rsid w:val="00032995"/>
    <w:pPr>
      <w:pBdr>
        <w:top w:val="single" w:sz="4" w:space="6" w:color="DFF3F3" w:themeColor="accent4" w:themeTint="33"/>
        <w:left w:val="single" w:sz="4" w:space="4" w:color="DFF3F3" w:themeColor="accent4" w:themeTint="33"/>
        <w:bottom w:val="single" w:sz="4" w:space="6" w:color="DFF3F3" w:themeColor="accent4" w:themeTint="33"/>
        <w:right w:val="single" w:sz="4" w:space="4" w:color="DFF3F3" w:themeColor="accent4" w:themeTint="33"/>
      </w:pBdr>
      <w:shd w:val="clear" w:color="auto" w:fill="DFF3F3" w:themeFill="accent4" w:themeFillTint="33"/>
      <w:contextualSpacing/>
    </w:pPr>
  </w:style>
  <w:style w:type="character" w:customStyle="1" w:styleId="Heading6Char">
    <w:name w:val="Heading 6 Char"/>
    <w:basedOn w:val="DefaultParagraphFont"/>
    <w:link w:val="Heading6"/>
    <w:uiPriority w:val="9"/>
    <w:rsid w:val="004632E9"/>
    <w:rPr>
      <w:rFonts w:asciiTheme="majorHAnsi" w:eastAsiaTheme="majorEastAsia" w:hAnsiTheme="majorHAnsi" w:cstheme="majorBidi"/>
      <w:color w:val="005677" w:themeColor="text2"/>
    </w:rPr>
  </w:style>
  <w:style w:type="table" w:styleId="GridTable4-Accent2">
    <w:name w:val="Grid Table 4 Accent 2"/>
    <w:basedOn w:val="TableNormal"/>
    <w:uiPriority w:val="49"/>
    <w:rsid w:val="004D3B0F"/>
    <w:pPr>
      <w:spacing w:after="0" w:line="240" w:lineRule="auto"/>
    </w:pPr>
    <w:tblPr>
      <w:tblStyleRowBandSize w:val="1"/>
      <w:tblStyleColBandSize w:val="1"/>
      <w:tblBorders>
        <w:top w:val="single" w:sz="4" w:space="0" w:color="009AF1" w:themeColor="accent2" w:themeTint="99"/>
        <w:left w:val="single" w:sz="4" w:space="0" w:color="009AF1" w:themeColor="accent2" w:themeTint="99"/>
        <w:bottom w:val="single" w:sz="4" w:space="0" w:color="009AF1" w:themeColor="accent2" w:themeTint="99"/>
        <w:right w:val="single" w:sz="4" w:space="0" w:color="009AF1" w:themeColor="accent2" w:themeTint="99"/>
        <w:insideH w:val="single" w:sz="4" w:space="0" w:color="009AF1" w:themeColor="accent2" w:themeTint="99"/>
        <w:insideV w:val="single" w:sz="4" w:space="0" w:color="009AF1" w:themeColor="accent2" w:themeTint="99"/>
      </w:tblBorders>
    </w:tblPr>
    <w:tblStylePr w:type="firstRow">
      <w:rPr>
        <w:b/>
        <w:bCs/>
        <w:color w:val="FFFFFF" w:themeColor="background1"/>
      </w:rPr>
      <w:tblPr/>
      <w:tcPr>
        <w:tcBorders>
          <w:top w:val="single" w:sz="4" w:space="0" w:color="00283E" w:themeColor="accent2"/>
          <w:left w:val="single" w:sz="4" w:space="0" w:color="00283E" w:themeColor="accent2"/>
          <w:bottom w:val="single" w:sz="4" w:space="0" w:color="00283E" w:themeColor="accent2"/>
          <w:right w:val="single" w:sz="4" w:space="0" w:color="00283E" w:themeColor="accent2"/>
          <w:insideH w:val="nil"/>
          <w:insideV w:val="nil"/>
        </w:tcBorders>
        <w:shd w:val="clear" w:color="auto" w:fill="00283E" w:themeFill="accent2"/>
      </w:tcPr>
    </w:tblStylePr>
    <w:tblStylePr w:type="lastRow">
      <w:rPr>
        <w:b/>
        <w:bCs/>
      </w:rPr>
      <w:tblPr/>
      <w:tcPr>
        <w:tcBorders>
          <w:top w:val="double" w:sz="4" w:space="0" w:color="00283E" w:themeColor="accent2"/>
        </w:tcBorders>
      </w:tcPr>
    </w:tblStylePr>
    <w:tblStylePr w:type="firstCol">
      <w:rPr>
        <w:b/>
        <w:bCs/>
      </w:rPr>
    </w:tblStylePr>
    <w:tblStylePr w:type="lastCol">
      <w:rPr>
        <w:b/>
        <w:bCs/>
      </w:rPr>
    </w:tblStylePr>
    <w:tblStylePr w:type="band1Vert">
      <w:tblPr/>
      <w:tcPr>
        <w:shd w:val="clear" w:color="auto" w:fill="A5DFFF" w:themeFill="accent2" w:themeFillTint="33"/>
      </w:tcPr>
    </w:tblStylePr>
    <w:tblStylePr w:type="band1Horz">
      <w:tblPr/>
      <w:tcPr>
        <w:shd w:val="clear" w:color="auto" w:fill="A5DFFF" w:themeFill="accent2" w:themeFillTint="33"/>
      </w:tcPr>
    </w:tblStylePr>
  </w:style>
  <w:style w:type="table" w:styleId="GridTable1Light-Accent2">
    <w:name w:val="Grid Table 1 Light Accent 2"/>
    <w:basedOn w:val="TableNormal"/>
    <w:uiPriority w:val="46"/>
    <w:rsid w:val="004D3B0F"/>
    <w:pPr>
      <w:spacing w:after="0" w:line="240" w:lineRule="auto"/>
    </w:pPr>
    <w:tblPr>
      <w:tblStyleRowBandSize w:val="1"/>
      <w:tblStyleColBandSize w:val="1"/>
      <w:tblBorders>
        <w:top w:val="single" w:sz="4" w:space="0" w:color="4BBFFF" w:themeColor="accent2" w:themeTint="66"/>
        <w:left w:val="single" w:sz="4" w:space="0" w:color="4BBFFF" w:themeColor="accent2" w:themeTint="66"/>
        <w:bottom w:val="single" w:sz="4" w:space="0" w:color="4BBFFF" w:themeColor="accent2" w:themeTint="66"/>
        <w:right w:val="single" w:sz="4" w:space="0" w:color="4BBFFF" w:themeColor="accent2" w:themeTint="66"/>
        <w:insideH w:val="single" w:sz="4" w:space="0" w:color="4BBFFF" w:themeColor="accent2" w:themeTint="66"/>
        <w:insideV w:val="single" w:sz="4" w:space="0" w:color="4BBFFF" w:themeColor="accent2" w:themeTint="66"/>
      </w:tblBorders>
    </w:tblPr>
    <w:tblStylePr w:type="firstRow">
      <w:rPr>
        <w:b/>
        <w:bCs/>
      </w:rPr>
      <w:tblPr/>
      <w:tcPr>
        <w:tcBorders>
          <w:bottom w:val="single" w:sz="12" w:space="0" w:color="009AF1" w:themeColor="accent2" w:themeTint="99"/>
        </w:tcBorders>
      </w:tcPr>
    </w:tblStylePr>
    <w:tblStylePr w:type="lastRow">
      <w:rPr>
        <w:b/>
        <w:bCs/>
      </w:rPr>
      <w:tblPr/>
      <w:tcPr>
        <w:tcBorders>
          <w:top w:val="double" w:sz="2" w:space="0" w:color="009AF1" w:themeColor="accent2"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4D3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9E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959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959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959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9598" w:themeFill="accent1"/>
      </w:tcPr>
    </w:tblStylePr>
    <w:tblStylePr w:type="band1Vert">
      <w:tblPr/>
      <w:tcPr>
        <w:shd w:val="clear" w:color="auto" w:fill="D3D4D5" w:themeFill="accent1" w:themeFillTint="66"/>
      </w:tcPr>
    </w:tblStylePr>
    <w:tblStylePr w:type="band1Horz">
      <w:tblPr/>
      <w:tcPr>
        <w:shd w:val="clear" w:color="auto" w:fill="D3D4D5" w:themeFill="accent1" w:themeFillTint="66"/>
      </w:tcPr>
    </w:tblStylePr>
  </w:style>
  <w:style w:type="table" w:styleId="GridTable4-Accent1">
    <w:name w:val="Grid Table 4 Accent 1"/>
    <w:basedOn w:val="TableNormal"/>
    <w:uiPriority w:val="49"/>
    <w:rsid w:val="004D3B0F"/>
    <w:pPr>
      <w:spacing w:after="0" w:line="240" w:lineRule="auto"/>
    </w:pPr>
    <w:tblPr>
      <w:tblStyleRowBandSize w:val="1"/>
      <w:tblStyleColBandSize w:val="1"/>
      <w:tblBorders>
        <w:top w:val="single" w:sz="4" w:space="0" w:color="BEBFC1" w:themeColor="accent1" w:themeTint="99"/>
        <w:left w:val="single" w:sz="4" w:space="0" w:color="BEBFC1" w:themeColor="accent1" w:themeTint="99"/>
        <w:bottom w:val="single" w:sz="4" w:space="0" w:color="BEBFC1" w:themeColor="accent1" w:themeTint="99"/>
        <w:right w:val="single" w:sz="4" w:space="0" w:color="BEBFC1" w:themeColor="accent1" w:themeTint="99"/>
        <w:insideH w:val="single" w:sz="4" w:space="0" w:color="BEBFC1" w:themeColor="accent1" w:themeTint="99"/>
        <w:insideV w:val="single" w:sz="4" w:space="0" w:color="BEBFC1" w:themeColor="accent1" w:themeTint="99"/>
      </w:tblBorders>
    </w:tblPr>
    <w:tblStylePr w:type="firstRow">
      <w:rPr>
        <w:b/>
        <w:bCs/>
        <w:color w:val="FFFFFF" w:themeColor="background1"/>
      </w:rPr>
      <w:tblPr/>
      <w:tcPr>
        <w:tcBorders>
          <w:top w:val="single" w:sz="4" w:space="0" w:color="939598" w:themeColor="accent1"/>
          <w:left w:val="single" w:sz="4" w:space="0" w:color="939598" w:themeColor="accent1"/>
          <w:bottom w:val="single" w:sz="4" w:space="0" w:color="939598" w:themeColor="accent1"/>
          <w:right w:val="single" w:sz="4" w:space="0" w:color="939598" w:themeColor="accent1"/>
          <w:insideH w:val="nil"/>
          <w:insideV w:val="nil"/>
        </w:tcBorders>
        <w:shd w:val="clear" w:color="auto" w:fill="939598" w:themeFill="accent1"/>
      </w:tcPr>
    </w:tblStylePr>
    <w:tblStylePr w:type="lastRow">
      <w:rPr>
        <w:b/>
        <w:bCs/>
      </w:rPr>
      <w:tblPr/>
      <w:tcPr>
        <w:tcBorders>
          <w:top w:val="double" w:sz="4" w:space="0" w:color="939598" w:themeColor="accent1"/>
        </w:tcBorders>
      </w:tcPr>
    </w:tblStylePr>
    <w:tblStylePr w:type="firstCol">
      <w:rPr>
        <w:b/>
        <w:bCs/>
      </w:rPr>
    </w:tblStylePr>
    <w:tblStylePr w:type="lastCol">
      <w:rPr>
        <w:b/>
        <w:bCs/>
      </w:rPr>
    </w:tblStylePr>
    <w:tblStylePr w:type="band1Vert">
      <w:tblPr/>
      <w:tcPr>
        <w:shd w:val="clear" w:color="auto" w:fill="E9E9EA" w:themeFill="accent1" w:themeFillTint="33"/>
      </w:tcPr>
    </w:tblStylePr>
    <w:tblStylePr w:type="band1Horz">
      <w:tblPr/>
      <w:tcPr>
        <w:shd w:val="clear" w:color="auto" w:fill="E9E9EA" w:themeFill="accent1" w:themeFillTint="33"/>
      </w:tcPr>
    </w:tblStylePr>
  </w:style>
  <w:style w:type="table" w:styleId="GridTable4-Accent5">
    <w:name w:val="Grid Table 4 Accent 5"/>
    <w:basedOn w:val="TableNormal"/>
    <w:uiPriority w:val="49"/>
    <w:rsid w:val="004D3B0F"/>
    <w:pPr>
      <w:spacing w:after="0" w:line="240" w:lineRule="auto"/>
    </w:pPr>
    <w:tblPr>
      <w:tblStyleRowBandSize w:val="1"/>
      <w:tblStyleColBandSize w:val="1"/>
      <w:tblBorders>
        <w:top w:val="single" w:sz="4" w:space="0" w:color="C3E8EC" w:themeColor="accent5" w:themeTint="99"/>
        <w:left w:val="single" w:sz="4" w:space="0" w:color="C3E8EC" w:themeColor="accent5" w:themeTint="99"/>
        <w:bottom w:val="single" w:sz="4" w:space="0" w:color="C3E8EC" w:themeColor="accent5" w:themeTint="99"/>
        <w:right w:val="single" w:sz="4" w:space="0" w:color="C3E8EC" w:themeColor="accent5" w:themeTint="99"/>
        <w:insideH w:val="single" w:sz="4" w:space="0" w:color="C3E8EC" w:themeColor="accent5" w:themeTint="99"/>
        <w:insideV w:val="single" w:sz="4" w:space="0" w:color="C3E8EC" w:themeColor="accent5" w:themeTint="99"/>
      </w:tblBorders>
    </w:tblPr>
    <w:tblStylePr w:type="firstRow">
      <w:rPr>
        <w:b/>
        <w:bCs/>
        <w:color w:val="FFFFFF" w:themeColor="background1"/>
      </w:rPr>
      <w:tblPr/>
      <w:tcPr>
        <w:tcBorders>
          <w:top w:val="single" w:sz="4" w:space="0" w:color="9CD9E0" w:themeColor="accent5"/>
          <w:left w:val="single" w:sz="4" w:space="0" w:color="9CD9E0" w:themeColor="accent5"/>
          <w:bottom w:val="single" w:sz="4" w:space="0" w:color="9CD9E0" w:themeColor="accent5"/>
          <w:right w:val="single" w:sz="4" w:space="0" w:color="9CD9E0" w:themeColor="accent5"/>
          <w:insideH w:val="nil"/>
          <w:insideV w:val="nil"/>
        </w:tcBorders>
        <w:shd w:val="clear" w:color="auto" w:fill="9CD9E0" w:themeFill="accent5"/>
      </w:tcPr>
    </w:tblStylePr>
    <w:tblStylePr w:type="lastRow">
      <w:rPr>
        <w:b/>
        <w:bCs/>
      </w:rPr>
      <w:tblPr/>
      <w:tcPr>
        <w:tcBorders>
          <w:top w:val="double" w:sz="4" w:space="0" w:color="9CD9E0" w:themeColor="accent5"/>
        </w:tcBorders>
      </w:tcPr>
    </w:tblStylePr>
    <w:tblStylePr w:type="firstCol">
      <w:rPr>
        <w:b/>
        <w:bCs/>
      </w:rPr>
    </w:tblStylePr>
    <w:tblStylePr w:type="lastCol">
      <w:rPr>
        <w:b/>
        <w:bCs/>
      </w:rPr>
    </w:tblStylePr>
    <w:tblStylePr w:type="band1Vert">
      <w:tblPr/>
      <w:tcPr>
        <w:shd w:val="clear" w:color="auto" w:fill="EBF7F8" w:themeFill="accent5" w:themeFillTint="33"/>
      </w:tcPr>
    </w:tblStylePr>
    <w:tblStylePr w:type="band1Horz">
      <w:tblPr/>
      <w:tcPr>
        <w:shd w:val="clear" w:color="auto" w:fill="EBF7F8" w:themeFill="accent5" w:themeFillTint="33"/>
      </w:tcPr>
    </w:tblStylePr>
  </w:style>
  <w:style w:type="table" w:styleId="GridTable4-Accent4">
    <w:name w:val="Grid Table 4 Accent 4"/>
    <w:basedOn w:val="TableNormal"/>
    <w:uiPriority w:val="49"/>
    <w:rsid w:val="004D3B0F"/>
    <w:pPr>
      <w:spacing w:after="0" w:line="240" w:lineRule="auto"/>
    </w:pPr>
    <w:tblPr>
      <w:tblStyleRowBandSize w:val="1"/>
      <w:tblStyleColBandSize w:val="1"/>
      <w:tblBorders>
        <w:top w:val="single" w:sz="4" w:space="0" w:color="A0DCDC" w:themeColor="accent4" w:themeTint="99"/>
        <w:left w:val="single" w:sz="4" w:space="0" w:color="A0DCDC" w:themeColor="accent4" w:themeTint="99"/>
        <w:bottom w:val="single" w:sz="4" w:space="0" w:color="A0DCDC" w:themeColor="accent4" w:themeTint="99"/>
        <w:right w:val="single" w:sz="4" w:space="0" w:color="A0DCDC" w:themeColor="accent4" w:themeTint="99"/>
        <w:insideH w:val="single" w:sz="4" w:space="0" w:color="A0DCDC" w:themeColor="accent4" w:themeTint="99"/>
        <w:insideV w:val="single" w:sz="4" w:space="0" w:color="A0DCDC" w:themeColor="accent4" w:themeTint="99"/>
      </w:tblBorders>
    </w:tblPr>
    <w:tblStylePr w:type="firstRow">
      <w:rPr>
        <w:b/>
        <w:bCs/>
        <w:color w:val="FFFFFF" w:themeColor="background1"/>
      </w:rPr>
      <w:tblPr/>
      <w:tcPr>
        <w:tcBorders>
          <w:top w:val="single" w:sz="4" w:space="0" w:color="61C6C6" w:themeColor="accent4"/>
          <w:left w:val="single" w:sz="4" w:space="0" w:color="61C6C6" w:themeColor="accent4"/>
          <w:bottom w:val="single" w:sz="4" w:space="0" w:color="61C6C6" w:themeColor="accent4"/>
          <w:right w:val="single" w:sz="4" w:space="0" w:color="61C6C6" w:themeColor="accent4"/>
          <w:insideH w:val="nil"/>
          <w:insideV w:val="nil"/>
        </w:tcBorders>
        <w:shd w:val="clear" w:color="auto" w:fill="61C6C6" w:themeFill="accent4"/>
      </w:tcPr>
    </w:tblStylePr>
    <w:tblStylePr w:type="lastRow">
      <w:rPr>
        <w:b/>
        <w:bCs/>
      </w:rPr>
      <w:tblPr/>
      <w:tcPr>
        <w:tcBorders>
          <w:top w:val="double" w:sz="4" w:space="0" w:color="61C6C6" w:themeColor="accent4"/>
        </w:tcBorders>
      </w:tcPr>
    </w:tblStylePr>
    <w:tblStylePr w:type="firstCol">
      <w:rPr>
        <w:b/>
        <w:bCs/>
      </w:rPr>
    </w:tblStylePr>
    <w:tblStylePr w:type="lastCol">
      <w:rPr>
        <w:b/>
        <w:bCs/>
      </w:rPr>
    </w:tblStylePr>
    <w:tblStylePr w:type="band1Vert">
      <w:tblPr/>
      <w:tcPr>
        <w:shd w:val="clear" w:color="auto" w:fill="DFF3F3" w:themeFill="accent4" w:themeFillTint="33"/>
      </w:tcPr>
    </w:tblStylePr>
    <w:tblStylePr w:type="band1Horz">
      <w:tblPr/>
      <w:tcPr>
        <w:shd w:val="clear" w:color="auto" w:fill="DFF3F3" w:themeFill="accent4" w:themeFillTint="33"/>
      </w:tcPr>
    </w:tblStylePr>
  </w:style>
  <w:style w:type="table" w:styleId="GridTable4-Accent3">
    <w:name w:val="Grid Table 4 Accent 3"/>
    <w:basedOn w:val="TableNormal"/>
    <w:uiPriority w:val="49"/>
    <w:rsid w:val="004D3B0F"/>
    <w:pPr>
      <w:spacing w:after="0" w:line="240" w:lineRule="auto"/>
    </w:pPr>
    <w:tblPr>
      <w:tblStyleRowBandSize w:val="1"/>
      <w:tblStyleColBandSize w:val="1"/>
      <w:tblBorders>
        <w:top w:val="single" w:sz="4" w:space="0" w:color="55E0DA" w:themeColor="accent3" w:themeTint="99"/>
        <w:left w:val="single" w:sz="4" w:space="0" w:color="55E0DA" w:themeColor="accent3" w:themeTint="99"/>
        <w:bottom w:val="single" w:sz="4" w:space="0" w:color="55E0DA" w:themeColor="accent3" w:themeTint="99"/>
        <w:right w:val="single" w:sz="4" w:space="0" w:color="55E0DA" w:themeColor="accent3" w:themeTint="99"/>
        <w:insideH w:val="single" w:sz="4" w:space="0" w:color="55E0DA" w:themeColor="accent3" w:themeTint="99"/>
        <w:insideV w:val="single" w:sz="4" w:space="0" w:color="55E0DA" w:themeColor="accent3" w:themeTint="99"/>
      </w:tblBorders>
    </w:tblPr>
    <w:tblStylePr w:type="firstRow">
      <w:rPr>
        <w:b/>
        <w:bCs/>
        <w:color w:val="FFFFFF" w:themeColor="background1"/>
      </w:rPr>
      <w:tblPr/>
      <w:tcPr>
        <w:tcBorders>
          <w:top w:val="single" w:sz="4" w:space="0" w:color="1B9590" w:themeColor="accent3"/>
          <w:left w:val="single" w:sz="4" w:space="0" w:color="1B9590" w:themeColor="accent3"/>
          <w:bottom w:val="single" w:sz="4" w:space="0" w:color="1B9590" w:themeColor="accent3"/>
          <w:right w:val="single" w:sz="4" w:space="0" w:color="1B9590" w:themeColor="accent3"/>
          <w:insideH w:val="nil"/>
          <w:insideV w:val="nil"/>
        </w:tcBorders>
        <w:shd w:val="clear" w:color="auto" w:fill="1B9590" w:themeFill="accent3"/>
      </w:tcPr>
    </w:tblStylePr>
    <w:tblStylePr w:type="lastRow">
      <w:rPr>
        <w:b/>
        <w:bCs/>
      </w:rPr>
      <w:tblPr/>
      <w:tcPr>
        <w:tcBorders>
          <w:top w:val="double" w:sz="4" w:space="0" w:color="1B9590" w:themeColor="accent3"/>
        </w:tcBorders>
      </w:tcPr>
    </w:tblStylePr>
    <w:tblStylePr w:type="firstCol">
      <w:rPr>
        <w:b/>
        <w:bCs/>
      </w:rPr>
    </w:tblStylePr>
    <w:tblStylePr w:type="lastCol">
      <w:rPr>
        <w:b/>
        <w:bCs/>
      </w:rPr>
    </w:tblStylePr>
    <w:tblStylePr w:type="band1Vert">
      <w:tblPr/>
      <w:tcPr>
        <w:shd w:val="clear" w:color="auto" w:fill="C6F4F2" w:themeFill="accent3" w:themeFillTint="33"/>
      </w:tcPr>
    </w:tblStylePr>
    <w:tblStylePr w:type="band1Horz">
      <w:tblPr/>
      <w:tcPr>
        <w:shd w:val="clear" w:color="auto" w:fill="C6F4F2" w:themeFill="accent3" w:themeFillTint="33"/>
      </w:tcPr>
    </w:tblStylePr>
  </w:style>
  <w:style w:type="paragraph" w:customStyle="1" w:styleId="Authoranddate">
    <w:name w:val="Author and date"/>
    <w:basedOn w:val="Subtitle"/>
    <w:link w:val="AuthoranddateChar"/>
    <w:qFormat/>
    <w:rsid w:val="00FE7F44"/>
    <w:rPr>
      <w:szCs w:val="40"/>
    </w:rPr>
  </w:style>
  <w:style w:type="character" w:customStyle="1" w:styleId="AuthoranddateChar">
    <w:name w:val="Author and date Char"/>
    <w:basedOn w:val="SubtitleChar"/>
    <w:link w:val="Authoranddate"/>
    <w:rsid w:val="00FE7F44"/>
    <w:rPr>
      <w:rFonts w:eastAsiaTheme="minorEastAsia"/>
      <w:color w:val="FFFFFF" w:themeColor="background1"/>
      <w:sz w:val="40"/>
      <w:szCs w:val="40"/>
    </w:rPr>
  </w:style>
  <w:style w:type="character" w:styleId="FollowedHyperlink">
    <w:name w:val="FollowedHyperlink"/>
    <w:basedOn w:val="DefaultParagraphFont"/>
    <w:uiPriority w:val="99"/>
    <w:semiHidden/>
    <w:unhideWhenUsed/>
    <w:rsid w:val="00EC7013"/>
    <w:rPr>
      <w:color w:val="551A8B" w:themeColor="followedHyperlink"/>
      <w:u w:val="single"/>
    </w:rPr>
  </w:style>
  <w:style w:type="paragraph" w:styleId="NormalWeb">
    <w:name w:val="Normal (Web)"/>
    <w:basedOn w:val="Normal"/>
    <w:uiPriority w:val="99"/>
    <w:semiHidden/>
    <w:unhideWhenUsed/>
    <w:rsid w:val="0023549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C84D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003329">
      <w:bodyDiv w:val="1"/>
      <w:marLeft w:val="0"/>
      <w:marRight w:val="0"/>
      <w:marTop w:val="0"/>
      <w:marBottom w:val="0"/>
      <w:divBdr>
        <w:top w:val="none" w:sz="0" w:space="0" w:color="auto"/>
        <w:left w:val="none" w:sz="0" w:space="0" w:color="auto"/>
        <w:bottom w:val="none" w:sz="0" w:space="0" w:color="auto"/>
        <w:right w:val="none" w:sz="0" w:space="0" w:color="auto"/>
      </w:divBdr>
    </w:div>
    <w:div w:id="428889917">
      <w:bodyDiv w:val="1"/>
      <w:marLeft w:val="0"/>
      <w:marRight w:val="0"/>
      <w:marTop w:val="0"/>
      <w:marBottom w:val="0"/>
      <w:divBdr>
        <w:top w:val="none" w:sz="0" w:space="0" w:color="auto"/>
        <w:left w:val="none" w:sz="0" w:space="0" w:color="auto"/>
        <w:bottom w:val="none" w:sz="0" w:space="0" w:color="auto"/>
        <w:right w:val="none" w:sz="0" w:space="0" w:color="auto"/>
      </w:divBdr>
    </w:div>
    <w:div w:id="469590627">
      <w:bodyDiv w:val="1"/>
      <w:marLeft w:val="0"/>
      <w:marRight w:val="0"/>
      <w:marTop w:val="0"/>
      <w:marBottom w:val="0"/>
      <w:divBdr>
        <w:top w:val="none" w:sz="0" w:space="0" w:color="auto"/>
        <w:left w:val="none" w:sz="0" w:space="0" w:color="auto"/>
        <w:bottom w:val="none" w:sz="0" w:space="0" w:color="auto"/>
        <w:right w:val="none" w:sz="0" w:space="0" w:color="auto"/>
      </w:divBdr>
    </w:div>
    <w:div w:id="996689583">
      <w:bodyDiv w:val="1"/>
      <w:marLeft w:val="0"/>
      <w:marRight w:val="0"/>
      <w:marTop w:val="0"/>
      <w:marBottom w:val="0"/>
      <w:divBdr>
        <w:top w:val="none" w:sz="0" w:space="0" w:color="auto"/>
        <w:left w:val="none" w:sz="0" w:space="0" w:color="auto"/>
        <w:bottom w:val="none" w:sz="0" w:space="0" w:color="auto"/>
        <w:right w:val="none" w:sz="0" w:space="0" w:color="auto"/>
      </w:divBdr>
    </w:div>
    <w:div w:id="1047418297">
      <w:bodyDiv w:val="1"/>
      <w:marLeft w:val="0"/>
      <w:marRight w:val="0"/>
      <w:marTop w:val="0"/>
      <w:marBottom w:val="0"/>
      <w:divBdr>
        <w:top w:val="none" w:sz="0" w:space="0" w:color="auto"/>
        <w:left w:val="none" w:sz="0" w:space="0" w:color="auto"/>
        <w:bottom w:val="none" w:sz="0" w:space="0" w:color="auto"/>
        <w:right w:val="none" w:sz="0" w:space="0" w:color="auto"/>
      </w:divBdr>
    </w:div>
    <w:div w:id="1262372431">
      <w:bodyDiv w:val="1"/>
      <w:marLeft w:val="0"/>
      <w:marRight w:val="0"/>
      <w:marTop w:val="0"/>
      <w:marBottom w:val="0"/>
      <w:divBdr>
        <w:top w:val="none" w:sz="0" w:space="0" w:color="auto"/>
        <w:left w:val="none" w:sz="0" w:space="0" w:color="auto"/>
        <w:bottom w:val="none" w:sz="0" w:space="0" w:color="auto"/>
        <w:right w:val="none" w:sz="0" w:space="0" w:color="auto"/>
      </w:divBdr>
    </w:div>
    <w:div w:id="1528638554">
      <w:bodyDiv w:val="1"/>
      <w:marLeft w:val="0"/>
      <w:marRight w:val="0"/>
      <w:marTop w:val="0"/>
      <w:marBottom w:val="0"/>
      <w:divBdr>
        <w:top w:val="none" w:sz="0" w:space="0" w:color="auto"/>
        <w:left w:val="none" w:sz="0" w:space="0" w:color="auto"/>
        <w:bottom w:val="none" w:sz="0" w:space="0" w:color="auto"/>
        <w:right w:val="none" w:sz="0" w:space="0" w:color="auto"/>
      </w:divBdr>
    </w:div>
    <w:div w:id="1926450452">
      <w:bodyDiv w:val="1"/>
      <w:marLeft w:val="0"/>
      <w:marRight w:val="0"/>
      <w:marTop w:val="0"/>
      <w:marBottom w:val="0"/>
      <w:divBdr>
        <w:top w:val="none" w:sz="0" w:space="0" w:color="auto"/>
        <w:left w:val="none" w:sz="0" w:space="0" w:color="auto"/>
        <w:bottom w:val="none" w:sz="0" w:space="0" w:color="auto"/>
        <w:right w:val="none" w:sz="0" w:space="0" w:color="auto"/>
      </w:divBdr>
    </w:div>
    <w:div w:id="2078743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legislation.gov.au/Series/C2004A01074" TargetMode="Externa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header" Target="header3.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business.gov.au" TargetMode="Externa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s://restcountries.com/"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abs.gov.au/ausstats/abs@.nsf/0/20C5B5A4F46DF95BCA25711F00146D75?opendocument"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eader" Target="header1.xml"/><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mailto:venturecapital@industry.gov.au" TargetMode="External"/><Relationship Id="rId17" Type="http://schemas.openxmlformats.org/officeDocument/2006/relationships/hyperlink" Target="mailto:venturecapital@industry.gov.au"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CD960D182274E29B84B26260F1F9885"/>
        <w:category>
          <w:name w:val="General"/>
          <w:gallery w:val="placeholder"/>
        </w:category>
        <w:types>
          <w:type w:val="bbPlcHdr"/>
        </w:types>
        <w:behaviors>
          <w:behavior w:val="content"/>
        </w:behaviors>
        <w:guid w:val="{2D9CDEAF-6FCA-4F4C-A91C-9EB755CE3E6A}"/>
      </w:docPartPr>
      <w:docPartBody>
        <w:p w:rsidR="00187700" w:rsidRDefault="00C1685B">
          <w:pPr>
            <w:pStyle w:val="ECD960D182274E29B84B26260F1F9885"/>
          </w:pPr>
          <w:r w:rsidRPr="00DB39DE">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85B"/>
    <w:rsid w:val="00187700"/>
    <w:rsid w:val="00C168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685B"/>
    <w:rPr>
      <w:color w:val="808080"/>
    </w:rPr>
  </w:style>
  <w:style w:type="paragraph" w:customStyle="1" w:styleId="ECD960D182274E29B84B26260F1F9885">
    <w:name w:val="ECD960D182274E29B84B26260F1F98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DIIS">
      <a:dk1>
        <a:srgbClr val="000000"/>
      </a:dk1>
      <a:lt1>
        <a:srgbClr val="FFFFFF"/>
      </a:lt1>
      <a:dk2>
        <a:srgbClr val="005677"/>
      </a:dk2>
      <a:lt2>
        <a:srgbClr val="58595B"/>
      </a:lt2>
      <a:accent1>
        <a:srgbClr val="939598"/>
      </a:accent1>
      <a:accent2>
        <a:srgbClr val="00283E"/>
      </a:accent2>
      <a:accent3>
        <a:srgbClr val="1B9590"/>
      </a:accent3>
      <a:accent4>
        <a:srgbClr val="61C6C6"/>
      </a:accent4>
      <a:accent5>
        <a:srgbClr val="9CD9E0"/>
      </a:accent5>
      <a:accent6>
        <a:srgbClr val="C973AF"/>
      </a:accent6>
      <a:hlink>
        <a:srgbClr val="0070AE"/>
      </a:hlink>
      <a:folHlink>
        <a:srgbClr val="551A8B"/>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2BEE22515F5B0340B0AF29FCD9B29DA1" ma:contentTypeVersion="20" ma:contentTypeDescription="Create a new document." ma:contentTypeScope="" ma:versionID="8b8b23134d2cf566b449892f08deed4d">
  <xsd:schema xmlns:xsd="http://www.w3.org/2001/XMLSchema" xmlns:xs="http://www.w3.org/2001/XMLSchema" xmlns:p="http://schemas.microsoft.com/office/2006/metadata/properties" xmlns:ns1="http://schemas.microsoft.com/sharepoint/v3" xmlns:ns2="2a251b7e-61e4-4816-a71f-b295a9ad20fb" xmlns:ns3="b3b2f4e5-2ec4-4f1f-99dd-9592e758b1a2" xmlns:ns4="http://schemas.microsoft.com/sharepoint/v4" targetNamespace="http://schemas.microsoft.com/office/2006/metadata/properties" ma:root="true" ma:fieldsID="7244dcc77a4bd7977fff9c460370e9f4" ns1:_="" ns2:_="" ns3:_="" ns4:_="">
    <xsd:import namespace="http://schemas.microsoft.com/sharepoint/v3"/>
    <xsd:import namespace="2a251b7e-61e4-4816-a71f-b295a9ad20fb"/>
    <xsd:import namespace="b3b2f4e5-2ec4-4f1f-99dd-9592e758b1a2"/>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i1b1d89ca1344d158659b406de327cce" minOccurs="0"/>
                <xsd:element ref="ns2:o1116530bc244d4bbd793e6e47aad9f9" minOccurs="0"/>
                <xsd:element ref="ns2:DocHub_ProjectGrantBenefitNo" minOccurs="0"/>
                <xsd:element ref="ns3:SharedWithUser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i1b1d89ca1344d158659b406de327cce" ma:index="24" nillable="true" ma:taxonomy="true" ma:internalName="i1b1d89ca1344d158659b406de327cce" ma:taxonomyFieldName="DocHub_PhaseLifecycle" ma:displayName="Phase/Lifecycle" ma:indexed="true" ma:fieldId="{21b1d89c-a134-4d15-8659-b406de327cce}" ma:sspId="fb0313f7-9433-48c0-866e-9e0bbee59a50" ma:termSetId="f4d8ac1b-73e2-4426-9c84-b980c1719e78" ma:anchorId="00000000-0000-0000-0000-000000000000" ma:open="false" ma:isKeyword="false">
      <xsd:complexType>
        <xsd:sequence>
          <xsd:element ref="pc:Terms" minOccurs="0" maxOccurs="1"/>
        </xsd:sequence>
      </xsd:complexType>
    </xsd:element>
    <xsd:element name="o1116530bc244d4bbd793e6e47aad9f9" ma:index="26" nillable="true" ma:taxonomy="true" ma:internalName="o1116530bc244d4bbd793e6e47aad9f9" ma:taxonomyFieldName="DocHub_EntityCustomer" ma:displayName="Entity (Customer)" ma:indexed="true" ma:default="" ma:fieldId="{81116530-bc24-4d4b-bd79-3e6e47aad9f9}" ma:sspId="fb0313f7-9433-48c0-866e-9e0bbee59a50" ma:termSetId="3d16dad7-9c2a-4544-b039-528cc1012230" ma:anchorId="00000000-0000-0000-0000-000000000000" ma:open="true" ma:isKeyword="false">
      <xsd:complexType>
        <xsd:sequence>
          <xsd:element ref="pc:Terms" minOccurs="0" maxOccurs="1"/>
        </xsd:sequence>
      </xsd:complexType>
    </xsd:element>
    <xsd:element name="DocHub_ProjectGrantBenefitNo" ma:index="27" nillable="true" ma:displayName="Project (Grant/Benefit) No" ma:internalName="DocHub_ProjectGrantBenefitNo">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b2f4e5-2ec4-4f1f-99dd-9592e758b1a2" elementFormDefault="qualified">
    <xsd:import namespace="http://schemas.microsoft.com/office/2006/documentManagement/types"/>
    <xsd:import namespace="http://schemas.microsoft.com/office/infopath/2007/PartnerControls"/>
    <xsd:element name="SharedWithUsers" ma:index="2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116a9244-cef6-47ce-a9a5-088c9cf21292</TermId>
        </TermInfo>
      </Terms>
    </pe2555c81638466f9eb614edb9ecde52>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adb9bed2e36e4a93af574aeb444da63e xmlns="2a251b7e-61e4-4816-a71f-b295a9ad20fb">
      <Terms xmlns="http://schemas.microsoft.com/office/infopath/2007/PartnerControls"/>
    </adb9bed2e36e4a93af574aeb444da63e>
    <o1116530bc244d4bbd793e6e47aad9f9 xmlns="2a251b7e-61e4-4816-a71f-b295a9ad20fb">
      <Terms xmlns="http://schemas.microsoft.com/office/infopath/2007/PartnerControls"/>
    </o1116530bc244d4bbd793e6e47aad9f9>
    <IconOverlay xmlns="http://schemas.microsoft.com/sharepoint/v4" xsi:nil="true"/>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2023</TermName>
          <TermId xmlns="http://schemas.microsoft.com/office/infopath/2007/PartnerControls">4fbcaf2e-c858-4248-836e-58ac5eb285ca</TermId>
        </TermInfo>
      </Terms>
    </n99e4c9942c6404eb103464a00e6097b>
    <TaxCatchAll xmlns="2a251b7e-61e4-4816-a71f-b295a9ad20fb">
      <Value>46829</Value>
      <Value>40</Value>
      <Value>67</Value>
      <Value>3</Value>
    </TaxCatchAll>
    <DocHub_ProjectGrantBenefitNo xmlns="2a251b7e-61e4-4816-a71f-b295a9ad20fb" xsi:nil="true"/>
    <i1b1d89ca1344d158659b406de327cce xmlns="2a251b7e-61e4-4816-a71f-b295a9ad20fb">
      <Terms xmlns="http://schemas.microsoft.com/office/infopath/2007/PartnerControls"/>
    </i1b1d89ca1344d158659b406de327cce>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Reporting</TermName>
          <TermId xmlns="http://schemas.microsoft.com/office/infopath/2007/PartnerControls">12af97d0-e555-43d0-b3d2-0f0b8e33cc04</TermId>
        </TermInfo>
      </Terms>
    </g7bcb40ba23249a78edca7d43a67c1c9>
    <Comments xmlns="http://schemas.microsoft.com/sharepoint/v3">Alternative version of VC tax concession dashboard</Comments>
    <_dlc_DocId xmlns="2a251b7e-61e4-4816-a71f-b295a9ad20fb">YZXQVS7QACYM-679045184-2799</_dlc_DocId>
    <_dlc_DocIdUrl xmlns="2a251b7e-61e4-4816-a71f-b295a9ad20fb">
      <Url>https://dochub/div/ausindustry/programmesprojectstaskforces/venturecapital/_layouts/15/DocIdRedir.aspx?ID=YZXQVS7QACYM-679045184-2799</Url>
      <Description>YZXQVS7QACYM-679045184-2799</Description>
    </_dlc_DocIdUrl>
  </documentManagement>
</p:properties>
</file>

<file path=customXml/itemProps1.xml><?xml version="1.0" encoding="utf-8"?>
<ds:datastoreItem xmlns:ds="http://schemas.openxmlformats.org/officeDocument/2006/customXml" ds:itemID="{BBAA8A7F-08DE-46ED-995D-9D93A46F0864}">
  <ds:schemaRefs>
    <ds:schemaRef ds:uri="http://schemas.openxmlformats.org/officeDocument/2006/bibliography"/>
  </ds:schemaRefs>
</ds:datastoreItem>
</file>

<file path=customXml/itemProps2.xml><?xml version="1.0" encoding="utf-8"?>
<ds:datastoreItem xmlns:ds="http://schemas.openxmlformats.org/officeDocument/2006/customXml" ds:itemID="{7D2F32E3-98B2-4EF9-9C6B-503E09317893}">
  <ds:schemaRefs>
    <ds:schemaRef ds:uri="http://schemas.microsoft.com/sharepoint/v3/contenttype/forms"/>
  </ds:schemaRefs>
</ds:datastoreItem>
</file>

<file path=customXml/itemProps3.xml><?xml version="1.0" encoding="utf-8"?>
<ds:datastoreItem xmlns:ds="http://schemas.openxmlformats.org/officeDocument/2006/customXml" ds:itemID="{9BF71333-0C42-4E48-824E-C3C2C4BFF48A}">
  <ds:schemaRefs>
    <ds:schemaRef ds:uri="http://schemas.microsoft.com/sharepoint/events"/>
  </ds:schemaRefs>
</ds:datastoreItem>
</file>

<file path=customXml/itemProps4.xml><?xml version="1.0" encoding="utf-8"?>
<ds:datastoreItem xmlns:ds="http://schemas.openxmlformats.org/officeDocument/2006/customXml" ds:itemID="{BE4A6845-8996-4EF1-B65B-4A15B40DA6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b3b2f4e5-2ec4-4f1f-99dd-9592e758b1a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F99229A-BF33-4CE5-AC2C-92FF235DC188}">
  <ds:schemaRefs>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http://schemas.microsoft.com/office/2006/metadata/properties"/>
    <ds:schemaRef ds:uri="http://schemas.microsoft.com/sharepoint/v4"/>
    <ds:schemaRef ds:uri="http://schemas.microsoft.com/sharepoint/v3"/>
    <ds:schemaRef ds:uri="http://purl.org/dc/elements/1.1/"/>
    <ds:schemaRef ds:uri="b3b2f4e5-2ec4-4f1f-99dd-9592e758b1a2"/>
    <ds:schemaRef ds:uri="2a251b7e-61e4-4816-a71f-b295a9ad20fb"/>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544</Words>
  <Characters>3103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Venture Capital Dashboard</vt:lpstr>
    </vt:vector>
  </TitlesOfParts>
  <Manager/>
  <Company/>
  <LinksUpToDate>false</LinksUpToDate>
  <CharactersWithSpaces>3640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Venture Capital Dashboard</dc:title>
  <dc:subject/>
  <dc:creator/>
  <cp:keywords/>
  <dc:description/>
  <cp:lastModifiedBy/>
  <cp:revision>1</cp:revision>
  <dcterms:created xsi:type="dcterms:W3CDTF">2024-12-06T09:53:00Z</dcterms:created>
  <dcterms:modified xsi:type="dcterms:W3CDTF">2024-12-06T09:54:00Z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0x0101002BEE22515F5B0340B0AF29FCD9B29DA1</vt:lpwstr>
  </property>
  <property fmtid="{D5CDD505-2E9C-101B-9397-08002B2CF9AE}" pid="3" name="_dlc_DocIdItemGuid">
    <vt:lpwstr>247b546c-d675-4e35-ad65-2fc92057bd4e</vt:lpwstr>
  </property>
  <property fmtid="{D5CDD505-2E9C-101B-9397-08002B2CF9AE}" pid="4" name="DocHub_Year">
    <vt:lpwstr>46829;#2023|4fbcaf2e-c858-4248-836e-58ac5eb285ca</vt:lpwstr>
  </property>
  <property fmtid="{D5CDD505-2E9C-101B-9397-08002B2CF9AE}" pid="5" name="DocHub_DocumentType">
    <vt:lpwstr>40;#Report|116a9244-cef6-47ce-a9a5-088c9cf21292</vt:lpwstr>
  </property>
  <property fmtid="{D5CDD505-2E9C-101B-9397-08002B2CF9AE}" pid="6" name="DocHub_SecurityClassification">
    <vt:lpwstr>3;#OFFICIAL|6106d03b-a1a0-4e30-9d91-d5e9fb4314f9</vt:lpwstr>
  </property>
  <property fmtid="{D5CDD505-2E9C-101B-9397-08002B2CF9AE}" pid="7" name="DocHub_PhaseLifecycle">
    <vt:lpwstr/>
  </property>
  <property fmtid="{D5CDD505-2E9C-101B-9397-08002B2CF9AE}" pid="8" name="DocHub_Keywords">
    <vt:lpwstr/>
  </property>
  <property fmtid="{D5CDD505-2E9C-101B-9397-08002B2CF9AE}" pid="9" name="DocHub_WorkActivity">
    <vt:lpwstr>67;#Reporting|12af97d0-e555-43d0-b3d2-0f0b8e33cc04</vt:lpwstr>
  </property>
  <property fmtid="{D5CDD505-2E9C-101B-9397-08002B2CF9AE}" pid="10" name="DocHub_EntityCustomer">
    <vt:lpwstr/>
  </property>
</Properties>
</file>