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AB5" w:rsidRPr="009C444F" w:rsidRDefault="004A0AB5" w:rsidP="004A0AB5">
      <w:pPr>
        <w:spacing w:after="0" w:line="240" w:lineRule="auto"/>
        <w:rPr>
          <w:rFonts w:ascii="Franklin Gothic Medium" w:eastAsia="SimHei" w:hAnsi="Franklin Gothic Medium" w:cs="Times New Roman"/>
          <w:caps/>
          <w:kern w:val="28"/>
          <w:sz w:val="32"/>
          <w:szCs w:val="32"/>
          <w:lang w:val="en-US" w:eastAsia="ja-JP"/>
        </w:rPr>
      </w:pPr>
      <w:bookmarkStart w:id="0" w:name="_Toc419991345"/>
      <w:r w:rsidRPr="009C444F">
        <w:rPr>
          <w:rFonts w:ascii="Franklin Gothic Medium" w:eastAsia="SimHei" w:hAnsi="Franklin Gothic Medium" w:cs="Times New Roman"/>
          <w:caps/>
          <w:noProof/>
          <w:kern w:val="28"/>
          <w:sz w:val="32"/>
          <w:szCs w:val="32"/>
          <w:lang w:eastAsia="en-AU"/>
        </w:rPr>
        <w:drawing>
          <wp:anchor distT="0" distB="0" distL="114300" distR="114300" simplePos="0" relativeHeight="251659264" behindDoc="0" locked="0" layoutInCell="1" allowOverlap="1" wp14:anchorId="590573BE" wp14:editId="41362F84">
            <wp:simplePos x="0" y="0"/>
            <wp:positionH relativeFrom="margin">
              <wp:posOffset>-342900</wp:posOffset>
            </wp:positionH>
            <wp:positionV relativeFrom="paragraph">
              <wp:posOffset>0</wp:posOffset>
            </wp:positionV>
            <wp:extent cx="2447290" cy="727075"/>
            <wp:effectExtent l="0" t="0" r="0" b="0"/>
            <wp:wrapTopAndBottom/>
            <wp:docPr id="1" name="Picture 1" descr="Australian Government | Department of Industry, Innovation and Science logo&#10;" title="Australian Government | Department of Industry, Innovation and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447290"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A0AB5" w:rsidRDefault="004A0AB5" w:rsidP="004A0AB5">
      <w:pPr>
        <w:rPr>
          <w:rFonts w:ascii="Franklin Gothic Medium" w:eastAsia="SimHei" w:hAnsi="Franklin Gothic Medium" w:cs="Times New Roman"/>
          <w:kern w:val="28"/>
          <w:lang w:val="en-US" w:eastAsia="ja-JP"/>
        </w:rPr>
      </w:pPr>
    </w:p>
    <w:p w:rsidR="004A0AB5" w:rsidRPr="009C444F" w:rsidRDefault="004A0AB5" w:rsidP="004A0AB5">
      <w:pPr>
        <w:spacing w:after="0" w:line="240" w:lineRule="auto"/>
        <w:rPr>
          <w:rFonts w:ascii="Franklin Gothic Medium" w:eastAsia="SimHei" w:hAnsi="Franklin Gothic Medium" w:cs="Times New Roman"/>
          <w:caps/>
          <w:kern w:val="28"/>
          <w:sz w:val="32"/>
          <w:szCs w:val="32"/>
          <w:lang w:val="en-US" w:eastAsia="ja-JP"/>
        </w:rPr>
      </w:pPr>
      <w:r>
        <w:rPr>
          <w:rFonts w:ascii="Franklin Gothic Medium" w:eastAsia="SimHei" w:hAnsi="Franklin Gothic Medium" w:cs="Times New Roman"/>
          <w:caps/>
          <w:kern w:val="28"/>
          <w:sz w:val="32"/>
          <w:szCs w:val="32"/>
          <w:lang w:val="en-US" w:eastAsia="ja-JP"/>
        </w:rPr>
        <w:t xml:space="preserve">safety </w:t>
      </w:r>
      <w:r w:rsidRPr="009C444F">
        <w:rPr>
          <w:rFonts w:ascii="Franklin Gothic Medium" w:eastAsia="SimHei" w:hAnsi="Franklin Gothic Medium" w:cs="Times New Roman"/>
          <w:caps/>
          <w:kern w:val="28"/>
          <w:sz w:val="32"/>
          <w:szCs w:val="32"/>
          <w:lang w:val="en-US" w:eastAsia="ja-JP"/>
        </w:rPr>
        <w:t xml:space="preserve">stakeholder group </w:t>
      </w:r>
    </w:p>
    <w:p w:rsidR="004A0AB5" w:rsidRPr="009C444F" w:rsidRDefault="004A0AB5" w:rsidP="004A0AB5">
      <w:pPr>
        <w:spacing w:after="0" w:line="240" w:lineRule="auto"/>
        <w:rPr>
          <w:rFonts w:ascii="Franklin Gothic Medium" w:eastAsia="SimHei" w:hAnsi="Franklin Gothic Medium" w:cs="Times New Roman"/>
          <w:caps/>
          <w:kern w:val="28"/>
          <w:sz w:val="32"/>
          <w:szCs w:val="32"/>
          <w:lang w:val="en-US" w:eastAsia="ja-JP"/>
        </w:rPr>
      </w:pPr>
      <w:r w:rsidRPr="009C444F">
        <w:rPr>
          <w:rFonts w:ascii="Franklin Gothic Medium" w:eastAsia="SimHei" w:hAnsi="Franklin Gothic Medium" w:cs="Times New Roman"/>
          <w:caps/>
          <w:kern w:val="28"/>
          <w:sz w:val="32"/>
          <w:szCs w:val="32"/>
          <w:lang w:val="en-US" w:eastAsia="ja-JP"/>
        </w:rPr>
        <w:t>meeting</w:t>
      </w:r>
      <w:r>
        <w:rPr>
          <w:rFonts w:ascii="Franklin Gothic Medium" w:eastAsia="SimHei" w:hAnsi="Franklin Gothic Medium" w:cs="Times New Roman"/>
          <w:caps/>
          <w:kern w:val="28"/>
          <w:sz w:val="32"/>
          <w:szCs w:val="32"/>
          <w:lang w:val="en-US" w:eastAsia="ja-JP"/>
        </w:rPr>
        <w:t xml:space="preserve"> </w:t>
      </w:r>
      <w:r w:rsidRPr="009C444F">
        <w:rPr>
          <w:rFonts w:ascii="Franklin Gothic Medium" w:eastAsia="SimHei" w:hAnsi="Franklin Gothic Medium" w:cs="Times New Roman"/>
          <w:caps/>
          <w:kern w:val="28"/>
          <w:sz w:val="32"/>
          <w:szCs w:val="32"/>
          <w:lang w:val="en-US" w:eastAsia="ja-JP"/>
        </w:rPr>
        <w:t>4</w:t>
      </w:r>
    </w:p>
    <w:p w:rsidR="004A0AB5" w:rsidRPr="009C444F" w:rsidRDefault="004A0AB5" w:rsidP="004A0AB5">
      <w:pPr>
        <w:spacing w:after="0" w:line="240" w:lineRule="auto"/>
        <w:rPr>
          <w:rFonts w:ascii="Franklin Gothic Medium" w:eastAsia="SimHei" w:hAnsi="Franklin Gothic Medium" w:cs="Times New Roman"/>
          <w:caps/>
          <w:kern w:val="28"/>
          <w:sz w:val="32"/>
          <w:szCs w:val="32"/>
          <w:lang w:val="en-US" w:eastAsia="ja-JP"/>
        </w:rPr>
      </w:pPr>
      <w:r w:rsidRPr="009C444F">
        <w:rPr>
          <w:rFonts w:ascii="Franklin Gothic Medium" w:eastAsia="SimHei" w:hAnsi="Franklin Gothic Medium" w:cs="Times New Roman"/>
          <w:caps/>
          <w:kern w:val="28"/>
          <w:sz w:val="32"/>
          <w:szCs w:val="32"/>
          <w:lang w:val="en-US" w:eastAsia="ja-JP"/>
        </w:rPr>
        <w:t xml:space="preserve">14 November 2019 </w:t>
      </w:r>
    </w:p>
    <w:p w:rsidR="004A0AB5" w:rsidRDefault="004A0AB5" w:rsidP="004A0AB5">
      <w:pPr>
        <w:spacing w:after="0" w:line="288" w:lineRule="auto"/>
        <w:rPr>
          <w:rFonts w:asciiTheme="majorHAnsi" w:eastAsia="SimSun" w:hAnsiTheme="majorHAnsi" w:cstheme="majorHAnsi"/>
          <w:sz w:val="24"/>
          <w:szCs w:val="24"/>
          <w:lang w:val="en-US" w:eastAsia="ja-JP"/>
        </w:rPr>
      </w:pPr>
    </w:p>
    <w:p w:rsidR="004A0AB5" w:rsidRDefault="004A0AB5" w:rsidP="004A0AB5">
      <w:pPr>
        <w:spacing w:after="0" w:line="288" w:lineRule="auto"/>
        <w:rPr>
          <w:rFonts w:asciiTheme="majorHAnsi" w:eastAsia="SimSun" w:hAnsiTheme="majorHAnsi" w:cstheme="majorHAnsi"/>
          <w:sz w:val="24"/>
          <w:szCs w:val="24"/>
          <w:lang w:val="en-US" w:eastAsia="ja-JP"/>
        </w:rPr>
      </w:pPr>
      <w:r>
        <w:rPr>
          <w:rFonts w:asciiTheme="majorHAnsi" w:eastAsia="SimSun" w:hAnsiTheme="majorHAnsi" w:cstheme="majorHAnsi"/>
          <w:sz w:val="24"/>
          <w:szCs w:val="24"/>
          <w:lang w:val="en-US" w:eastAsia="ja-JP"/>
        </w:rPr>
        <w:t>L</w:t>
      </w:r>
      <w:r w:rsidRPr="00553FF9">
        <w:rPr>
          <w:rFonts w:asciiTheme="majorHAnsi" w:eastAsia="SimSun" w:hAnsiTheme="majorHAnsi" w:cstheme="majorHAnsi"/>
          <w:sz w:val="24"/>
          <w:szCs w:val="24"/>
          <w:lang w:val="en-US" w:eastAsia="ja-JP"/>
        </w:rPr>
        <w:t xml:space="preserve">evel </w:t>
      </w:r>
      <w:r>
        <w:rPr>
          <w:rFonts w:asciiTheme="majorHAnsi" w:eastAsia="SimSun" w:hAnsiTheme="majorHAnsi" w:cstheme="majorHAnsi"/>
          <w:sz w:val="24"/>
          <w:szCs w:val="24"/>
          <w:lang w:val="en-US" w:eastAsia="ja-JP"/>
        </w:rPr>
        <w:t xml:space="preserve">5, 111 Bourke Street, </w:t>
      </w:r>
    </w:p>
    <w:p w:rsidR="004A0AB5" w:rsidRPr="00C52C25" w:rsidRDefault="004A0AB5" w:rsidP="004A0AB5">
      <w:pPr>
        <w:spacing w:after="0" w:line="288" w:lineRule="auto"/>
        <w:rPr>
          <w:rFonts w:asciiTheme="majorHAnsi" w:eastAsia="SimSun" w:hAnsiTheme="majorHAnsi" w:cstheme="majorHAnsi"/>
          <w:sz w:val="24"/>
          <w:szCs w:val="24"/>
          <w:lang w:val="en-US" w:eastAsia="ja-JP"/>
        </w:rPr>
      </w:pPr>
      <w:r>
        <w:rPr>
          <w:rFonts w:asciiTheme="majorHAnsi" w:eastAsia="SimSun" w:hAnsiTheme="majorHAnsi" w:cstheme="majorHAnsi"/>
          <w:sz w:val="24"/>
          <w:szCs w:val="24"/>
          <w:lang w:val="en-US" w:eastAsia="ja-JP"/>
        </w:rPr>
        <w:t>Melbourne, Victoria</w:t>
      </w:r>
    </w:p>
    <w:p w:rsidR="004A0AB5" w:rsidRPr="00C52C25" w:rsidRDefault="004A0AB5" w:rsidP="004A0AB5">
      <w:pPr>
        <w:spacing w:after="0" w:line="288" w:lineRule="auto"/>
        <w:rPr>
          <w:rFonts w:asciiTheme="majorHAnsi" w:eastAsia="SimSun" w:hAnsiTheme="majorHAnsi" w:cstheme="majorHAnsi"/>
          <w:sz w:val="24"/>
          <w:szCs w:val="24"/>
          <w:lang w:val="en-US" w:eastAsia="ja-JP"/>
        </w:rPr>
      </w:pPr>
      <w:r w:rsidRPr="00C52C25">
        <w:rPr>
          <w:rFonts w:asciiTheme="majorHAnsi" w:eastAsia="SimSun" w:hAnsiTheme="majorHAnsi" w:cstheme="majorHAnsi"/>
          <w:sz w:val="24"/>
          <w:szCs w:val="24"/>
          <w:lang w:val="en-US" w:eastAsia="ja-JP"/>
        </w:rPr>
        <w:t>1</w:t>
      </w:r>
      <w:r>
        <w:rPr>
          <w:rFonts w:asciiTheme="majorHAnsi" w:eastAsia="SimSun" w:hAnsiTheme="majorHAnsi" w:cstheme="majorHAnsi"/>
          <w:sz w:val="24"/>
          <w:szCs w:val="24"/>
          <w:lang w:val="en-US" w:eastAsia="ja-JP"/>
        </w:rPr>
        <w:t>1</w:t>
      </w:r>
      <w:r w:rsidRPr="00C52C25">
        <w:rPr>
          <w:rFonts w:asciiTheme="majorHAnsi" w:eastAsia="SimSun" w:hAnsiTheme="majorHAnsi" w:cstheme="majorHAnsi"/>
          <w:sz w:val="24"/>
          <w:szCs w:val="24"/>
          <w:lang w:val="en-US" w:eastAsia="ja-JP"/>
        </w:rPr>
        <w:t>:00 – 1</w:t>
      </w:r>
      <w:r>
        <w:rPr>
          <w:rFonts w:asciiTheme="majorHAnsi" w:eastAsia="SimSun" w:hAnsiTheme="majorHAnsi" w:cstheme="majorHAnsi"/>
          <w:sz w:val="24"/>
          <w:szCs w:val="24"/>
          <w:lang w:val="en-US" w:eastAsia="ja-JP"/>
        </w:rPr>
        <w:t>4</w:t>
      </w:r>
      <w:r w:rsidRPr="00C52C25">
        <w:rPr>
          <w:rFonts w:asciiTheme="majorHAnsi" w:eastAsia="SimSun" w:hAnsiTheme="majorHAnsi" w:cstheme="majorHAnsi"/>
          <w:sz w:val="24"/>
          <w:szCs w:val="24"/>
          <w:lang w:val="en-US" w:eastAsia="ja-JP"/>
        </w:rPr>
        <w:t>:</w:t>
      </w:r>
      <w:r>
        <w:rPr>
          <w:rFonts w:asciiTheme="majorHAnsi" w:eastAsia="SimSun" w:hAnsiTheme="majorHAnsi" w:cstheme="majorHAnsi"/>
          <w:sz w:val="24"/>
          <w:szCs w:val="24"/>
          <w:lang w:val="en-US" w:eastAsia="ja-JP"/>
        </w:rPr>
        <w:t>3</w:t>
      </w:r>
      <w:r w:rsidRPr="00C52C25">
        <w:rPr>
          <w:rFonts w:asciiTheme="majorHAnsi" w:eastAsia="SimSun" w:hAnsiTheme="majorHAnsi" w:cstheme="majorHAnsi"/>
          <w:sz w:val="24"/>
          <w:szCs w:val="24"/>
          <w:lang w:val="en-US" w:eastAsia="ja-JP"/>
        </w:rPr>
        <w:t xml:space="preserve">0 </w:t>
      </w:r>
      <w:r>
        <w:rPr>
          <w:sz w:val="24"/>
          <w:szCs w:val="24"/>
        </w:rPr>
        <w:t>AEDT</w:t>
      </w:r>
    </w:p>
    <w:p w:rsidR="004A0AB5" w:rsidRDefault="004A0AB5" w:rsidP="004A0AB5"/>
    <w:tbl>
      <w:tblPr>
        <w:tblStyle w:val="Style1"/>
        <w:tblW w:w="9356" w:type="dxa"/>
        <w:tblLook w:val="04A0" w:firstRow="1" w:lastRow="0" w:firstColumn="1" w:lastColumn="0" w:noHBand="0" w:noVBand="1"/>
        <w:tblCaption w:val="Agenda"/>
        <w:tblDescription w:val="This table lists when, what and who presented meeting topics."/>
      </w:tblPr>
      <w:tblGrid>
        <w:gridCol w:w="1701"/>
        <w:gridCol w:w="6091"/>
        <w:gridCol w:w="1564"/>
      </w:tblGrid>
      <w:tr w:rsidR="004A0AB5" w:rsidRPr="009C444F" w:rsidTr="00FB6877">
        <w:trPr>
          <w:cnfStyle w:val="100000000000" w:firstRow="1" w:lastRow="0" w:firstColumn="0" w:lastColumn="0" w:oddVBand="0" w:evenVBand="0" w:oddHBand="0" w:evenHBand="0" w:firstRowFirstColumn="0" w:firstRowLastColumn="0" w:lastRowFirstColumn="0" w:lastRowLastColumn="0"/>
          <w:trHeight w:val="477"/>
          <w:tblHeader/>
        </w:trPr>
        <w:tc>
          <w:tcPr>
            <w:cnfStyle w:val="001000000000" w:firstRow="0" w:lastRow="0" w:firstColumn="1" w:lastColumn="0" w:oddVBand="0" w:evenVBand="0" w:oddHBand="0" w:evenHBand="0" w:firstRowFirstColumn="0" w:firstRowLastColumn="0" w:lastRowFirstColumn="0" w:lastRowLastColumn="0"/>
            <w:tcW w:w="1701" w:type="dxa"/>
            <w:tcBorders>
              <w:top w:val="nil"/>
            </w:tcBorders>
            <w:vAlign w:val="top"/>
          </w:tcPr>
          <w:p w:rsidR="004A0AB5" w:rsidRPr="00234F29" w:rsidRDefault="004A0AB5" w:rsidP="00FB6877">
            <w:pPr>
              <w:spacing w:after="160" w:line="288" w:lineRule="auto"/>
              <w:rPr>
                <w:rFonts w:eastAsia="SimSun" w:cstheme="minorHAnsi"/>
                <w:sz w:val="22"/>
                <w:lang w:val="en-US" w:eastAsia="ja-JP"/>
              </w:rPr>
            </w:pPr>
            <w:r w:rsidRPr="00234F29">
              <w:rPr>
                <w:rFonts w:eastAsia="SimSun" w:cstheme="minorHAnsi"/>
                <w:sz w:val="22"/>
                <w:lang w:val="en-US" w:eastAsia="ja-JP"/>
              </w:rPr>
              <w:t>When</w:t>
            </w:r>
          </w:p>
        </w:tc>
        <w:tc>
          <w:tcPr>
            <w:tcW w:w="6091" w:type="dxa"/>
            <w:tcBorders>
              <w:top w:val="nil"/>
              <w:right w:val="single" w:sz="2" w:space="0" w:color="5B9BD5" w:themeColor="accent1"/>
            </w:tcBorders>
            <w:vAlign w:val="top"/>
          </w:tcPr>
          <w:p w:rsidR="004A0AB5" w:rsidRPr="00234F29" w:rsidRDefault="004A0AB5" w:rsidP="00FB6877">
            <w:pPr>
              <w:spacing w:after="160" w:line="288" w:lineRule="auto"/>
              <w:cnfStyle w:val="100000000000" w:firstRow="1" w:lastRow="0" w:firstColumn="0" w:lastColumn="0" w:oddVBand="0" w:evenVBand="0" w:oddHBand="0" w:evenHBand="0" w:firstRowFirstColumn="0" w:firstRowLastColumn="0" w:lastRowFirstColumn="0" w:lastRowLastColumn="0"/>
              <w:rPr>
                <w:rFonts w:eastAsia="SimSun" w:cstheme="minorHAnsi"/>
                <w:sz w:val="22"/>
                <w:lang w:val="en-US" w:eastAsia="ja-JP"/>
              </w:rPr>
            </w:pPr>
            <w:r w:rsidRPr="00234F29">
              <w:rPr>
                <w:rFonts w:eastAsia="SimSun" w:cstheme="minorHAnsi"/>
                <w:sz w:val="22"/>
                <w:lang w:val="en-US" w:eastAsia="ja-JP"/>
              </w:rPr>
              <w:t>What</w:t>
            </w:r>
          </w:p>
        </w:tc>
        <w:tc>
          <w:tcPr>
            <w:tcW w:w="1564" w:type="dxa"/>
            <w:tcBorders>
              <w:top w:val="nil"/>
              <w:left w:val="single" w:sz="2" w:space="0" w:color="5B9BD5" w:themeColor="accent1"/>
              <w:right w:val="single" w:sz="2" w:space="0" w:color="5B9BD5" w:themeColor="accent1"/>
            </w:tcBorders>
            <w:vAlign w:val="top"/>
          </w:tcPr>
          <w:p w:rsidR="004A0AB5" w:rsidRPr="00234F29" w:rsidRDefault="004A0AB5" w:rsidP="00FB6877">
            <w:pPr>
              <w:spacing w:after="160" w:line="288" w:lineRule="auto"/>
              <w:cnfStyle w:val="100000000000" w:firstRow="1" w:lastRow="0" w:firstColumn="0" w:lastColumn="0" w:oddVBand="0" w:evenVBand="0" w:oddHBand="0" w:evenHBand="0" w:firstRowFirstColumn="0" w:firstRowLastColumn="0" w:lastRowFirstColumn="0" w:lastRowLastColumn="0"/>
              <w:rPr>
                <w:rFonts w:eastAsia="SimSun" w:cstheme="minorHAnsi"/>
                <w:sz w:val="22"/>
                <w:lang w:val="en-US" w:eastAsia="ja-JP"/>
              </w:rPr>
            </w:pPr>
            <w:r w:rsidRPr="00234F29">
              <w:rPr>
                <w:rFonts w:eastAsia="SimSun" w:cstheme="minorHAnsi"/>
                <w:sz w:val="22"/>
                <w:lang w:val="en-US" w:eastAsia="ja-JP"/>
              </w:rPr>
              <w:t>Who</w:t>
            </w:r>
          </w:p>
        </w:tc>
      </w:tr>
      <w:bookmarkEnd w:id="0"/>
      <w:tr w:rsidR="004A0AB5" w:rsidRPr="009C444F" w:rsidTr="00FB6877">
        <w:trPr>
          <w:trHeight w:val="477"/>
        </w:trPr>
        <w:tc>
          <w:tcPr>
            <w:cnfStyle w:val="001000000000" w:firstRow="0" w:lastRow="0" w:firstColumn="1" w:lastColumn="0" w:oddVBand="0" w:evenVBand="0" w:oddHBand="0" w:evenHBand="0" w:firstRowFirstColumn="0" w:firstRowLastColumn="0" w:lastRowFirstColumn="0" w:lastRowLastColumn="0"/>
            <w:tcW w:w="1701" w:type="dxa"/>
          </w:tcPr>
          <w:p w:rsidR="004A0AB5" w:rsidRPr="00234F29" w:rsidRDefault="004A0AB5" w:rsidP="00FB6877">
            <w:pPr>
              <w:spacing w:after="160" w:line="288" w:lineRule="auto"/>
              <w:rPr>
                <w:rFonts w:asciiTheme="minorHAnsi" w:eastAsia="SimSun" w:hAnsiTheme="minorHAnsi" w:cstheme="minorHAnsi"/>
                <w:sz w:val="22"/>
                <w:lang w:val="en-US" w:eastAsia="ja-JP"/>
              </w:rPr>
            </w:pPr>
            <w:r w:rsidRPr="00234F29">
              <w:rPr>
                <w:rFonts w:asciiTheme="minorHAnsi" w:eastAsia="SimSun" w:hAnsiTheme="minorHAnsi" w:cstheme="minorHAnsi"/>
                <w:sz w:val="22"/>
                <w:lang w:val="en-US" w:eastAsia="ja-JP"/>
              </w:rPr>
              <w:t>11:00 – 11:15</w:t>
            </w:r>
          </w:p>
        </w:tc>
        <w:tc>
          <w:tcPr>
            <w:tcW w:w="6091" w:type="dxa"/>
          </w:tcPr>
          <w:p w:rsidR="004A0AB5" w:rsidRPr="009C444F" w:rsidRDefault="004A0AB5" w:rsidP="00FB6877">
            <w:pPr>
              <w:numPr>
                <w:ilvl w:val="0"/>
                <w:numId w:val="2"/>
              </w:numPr>
              <w:spacing w:after="160" w:line="288"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
                <w:sz w:val="22"/>
                <w:lang w:val="en-US" w:eastAsia="ja-JP"/>
              </w:rPr>
            </w:pPr>
            <w:r w:rsidRPr="009C444F">
              <w:rPr>
                <w:rFonts w:asciiTheme="minorHAnsi" w:eastAsia="SimSun" w:hAnsiTheme="minorHAnsi" w:cstheme="minorHAnsi"/>
                <w:b/>
                <w:sz w:val="22"/>
                <w:lang w:val="en-US" w:eastAsia="ja-JP"/>
              </w:rPr>
              <w:t>Welcome and SSG updates</w:t>
            </w:r>
          </w:p>
          <w:p w:rsidR="004A0AB5" w:rsidRPr="009C444F" w:rsidRDefault="004A0AB5" w:rsidP="00FB6877">
            <w:pPr>
              <w:numPr>
                <w:ilvl w:val="0"/>
                <w:numId w:val="4"/>
              </w:numPr>
              <w:spacing w:after="160" w:line="288"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i/>
                <w:lang w:val="en-US" w:eastAsia="ja-JP"/>
              </w:rPr>
            </w:pPr>
            <w:r w:rsidRPr="009C444F">
              <w:rPr>
                <w:rFonts w:asciiTheme="minorHAnsi" w:eastAsia="SimSun" w:hAnsiTheme="minorHAnsi" w:cstheme="minorHAnsi"/>
                <w:i/>
                <w:lang w:val="en-US" w:eastAsia="ja-JP"/>
              </w:rPr>
              <w:t>Update on offshore workers survey</w:t>
            </w:r>
          </w:p>
          <w:p w:rsidR="004A0AB5" w:rsidRPr="009C444F" w:rsidRDefault="004A0AB5" w:rsidP="00FB6877">
            <w:pPr>
              <w:numPr>
                <w:ilvl w:val="0"/>
                <w:numId w:val="4"/>
              </w:numPr>
              <w:spacing w:after="160" w:line="288"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i/>
                <w:sz w:val="22"/>
                <w:lang w:val="en-US" w:eastAsia="ja-JP"/>
              </w:rPr>
            </w:pPr>
            <w:r w:rsidRPr="009C444F">
              <w:rPr>
                <w:rFonts w:asciiTheme="minorHAnsi" w:eastAsia="SimSun" w:hAnsiTheme="minorHAnsi" w:cstheme="minorHAnsi"/>
                <w:i/>
                <w:lang w:val="en-US" w:eastAsia="ja-JP"/>
              </w:rPr>
              <w:t>Update on DIIS Safety Review Discussion Paper and submission responses</w:t>
            </w:r>
          </w:p>
        </w:tc>
        <w:tc>
          <w:tcPr>
            <w:tcW w:w="1564" w:type="dxa"/>
          </w:tcPr>
          <w:p w:rsidR="004A0AB5" w:rsidRPr="009C444F" w:rsidRDefault="004A0AB5" w:rsidP="00FB6877">
            <w:pPr>
              <w:spacing w:after="160" w:line="288" w:lineRule="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2"/>
                <w:lang w:val="en-US" w:eastAsia="ja-JP"/>
              </w:rPr>
            </w:pPr>
            <w:r w:rsidRPr="009C444F">
              <w:rPr>
                <w:rFonts w:asciiTheme="minorHAnsi" w:eastAsia="SimSun" w:hAnsiTheme="minorHAnsi" w:cstheme="minorHAnsi"/>
                <w:sz w:val="22"/>
                <w:lang w:val="en-US" w:eastAsia="ja-JP"/>
              </w:rPr>
              <w:t xml:space="preserve">Chair </w:t>
            </w:r>
          </w:p>
        </w:tc>
      </w:tr>
      <w:tr w:rsidR="004A0AB5" w:rsidRPr="009C444F" w:rsidTr="00FB6877">
        <w:trPr>
          <w:trHeight w:val="1649"/>
        </w:trPr>
        <w:tc>
          <w:tcPr>
            <w:cnfStyle w:val="001000000000" w:firstRow="0" w:lastRow="0" w:firstColumn="1" w:lastColumn="0" w:oddVBand="0" w:evenVBand="0" w:oddHBand="0" w:evenHBand="0" w:firstRowFirstColumn="0" w:firstRowLastColumn="0" w:lastRowFirstColumn="0" w:lastRowLastColumn="0"/>
            <w:tcW w:w="1701" w:type="dxa"/>
          </w:tcPr>
          <w:p w:rsidR="004A0AB5" w:rsidRPr="00234F29" w:rsidRDefault="004A0AB5" w:rsidP="00FB6877">
            <w:pPr>
              <w:spacing w:after="160" w:line="288" w:lineRule="auto"/>
              <w:rPr>
                <w:rFonts w:asciiTheme="minorHAnsi" w:eastAsia="SimSun" w:hAnsiTheme="minorHAnsi" w:cstheme="minorHAnsi"/>
                <w:sz w:val="22"/>
                <w:lang w:val="en-US" w:eastAsia="ja-JP"/>
              </w:rPr>
            </w:pPr>
            <w:r w:rsidRPr="00234F29">
              <w:rPr>
                <w:rFonts w:asciiTheme="minorHAnsi" w:eastAsia="SimSun" w:hAnsiTheme="minorHAnsi" w:cstheme="minorHAnsi"/>
                <w:sz w:val="22"/>
                <w:lang w:val="en-US" w:eastAsia="ja-JP"/>
              </w:rPr>
              <w:t>11:15 – 12:30</w:t>
            </w:r>
          </w:p>
        </w:tc>
        <w:tc>
          <w:tcPr>
            <w:tcW w:w="6091" w:type="dxa"/>
          </w:tcPr>
          <w:p w:rsidR="004A0AB5" w:rsidRPr="009C444F" w:rsidRDefault="004A0AB5" w:rsidP="00FB6877">
            <w:pPr>
              <w:numPr>
                <w:ilvl w:val="0"/>
                <w:numId w:val="2"/>
              </w:numPr>
              <w:spacing w:after="160" w:line="288"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
                <w:sz w:val="22"/>
                <w:lang w:val="en-US" w:eastAsia="ja-JP"/>
              </w:rPr>
            </w:pPr>
            <w:r w:rsidRPr="009C444F">
              <w:rPr>
                <w:rFonts w:asciiTheme="minorHAnsi" w:eastAsia="SimSun" w:hAnsiTheme="minorHAnsi" w:cstheme="minorHAnsi"/>
                <w:b/>
                <w:sz w:val="22"/>
                <w:lang w:val="en-US" w:eastAsia="ja-JP"/>
              </w:rPr>
              <w:t>Draft Policy Framework</w:t>
            </w:r>
          </w:p>
          <w:p w:rsidR="004A0AB5" w:rsidRPr="009C444F" w:rsidRDefault="004A0AB5" w:rsidP="00FB6877">
            <w:pPr>
              <w:numPr>
                <w:ilvl w:val="0"/>
                <w:numId w:val="3"/>
              </w:numPr>
              <w:spacing w:after="160" w:line="288"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i/>
                <w:lang w:val="en-US" w:eastAsia="ja-JP"/>
              </w:rPr>
            </w:pPr>
            <w:r w:rsidRPr="009C444F">
              <w:rPr>
                <w:rFonts w:asciiTheme="minorHAnsi" w:eastAsia="SimSun" w:hAnsiTheme="minorHAnsi" w:cstheme="minorHAnsi"/>
                <w:i/>
                <w:lang w:val="en-US" w:eastAsia="ja-JP"/>
              </w:rPr>
              <w:t xml:space="preserve">Design notification scheme </w:t>
            </w:r>
          </w:p>
          <w:p w:rsidR="004A0AB5" w:rsidRPr="009C444F" w:rsidRDefault="004A0AB5" w:rsidP="00FB6877">
            <w:pPr>
              <w:numPr>
                <w:ilvl w:val="0"/>
                <w:numId w:val="3"/>
              </w:numPr>
              <w:spacing w:after="160" w:line="288"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i/>
                <w:lang w:val="en-US" w:eastAsia="ja-JP"/>
              </w:rPr>
            </w:pPr>
            <w:r w:rsidRPr="009C444F">
              <w:rPr>
                <w:rFonts w:asciiTheme="minorHAnsi" w:eastAsia="SimSun" w:hAnsiTheme="minorHAnsi" w:cstheme="minorHAnsi"/>
                <w:i/>
                <w:lang w:val="en-US" w:eastAsia="ja-JP"/>
              </w:rPr>
              <w:t xml:space="preserve">Safety case </w:t>
            </w:r>
          </w:p>
          <w:p w:rsidR="004A0AB5" w:rsidRPr="009C444F" w:rsidRDefault="004A0AB5" w:rsidP="00FB6877">
            <w:pPr>
              <w:numPr>
                <w:ilvl w:val="0"/>
                <w:numId w:val="3"/>
              </w:numPr>
              <w:spacing w:after="160" w:line="288"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i/>
                <w:lang w:val="en-US" w:eastAsia="ja-JP"/>
              </w:rPr>
            </w:pPr>
            <w:r w:rsidRPr="009C444F">
              <w:rPr>
                <w:rFonts w:asciiTheme="minorHAnsi" w:eastAsia="SimSun" w:hAnsiTheme="minorHAnsi" w:cstheme="minorHAnsi"/>
                <w:i/>
                <w:lang w:val="en-US" w:eastAsia="ja-JP"/>
              </w:rPr>
              <w:t xml:space="preserve">Workplace Arrangements </w:t>
            </w:r>
          </w:p>
          <w:p w:rsidR="004A0AB5" w:rsidRPr="00234F29" w:rsidRDefault="004A0AB5" w:rsidP="00FB6877">
            <w:pPr>
              <w:numPr>
                <w:ilvl w:val="0"/>
                <w:numId w:val="3"/>
              </w:numPr>
              <w:spacing w:after="160" w:line="288"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i/>
                <w:lang w:val="en-US" w:eastAsia="ja-JP"/>
              </w:rPr>
            </w:pPr>
            <w:r w:rsidRPr="009C444F">
              <w:rPr>
                <w:rFonts w:asciiTheme="minorHAnsi" w:eastAsia="SimSun" w:hAnsiTheme="minorHAnsi" w:cstheme="minorHAnsi"/>
                <w:i/>
                <w:lang w:val="en-US" w:eastAsia="ja-JP"/>
              </w:rPr>
              <w:t xml:space="preserve">Diving </w:t>
            </w:r>
          </w:p>
        </w:tc>
        <w:tc>
          <w:tcPr>
            <w:tcW w:w="1564" w:type="dxa"/>
          </w:tcPr>
          <w:p w:rsidR="004A0AB5" w:rsidRPr="009C444F" w:rsidRDefault="004A0AB5" w:rsidP="00FB6877">
            <w:pPr>
              <w:spacing w:after="160" w:line="288" w:lineRule="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2"/>
                <w:lang w:val="en-US" w:eastAsia="ja-JP"/>
              </w:rPr>
            </w:pPr>
            <w:r w:rsidRPr="009C444F">
              <w:rPr>
                <w:rFonts w:asciiTheme="minorHAnsi" w:eastAsia="SimSun" w:hAnsiTheme="minorHAnsi" w:cstheme="minorHAnsi"/>
                <w:sz w:val="22"/>
                <w:lang w:val="en-US" w:eastAsia="ja-JP"/>
              </w:rPr>
              <w:t>SSG members</w:t>
            </w:r>
          </w:p>
        </w:tc>
      </w:tr>
      <w:tr w:rsidR="004A0AB5" w:rsidRPr="009C444F" w:rsidTr="00FB6877">
        <w:trPr>
          <w:trHeight w:val="243"/>
        </w:trPr>
        <w:tc>
          <w:tcPr>
            <w:cnfStyle w:val="001000000000" w:firstRow="0" w:lastRow="0" w:firstColumn="1" w:lastColumn="0" w:oddVBand="0" w:evenVBand="0" w:oddHBand="0" w:evenHBand="0" w:firstRowFirstColumn="0" w:firstRowLastColumn="0" w:lastRowFirstColumn="0" w:lastRowLastColumn="0"/>
            <w:tcW w:w="1701" w:type="dxa"/>
          </w:tcPr>
          <w:p w:rsidR="004A0AB5" w:rsidRPr="00234F29" w:rsidRDefault="004A0AB5" w:rsidP="00FB6877">
            <w:pPr>
              <w:spacing w:after="160" w:line="288" w:lineRule="auto"/>
              <w:rPr>
                <w:rFonts w:asciiTheme="minorHAnsi" w:eastAsia="SimSun" w:hAnsiTheme="minorHAnsi" w:cstheme="minorHAnsi"/>
                <w:sz w:val="22"/>
                <w:lang w:val="en-US" w:eastAsia="ja-JP"/>
              </w:rPr>
            </w:pPr>
            <w:r w:rsidRPr="00234F29">
              <w:rPr>
                <w:rFonts w:asciiTheme="minorHAnsi" w:eastAsia="SimSun" w:hAnsiTheme="minorHAnsi" w:cstheme="minorHAnsi"/>
                <w:sz w:val="22"/>
                <w:lang w:val="en-US" w:eastAsia="ja-JP"/>
              </w:rPr>
              <w:t>12:30 – 13:00</w:t>
            </w:r>
          </w:p>
        </w:tc>
        <w:tc>
          <w:tcPr>
            <w:tcW w:w="6091" w:type="dxa"/>
          </w:tcPr>
          <w:p w:rsidR="004A0AB5" w:rsidRPr="009C444F" w:rsidRDefault="004A0AB5" w:rsidP="00FB6877">
            <w:pPr>
              <w:spacing w:after="160" w:line="288"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
                <w:sz w:val="22"/>
                <w:lang w:val="en-US" w:eastAsia="ja-JP"/>
              </w:rPr>
            </w:pPr>
            <w:r w:rsidRPr="009C444F">
              <w:rPr>
                <w:rFonts w:asciiTheme="minorHAnsi" w:eastAsia="SimSun" w:hAnsiTheme="minorHAnsi" w:cstheme="minorHAnsi"/>
                <w:b/>
                <w:sz w:val="22"/>
                <w:lang w:val="en-US" w:eastAsia="ja-JP"/>
              </w:rPr>
              <w:t>Lunch</w:t>
            </w:r>
            <w:r>
              <w:rPr>
                <w:rFonts w:asciiTheme="minorHAnsi" w:eastAsia="SimSun" w:hAnsiTheme="minorHAnsi" w:cstheme="minorHAnsi"/>
                <w:b/>
                <w:sz w:val="22"/>
                <w:lang w:val="en-US" w:eastAsia="ja-JP"/>
              </w:rPr>
              <w:t xml:space="preserve"> break</w:t>
            </w:r>
          </w:p>
        </w:tc>
        <w:tc>
          <w:tcPr>
            <w:tcW w:w="1564" w:type="dxa"/>
          </w:tcPr>
          <w:p w:rsidR="004A0AB5" w:rsidRPr="009C444F" w:rsidRDefault="004A0AB5" w:rsidP="00FB6877">
            <w:pPr>
              <w:spacing w:after="0" w:line="288" w:lineRule="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2"/>
                <w:lang w:val="en-US" w:eastAsia="ja-JP"/>
              </w:rPr>
            </w:pPr>
            <w:r>
              <w:rPr>
                <w:rFonts w:asciiTheme="minorHAnsi" w:eastAsia="SimSun" w:hAnsiTheme="minorHAnsi" w:cstheme="minorHAnsi"/>
                <w:sz w:val="22"/>
                <w:lang w:val="en-US" w:eastAsia="ja-JP"/>
              </w:rPr>
              <w:t>All</w:t>
            </w:r>
          </w:p>
        </w:tc>
      </w:tr>
      <w:tr w:rsidR="004A0AB5" w:rsidRPr="009C444F" w:rsidTr="00FB6877">
        <w:trPr>
          <w:trHeight w:val="1551"/>
        </w:trPr>
        <w:tc>
          <w:tcPr>
            <w:cnfStyle w:val="001000000000" w:firstRow="0" w:lastRow="0" w:firstColumn="1" w:lastColumn="0" w:oddVBand="0" w:evenVBand="0" w:oddHBand="0" w:evenHBand="0" w:firstRowFirstColumn="0" w:firstRowLastColumn="0" w:lastRowFirstColumn="0" w:lastRowLastColumn="0"/>
            <w:tcW w:w="1701" w:type="dxa"/>
          </w:tcPr>
          <w:p w:rsidR="004A0AB5" w:rsidRPr="00234F29" w:rsidRDefault="004A0AB5" w:rsidP="00FB6877">
            <w:pPr>
              <w:spacing w:after="160" w:line="288" w:lineRule="auto"/>
              <w:rPr>
                <w:rFonts w:asciiTheme="minorHAnsi" w:eastAsia="SimSun" w:hAnsiTheme="minorHAnsi" w:cstheme="minorHAnsi"/>
                <w:sz w:val="22"/>
                <w:lang w:val="en-US" w:eastAsia="ja-JP"/>
              </w:rPr>
            </w:pPr>
            <w:r w:rsidRPr="00234F29">
              <w:rPr>
                <w:rFonts w:asciiTheme="minorHAnsi" w:eastAsia="SimSun" w:hAnsiTheme="minorHAnsi" w:cstheme="minorHAnsi"/>
                <w:sz w:val="22"/>
                <w:lang w:val="en-US" w:eastAsia="ja-JP"/>
              </w:rPr>
              <w:t>13:00 – 14:15</w:t>
            </w:r>
          </w:p>
        </w:tc>
        <w:tc>
          <w:tcPr>
            <w:tcW w:w="6091" w:type="dxa"/>
          </w:tcPr>
          <w:p w:rsidR="004A0AB5" w:rsidRPr="009C444F" w:rsidRDefault="004A0AB5" w:rsidP="00FB6877">
            <w:pPr>
              <w:pStyle w:val="ListParagraph"/>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cstheme="minorHAnsi"/>
                <w:bCs/>
                <w:i/>
              </w:rPr>
            </w:pPr>
            <w:r w:rsidRPr="009C444F">
              <w:rPr>
                <w:rFonts w:eastAsia="SimSun" w:cstheme="minorHAnsi"/>
                <w:b/>
                <w:lang w:val="en-US" w:eastAsia="ja-JP"/>
              </w:rPr>
              <w:t>Draft Policy Framework</w:t>
            </w:r>
            <w:r w:rsidRPr="009C444F">
              <w:rPr>
                <w:rFonts w:cstheme="minorHAnsi"/>
                <w:bCs/>
                <w:i/>
              </w:rPr>
              <w:t xml:space="preserve"> (continued)</w:t>
            </w:r>
          </w:p>
          <w:p w:rsidR="004A0AB5" w:rsidRPr="00234F29" w:rsidRDefault="004A0AB5" w:rsidP="00FB6877">
            <w:pPr>
              <w:pStyle w:val="ListParagraph"/>
              <w:numPr>
                <w:ilvl w:val="0"/>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b/>
                <w:i/>
                <w:sz w:val="20"/>
              </w:rPr>
            </w:pPr>
            <w:r w:rsidRPr="00234F29">
              <w:rPr>
                <w:rFonts w:cstheme="minorHAnsi"/>
                <w:bCs/>
                <w:i/>
                <w:sz w:val="20"/>
              </w:rPr>
              <w:t>Mental health</w:t>
            </w:r>
          </w:p>
          <w:p w:rsidR="004A0AB5" w:rsidRPr="00234F29" w:rsidRDefault="004A0AB5" w:rsidP="00FB6877">
            <w:pPr>
              <w:pStyle w:val="ListParagraph"/>
              <w:numPr>
                <w:ilvl w:val="0"/>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bCs/>
                <w:i/>
                <w:sz w:val="20"/>
              </w:rPr>
            </w:pPr>
            <w:r w:rsidRPr="00234F29">
              <w:rPr>
                <w:rFonts w:cstheme="minorHAnsi"/>
                <w:bCs/>
                <w:i/>
                <w:sz w:val="20"/>
              </w:rPr>
              <w:t>Introduction of a civil penalty regime for breaches of obligations in the safety regulations</w:t>
            </w:r>
          </w:p>
          <w:p w:rsidR="004A0AB5" w:rsidRPr="00234F29" w:rsidRDefault="004A0AB5" w:rsidP="00FB6877">
            <w:pPr>
              <w:pStyle w:val="ListParagraph"/>
              <w:numPr>
                <w:ilvl w:val="0"/>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bCs/>
                <w:i/>
                <w:sz w:val="20"/>
              </w:rPr>
            </w:pPr>
            <w:r w:rsidRPr="00234F29">
              <w:rPr>
                <w:rFonts w:cstheme="minorHAnsi"/>
                <w:bCs/>
                <w:i/>
                <w:sz w:val="20"/>
              </w:rPr>
              <w:t>Jurisdictional coverage</w:t>
            </w:r>
          </w:p>
        </w:tc>
        <w:tc>
          <w:tcPr>
            <w:tcW w:w="1564" w:type="dxa"/>
          </w:tcPr>
          <w:p w:rsidR="004A0AB5" w:rsidRPr="009C444F" w:rsidRDefault="004A0AB5" w:rsidP="00FB6877">
            <w:pPr>
              <w:spacing w:after="160" w:line="288" w:lineRule="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2"/>
                <w:lang w:val="en-US" w:eastAsia="ja-JP"/>
              </w:rPr>
            </w:pPr>
            <w:r w:rsidRPr="009C444F">
              <w:rPr>
                <w:rFonts w:asciiTheme="minorHAnsi" w:eastAsia="SimSun" w:hAnsiTheme="minorHAnsi" w:cstheme="minorHAnsi"/>
                <w:sz w:val="22"/>
                <w:lang w:val="en-US" w:eastAsia="ja-JP"/>
              </w:rPr>
              <w:t>SSG members</w:t>
            </w:r>
          </w:p>
        </w:tc>
      </w:tr>
      <w:tr w:rsidR="004A0AB5" w:rsidRPr="009C444F" w:rsidTr="00FB6877">
        <w:trPr>
          <w:trHeight w:val="706"/>
        </w:trPr>
        <w:tc>
          <w:tcPr>
            <w:cnfStyle w:val="001000000000" w:firstRow="0" w:lastRow="0" w:firstColumn="1" w:lastColumn="0" w:oddVBand="0" w:evenVBand="0" w:oddHBand="0" w:evenHBand="0" w:firstRowFirstColumn="0" w:firstRowLastColumn="0" w:lastRowFirstColumn="0" w:lastRowLastColumn="0"/>
            <w:tcW w:w="1701" w:type="dxa"/>
          </w:tcPr>
          <w:p w:rsidR="004A0AB5" w:rsidRPr="00234F29" w:rsidRDefault="004A0AB5" w:rsidP="00FB6877">
            <w:pPr>
              <w:spacing w:after="160" w:line="288" w:lineRule="auto"/>
              <w:rPr>
                <w:rFonts w:asciiTheme="minorHAnsi" w:eastAsia="SimSun" w:hAnsiTheme="minorHAnsi" w:cstheme="minorHAnsi"/>
                <w:sz w:val="22"/>
                <w:lang w:val="en-US" w:eastAsia="ja-JP"/>
              </w:rPr>
            </w:pPr>
            <w:r w:rsidRPr="00234F29">
              <w:rPr>
                <w:rFonts w:asciiTheme="minorHAnsi" w:eastAsia="SimSun" w:hAnsiTheme="minorHAnsi" w:cstheme="minorHAnsi"/>
                <w:sz w:val="22"/>
                <w:lang w:val="en-US" w:eastAsia="ja-JP"/>
              </w:rPr>
              <w:t>14:15 – 14:30</w:t>
            </w:r>
          </w:p>
        </w:tc>
        <w:tc>
          <w:tcPr>
            <w:tcW w:w="6091" w:type="dxa"/>
          </w:tcPr>
          <w:p w:rsidR="004A0AB5" w:rsidRPr="009C444F" w:rsidRDefault="004A0AB5" w:rsidP="00FB6877">
            <w:pPr>
              <w:numPr>
                <w:ilvl w:val="0"/>
                <w:numId w:val="2"/>
              </w:numPr>
              <w:spacing w:after="160" w:line="288"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
                <w:sz w:val="22"/>
                <w:lang w:val="en-US" w:eastAsia="ja-JP"/>
              </w:rPr>
            </w:pPr>
            <w:r w:rsidRPr="009C444F">
              <w:rPr>
                <w:rFonts w:asciiTheme="minorHAnsi" w:eastAsia="SimSun" w:hAnsiTheme="minorHAnsi" w:cstheme="minorHAnsi"/>
                <w:i/>
                <w:sz w:val="22"/>
                <w:lang w:val="en-US" w:eastAsia="ja-JP"/>
              </w:rPr>
              <w:t xml:space="preserve"> </w:t>
            </w:r>
            <w:r w:rsidRPr="009C444F">
              <w:rPr>
                <w:rFonts w:asciiTheme="minorHAnsi" w:eastAsia="SimSun" w:hAnsiTheme="minorHAnsi" w:cstheme="minorHAnsi"/>
                <w:b/>
                <w:sz w:val="22"/>
                <w:lang w:val="en-US" w:eastAsia="ja-JP"/>
              </w:rPr>
              <w:t>Next Steps and Next Meeting</w:t>
            </w:r>
          </w:p>
          <w:p w:rsidR="004A0AB5" w:rsidRPr="00234F29" w:rsidRDefault="004A0AB5" w:rsidP="00FB6877">
            <w:pPr>
              <w:numPr>
                <w:ilvl w:val="0"/>
                <w:numId w:val="5"/>
              </w:numPr>
              <w:spacing w:after="160" w:line="288" w:lineRule="auto"/>
              <w:contextualSpacing/>
              <w:cnfStyle w:val="000000000000" w:firstRow="0" w:lastRow="0" w:firstColumn="0" w:lastColumn="0" w:oddVBand="0" w:evenVBand="0" w:oddHBand="0" w:evenHBand="0" w:firstRowFirstColumn="0" w:firstRowLastColumn="0" w:lastRowFirstColumn="0" w:lastRowLastColumn="0"/>
              <w:rPr>
                <w:rFonts w:eastAsia="SimSun" w:cstheme="minorHAnsi"/>
                <w:i/>
                <w:lang w:val="en-US" w:eastAsia="ja-JP"/>
              </w:rPr>
            </w:pPr>
            <w:r w:rsidRPr="00234F29">
              <w:rPr>
                <w:rFonts w:asciiTheme="minorHAnsi" w:eastAsia="SimSun" w:hAnsiTheme="minorHAnsi" w:cstheme="minorHAnsi"/>
                <w:i/>
                <w:lang w:val="en-US" w:eastAsia="ja-JP"/>
              </w:rPr>
              <w:t>Any other business, next steps in the review process and timing of next meeting</w:t>
            </w:r>
          </w:p>
        </w:tc>
        <w:tc>
          <w:tcPr>
            <w:tcW w:w="1564" w:type="dxa"/>
          </w:tcPr>
          <w:p w:rsidR="004A0AB5" w:rsidRPr="009C444F" w:rsidRDefault="004A0AB5" w:rsidP="00FB6877">
            <w:pPr>
              <w:spacing w:after="160" w:line="288" w:lineRule="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2"/>
                <w:lang w:val="en-US" w:eastAsia="ja-JP"/>
              </w:rPr>
            </w:pPr>
            <w:r w:rsidRPr="009C444F">
              <w:rPr>
                <w:rFonts w:asciiTheme="minorHAnsi" w:eastAsia="SimSun" w:hAnsiTheme="minorHAnsi" w:cstheme="minorHAnsi"/>
                <w:sz w:val="22"/>
                <w:lang w:val="en-US" w:eastAsia="ja-JP"/>
              </w:rPr>
              <w:t>Chair</w:t>
            </w:r>
          </w:p>
        </w:tc>
      </w:tr>
    </w:tbl>
    <w:p w:rsidR="004A0AB5" w:rsidRDefault="004A0AB5" w:rsidP="004A0AB5"/>
    <w:p w:rsidR="004A0AB5" w:rsidRDefault="004A0AB5" w:rsidP="004A0AB5">
      <w:pPr>
        <w:spacing w:after="200"/>
        <w:rPr>
          <w:rFonts w:asciiTheme="majorHAnsi" w:eastAsiaTheme="majorEastAsia" w:hAnsiTheme="majorHAnsi" w:cstheme="majorBidi"/>
          <w:b/>
          <w:bCs/>
          <w:color w:val="5B9BD5" w:themeColor="accent1"/>
          <w:sz w:val="24"/>
          <w:szCs w:val="26"/>
        </w:rPr>
      </w:pPr>
      <w:r>
        <w:br w:type="page"/>
      </w:r>
    </w:p>
    <w:p w:rsidR="004A0AB5" w:rsidRPr="008A75F5" w:rsidRDefault="004A0AB5" w:rsidP="004A0AB5">
      <w:pPr>
        <w:pStyle w:val="Heading2"/>
      </w:pPr>
      <w:r w:rsidRPr="008A75F5">
        <w:lastRenderedPageBreak/>
        <w:t>Welcome and SSG Updates</w:t>
      </w:r>
    </w:p>
    <w:p w:rsidR="004A0AB5" w:rsidRPr="00B05359" w:rsidRDefault="004A0AB5" w:rsidP="004A0AB5">
      <w:pPr>
        <w:numPr>
          <w:ilvl w:val="0"/>
          <w:numId w:val="1"/>
        </w:numPr>
        <w:contextualSpacing/>
        <w:rPr>
          <w:rFonts w:ascii="Calibri" w:hAnsi="Calibri" w:cs="Calibri"/>
          <w:bCs/>
          <w:sz w:val="22"/>
        </w:rPr>
      </w:pPr>
      <w:r w:rsidRPr="00B05359">
        <w:rPr>
          <w:rFonts w:ascii="Calibri" w:hAnsi="Calibri" w:cs="Calibri"/>
          <w:bCs/>
          <w:sz w:val="22"/>
        </w:rPr>
        <w:t xml:space="preserve">The Chair welcomed attendees to the fourth Safety Stakeholder Group (SSG) meeting, provided membership updates, confirmed the </w:t>
      </w:r>
      <w:r>
        <w:rPr>
          <w:rFonts w:ascii="Calibri" w:hAnsi="Calibri" w:cs="Calibri"/>
          <w:bCs/>
          <w:sz w:val="22"/>
        </w:rPr>
        <w:t xml:space="preserve">meeting notes from </w:t>
      </w:r>
      <w:r w:rsidRPr="00B05359">
        <w:rPr>
          <w:rFonts w:ascii="Calibri" w:hAnsi="Calibri" w:cs="Calibri"/>
          <w:bCs/>
          <w:sz w:val="22"/>
        </w:rPr>
        <w:t xml:space="preserve">SSG </w:t>
      </w:r>
      <w:r>
        <w:rPr>
          <w:rFonts w:ascii="Calibri" w:hAnsi="Calibri" w:cs="Calibri"/>
          <w:bCs/>
          <w:sz w:val="22"/>
        </w:rPr>
        <w:t>meeting 3</w:t>
      </w:r>
      <w:r w:rsidRPr="00B05359">
        <w:rPr>
          <w:rFonts w:ascii="Calibri" w:hAnsi="Calibri" w:cs="Calibri"/>
          <w:bCs/>
          <w:sz w:val="22"/>
        </w:rPr>
        <w:t xml:space="preserve"> are available online, and outlined the agenda for the meeting.</w:t>
      </w:r>
    </w:p>
    <w:p w:rsidR="004A0AB5" w:rsidRPr="000908BF" w:rsidRDefault="004A0AB5" w:rsidP="004A0AB5">
      <w:pPr>
        <w:pStyle w:val="ListParagraph"/>
        <w:numPr>
          <w:ilvl w:val="0"/>
          <w:numId w:val="6"/>
        </w:numPr>
        <w:spacing w:after="160" w:line="288" w:lineRule="auto"/>
        <w:rPr>
          <w:rFonts w:ascii="Calibri" w:hAnsi="Calibri" w:cs="Calibri"/>
          <w:szCs w:val="22"/>
        </w:rPr>
      </w:pPr>
      <w:r w:rsidRPr="00204CF6">
        <w:rPr>
          <w:rFonts w:ascii="Calibri" w:hAnsi="Calibri" w:cs="Calibri"/>
          <w:szCs w:val="22"/>
        </w:rPr>
        <w:t>Attendees included: DIIS (Chair), APPEA, Santos, ACTU, Health and Safety Representative, WorkSafe Victoria, NSW Resources Regulator, WA</w:t>
      </w:r>
      <w:r w:rsidRPr="000908BF">
        <w:rPr>
          <w:rFonts w:ascii="Calibri" w:hAnsi="Calibri" w:cs="Calibri"/>
          <w:szCs w:val="22"/>
        </w:rPr>
        <w:t xml:space="preserve"> DMIRS,  NOPSEMA, AGD and AMSA.</w:t>
      </w:r>
    </w:p>
    <w:p w:rsidR="004A0AB5" w:rsidRPr="000908BF" w:rsidRDefault="004A0AB5" w:rsidP="004A0AB5">
      <w:pPr>
        <w:pStyle w:val="ListParagraph"/>
        <w:numPr>
          <w:ilvl w:val="0"/>
          <w:numId w:val="6"/>
        </w:numPr>
        <w:spacing w:after="160" w:line="288" w:lineRule="auto"/>
        <w:rPr>
          <w:rFonts w:ascii="Calibri" w:hAnsi="Calibri" w:cs="Calibri"/>
          <w:szCs w:val="22"/>
        </w:rPr>
      </w:pPr>
      <w:r w:rsidRPr="000908BF">
        <w:rPr>
          <w:rFonts w:ascii="Calibri" w:hAnsi="Calibri" w:cs="Calibri"/>
          <w:szCs w:val="22"/>
        </w:rPr>
        <w:t>Apologies from: IADC</w:t>
      </w:r>
    </w:p>
    <w:p w:rsidR="004A0AB5" w:rsidRPr="00B05359" w:rsidRDefault="004A0AB5" w:rsidP="004A0AB5">
      <w:pPr>
        <w:numPr>
          <w:ilvl w:val="0"/>
          <w:numId w:val="1"/>
        </w:numPr>
        <w:contextualSpacing/>
        <w:rPr>
          <w:rFonts w:ascii="Calibri" w:hAnsi="Calibri" w:cs="Calibri"/>
          <w:bCs/>
          <w:sz w:val="22"/>
        </w:rPr>
      </w:pPr>
      <w:r w:rsidRPr="00B05359">
        <w:rPr>
          <w:rFonts w:ascii="Calibri" w:hAnsi="Calibri" w:cs="Calibri"/>
          <w:bCs/>
          <w:sz w:val="22"/>
        </w:rPr>
        <w:t>The Chair updated SSG</w:t>
      </w:r>
      <w:r>
        <w:rPr>
          <w:rFonts w:ascii="Calibri" w:hAnsi="Calibri" w:cs="Calibri"/>
          <w:bCs/>
          <w:sz w:val="22"/>
        </w:rPr>
        <w:t xml:space="preserve"> members </w:t>
      </w:r>
      <w:r w:rsidRPr="00B05359">
        <w:rPr>
          <w:rFonts w:ascii="Calibri" w:hAnsi="Calibri" w:cs="Calibri"/>
          <w:bCs/>
          <w:sz w:val="22"/>
        </w:rPr>
        <w:t xml:space="preserve">on the </w:t>
      </w:r>
      <w:r>
        <w:rPr>
          <w:rFonts w:ascii="Calibri" w:hAnsi="Calibri" w:cs="Calibri"/>
          <w:bCs/>
          <w:sz w:val="22"/>
        </w:rPr>
        <w:t>progress</w:t>
      </w:r>
      <w:r w:rsidRPr="00B05359">
        <w:rPr>
          <w:rFonts w:ascii="Calibri" w:hAnsi="Calibri" w:cs="Calibri"/>
          <w:bCs/>
          <w:sz w:val="22"/>
        </w:rPr>
        <w:t xml:space="preserve"> of the Safety Review and confirmed the department</w:t>
      </w:r>
      <w:r>
        <w:rPr>
          <w:rFonts w:ascii="Calibri" w:hAnsi="Calibri" w:cs="Calibri"/>
          <w:bCs/>
          <w:sz w:val="22"/>
        </w:rPr>
        <w:t>’s</w:t>
      </w:r>
      <w:r w:rsidRPr="00B05359">
        <w:rPr>
          <w:rFonts w:ascii="Calibri" w:hAnsi="Calibri" w:cs="Calibri"/>
          <w:bCs/>
          <w:sz w:val="22"/>
        </w:rPr>
        <w:t xml:space="preserve"> timeline for having a final policy recommendations to the Minister for approval in mid-2020. </w:t>
      </w:r>
    </w:p>
    <w:p w:rsidR="004A0AB5" w:rsidRPr="00B05359" w:rsidRDefault="004A0AB5" w:rsidP="004A0AB5">
      <w:pPr>
        <w:numPr>
          <w:ilvl w:val="0"/>
          <w:numId w:val="1"/>
        </w:numPr>
        <w:contextualSpacing/>
        <w:rPr>
          <w:rFonts w:ascii="Calibri" w:hAnsi="Calibri" w:cs="Calibri"/>
          <w:bCs/>
          <w:sz w:val="22"/>
        </w:rPr>
      </w:pPr>
      <w:r w:rsidRPr="00B05359">
        <w:rPr>
          <w:rFonts w:ascii="Calibri" w:hAnsi="Calibri" w:cs="Calibri"/>
          <w:bCs/>
          <w:sz w:val="22"/>
        </w:rPr>
        <w:t xml:space="preserve">The Chair </w:t>
      </w:r>
      <w:r>
        <w:rPr>
          <w:rFonts w:ascii="Calibri" w:hAnsi="Calibri" w:cs="Calibri"/>
          <w:bCs/>
          <w:sz w:val="22"/>
        </w:rPr>
        <w:t xml:space="preserve">provided an update on the </w:t>
      </w:r>
      <w:r w:rsidRPr="00B05359">
        <w:rPr>
          <w:rFonts w:ascii="Calibri" w:hAnsi="Calibri" w:cs="Calibri"/>
          <w:bCs/>
          <w:sz w:val="22"/>
        </w:rPr>
        <w:t>offshore workers survey and highlighted the need for members to assist in the distribution of the survey.</w:t>
      </w:r>
    </w:p>
    <w:p w:rsidR="004A0AB5" w:rsidRPr="000908BF" w:rsidRDefault="004A0AB5" w:rsidP="004A0AB5">
      <w:pPr>
        <w:pStyle w:val="ListParagraph"/>
        <w:numPr>
          <w:ilvl w:val="0"/>
          <w:numId w:val="6"/>
        </w:numPr>
        <w:spacing w:after="160" w:line="288" w:lineRule="auto"/>
        <w:rPr>
          <w:rFonts w:ascii="Calibri" w:hAnsi="Calibri" w:cs="Calibri"/>
          <w:szCs w:val="22"/>
        </w:rPr>
      </w:pPr>
      <w:r w:rsidRPr="00204CF6">
        <w:rPr>
          <w:rFonts w:ascii="Calibri" w:hAnsi="Calibri" w:cs="Calibri"/>
          <w:szCs w:val="22"/>
        </w:rPr>
        <w:t>Several members requested that the survey close date be extended.</w:t>
      </w:r>
    </w:p>
    <w:p w:rsidR="004A0AB5" w:rsidRPr="008A75F5" w:rsidRDefault="004A0AB5" w:rsidP="004A0AB5">
      <w:pPr>
        <w:pStyle w:val="Heading2"/>
      </w:pPr>
      <w:r w:rsidRPr="008A75F5">
        <w:t xml:space="preserve">Draft </w:t>
      </w:r>
      <w:r>
        <w:t>p</w:t>
      </w:r>
      <w:r w:rsidRPr="008A75F5">
        <w:t xml:space="preserve">olicy </w:t>
      </w:r>
      <w:r>
        <w:t>f</w:t>
      </w:r>
      <w:r w:rsidRPr="008A75F5">
        <w:t>ramework discussion</w:t>
      </w:r>
    </w:p>
    <w:p w:rsidR="004A0AB5" w:rsidRPr="000908BF" w:rsidRDefault="004A0AB5" w:rsidP="004A0AB5">
      <w:pPr>
        <w:pStyle w:val="ListParagraph"/>
        <w:numPr>
          <w:ilvl w:val="0"/>
          <w:numId w:val="13"/>
        </w:numPr>
        <w:rPr>
          <w:rFonts w:ascii="Calibri" w:hAnsi="Calibri" w:cs="Calibri"/>
        </w:rPr>
      </w:pPr>
      <w:r w:rsidRPr="000908BF">
        <w:rPr>
          <w:rFonts w:ascii="Calibri" w:hAnsi="Calibri" w:cs="Calibri"/>
        </w:rPr>
        <w:t>SSG members discussed each item in the department’s draft policy framework.</w:t>
      </w:r>
    </w:p>
    <w:p w:rsidR="004A0AB5" w:rsidRPr="0007636A" w:rsidRDefault="004A0AB5" w:rsidP="004A0AB5">
      <w:pPr>
        <w:pStyle w:val="Heading3"/>
      </w:pPr>
      <w:r w:rsidRPr="0007636A">
        <w:t xml:space="preserve">Design notification scheme </w:t>
      </w:r>
    </w:p>
    <w:p w:rsidR="004A0AB5" w:rsidRPr="000908BF" w:rsidRDefault="004A0AB5" w:rsidP="004A0AB5">
      <w:pPr>
        <w:pStyle w:val="ListParagraph"/>
        <w:numPr>
          <w:ilvl w:val="0"/>
          <w:numId w:val="12"/>
        </w:numPr>
        <w:rPr>
          <w:rFonts w:ascii="Calibri" w:hAnsi="Calibri" w:cs="Calibri"/>
          <w:color w:val="auto"/>
        </w:rPr>
      </w:pPr>
      <w:r w:rsidRPr="000908BF">
        <w:rPr>
          <w:rFonts w:ascii="Calibri" w:hAnsi="Calibri" w:cs="Calibri"/>
        </w:rPr>
        <w:t xml:space="preserve">SSG members discussed the adoption of a scheme for early engagement on facility design. Issues raised by members included cost recovery for the scheme and how NOPSEMA would be given assurance by operators that </w:t>
      </w:r>
      <w:r w:rsidRPr="000908BF">
        <w:rPr>
          <w:rFonts w:ascii="Calibri" w:hAnsi="Calibri" w:cs="Calibri"/>
          <w:color w:val="auto"/>
        </w:rPr>
        <w:t>advice on facility design would be considered and addressed by operators.</w:t>
      </w:r>
    </w:p>
    <w:p w:rsidR="004A0AB5" w:rsidRPr="00204CF6" w:rsidRDefault="004A0AB5" w:rsidP="004A0AB5">
      <w:pPr>
        <w:pStyle w:val="ListParagraph"/>
        <w:numPr>
          <w:ilvl w:val="0"/>
          <w:numId w:val="12"/>
        </w:numPr>
        <w:spacing w:after="160"/>
        <w:ind w:left="714" w:hanging="357"/>
        <w:rPr>
          <w:rFonts w:ascii="Calibri" w:hAnsi="Calibri" w:cs="Calibri"/>
        </w:rPr>
      </w:pPr>
      <w:r w:rsidRPr="00204CF6">
        <w:rPr>
          <w:rFonts w:ascii="Calibri" w:hAnsi="Calibri" w:cs="Calibri"/>
        </w:rPr>
        <w:t>WA DMIRS advised they are implementing a similar policy using a staged approach that involves greater worker and regulator involvement in the design phase,</w:t>
      </w:r>
      <w:r w:rsidRPr="000908BF">
        <w:rPr>
          <w:rFonts w:ascii="Calibri" w:hAnsi="Calibri" w:cs="Calibri"/>
        </w:rPr>
        <w:t xml:space="preserve"> and offered to provide DIIS with further details on the implementation of that scheme</w:t>
      </w:r>
      <w:r w:rsidRPr="00204CF6">
        <w:rPr>
          <w:rFonts w:ascii="Calibri" w:hAnsi="Calibri" w:cs="Calibri"/>
        </w:rPr>
        <w:t>.</w:t>
      </w:r>
    </w:p>
    <w:p w:rsidR="004A0AB5" w:rsidRPr="004F1F4F" w:rsidRDefault="004A0AB5" w:rsidP="004A0AB5">
      <w:pPr>
        <w:pStyle w:val="Heading3"/>
      </w:pPr>
      <w:r w:rsidRPr="000908BF">
        <w:t>Safety case</w:t>
      </w:r>
    </w:p>
    <w:p w:rsidR="004A0AB5" w:rsidRPr="00B05359" w:rsidRDefault="004A0AB5" w:rsidP="004A0AB5">
      <w:pPr>
        <w:pStyle w:val="Heading4"/>
      </w:pPr>
      <w:r w:rsidRPr="00B05359">
        <w:t>Safety case critical controls and management of change process</w:t>
      </w:r>
    </w:p>
    <w:p w:rsidR="004A0AB5" w:rsidRPr="000908BF" w:rsidRDefault="004A0AB5" w:rsidP="004A0AB5">
      <w:pPr>
        <w:pStyle w:val="ListParagraph"/>
        <w:numPr>
          <w:ilvl w:val="0"/>
          <w:numId w:val="11"/>
        </w:numPr>
        <w:spacing w:before="240" w:after="160" w:line="288" w:lineRule="auto"/>
        <w:rPr>
          <w:rFonts w:ascii="Calibri" w:hAnsi="Calibri" w:cs="Calibri"/>
        </w:rPr>
      </w:pPr>
      <w:r w:rsidRPr="000908BF">
        <w:rPr>
          <w:rFonts w:ascii="Calibri" w:hAnsi="Calibri" w:cs="Calibri"/>
        </w:rPr>
        <w:t>SSG members discussed the need for greater clarity around when a safety case revision is required for a ‘significant change’ to a safety critical equipment and when it is more appropriate to use the management of change process.</w:t>
      </w:r>
    </w:p>
    <w:p w:rsidR="004A0AB5" w:rsidRPr="000908BF" w:rsidRDefault="004A0AB5" w:rsidP="004A0AB5">
      <w:pPr>
        <w:pStyle w:val="ListParagraph"/>
        <w:numPr>
          <w:ilvl w:val="0"/>
          <w:numId w:val="11"/>
        </w:numPr>
        <w:spacing w:after="160" w:line="288" w:lineRule="auto"/>
        <w:rPr>
          <w:rFonts w:ascii="Calibri" w:hAnsi="Calibri" w:cs="Calibri"/>
        </w:rPr>
      </w:pPr>
      <w:r w:rsidRPr="000908BF">
        <w:rPr>
          <w:rFonts w:ascii="Calibri" w:hAnsi="Calibri" w:cs="Calibri"/>
        </w:rPr>
        <w:t>Issues raised include:</w:t>
      </w:r>
    </w:p>
    <w:p w:rsidR="004A0AB5" w:rsidRPr="00B05359" w:rsidRDefault="004A0AB5" w:rsidP="004A0AB5">
      <w:pPr>
        <w:pStyle w:val="ListParagraph"/>
        <w:numPr>
          <w:ilvl w:val="0"/>
          <w:numId w:val="6"/>
        </w:numPr>
        <w:spacing w:after="160" w:line="288" w:lineRule="auto"/>
        <w:rPr>
          <w:rFonts w:ascii="Calibri" w:hAnsi="Calibri" w:cs="Calibri"/>
          <w:szCs w:val="22"/>
        </w:rPr>
      </w:pPr>
      <w:r w:rsidRPr="00B05359">
        <w:rPr>
          <w:rFonts w:ascii="Calibri" w:hAnsi="Calibri" w:cs="Calibri"/>
          <w:szCs w:val="22"/>
        </w:rPr>
        <w:t>the need for more guidance by the regulator to understand what a ‘significant change’ means</w:t>
      </w:r>
    </w:p>
    <w:p w:rsidR="004A0AB5" w:rsidRPr="00B05359" w:rsidRDefault="004A0AB5" w:rsidP="004A0AB5">
      <w:pPr>
        <w:pStyle w:val="ListParagraph"/>
        <w:numPr>
          <w:ilvl w:val="0"/>
          <w:numId w:val="6"/>
        </w:numPr>
        <w:spacing w:after="160" w:line="288" w:lineRule="auto"/>
        <w:rPr>
          <w:rFonts w:ascii="Calibri" w:hAnsi="Calibri" w:cs="Calibri"/>
          <w:szCs w:val="22"/>
        </w:rPr>
      </w:pPr>
      <w:r w:rsidRPr="00B05359">
        <w:rPr>
          <w:rFonts w:ascii="Calibri" w:hAnsi="Calibri" w:cs="Calibri"/>
          <w:szCs w:val="22"/>
        </w:rPr>
        <w:t>whether the proposal should be expanded to include safety procedural changes that may impact on maintaining the ALARP.</w:t>
      </w:r>
    </w:p>
    <w:p w:rsidR="004A0AB5" w:rsidRPr="00B05359" w:rsidRDefault="004A0AB5" w:rsidP="004A0AB5">
      <w:pPr>
        <w:pStyle w:val="Heading4"/>
      </w:pPr>
      <w:r w:rsidRPr="00B05359">
        <w:t>Clarifying administrative arrangements – 5 year revisions and transfer of operator</w:t>
      </w:r>
    </w:p>
    <w:p w:rsidR="004A0AB5" w:rsidRPr="000908BF" w:rsidRDefault="004A0AB5" w:rsidP="004A0AB5">
      <w:pPr>
        <w:pStyle w:val="ListParagraph"/>
        <w:numPr>
          <w:ilvl w:val="0"/>
          <w:numId w:val="10"/>
        </w:numPr>
        <w:spacing w:after="160" w:line="288" w:lineRule="auto"/>
        <w:rPr>
          <w:rFonts w:ascii="Calibri" w:eastAsia="SimSun" w:hAnsi="Calibri" w:cs="Calibri"/>
          <w:lang w:val="en-US" w:eastAsia="ja-JP"/>
        </w:rPr>
      </w:pPr>
      <w:r w:rsidRPr="000908BF">
        <w:rPr>
          <w:rFonts w:ascii="Calibri" w:eastAsia="SimSun" w:hAnsi="Calibri" w:cs="Calibri"/>
          <w:lang w:val="en-US" w:eastAsia="ja-JP"/>
        </w:rPr>
        <w:t>SSG members discussed the need for clearer language in relation to the proposed amendment to clarify the 5 year arrangements for small scale, technical safety case revisions.</w:t>
      </w:r>
    </w:p>
    <w:p w:rsidR="004A0AB5" w:rsidRPr="000908BF" w:rsidRDefault="004A0AB5" w:rsidP="004A0AB5">
      <w:pPr>
        <w:pStyle w:val="ListParagraph"/>
        <w:numPr>
          <w:ilvl w:val="0"/>
          <w:numId w:val="10"/>
        </w:numPr>
        <w:spacing w:after="160" w:line="288" w:lineRule="auto"/>
        <w:rPr>
          <w:rFonts w:ascii="Calibri" w:eastAsia="SimSun" w:hAnsi="Calibri" w:cs="Calibri"/>
          <w:lang w:val="en-US" w:eastAsia="ja-JP"/>
        </w:rPr>
      </w:pPr>
      <w:r w:rsidRPr="000908BF">
        <w:rPr>
          <w:rFonts w:ascii="Calibri" w:eastAsia="SimSun" w:hAnsi="Calibri" w:cs="Calibri"/>
          <w:lang w:val="en-US" w:eastAsia="ja-JP"/>
        </w:rPr>
        <w:t>Members agreed that the current regulations create an undue administrative burden by creating additional five year revision points for every revision to the safety case.</w:t>
      </w:r>
    </w:p>
    <w:p w:rsidR="004A0AB5" w:rsidRPr="000908BF" w:rsidRDefault="004A0AB5" w:rsidP="004A0AB5">
      <w:pPr>
        <w:pStyle w:val="ListParagraph"/>
        <w:numPr>
          <w:ilvl w:val="0"/>
          <w:numId w:val="10"/>
        </w:numPr>
        <w:spacing w:after="160" w:line="288" w:lineRule="auto"/>
        <w:rPr>
          <w:rFonts w:ascii="Calibri" w:eastAsia="SimSun" w:hAnsi="Calibri" w:cs="Calibri"/>
          <w:lang w:val="en-US" w:eastAsia="ja-JP"/>
        </w:rPr>
      </w:pPr>
      <w:r w:rsidRPr="000908BF">
        <w:rPr>
          <w:rFonts w:ascii="Calibri" w:eastAsia="SimSun" w:hAnsi="Calibri" w:cs="Calibri"/>
          <w:lang w:val="en-US" w:eastAsia="ja-JP"/>
        </w:rPr>
        <w:lastRenderedPageBreak/>
        <w:t>Some of the issues raised by members include that HSRs and Designated Work Groups (DWG) should be involved in all safety case revisions and that any workforce involvement must be relevant to the issue the revision is addressing.</w:t>
      </w:r>
    </w:p>
    <w:p w:rsidR="004A0AB5" w:rsidRPr="00E32FB8" w:rsidRDefault="004A0AB5" w:rsidP="004A0AB5">
      <w:pPr>
        <w:pStyle w:val="Heading4"/>
      </w:pPr>
      <w:r w:rsidRPr="0007636A">
        <w:t xml:space="preserve">Transfer of operator process for a facility </w:t>
      </w:r>
    </w:p>
    <w:p w:rsidR="004A0AB5" w:rsidRPr="000908BF" w:rsidRDefault="004A0AB5" w:rsidP="004A0AB5">
      <w:pPr>
        <w:pStyle w:val="ListParagraph"/>
        <w:numPr>
          <w:ilvl w:val="0"/>
          <w:numId w:val="9"/>
        </w:numPr>
        <w:spacing w:after="160" w:line="288" w:lineRule="auto"/>
        <w:rPr>
          <w:rFonts w:ascii="Calibri" w:eastAsia="SimSun" w:hAnsi="Calibri" w:cs="Calibri"/>
          <w:lang w:val="en-US" w:eastAsia="ja-JP"/>
        </w:rPr>
      </w:pPr>
      <w:r w:rsidRPr="000908BF">
        <w:rPr>
          <w:rFonts w:ascii="Calibri" w:eastAsia="SimSun" w:hAnsi="Calibri" w:cs="Calibri"/>
          <w:lang w:val="en-US" w:eastAsia="ja-JP"/>
        </w:rPr>
        <w:t xml:space="preserve">SSG members discussed the proposal to include the term ‘proposed operator’ into the Act in order to facilitate the transfer of operators in relation to the same facility. An issue raised was that there </w:t>
      </w:r>
      <w:r>
        <w:rPr>
          <w:rFonts w:ascii="Calibri" w:eastAsia="SimSun" w:hAnsi="Calibri" w:cs="Calibri"/>
          <w:lang w:val="en-US" w:eastAsia="ja-JP"/>
        </w:rPr>
        <w:t>i</w:t>
      </w:r>
      <w:r w:rsidRPr="000908BF">
        <w:rPr>
          <w:rFonts w:ascii="Calibri" w:eastAsia="SimSun" w:hAnsi="Calibri" w:cs="Calibri"/>
          <w:lang w:val="en-US" w:eastAsia="ja-JP"/>
        </w:rPr>
        <w:t xml:space="preserve">s already a process in place to facilitate the transfer and </w:t>
      </w:r>
      <w:r>
        <w:rPr>
          <w:rFonts w:ascii="Calibri" w:eastAsia="SimSun" w:hAnsi="Calibri" w:cs="Calibri"/>
          <w:lang w:val="en-US" w:eastAsia="ja-JP"/>
        </w:rPr>
        <w:t>the need for a new mechanism is unclear</w:t>
      </w:r>
      <w:r w:rsidRPr="000908BF">
        <w:rPr>
          <w:rFonts w:ascii="Calibri" w:eastAsia="SimSun" w:hAnsi="Calibri" w:cs="Calibri"/>
          <w:lang w:val="en-US" w:eastAsia="ja-JP"/>
        </w:rPr>
        <w:t xml:space="preserve">. </w:t>
      </w:r>
    </w:p>
    <w:p w:rsidR="004A0AB5" w:rsidRPr="0007636A" w:rsidRDefault="004A0AB5" w:rsidP="004A0AB5">
      <w:pPr>
        <w:pStyle w:val="Heading4"/>
      </w:pPr>
      <w:r w:rsidRPr="0007636A">
        <w:t>Operator deregistration</w:t>
      </w:r>
    </w:p>
    <w:p w:rsidR="004A0AB5" w:rsidRPr="000908BF" w:rsidRDefault="004A0AB5" w:rsidP="004A0AB5">
      <w:pPr>
        <w:pStyle w:val="ListParagraph"/>
        <w:numPr>
          <w:ilvl w:val="0"/>
          <w:numId w:val="9"/>
        </w:numPr>
        <w:spacing w:after="160" w:line="288" w:lineRule="auto"/>
        <w:rPr>
          <w:rFonts w:ascii="Calibri" w:eastAsia="SimSun" w:hAnsi="Calibri" w:cs="Calibri"/>
          <w:lang w:val="en-US" w:eastAsia="ja-JP"/>
        </w:rPr>
      </w:pPr>
      <w:r w:rsidRPr="000908BF">
        <w:rPr>
          <w:rFonts w:ascii="Calibri" w:eastAsia="SimSun" w:hAnsi="Calibri" w:cs="Calibri"/>
          <w:lang w:val="en-US" w:eastAsia="ja-JP"/>
        </w:rPr>
        <w:t>SSG members discussed the proposal to empower NOPSEMA to reject deregistration until a new operator for a facility was in place. Members highlighted the need for industry guidance to ensure a clear understanding of the circumstances under which NOPSEMA could reject a deregistration application.</w:t>
      </w:r>
    </w:p>
    <w:p w:rsidR="004A0AB5" w:rsidRPr="008A75F5" w:rsidRDefault="004A0AB5" w:rsidP="004A0AB5">
      <w:pPr>
        <w:pStyle w:val="Heading3"/>
        <w:rPr>
          <w:rFonts w:ascii="Calibri" w:eastAsia="SimSun" w:hAnsi="Calibri" w:cs="Calibri"/>
          <w:lang w:val="en-US" w:eastAsia="ja-JP"/>
        </w:rPr>
      </w:pPr>
      <w:r w:rsidRPr="008A75F5">
        <w:t>Workplace Arrangements</w:t>
      </w:r>
      <w:r w:rsidRPr="008A75F5">
        <w:tab/>
      </w:r>
    </w:p>
    <w:p w:rsidR="004A0AB5" w:rsidRPr="0007636A" w:rsidRDefault="004A0AB5" w:rsidP="004A0AB5">
      <w:pPr>
        <w:pStyle w:val="Heading4"/>
      </w:pPr>
      <w:r w:rsidRPr="0007636A">
        <w:t xml:space="preserve">Health and Safety Representatives (HSRs) for short-term or specialist work </w:t>
      </w:r>
    </w:p>
    <w:p w:rsidR="004A0AB5" w:rsidRPr="000908BF" w:rsidRDefault="004A0AB5" w:rsidP="004A0AB5">
      <w:pPr>
        <w:pStyle w:val="ListParagraph"/>
        <w:numPr>
          <w:ilvl w:val="0"/>
          <w:numId w:val="9"/>
        </w:numPr>
        <w:spacing w:after="160" w:line="288" w:lineRule="auto"/>
        <w:rPr>
          <w:rFonts w:ascii="Calibri" w:eastAsia="SimSun" w:hAnsi="Calibri" w:cs="Calibri"/>
          <w:lang w:val="en-US" w:eastAsia="ja-JP"/>
        </w:rPr>
      </w:pPr>
      <w:r w:rsidRPr="000908BF">
        <w:rPr>
          <w:rFonts w:ascii="Calibri" w:eastAsia="SimSun" w:hAnsi="Calibri" w:cs="Calibri"/>
          <w:lang w:val="en-US" w:eastAsia="ja-JP"/>
        </w:rPr>
        <w:t>SSG members discussed the proposal to have a pre-selected HSR for short-term or specialist work groups. An issue raised was that HSRs should be drawn from the workforce and not pre-selected by the operator.</w:t>
      </w:r>
    </w:p>
    <w:p w:rsidR="004A0AB5" w:rsidRPr="0007636A" w:rsidRDefault="004A0AB5" w:rsidP="004A0AB5">
      <w:pPr>
        <w:pStyle w:val="Heading4"/>
      </w:pPr>
      <w:bookmarkStart w:id="1" w:name="_Toc22308679"/>
      <w:bookmarkStart w:id="2" w:name="_Toc22548815"/>
      <w:bookmarkStart w:id="3" w:name="_Toc22548859"/>
      <w:bookmarkStart w:id="4" w:name="_Toc22548886"/>
      <w:bookmarkStart w:id="5" w:name="_Toc22548744"/>
      <w:bookmarkStart w:id="6" w:name="_Toc22554780"/>
      <w:bookmarkStart w:id="7" w:name="_Toc22564347"/>
      <w:bookmarkStart w:id="8" w:name="_Toc22566958"/>
      <w:bookmarkStart w:id="9" w:name="_Toc22559006"/>
      <w:bookmarkStart w:id="10" w:name="_Toc22655057"/>
      <w:bookmarkStart w:id="11" w:name="_Toc22825127"/>
      <w:bookmarkStart w:id="12" w:name="_Toc22825841"/>
      <w:r w:rsidRPr="0007636A">
        <w:t xml:space="preserve">Training requirements for </w:t>
      </w:r>
      <w:bookmarkEnd w:id="1"/>
      <w:bookmarkEnd w:id="2"/>
      <w:bookmarkEnd w:id="3"/>
      <w:bookmarkEnd w:id="4"/>
      <w:bookmarkEnd w:id="5"/>
      <w:bookmarkEnd w:id="6"/>
      <w:r w:rsidRPr="0007636A">
        <w:t>HSRs</w:t>
      </w:r>
      <w:bookmarkEnd w:id="7"/>
      <w:bookmarkEnd w:id="8"/>
      <w:bookmarkEnd w:id="9"/>
      <w:bookmarkEnd w:id="10"/>
      <w:bookmarkEnd w:id="11"/>
      <w:bookmarkEnd w:id="12"/>
    </w:p>
    <w:p w:rsidR="004A0AB5" w:rsidRPr="000908BF" w:rsidRDefault="004A0AB5" w:rsidP="004A0AB5">
      <w:pPr>
        <w:pStyle w:val="ListParagraph"/>
        <w:numPr>
          <w:ilvl w:val="0"/>
          <w:numId w:val="9"/>
        </w:numPr>
        <w:rPr>
          <w:rFonts w:ascii="Calibri" w:hAnsi="Calibri" w:cs="Calibri"/>
        </w:rPr>
      </w:pPr>
      <w:r w:rsidRPr="000908BF">
        <w:rPr>
          <w:rFonts w:ascii="Calibri" w:eastAsia="SimSun" w:hAnsi="Calibri" w:cs="Calibri"/>
          <w:lang w:val="en-US" w:eastAsia="ja-JP"/>
        </w:rPr>
        <w:t xml:space="preserve">SSG members discussed </w:t>
      </w:r>
      <w:r w:rsidRPr="000908BF">
        <w:rPr>
          <w:rFonts w:ascii="Calibri" w:hAnsi="Calibri" w:cs="Calibri"/>
        </w:rPr>
        <w:t>the proposal to expand the HSR training provisions in the safety regime. Issues raised by members include:</w:t>
      </w:r>
    </w:p>
    <w:p w:rsidR="004A0AB5" w:rsidRPr="00B05359" w:rsidRDefault="004A0AB5" w:rsidP="004A0AB5">
      <w:pPr>
        <w:pStyle w:val="ListParagraph"/>
        <w:numPr>
          <w:ilvl w:val="0"/>
          <w:numId w:val="6"/>
        </w:numPr>
        <w:spacing w:after="160" w:line="288" w:lineRule="auto"/>
        <w:rPr>
          <w:rFonts w:ascii="Calibri" w:hAnsi="Calibri" w:cs="Calibri"/>
          <w:szCs w:val="22"/>
        </w:rPr>
      </w:pPr>
      <w:r w:rsidRPr="00B05359">
        <w:rPr>
          <w:rFonts w:ascii="Calibri" w:hAnsi="Calibri" w:cs="Calibri"/>
          <w:szCs w:val="22"/>
        </w:rPr>
        <w:t>harmonis</w:t>
      </w:r>
      <w:r>
        <w:rPr>
          <w:rFonts w:ascii="Calibri" w:hAnsi="Calibri" w:cs="Calibri"/>
          <w:szCs w:val="22"/>
        </w:rPr>
        <w:t>ation</w:t>
      </w:r>
      <w:r w:rsidRPr="00B05359">
        <w:rPr>
          <w:rFonts w:ascii="Calibri" w:hAnsi="Calibri" w:cs="Calibri"/>
          <w:szCs w:val="22"/>
        </w:rPr>
        <w:t xml:space="preserve"> with the WHS Act allowing HSRs to choose their own training </w:t>
      </w:r>
    </w:p>
    <w:p w:rsidR="004A0AB5" w:rsidRPr="000908BF" w:rsidRDefault="004A0AB5" w:rsidP="004A0AB5">
      <w:pPr>
        <w:pStyle w:val="ListParagraph"/>
        <w:numPr>
          <w:ilvl w:val="0"/>
          <w:numId w:val="6"/>
        </w:numPr>
        <w:spacing w:after="160" w:line="288" w:lineRule="auto"/>
        <w:rPr>
          <w:rFonts w:ascii="Calibri" w:hAnsi="Calibri" w:cs="Calibri"/>
          <w:szCs w:val="22"/>
        </w:rPr>
      </w:pPr>
      <w:r>
        <w:rPr>
          <w:rFonts w:ascii="Calibri" w:hAnsi="Calibri" w:cs="Calibri"/>
          <w:szCs w:val="22"/>
        </w:rPr>
        <w:t>that t</w:t>
      </w:r>
      <w:r w:rsidRPr="00B05359">
        <w:rPr>
          <w:rFonts w:ascii="Calibri" w:hAnsi="Calibri" w:cs="Calibri"/>
          <w:szCs w:val="22"/>
        </w:rPr>
        <w:t xml:space="preserve">here </w:t>
      </w:r>
      <w:r>
        <w:rPr>
          <w:rFonts w:ascii="Calibri" w:hAnsi="Calibri" w:cs="Calibri"/>
          <w:szCs w:val="22"/>
        </w:rPr>
        <w:t>may be a</w:t>
      </w:r>
      <w:r w:rsidRPr="00B05359">
        <w:rPr>
          <w:rFonts w:ascii="Calibri" w:hAnsi="Calibri" w:cs="Calibri"/>
          <w:szCs w:val="22"/>
        </w:rPr>
        <w:t xml:space="preserve"> lack of accredited training available in reasonable timeframes for elected HSRs and that training days were often too long and included too much information to be useful.</w:t>
      </w:r>
    </w:p>
    <w:p w:rsidR="004A0AB5" w:rsidRPr="000908BF" w:rsidRDefault="004A0AB5" w:rsidP="004A0AB5">
      <w:pPr>
        <w:pStyle w:val="ListParagraph"/>
        <w:numPr>
          <w:ilvl w:val="0"/>
          <w:numId w:val="15"/>
        </w:numPr>
        <w:spacing w:before="240" w:after="160"/>
        <w:ind w:left="714" w:hanging="357"/>
        <w:rPr>
          <w:rFonts w:ascii="Calibri" w:eastAsia="SimSun" w:hAnsi="Calibri" w:cs="Calibri"/>
          <w:lang w:val="en-US" w:eastAsia="ja-JP"/>
        </w:rPr>
      </w:pPr>
      <w:r w:rsidRPr="000908BF">
        <w:rPr>
          <w:rFonts w:ascii="Calibri" w:eastAsia="SimSun" w:hAnsi="Calibri" w:cs="Calibri"/>
          <w:lang w:val="en-US" w:eastAsia="ja-JP"/>
        </w:rPr>
        <w:t>AGD informed members that HSR training was being considered by Ministers as part of the model law consultation direction.</w:t>
      </w:r>
    </w:p>
    <w:p w:rsidR="004A0AB5" w:rsidRPr="00B05359" w:rsidRDefault="004A0AB5" w:rsidP="004A0AB5">
      <w:pPr>
        <w:pStyle w:val="Heading4"/>
      </w:pPr>
      <w:bookmarkStart w:id="13" w:name="_Toc22825842"/>
      <w:bookmarkStart w:id="14" w:name="_Toc22825128"/>
      <w:bookmarkStart w:id="15" w:name="_Toc22655058"/>
      <w:bookmarkStart w:id="16" w:name="_Toc22559007"/>
      <w:bookmarkStart w:id="17" w:name="_Toc22566959"/>
      <w:bookmarkStart w:id="18" w:name="_Toc22564348"/>
      <w:bookmarkStart w:id="19" w:name="_Toc22554781"/>
      <w:bookmarkStart w:id="20" w:name="_Toc22548745"/>
      <w:bookmarkStart w:id="21" w:name="_Toc22548887"/>
      <w:bookmarkStart w:id="22" w:name="_Toc22548860"/>
      <w:bookmarkStart w:id="23" w:name="_Toc22548816"/>
      <w:bookmarkStart w:id="24" w:name="_Toc22308680"/>
      <w:r w:rsidRPr="00B05359">
        <w:t>Worker access to the safety case</w:t>
      </w:r>
      <w:bookmarkEnd w:id="13"/>
      <w:bookmarkEnd w:id="14"/>
      <w:bookmarkEnd w:id="15"/>
      <w:bookmarkEnd w:id="16"/>
      <w:bookmarkEnd w:id="17"/>
      <w:bookmarkEnd w:id="18"/>
      <w:bookmarkEnd w:id="19"/>
      <w:bookmarkEnd w:id="20"/>
      <w:bookmarkEnd w:id="21"/>
      <w:bookmarkEnd w:id="22"/>
      <w:bookmarkEnd w:id="23"/>
      <w:bookmarkEnd w:id="24"/>
    </w:p>
    <w:p w:rsidR="004A0AB5" w:rsidRPr="00EE2D2B" w:rsidRDefault="004A0AB5" w:rsidP="004A0AB5">
      <w:pPr>
        <w:pStyle w:val="ListParagraph"/>
        <w:numPr>
          <w:ilvl w:val="0"/>
          <w:numId w:val="15"/>
        </w:numPr>
        <w:rPr>
          <w:rFonts w:ascii="Calibri" w:hAnsi="Calibri" w:cs="Calibri"/>
        </w:rPr>
      </w:pPr>
      <w:r w:rsidRPr="00EE2D2B">
        <w:rPr>
          <w:rFonts w:ascii="Calibri" w:hAnsi="Calibri" w:cs="Calibri"/>
        </w:rPr>
        <w:t>SSG members discussed what type of access (electronic or hard copy) HSRs should have to the facility safety case. Issues raised included:</w:t>
      </w:r>
    </w:p>
    <w:p w:rsidR="004A0AB5" w:rsidRPr="00B05359" w:rsidRDefault="004A0AB5" w:rsidP="004A0AB5">
      <w:pPr>
        <w:pStyle w:val="ListParagraph"/>
        <w:numPr>
          <w:ilvl w:val="0"/>
          <w:numId w:val="7"/>
        </w:numPr>
        <w:spacing w:before="240"/>
        <w:rPr>
          <w:rFonts w:ascii="Calibri" w:hAnsi="Calibri" w:cs="Calibri"/>
          <w:szCs w:val="22"/>
        </w:rPr>
      </w:pPr>
      <w:r w:rsidRPr="00B05359">
        <w:rPr>
          <w:rFonts w:ascii="Calibri" w:hAnsi="Calibri" w:cs="Calibri"/>
          <w:szCs w:val="22"/>
        </w:rPr>
        <w:t>there are commercial and security issues with the electronic provision of the safety case</w:t>
      </w:r>
      <w:r>
        <w:rPr>
          <w:rFonts w:ascii="Calibri" w:hAnsi="Calibri" w:cs="Calibri"/>
          <w:szCs w:val="22"/>
        </w:rPr>
        <w:t xml:space="preserve"> documents</w:t>
      </w:r>
    </w:p>
    <w:p w:rsidR="004A0AB5" w:rsidRPr="00EE2D2B" w:rsidRDefault="004A0AB5" w:rsidP="004A0AB5">
      <w:pPr>
        <w:pStyle w:val="ListParagraph"/>
        <w:numPr>
          <w:ilvl w:val="0"/>
          <w:numId w:val="6"/>
        </w:numPr>
        <w:spacing w:before="240" w:line="288" w:lineRule="auto"/>
        <w:rPr>
          <w:rFonts w:ascii="Calibri" w:hAnsi="Calibri" w:cs="Calibri"/>
          <w:szCs w:val="22"/>
        </w:rPr>
      </w:pPr>
      <w:r w:rsidRPr="00BF05D6">
        <w:rPr>
          <w:rFonts w:ascii="Calibri" w:hAnsi="Calibri" w:cs="Calibri"/>
          <w:szCs w:val="22"/>
        </w:rPr>
        <w:t>the complexity of safety cases make it difficult for workers to properly review on a hard copy at facility.</w:t>
      </w:r>
    </w:p>
    <w:p w:rsidR="004A0AB5" w:rsidRPr="00B05359" w:rsidRDefault="004A0AB5" w:rsidP="004A0AB5">
      <w:pPr>
        <w:pStyle w:val="Heading4"/>
      </w:pPr>
      <w:r w:rsidRPr="00B05359">
        <w:t>Revisions to safety case and safety management documents – HSRs</w:t>
      </w:r>
    </w:p>
    <w:p w:rsidR="004A0AB5" w:rsidRPr="00383004" w:rsidRDefault="004A0AB5" w:rsidP="004A0AB5">
      <w:pPr>
        <w:pStyle w:val="ListParagraph"/>
        <w:numPr>
          <w:ilvl w:val="0"/>
          <w:numId w:val="16"/>
        </w:numPr>
        <w:rPr>
          <w:rFonts w:ascii="Calibri" w:hAnsi="Calibri" w:cs="Calibri"/>
        </w:rPr>
      </w:pPr>
      <w:r w:rsidRPr="00383004">
        <w:rPr>
          <w:rFonts w:ascii="Calibri" w:hAnsi="Calibri" w:cs="Calibri"/>
        </w:rPr>
        <w:t>SSG members discussed the proposal for HSRs to have more capacity to review and request revisions to safety management documents and the safety case.</w:t>
      </w:r>
    </w:p>
    <w:p w:rsidR="004A0AB5" w:rsidRPr="00383004" w:rsidRDefault="004A0AB5" w:rsidP="004A0AB5">
      <w:pPr>
        <w:pStyle w:val="ListParagraph"/>
        <w:numPr>
          <w:ilvl w:val="0"/>
          <w:numId w:val="16"/>
        </w:numPr>
        <w:rPr>
          <w:rFonts w:ascii="Calibri" w:hAnsi="Calibri" w:cs="Calibri"/>
        </w:rPr>
      </w:pPr>
      <w:r w:rsidRPr="00383004">
        <w:rPr>
          <w:rFonts w:ascii="Calibri" w:hAnsi="Calibri" w:cs="Calibri"/>
        </w:rPr>
        <w:t>Members wanted the proposal to have a clearer escalat</w:t>
      </w:r>
      <w:r>
        <w:rPr>
          <w:rFonts w:ascii="Calibri" w:hAnsi="Calibri" w:cs="Calibri"/>
        </w:rPr>
        <w:t xml:space="preserve">ion </w:t>
      </w:r>
      <w:r w:rsidRPr="00383004">
        <w:rPr>
          <w:rFonts w:ascii="Calibri" w:hAnsi="Calibri" w:cs="Calibri"/>
        </w:rPr>
        <w:t>process starting with a review of the safety related documents and where necessary having an HSR request NOPSEMA to seek an operator to revise its safety case.</w:t>
      </w:r>
    </w:p>
    <w:p w:rsidR="004A0AB5" w:rsidRPr="00383004" w:rsidRDefault="004A0AB5" w:rsidP="004A0AB5">
      <w:pPr>
        <w:pStyle w:val="ListParagraph"/>
        <w:numPr>
          <w:ilvl w:val="0"/>
          <w:numId w:val="16"/>
        </w:numPr>
        <w:rPr>
          <w:rFonts w:ascii="Calibri" w:hAnsi="Calibri" w:cs="Calibri"/>
        </w:rPr>
      </w:pPr>
      <w:r w:rsidRPr="00383004">
        <w:rPr>
          <w:rFonts w:ascii="Calibri" w:hAnsi="Calibri" w:cs="Calibri"/>
        </w:rPr>
        <w:t xml:space="preserve">In addition, it was suggested that HSRs should have review rights to safety management documents and to the safety case and that the proposal should be expanded to include scope for a review of documents for procedural changes. </w:t>
      </w:r>
    </w:p>
    <w:p w:rsidR="004A0AB5" w:rsidRPr="00B05359" w:rsidRDefault="004A0AB5" w:rsidP="004A0AB5">
      <w:pPr>
        <w:pStyle w:val="Heading4"/>
      </w:pPr>
      <w:r w:rsidRPr="00B05359">
        <w:lastRenderedPageBreak/>
        <w:t>Role of HSRs on the Health and Safety Committee (HSC)</w:t>
      </w:r>
    </w:p>
    <w:p w:rsidR="004A0AB5" w:rsidRPr="00383004" w:rsidRDefault="004A0AB5" w:rsidP="004A0AB5">
      <w:pPr>
        <w:pStyle w:val="ListParagraph"/>
        <w:numPr>
          <w:ilvl w:val="0"/>
          <w:numId w:val="17"/>
        </w:numPr>
        <w:rPr>
          <w:rFonts w:ascii="Calibri" w:hAnsi="Calibri" w:cs="Calibri"/>
        </w:rPr>
      </w:pPr>
      <w:r w:rsidRPr="00383004">
        <w:rPr>
          <w:rFonts w:ascii="Calibri" w:hAnsi="Calibri" w:cs="Calibri"/>
        </w:rPr>
        <w:t>SSG members discussed the language in this proposal and wanted to ensure that it align</w:t>
      </w:r>
      <w:r>
        <w:rPr>
          <w:rFonts w:ascii="Calibri" w:hAnsi="Calibri" w:cs="Calibri"/>
        </w:rPr>
        <w:t>s</w:t>
      </w:r>
      <w:r w:rsidRPr="00383004">
        <w:rPr>
          <w:rFonts w:ascii="Calibri" w:hAnsi="Calibri" w:cs="Calibri"/>
        </w:rPr>
        <w:t xml:space="preserve"> with the WHS Act. It was also suggested the provision should be expanded so that all HSR are members of the HSC.</w:t>
      </w:r>
    </w:p>
    <w:p w:rsidR="004A0AB5" w:rsidRPr="00B05359" w:rsidRDefault="004A0AB5" w:rsidP="004A0AB5">
      <w:pPr>
        <w:pStyle w:val="Heading4"/>
      </w:pPr>
      <w:r w:rsidRPr="00B05359">
        <w:t>HSR general support (non-legislative change)</w:t>
      </w:r>
    </w:p>
    <w:p w:rsidR="004A0AB5" w:rsidRPr="00383004" w:rsidRDefault="004A0AB5" w:rsidP="004A0AB5">
      <w:pPr>
        <w:pStyle w:val="ListParagraph"/>
        <w:numPr>
          <w:ilvl w:val="0"/>
          <w:numId w:val="17"/>
        </w:numPr>
        <w:rPr>
          <w:rFonts w:ascii="Calibri" w:hAnsi="Calibri" w:cs="Calibri"/>
        </w:rPr>
      </w:pPr>
      <w:r w:rsidRPr="00383004">
        <w:rPr>
          <w:rFonts w:ascii="Calibri" w:hAnsi="Calibri" w:cs="Calibri"/>
        </w:rPr>
        <w:t>SSG members discussed the benefits of having an HSR online portal and continuing the annual HSR forum, and whether these activities should be formalised in the offshore safety regulations.</w:t>
      </w:r>
    </w:p>
    <w:p w:rsidR="004A0AB5" w:rsidRPr="008A75F5" w:rsidRDefault="004A0AB5" w:rsidP="004A0AB5">
      <w:pPr>
        <w:pStyle w:val="Heading3"/>
      </w:pPr>
      <w:bookmarkStart w:id="25" w:name="_Toc22825846"/>
      <w:bookmarkStart w:id="26" w:name="_Toc22825132"/>
      <w:bookmarkStart w:id="27" w:name="_Toc22655062"/>
      <w:r w:rsidRPr="008A75F5">
        <w:t>General health and safety protections</w:t>
      </w:r>
      <w:bookmarkStart w:id="28" w:name="_Toc22825847"/>
      <w:bookmarkStart w:id="29" w:name="_Toc22825133"/>
      <w:bookmarkStart w:id="30" w:name="_Toc22655063"/>
      <w:bookmarkStart w:id="31" w:name="_Toc22558995"/>
      <w:bookmarkStart w:id="32" w:name="_Toc22566948"/>
      <w:bookmarkStart w:id="33" w:name="_Toc22564337"/>
      <w:bookmarkStart w:id="34" w:name="_Toc22554770"/>
      <w:bookmarkEnd w:id="25"/>
      <w:bookmarkEnd w:id="26"/>
      <w:bookmarkEnd w:id="27"/>
    </w:p>
    <w:p w:rsidR="004A0AB5" w:rsidRPr="00B05359" w:rsidRDefault="004A0AB5" w:rsidP="004A0AB5">
      <w:pPr>
        <w:pStyle w:val="Heading4"/>
      </w:pPr>
      <w:r w:rsidRPr="00B05359">
        <w:t>Offshore workers - mental health provisions</w:t>
      </w:r>
      <w:bookmarkEnd w:id="28"/>
      <w:bookmarkEnd w:id="29"/>
      <w:bookmarkEnd w:id="30"/>
      <w:bookmarkEnd w:id="31"/>
      <w:bookmarkEnd w:id="32"/>
      <w:bookmarkEnd w:id="33"/>
      <w:bookmarkEnd w:id="34"/>
    </w:p>
    <w:p w:rsidR="004A0AB5" w:rsidRPr="00383004" w:rsidRDefault="004A0AB5" w:rsidP="004A0AB5">
      <w:pPr>
        <w:pStyle w:val="ListParagraph"/>
        <w:numPr>
          <w:ilvl w:val="0"/>
          <w:numId w:val="18"/>
        </w:numPr>
        <w:rPr>
          <w:rFonts w:ascii="Calibri" w:hAnsi="Calibri" w:cs="Calibri"/>
        </w:rPr>
      </w:pPr>
      <w:r w:rsidRPr="00383004">
        <w:rPr>
          <w:rFonts w:ascii="Calibri" w:hAnsi="Calibri" w:cs="Calibri"/>
        </w:rPr>
        <w:t>SSG members discussed a range of issues relating to whether a definition of health</w:t>
      </w:r>
      <w:r>
        <w:rPr>
          <w:rFonts w:ascii="Calibri" w:hAnsi="Calibri" w:cs="Calibri"/>
        </w:rPr>
        <w:t>,</w:t>
      </w:r>
      <w:r w:rsidRPr="00383004">
        <w:rPr>
          <w:rFonts w:ascii="Calibri" w:hAnsi="Calibri" w:cs="Calibri"/>
        </w:rPr>
        <w:t xml:space="preserve"> that includes mental wellbeing</w:t>
      </w:r>
      <w:r>
        <w:rPr>
          <w:rFonts w:ascii="Calibri" w:hAnsi="Calibri" w:cs="Calibri"/>
        </w:rPr>
        <w:t>,</w:t>
      </w:r>
      <w:r w:rsidRPr="00383004">
        <w:rPr>
          <w:rFonts w:ascii="Calibri" w:hAnsi="Calibri" w:cs="Calibri"/>
        </w:rPr>
        <w:t xml:space="preserve"> should be included in offshore legislation or should be adopted as an industry code of practice.  Issues raised include:</w:t>
      </w:r>
    </w:p>
    <w:p w:rsidR="004A0AB5" w:rsidRPr="00B05359" w:rsidRDefault="004A0AB5" w:rsidP="004A0AB5">
      <w:pPr>
        <w:pStyle w:val="ListParagraph"/>
        <w:numPr>
          <w:ilvl w:val="0"/>
          <w:numId w:val="6"/>
        </w:numPr>
        <w:spacing w:after="160" w:line="288" w:lineRule="auto"/>
        <w:rPr>
          <w:rFonts w:ascii="Calibri" w:hAnsi="Calibri" w:cs="Calibri"/>
          <w:szCs w:val="22"/>
        </w:rPr>
      </w:pPr>
      <w:r>
        <w:rPr>
          <w:rFonts w:ascii="Calibri" w:hAnsi="Calibri" w:cs="Calibri"/>
          <w:szCs w:val="22"/>
        </w:rPr>
        <w:t>t</w:t>
      </w:r>
      <w:r w:rsidRPr="00B05359">
        <w:rPr>
          <w:rFonts w:ascii="Calibri" w:hAnsi="Calibri" w:cs="Calibri"/>
          <w:szCs w:val="22"/>
        </w:rPr>
        <w:t>he need to raise the profile of psychological factors facing offshore workers</w:t>
      </w:r>
    </w:p>
    <w:p w:rsidR="004A0AB5" w:rsidRDefault="004A0AB5" w:rsidP="004A0AB5">
      <w:pPr>
        <w:pStyle w:val="ListParagraph"/>
        <w:numPr>
          <w:ilvl w:val="0"/>
          <w:numId w:val="6"/>
        </w:numPr>
        <w:spacing w:after="160" w:line="288" w:lineRule="auto"/>
        <w:rPr>
          <w:rFonts w:ascii="Calibri" w:hAnsi="Calibri" w:cs="Calibri"/>
          <w:szCs w:val="22"/>
        </w:rPr>
      </w:pPr>
      <w:r>
        <w:rPr>
          <w:rFonts w:ascii="Calibri" w:hAnsi="Calibri" w:cs="Calibri"/>
          <w:szCs w:val="22"/>
        </w:rPr>
        <w:t>h</w:t>
      </w:r>
      <w:r w:rsidRPr="00B05359">
        <w:rPr>
          <w:rFonts w:ascii="Calibri" w:hAnsi="Calibri" w:cs="Calibri"/>
          <w:szCs w:val="22"/>
        </w:rPr>
        <w:t xml:space="preserve">ow to actually implement ‘mental health’ strategies </w:t>
      </w:r>
      <w:r>
        <w:rPr>
          <w:rFonts w:ascii="Calibri" w:hAnsi="Calibri" w:cs="Calibri"/>
          <w:szCs w:val="22"/>
        </w:rPr>
        <w:t>and what would enforcement/compliance look like?</w:t>
      </w:r>
    </w:p>
    <w:p w:rsidR="004A0AB5" w:rsidRPr="00383004" w:rsidRDefault="004A0AB5" w:rsidP="004A0AB5">
      <w:pPr>
        <w:pStyle w:val="ListParagraph"/>
        <w:numPr>
          <w:ilvl w:val="0"/>
          <w:numId w:val="6"/>
        </w:numPr>
        <w:spacing w:after="160" w:line="288" w:lineRule="auto"/>
        <w:rPr>
          <w:rFonts w:ascii="Calibri" w:hAnsi="Calibri" w:cs="Calibri"/>
          <w:szCs w:val="22"/>
        </w:rPr>
      </w:pPr>
      <w:r>
        <w:rPr>
          <w:rFonts w:ascii="Calibri" w:hAnsi="Calibri" w:cs="Calibri"/>
          <w:szCs w:val="22"/>
        </w:rPr>
        <w:t>u</w:t>
      </w:r>
      <w:r w:rsidRPr="00B05359">
        <w:rPr>
          <w:rFonts w:ascii="Calibri" w:hAnsi="Calibri" w:cs="Calibri"/>
          <w:szCs w:val="22"/>
        </w:rPr>
        <w:t>nderlying factors that impact on mental health including sleeping arrangements and fatigue</w:t>
      </w:r>
      <w:r>
        <w:rPr>
          <w:rFonts w:ascii="Calibri" w:hAnsi="Calibri" w:cs="Calibri"/>
          <w:szCs w:val="22"/>
        </w:rPr>
        <w:t>.</w:t>
      </w:r>
    </w:p>
    <w:p w:rsidR="004A0AB5" w:rsidRPr="00383004" w:rsidRDefault="004A0AB5" w:rsidP="004A0AB5">
      <w:pPr>
        <w:pStyle w:val="ListParagraph"/>
        <w:numPr>
          <w:ilvl w:val="0"/>
          <w:numId w:val="19"/>
        </w:numPr>
        <w:spacing w:before="240"/>
        <w:rPr>
          <w:rFonts w:ascii="Calibri" w:hAnsi="Calibri" w:cs="Calibri"/>
        </w:rPr>
      </w:pPr>
      <w:r w:rsidRPr="00383004">
        <w:rPr>
          <w:rFonts w:ascii="Calibri" w:hAnsi="Calibri" w:cs="Calibri"/>
        </w:rPr>
        <w:t>AGD advised that the health definition issue was under review as part of the model law consultation direction and that AGD has guidance on this issue and can provide this to members on request.</w:t>
      </w:r>
    </w:p>
    <w:p w:rsidR="004A0AB5" w:rsidRPr="00B05359" w:rsidRDefault="004A0AB5" w:rsidP="004A0AB5">
      <w:pPr>
        <w:pStyle w:val="Heading4"/>
      </w:pPr>
      <w:bookmarkStart w:id="35" w:name="_Toc22825849"/>
      <w:bookmarkStart w:id="36" w:name="_Toc22825135"/>
      <w:bookmarkStart w:id="37" w:name="_Toc22655065"/>
      <w:bookmarkStart w:id="38" w:name="_Toc22559011"/>
      <w:bookmarkStart w:id="39" w:name="_Toc22566963"/>
      <w:bookmarkStart w:id="40" w:name="_Toc22564352"/>
      <w:bookmarkStart w:id="41" w:name="_Toc22554785"/>
      <w:r w:rsidRPr="00B05359">
        <w:t>Protection for workers against discrimination</w:t>
      </w:r>
      <w:bookmarkEnd w:id="35"/>
      <w:bookmarkEnd w:id="36"/>
      <w:bookmarkEnd w:id="37"/>
      <w:bookmarkEnd w:id="38"/>
      <w:bookmarkEnd w:id="39"/>
      <w:bookmarkEnd w:id="40"/>
      <w:bookmarkEnd w:id="41"/>
    </w:p>
    <w:p w:rsidR="004A0AB5" w:rsidRPr="000908BF" w:rsidRDefault="004A0AB5" w:rsidP="004A0AB5">
      <w:pPr>
        <w:pStyle w:val="ListParagraph"/>
        <w:numPr>
          <w:ilvl w:val="0"/>
          <w:numId w:val="14"/>
        </w:numPr>
        <w:rPr>
          <w:rFonts w:ascii="Calibri" w:hAnsi="Calibri" w:cs="Calibri"/>
        </w:rPr>
      </w:pPr>
      <w:r w:rsidRPr="000908BF">
        <w:rPr>
          <w:rFonts w:ascii="Calibri" w:hAnsi="Calibri" w:cs="Calibri"/>
        </w:rPr>
        <w:t>SSG members discussed including workers who have been HSRs in the language of this proposal to ensure that past, current or future HSRs cannot be discriminated against.</w:t>
      </w:r>
    </w:p>
    <w:p w:rsidR="004A0AB5" w:rsidRPr="008A75F5" w:rsidRDefault="004A0AB5" w:rsidP="004A0AB5">
      <w:pPr>
        <w:pStyle w:val="Heading3"/>
      </w:pPr>
      <w:bookmarkStart w:id="42" w:name="_Toc22825851"/>
      <w:bookmarkStart w:id="43" w:name="_Toc22825137"/>
      <w:bookmarkStart w:id="44" w:name="_Toc22655067"/>
      <w:bookmarkStart w:id="45" w:name="_Toc22558998"/>
      <w:bookmarkStart w:id="46" w:name="_Toc22566951"/>
      <w:bookmarkStart w:id="47" w:name="_Toc22564340"/>
      <w:bookmarkStart w:id="48" w:name="_Toc22554773"/>
      <w:bookmarkStart w:id="49" w:name="_Toc22548737"/>
      <w:bookmarkStart w:id="50" w:name="_Toc22548879"/>
      <w:bookmarkStart w:id="51" w:name="_Toc22548852"/>
      <w:bookmarkStart w:id="52" w:name="_Toc22548808"/>
      <w:bookmarkStart w:id="53" w:name="_Toc22308674"/>
      <w:r w:rsidRPr="008A75F5">
        <w:t>Diving</w:t>
      </w:r>
    </w:p>
    <w:p w:rsidR="004A0AB5" w:rsidRPr="00383004" w:rsidRDefault="004A0AB5" w:rsidP="004A0AB5">
      <w:pPr>
        <w:pStyle w:val="ListParagraph"/>
        <w:numPr>
          <w:ilvl w:val="0"/>
          <w:numId w:val="14"/>
        </w:numPr>
        <w:rPr>
          <w:rFonts w:ascii="Calibri" w:eastAsiaTheme="minorHAnsi" w:hAnsi="Calibri" w:cs="Calibri"/>
          <w:b/>
          <w:bCs/>
        </w:rPr>
      </w:pPr>
      <w:r w:rsidRPr="00383004">
        <w:rPr>
          <w:rFonts w:ascii="Calibri" w:eastAsiaTheme="minorHAnsi" w:hAnsi="Calibri" w:cs="Calibri"/>
        </w:rPr>
        <w:t>SSG members discussed a range of issue relating the Diving Safety Management System, Diving Project Plans and Start-up notices. Issues raised include:</w:t>
      </w:r>
    </w:p>
    <w:p w:rsidR="004A0AB5" w:rsidRPr="000908BF" w:rsidRDefault="004A0AB5" w:rsidP="004A0AB5">
      <w:pPr>
        <w:pStyle w:val="ListParagraph"/>
        <w:numPr>
          <w:ilvl w:val="0"/>
          <w:numId w:val="6"/>
        </w:numPr>
        <w:spacing w:after="160" w:line="288" w:lineRule="auto"/>
        <w:rPr>
          <w:rFonts w:ascii="Calibri" w:hAnsi="Calibri" w:cs="Calibri"/>
          <w:szCs w:val="22"/>
        </w:rPr>
      </w:pPr>
      <w:r w:rsidRPr="00204CF6">
        <w:rPr>
          <w:rFonts w:ascii="Calibri" w:hAnsi="Calibri" w:cs="Calibri"/>
          <w:szCs w:val="22"/>
        </w:rPr>
        <w:t xml:space="preserve">an acknowledgment that a change to the way diving is structured </w:t>
      </w:r>
      <w:r w:rsidRPr="000908BF">
        <w:rPr>
          <w:rFonts w:ascii="Calibri" w:hAnsi="Calibri" w:cs="Calibri"/>
          <w:szCs w:val="22"/>
        </w:rPr>
        <w:t>was required to ensure operators comply with the DSMS when undertaking dives</w:t>
      </w:r>
      <w:r>
        <w:rPr>
          <w:rFonts w:ascii="Calibri" w:hAnsi="Calibri" w:cs="Calibri"/>
          <w:szCs w:val="22"/>
        </w:rPr>
        <w:t xml:space="preserve">; with consequential amendments and levies to cover compliance measures. </w:t>
      </w:r>
    </w:p>
    <w:p w:rsidR="004A0AB5" w:rsidRPr="000908BF" w:rsidRDefault="004A0AB5" w:rsidP="004A0AB5">
      <w:pPr>
        <w:pStyle w:val="ListParagraph"/>
        <w:numPr>
          <w:ilvl w:val="0"/>
          <w:numId w:val="6"/>
        </w:numPr>
        <w:spacing w:after="160" w:line="288" w:lineRule="auto"/>
        <w:rPr>
          <w:rFonts w:ascii="Calibri" w:hAnsi="Calibri" w:cs="Calibri"/>
        </w:rPr>
      </w:pPr>
      <w:r w:rsidRPr="00204CF6">
        <w:rPr>
          <w:rFonts w:ascii="Calibri" w:hAnsi="Calibri" w:cs="Calibri"/>
          <w:szCs w:val="22"/>
        </w:rPr>
        <w:t xml:space="preserve">a dive specific HSR role </w:t>
      </w:r>
      <w:r w:rsidRPr="000908BF">
        <w:rPr>
          <w:rFonts w:ascii="Calibri" w:hAnsi="Calibri" w:cs="Calibri"/>
          <w:szCs w:val="22"/>
        </w:rPr>
        <w:t>could be developed</w:t>
      </w:r>
      <w:r>
        <w:rPr>
          <w:rFonts w:ascii="Calibri" w:hAnsi="Calibri" w:cs="Calibri"/>
          <w:szCs w:val="22"/>
        </w:rPr>
        <w:t>.</w:t>
      </w:r>
    </w:p>
    <w:p w:rsidR="004A0AB5" w:rsidRPr="00383004" w:rsidRDefault="004A0AB5" w:rsidP="004A0AB5">
      <w:pPr>
        <w:pStyle w:val="ListParagraph"/>
        <w:numPr>
          <w:ilvl w:val="0"/>
          <w:numId w:val="20"/>
        </w:numPr>
        <w:spacing w:after="160"/>
        <w:rPr>
          <w:rFonts w:ascii="Calibri" w:hAnsi="Calibri" w:cs="Calibri"/>
        </w:rPr>
      </w:pPr>
      <w:r w:rsidRPr="00383004">
        <w:rPr>
          <w:rFonts w:ascii="Calibri" w:hAnsi="Calibri" w:cs="Calibri"/>
        </w:rPr>
        <w:t xml:space="preserve">AMSA advised members that the International Maritime Organization (IMO) are currently reviewing their code of practice and that AMSA will be participating in the review and will keep the SSG informed of the review progress. AMSA suggested that the MOU between NOPSEMA and AMSA may be useful for facilitation diving inspections aboard vessels. </w:t>
      </w:r>
    </w:p>
    <w:p w:rsidR="004A0AB5" w:rsidRPr="008A75F5" w:rsidRDefault="004A0AB5" w:rsidP="004A0AB5">
      <w:pPr>
        <w:pStyle w:val="Heading3"/>
      </w:pPr>
      <w:bookmarkStart w:id="54" w:name="_Toc22825856"/>
      <w:bookmarkStart w:id="55" w:name="_Toc22825142"/>
      <w:bookmarkStart w:id="56" w:name="_Toc22655072"/>
      <w:bookmarkEnd w:id="42"/>
      <w:bookmarkEnd w:id="43"/>
      <w:bookmarkEnd w:id="44"/>
      <w:bookmarkEnd w:id="45"/>
      <w:bookmarkEnd w:id="46"/>
      <w:bookmarkEnd w:id="47"/>
      <w:bookmarkEnd w:id="48"/>
      <w:bookmarkEnd w:id="49"/>
      <w:bookmarkEnd w:id="50"/>
      <w:bookmarkEnd w:id="51"/>
      <w:bookmarkEnd w:id="52"/>
      <w:bookmarkEnd w:id="53"/>
      <w:r w:rsidRPr="008A75F5">
        <w:t>Compliance and enforcement</w:t>
      </w:r>
      <w:bookmarkEnd w:id="54"/>
      <w:bookmarkEnd w:id="55"/>
      <w:bookmarkEnd w:id="56"/>
    </w:p>
    <w:p w:rsidR="004A0AB5" w:rsidRPr="00383004" w:rsidRDefault="004A0AB5" w:rsidP="004A0AB5">
      <w:pPr>
        <w:pStyle w:val="ListParagraph"/>
        <w:numPr>
          <w:ilvl w:val="0"/>
          <w:numId w:val="20"/>
        </w:numPr>
        <w:rPr>
          <w:rFonts w:ascii="Calibri" w:hAnsi="Calibri" w:cs="Calibri"/>
        </w:rPr>
      </w:pPr>
      <w:bookmarkStart w:id="57" w:name="_Toc22825857"/>
      <w:bookmarkStart w:id="58" w:name="_Toc22825143"/>
      <w:bookmarkStart w:id="59" w:name="_Toc22655073"/>
      <w:r w:rsidRPr="00383004">
        <w:rPr>
          <w:rFonts w:ascii="Calibri" w:hAnsi="Calibri" w:cs="Calibri"/>
        </w:rPr>
        <w:t>SSG members discussed the proposed introduction of a civil penalty regime and changes to the notification and reporting requirements to streamline administration.</w:t>
      </w:r>
    </w:p>
    <w:p w:rsidR="004A0AB5" w:rsidRPr="00B05359" w:rsidRDefault="004A0AB5" w:rsidP="004A0AB5">
      <w:pPr>
        <w:pStyle w:val="Heading3"/>
      </w:pPr>
      <w:bookmarkStart w:id="60" w:name="_Toc22825861"/>
      <w:bookmarkStart w:id="61" w:name="_Toc22825147"/>
      <w:bookmarkStart w:id="62" w:name="_Toc22655077"/>
      <w:bookmarkStart w:id="63" w:name="_Toc22559013"/>
      <w:bookmarkStart w:id="64" w:name="_Toc22566965"/>
      <w:bookmarkStart w:id="65" w:name="_Toc22564354"/>
      <w:bookmarkStart w:id="66" w:name="_Toc22554787"/>
      <w:bookmarkStart w:id="67" w:name="_Toc22548750"/>
      <w:bookmarkStart w:id="68" w:name="_Toc22548892"/>
      <w:bookmarkStart w:id="69" w:name="_Toc22548865"/>
      <w:bookmarkStart w:id="70" w:name="_Toc22548821"/>
      <w:bookmarkStart w:id="71" w:name="_Toc22308685"/>
      <w:r w:rsidRPr="00B05359">
        <w:t>Jurisdictional coverage</w:t>
      </w:r>
    </w:p>
    <w:p w:rsidR="004A0AB5" w:rsidRPr="00B05359" w:rsidRDefault="004A0AB5" w:rsidP="004A0AB5">
      <w:pPr>
        <w:pStyle w:val="Heading4"/>
      </w:pPr>
      <w:bookmarkStart w:id="72" w:name="_Toc22825860"/>
      <w:bookmarkStart w:id="73" w:name="_Toc22825146"/>
      <w:bookmarkStart w:id="74" w:name="_Toc22655076"/>
      <w:bookmarkStart w:id="75" w:name="_Toc22559017"/>
      <w:bookmarkStart w:id="76" w:name="_Toc22566969"/>
      <w:bookmarkStart w:id="77" w:name="_Toc22564358"/>
      <w:bookmarkStart w:id="78" w:name="_Toc22554791"/>
      <w:bookmarkStart w:id="79" w:name="_Toc22548754"/>
      <w:bookmarkStart w:id="80" w:name="_Toc22548896"/>
      <w:bookmarkStart w:id="81" w:name="_Toc22548869"/>
      <w:bookmarkStart w:id="82" w:name="_Toc22548825"/>
      <w:bookmarkStart w:id="83" w:name="_Toc22308689"/>
      <w:r w:rsidRPr="00B05359">
        <w:t>Definition of facility and associated offshore place</w:t>
      </w:r>
      <w:bookmarkEnd w:id="72"/>
      <w:bookmarkEnd w:id="73"/>
      <w:bookmarkEnd w:id="74"/>
      <w:bookmarkEnd w:id="75"/>
      <w:bookmarkEnd w:id="76"/>
      <w:bookmarkEnd w:id="77"/>
      <w:bookmarkEnd w:id="78"/>
      <w:bookmarkEnd w:id="79"/>
      <w:bookmarkEnd w:id="80"/>
      <w:bookmarkEnd w:id="81"/>
      <w:bookmarkEnd w:id="82"/>
      <w:bookmarkEnd w:id="83"/>
      <w:r w:rsidRPr="00B05359">
        <w:t xml:space="preserve"> (AOP)</w:t>
      </w:r>
    </w:p>
    <w:p w:rsidR="004A0AB5" w:rsidRPr="00383004" w:rsidRDefault="004A0AB5" w:rsidP="004A0AB5">
      <w:pPr>
        <w:pStyle w:val="ListParagraph"/>
        <w:numPr>
          <w:ilvl w:val="0"/>
          <w:numId w:val="20"/>
        </w:numPr>
        <w:rPr>
          <w:rFonts w:ascii="Calibri" w:hAnsi="Calibri" w:cs="Calibri"/>
        </w:rPr>
      </w:pPr>
      <w:r w:rsidRPr="00383004">
        <w:rPr>
          <w:rFonts w:ascii="Calibri" w:hAnsi="Calibri" w:cs="Calibri"/>
        </w:rPr>
        <w:t>SSG members discussed the possible impact of revising the definitions of facility and associated offshore place to ensure it is clear when a vessel is a facility and when a vessel is an AOP.</w:t>
      </w:r>
    </w:p>
    <w:p w:rsidR="004A0AB5" w:rsidRPr="00383004" w:rsidRDefault="004A0AB5" w:rsidP="004A0AB5">
      <w:pPr>
        <w:pStyle w:val="ListParagraph"/>
        <w:numPr>
          <w:ilvl w:val="0"/>
          <w:numId w:val="20"/>
        </w:numPr>
        <w:rPr>
          <w:rFonts w:ascii="Calibri" w:hAnsi="Calibri" w:cs="Calibri"/>
        </w:rPr>
      </w:pPr>
      <w:r w:rsidRPr="00383004">
        <w:rPr>
          <w:rFonts w:ascii="Calibri" w:hAnsi="Calibri" w:cs="Calibri"/>
        </w:rPr>
        <w:lastRenderedPageBreak/>
        <w:t>Members asked if they would have the opportunity to comment on regulatory impact of changed definitions. DIIS confirmed they would have the opportunity to provide feedback either via one-on-one meetings or through comments on the draft policy framework.</w:t>
      </w:r>
    </w:p>
    <w:p w:rsidR="004A0AB5" w:rsidRPr="00B05359" w:rsidRDefault="004A0AB5" w:rsidP="004A0AB5">
      <w:pPr>
        <w:pStyle w:val="Heading4"/>
      </w:pPr>
      <w:r w:rsidRPr="00B05359">
        <w:t>Vessel activity notification scheme</w:t>
      </w:r>
      <w:bookmarkEnd w:id="60"/>
      <w:bookmarkEnd w:id="61"/>
      <w:bookmarkEnd w:id="62"/>
      <w:bookmarkEnd w:id="63"/>
      <w:bookmarkEnd w:id="64"/>
      <w:bookmarkEnd w:id="65"/>
      <w:bookmarkEnd w:id="66"/>
      <w:bookmarkEnd w:id="67"/>
      <w:bookmarkEnd w:id="68"/>
      <w:bookmarkEnd w:id="69"/>
      <w:bookmarkEnd w:id="70"/>
      <w:bookmarkEnd w:id="71"/>
      <w:r w:rsidRPr="00B05359">
        <w:t xml:space="preserve"> </w:t>
      </w:r>
    </w:p>
    <w:p w:rsidR="004A0AB5" w:rsidRPr="00383004" w:rsidRDefault="004A0AB5" w:rsidP="004A0AB5">
      <w:pPr>
        <w:pStyle w:val="ListParagraph"/>
        <w:numPr>
          <w:ilvl w:val="0"/>
          <w:numId w:val="21"/>
        </w:numPr>
        <w:rPr>
          <w:rFonts w:ascii="Calibri" w:hAnsi="Calibri" w:cs="Calibri"/>
        </w:rPr>
      </w:pPr>
      <w:r w:rsidRPr="00383004">
        <w:rPr>
          <w:rFonts w:ascii="Calibri" w:hAnsi="Calibri" w:cs="Calibri"/>
        </w:rPr>
        <w:t>SSG members discussed having a joint vessel activity notification scheme which provides visibility to both NOPS</w:t>
      </w:r>
      <w:r>
        <w:rPr>
          <w:rFonts w:ascii="Calibri" w:hAnsi="Calibri" w:cs="Calibri"/>
        </w:rPr>
        <w:t>E</w:t>
      </w:r>
      <w:r w:rsidRPr="00383004">
        <w:rPr>
          <w:rFonts w:ascii="Calibri" w:hAnsi="Calibri" w:cs="Calibri"/>
        </w:rPr>
        <w:t xml:space="preserve">MA and AMSA for vessel/facility activities. </w:t>
      </w:r>
    </w:p>
    <w:p w:rsidR="004A0AB5" w:rsidRPr="00383004" w:rsidRDefault="004A0AB5" w:rsidP="004A0AB5">
      <w:pPr>
        <w:pStyle w:val="ListParagraph"/>
        <w:numPr>
          <w:ilvl w:val="0"/>
          <w:numId w:val="21"/>
        </w:numPr>
        <w:rPr>
          <w:rFonts w:ascii="Calibri" w:hAnsi="Calibri" w:cs="Calibri"/>
        </w:rPr>
      </w:pPr>
      <w:r w:rsidRPr="00383004">
        <w:rPr>
          <w:rFonts w:ascii="Calibri" w:hAnsi="Calibri" w:cs="Calibri"/>
        </w:rPr>
        <w:t>An issue raised is that the nil activity report could provide an early warning that a facility would be returning to vessel status and that there should be joint reporting for both AMSA and NOPSEMA.</w:t>
      </w:r>
    </w:p>
    <w:p w:rsidR="004A0AB5" w:rsidRDefault="004A0AB5" w:rsidP="004A0AB5">
      <w:pPr>
        <w:pStyle w:val="Heading3"/>
      </w:pPr>
      <w:r>
        <w:t>Meeting close and next meeting</w:t>
      </w:r>
    </w:p>
    <w:p w:rsidR="004A0AB5" w:rsidRPr="00383004" w:rsidRDefault="004A0AB5" w:rsidP="004A0AB5">
      <w:pPr>
        <w:pStyle w:val="ListParagraph"/>
        <w:numPr>
          <w:ilvl w:val="0"/>
          <w:numId w:val="21"/>
        </w:numPr>
        <w:rPr>
          <w:rFonts w:ascii="Calibri" w:hAnsi="Calibri" w:cs="Calibri"/>
        </w:rPr>
      </w:pPr>
      <w:r w:rsidRPr="00383004">
        <w:rPr>
          <w:rFonts w:ascii="Calibri" w:hAnsi="Calibri" w:cs="Calibri"/>
        </w:rPr>
        <w:t>The Chair thanked members for attending the fourth SSG meeting and sharing their views on the draft policy framework</w:t>
      </w:r>
      <w:r>
        <w:rPr>
          <w:rFonts w:ascii="Calibri" w:hAnsi="Calibri" w:cs="Calibri"/>
        </w:rPr>
        <w:t xml:space="preserve">, and asked that any written feedback be provided by </w:t>
      </w:r>
      <w:r w:rsidRPr="000908BF">
        <w:rPr>
          <w:rFonts w:ascii="Calibri" w:hAnsi="Calibri" w:cs="Calibri"/>
          <w:szCs w:val="22"/>
        </w:rPr>
        <w:t>6 December 2019</w:t>
      </w:r>
      <w:r>
        <w:rPr>
          <w:rFonts w:ascii="Calibri" w:hAnsi="Calibri" w:cs="Calibri"/>
          <w:szCs w:val="22"/>
        </w:rPr>
        <w:t>.</w:t>
      </w:r>
    </w:p>
    <w:p w:rsidR="004A2475" w:rsidRPr="004A0AB5" w:rsidRDefault="004A0AB5" w:rsidP="004A0AB5">
      <w:pPr>
        <w:pStyle w:val="ListParagraph"/>
        <w:numPr>
          <w:ilvl w:val="0"/>
          <w:numId w:val="21"/>
        </w:numPr>
        <w:rPr>
          <w:rFonts w:ascii="Calibri" w:hAnsi="Calibri" w:cs="Calibri"/>
        </w:rPr>
      </w:pPr>
      <w:r w:rsidRPr="00383004">
        <w:rPr>
          <w:rFonts w:ascii="Calibri" w:hAnsi="Calibri" w:cs="Calibri"/>
        </w:rPr>
        <w:t xml:space="preserve">The Chair proposed that the </w:t>
      </w:r>
      <w:r>
        <w:rPr>
          <w:rFonts w:ascii="Calibri" w:hAnsi="Calibri" w:cs="Calibri"/>
        </w:rPr>
        <w:t>fifth</w:t>
      </w:r>
      <w:r w:rsidRPr="00383004">
        <w:rPr>
          <w:rFonts w:ascii="Calibri" w:hAnsi="Calibri" w:cs="Calibri"/>
        </w:rPr>
        <w:t xml:space="preserve"> SSG meeting be held </w:t>
      </w:r>
      <w:r>
        <w:rPr>
          <w:rFonts w:ascii="Calibri" w:hAnsi="Calibri" w:cs="Calibri"/>
        </w:rPr>
        <w:t xml:space="preserve">around April 2020 in Perth, after public consultation on the draft policy framework. </w:t>
      </w:r>
      <w:bookmarkStart w:id="84" w:name="_GoBack"/>
      <w:bookmarkEnd w:id="57"/>
      <w:bookmarkEnd w:id="58"/>
      <w:bookmarkEnd w:id="59"/>
      <w:bookmarkEnd w:id="84"/>
    </w:p>
    <w:sectPr w:rsidR="004A2475" w:rsidRPr="004A0AB5" w:rsidSect="004F1F4F">
      <w:headerReference w:type="even" r:id="rId6"/>
      <w:headerReference w:type="default" r:id="rId7"/>
      <w:footerReference w:type="even" r:id="rId8"/>
      <w:footerReference w:type="default" r:id="rId9"/>
      <w:headerReference w:type="first" r:id="rId10"/>
      <w:footerReference w:type="first" r:id="rId11"/>
      <w:pgSz w:w="11900" w:h="16840" w:code="9"/>
      <w:pgMar w:top="567" w:right="1440" w:bottom="567" w:left="1440" w:header="454" w:footer="454" w:gutter="0"/>
      <w:pgBorders w:display="firstPage" w:offsetFrom="page">
        <w:top w:val="single" w:sz="36" w:space="24" w:color="auto"/>
        <w:left w:val="single" w:sz="36" w:space="24" w:color="auto"/>
        <w:bottom w:val="single" w:sz="36" w:space="24" w:color="auto"/>
        <w:right w:val="single" w:sz="36" w:space="24" w:color="auto"/>
      </w:pgBorders>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5DE" w:rsidRDefault="004A0A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473744"/>
      <w:docPartObj>
        <w:docPartGallery w:val="Page Numbers (Bottom of Page)"/>
        <w:docPartUnique/>
      </w:docPartObj>
    </w:sdtPr>
    <w:sdtEndPr>
      <w:rPr>
        <w:noProof/>
      </w:rPr>
    </w:sdtEndPr>
    <w:sdtContent>
      <w:p w:rsidR="00811685" w:rsidRDefault="004A0AB5">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811685" w:rsidRDefault="004A0A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5DE" w:rsidRDefault="004A0AB5">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5DE" w:rsidRDefault="004A0A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36A" w:rsidRDefault="004A0AB5">
    <w:pPr>
      <w:pStyle w:val="Header"/>
    </w:pPr>
  </w:p>
  <w:p w:rsidR="0007636A" w:rsidRDefault="004A0A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16" w:rsidRDefault="004A0AB5">
    <w:pPr>
      <w:pStyle w:val="Header"/>
    </w:pPr>
    <w:r w:rsidRPr="00FD38DA">
      <w:rPr>
        <w:rFonts w:ascii="Franklin Gothic Medium" w:eastAsia="SimHei" w:hAnsi="Franklin Gothic Medium" w:cs="Times New Roman"/>
        <w:caps/>
        <w:noProof/>
        <w:kern w:val="28"/>
        <w:sz w:val="56"/>
        <w:szCs w:val="56"/>
        <w:lang w:eastAsia="en-AU"/>
      </w:rPr>
      <mc:AlternateContent>
        <mc:Choice Requires="wps">
          <w:drawing>
            <wp:anchor distT="45720" distB="45720" distL="114300" distR="114300" simplePos="0" relativeHeight="251659264" behindDoc="0" locked="0" layoutInCell="1" allowOverlap="1" wp14:anchorId="68E14087" wp14:editId="24756FB5">
              <wp:simplePos x="0" y="0"/>
              <wp:positionH relativeFrom="column">
                <wp:posOffset>3445727</wp:posOffset>
              </wp:positionH>
              <wp:positionV relativeFrom="paragraph">
                <wp:posOffset>290226</wp:posOffset>
              </wp:positionV>
              <wp:extent cx="2807335" cy="467995"/>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467995"/>
                      </a:xfrm>
                      <a:prstGeom prst="rect">
                        <a:avLst/>
                      </a:prstGeom>
                      <a:solidFill>
                        <a:srgbClr val="FFFFFF"/>
                      </a:solidFill>
                      <a:ln w="9525">
                        <a:noFill/>
                        <a:miter lim="800000"/>
                        <a:headEnd/>
                        <a:tailEnd/>
                      </a:ln>
                    </wps:spPr>
                    <wps:txbx>
                      <w:txbxContent>
                        <w:p w:rsidR="00445062" w:rsidRPr="000908BF" w:rsidRDefault="004A0AB5" w:rsidP="00445062">
                          <w:pPr>
                            <w:jc w:val="center"/>
                            <w:rPr>
                              <w:rFonts w:ascii="Franklin Gothic Medium" w:eastAsia="SimHei" w:hAnsi="Franklin Gothic Medium" w:cs="Times New Roman"/>
                              <w:caps/>
                              <w:kern w:val="28"/>
                              <w:sz w:val="52"/>
                              <w:szCs w:val="48"/>
                              <w:lang w:val="en-US" w:eastAsia="ja-JP"/>
                            </w:rPr>
                          </w:pPr>
                          <w:r w:rsidRPr="000908BF">
                            <w:rPr>
                              <w:rFonts w:ascii="Franklin Gothic Medium" w:eastAsia="SimHei" w:hAnsi="Franklin Gothic Medium" w:cs="Times New Roman"/>
                              <w:caps/>
                              <w:kern w:val="28"/>
                              <w:sz w:val="52"/>
                              <w:szCs w:val="48"/>
                              <w:lang w:val="en-US" w:eastAsia="ja-JP"/>
                            </w:rPr>
                            <w:t>Meeting notes</w:t>
                          </w:r>
                        </w:p>
                        <w:p w:rsidR="00445062" w:rsidRDefault="004A0AB5" w:rsidP="004450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E14087" id="_x0000_t202" coordsize="21600,21600" o:spt="202" path="m,l,21600r21600,l21600,xe">
              <v:stroke joinstyle="miter"/>
              <v:path gradientshapeok="t" o:connecttype="rect"/>
            </v:shapetype>
            <v:shape id="Text Box 2" o:spid="_x0000_s1026" type="#_x0000_t202" style="position:absolute;margin-left:271.3pt;margin-top:22.85pt;width:221.05pt;height:36.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" stroked="f">
              <v:textbox>
                <w:txbxContent>
                  <w:p w:rsidR="00445062" w:rsidRPr="000908BF" w:rsidRDefault="004A0AB5" w:rsidP="00445062">
                    <w:pPr>
                      <w:jc w:val="center"/>
                      <w:rPr>
                        <w:rFonts w:ascii="Franklin Gothic Medium" w:eastAsia="SimHei" w:hAnsi="Franklin Gothic Medium" w:cs="Times New Roman"/>
                        <w:caps/>
                        <w:kern w:val="28"/>
                        <w:sz w:val="52"/>
                        <w:szCs w:val="48"/>
                        <w:lang w:val="en-US" w:eastAsia="ja-JP"/>
                      </w:rPr>
                    </w:pPr>
                    <w:r w:rsidRPr="000908BF">
                      <w:rPr>
                        <w:rFonts w:ascii="Franklin Gothic Medium" w:eastAsia="SimHei" w:hAnsi="Franklin Gothic Medium" w:cs="Times New Roman"/>
                        <w:caps/>
                        <w:kern w:val="28"/>
                        <w:sz w:val="52"/>
                        <w:szCs w:val="48"/>
                        <w:lang w:val="en-US" w:eastAsia="ja-JP"/>
                      </w:rPr>
                      <w:t>Meeting notes</w:t>
                    </w:r>
                  </w:p>
                  <w:p w:rsidR="00445062" w:rsidRDefault="004A0AB5" w:rsidP="00445062"/>
                </w:txbxContent>
              </v:textbox>
              <w10:wrap type="square"/>
            </v:shape>
          </w:pict>
        </mc:Fallback>
      </mc:AlternateContent>
    </w:r>
  </w:p>
  <w:p w:rsidR="00270716" w:rsidRDefault="004A0A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6637B"/>
    <w:multiLevelType w:val="hybridMultilevel"/>
    <w:tmpl w:val="589AA8E4"/>
    <w:lvl w:ilvl="0" w:tplc="96F81A38">
      <w:start w:val="1"/>
      <w:numFmt w:val="bullet"/>
      <w:lvlText w:val=""/>
      <w:lvlJc w:val="left"/>
      <w:pPr>
        <w:ind w:left="720" w:hanging="363"/>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E49151D"/>
    <w:multiLevelType w:val="hybridMultilevel"/>
    <w:tmpl w:val="5EEE4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C3028B"/>
    <w:multiLevelType w:val="hybridMultilevel"/>
    <w:tmpl w:val="AB6CB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6C7337"/>
    <w:multiLevelType w:val="hybridMultilevel"/>
    <w:tmpl w:val="9D22C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6E786C"/>
    <w:multiLevelType w:val="hybridMultilevel"/>
    <w:tmpl w:val="55E6C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290731"/>
    <w:multiLevelType w:val="hybridMultilevel"/>
    <w:tmpl w:val="32BE34CC"/>
    <w:lvl w:ilvl="0" w:tplc="EAAA1D3C">
      <w:start w:val="1"/>
      <w:numFmt w:val="bullet"/>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DE418E"/>
    <w:multiLevelType w:val="hybridMultilevel"/>
    <w:tmpl w:val="28DA8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7E5CB4"/>
    <w:multiLevelType w:val="hybridMultilevel"/>
    <w:tmpl w:val="7124C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7D4F41"/>
    <w:multiLevelType w:val="hybridMultilevel"/>
    <w:tmpl w:val="13BA08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4BE96EE2"/>
    <w:multiLevelType w:val="hybridMultilevel"/>
    <w:tmpl w:val="683AF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400CCE"/>
    <w:multiLevelType w:val="hybridMultilevel"/>
    <w:tmpl w:val="6C94FD8E"/>
    <w:lvl w:ilvl="0" w:tplc="E1BA2F6E">
      <w:start w:val="1"/>
      <w:numFmt w:val="decimal"/>
      <w:lvlText w:val="%1."/>
      <w:lvlJc w:val="left"/>
      <w:pPr>
        <w:ind w:left="360" w:hanging="360"/>
      </w:pPr>
      <w:rPr>
        <w:rFonts w:hint="default"/>
        <w:b/>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3E00854"/>
    <w:multiLevelType w:val="hybridMultilevel"/>
    <w:tmpl w:val="74149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9D58EF"/>
    <w:multiLevelType w:val="hybridMultilevel"/>
    <w:tmpl w:val="274602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5AAE7FEC"/>
    <w:multiLevelType w:val="hybridMultilevel"/>
    <w:tmpl w:val="BD224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9341AE"/>
    <w:multiLevelType w:val="hybridMultilevel"/>
    <w:tmpl w:val="6AC451E0"/>
    <w:lvl w:ilvl="0" w:tplc="16E4A468">
      <w:start w:val="1"/>
      <w:numFmt w:val="bullet"/>
      <w:lvlText w:val=""/>
      <w:lvlJc w:val="left"/>
      <w:pPr>
        <w:ind w:left="720" w:hanging="363"/>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618A2D15"/>
    <w:multiLevelType w:val="hybridMultilevel"/>
    <w:tmpl w:val="2408903A"/>
    <w:lvl w:ilvl="0" w:tplc="16E4A468">
      <w:start w:val="1"/>
      <w:numFmt w:val="bullet"/>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CA5181"/>
    <w:multiLevelType w:val="hybridMultilevel"/>
    <w:tmpl w:val="21C635DE"/>
    <w:lvl w:ilvl="0" w:tplc="4A144C84">
      <w:start w:val="1"/>
      <w:numFmt w:val="bullet"/>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783FCD"/>
    <w:multiLevelType w:val="hybridMultilevel"/>
    <w:tmpl w:val="12AEF0BC"/>
    <w:lvl w:ilvl="0" w:tplc="EAAA1D3C">
      <w:start w:val="1"/>
      <w:numFmt w:val="bullet"/>
      <w:lvlText w:val=""/>
      <w:lvlJc w:val="left"/>
      <w:pPr>
        <w:ind w:left="720" w:hanging="363"/>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A592213"/>
    <w:multiLevelType w:val="hybridMultilevel"/>
    <w:tmpl w:val="B3A0A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7D793B"/>
    <w:multiLevelType w:val="hybridMultilevel"/>
    <w:tmpl w:val="4ED80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2D6B71"/>
    <w:multiLevelType w:val="hybridMultilevel"/>
    <w:tmpl w:val="24DEBA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7"/>
  </w:num>
  <w:num w:numId="4">
    <w:abstractNumId w:val="19"/>
  </w:num>
  <w:num w:numId="5">
    <w:abstractNumId w:val="1"/>
  </w:num>
  <w:num w:numId="6">
    <w:abstractNumId w:val="8"/>
  </w:num>
  <w:num w:numId="7">
    <w:abstractNumId w:val="12"/>
  </w:num>
  <w:num w:numId="8">
    <w:abstractNumId w:val="4"/>
  </w:num>
  <w:num w:numId="9">
    <w:abstractNumId w:val="3"/>
  </w:num>
  <w:num w:numId="10">
    <w:abstractNumId w:val="13"/>
  </w:num>
  <w:num w:numId="11">
    <w:abstractNumId w:val="9"/>
  </w:num>
  <w:num w:numId="12">
    <w:abstractNumId w:val="18"/>
  </w:num>
  <w:num w:numId="13">
    <w:abstractNumId w:val="6"/>
  </w:num>
  <w:num w:numId="14">
    <w:abstractNumId w:val="2"/>
  </w:num>
  <w:num w:numId="15">
    <w:abstractNumId w:val="11"/>
  </w:num>
  <w:num w:numId="16">
    <w:abstractNumId w:val="14"/>
  </w:num>
  <w:num w:numId="17">
    <w:abstractNumId w:val="15"/>
  </w:num>
  <w:num w:numId="18">
    <w:abstractNumId w:val="0"/>
  </w:num>
  <w:num w:numId="19">
    <w:abstractNumId w:val="16"/>
  </w:num>
  <w:num w:numId="20">
    <w:abstractNumId w:val="1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AB5"/>
    <w:rsid w:val="004559D8"/>
    <w:rsid w:val="004A0AB5"/>
    <w:rsid w:val="00DC5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8C4E3-9157-4E7E-A38B-C2D9179F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AB5"/>
    <w:pPr>
      <w:spacing w:after="120" w:line="276" w:lineRule="auto"/>
    </w:pPr>
    <w:rPr>
      <w:sz w:val="20"/>
    </w:rPr>
  </w:style>
  <w:style w:type="paragraph" w:styleId="Heading2">
    <w:name w:val="heading 2"/>
    <w:basedOn w:val="Normal"/>
    <w:next w:val="Normal"/>
    <w:link w:val="Heading2Char"/>
    <w:uiPriority w:val="9"/>
    <w:unhideWhenUsed/>
    <w:qFormat/>
    <w:rsid w:val="004A0AB5"/>
    <w:pPr>
      <w:keepNext/>
      <w:keepLines/>
      <w:spacing w:before="200" w:after="0"/>
      <w:outlineLvl w:val="1"/>
    </w:pPr>
    <w:rPr>
      <w:rFonts w:asciiTheme="majorHAnsi" w:eastAsiaTheme="majorEastAsia" w:hAnsiTheme="majorHAnsi" w:cstheme="majorBidi"/>
      <w:b/>
      <w:bCs/>
      <w:color w:val="5B9BD5" w:themeColor="accent1"/>
      <w:sz w:val="24"/>
      <w:szCs w:val="26"/>
    </w:rPr>
  </w:style>
  <w:style w:type="paragraph" w:styleId="Heading3">
    <w:name w:val="heading 3"/>
    <w:basedOn w:val="Normal"/>
    <w:next w:val="Normal"/>
    <w:link w:val="Heading3Char"/>
    <w:uiPriority w:val="9"/>
    <w:unhideWhenUsed/>
    <w:qFormat/>
    <w:rsid w:val="004A0AB5"/>
    <w:pPr>
      <w:keepNext/>
      <w:keepLines/>
      <w:spacing w:before="200" w:after="0"/>
      <w:outlineLvl w:val="2"/>
    </w:pPr>
    <w:rPr>
      <w:rFonts w:asciiTheme="majorHAnsi" w:eastAsiaTheme="majorEastAsia" w:hAnsiTheme="majorHAnsi" w:cstheme="majorBidi"/>
      <w:b/>
      <w:bCs/>
      <w:i/>
      <w:color w:val="5B9BD5" w:themeColor="accent1"/>
      <w:sz w:val="22"/>
      <w:szCs w:val="24"/>
    </w:rPr>
  </w:style>
  <w:style w:type="paragraph" w:styleId="Heading4">
    <w:name w:val="heading 4"/>
    <w:basedOn w:val="Normal"/>
    <w:next w:val="Normal"/>
    <w:link w:val="Heading4Char"/>
    <w:uiPriority w:val="9"/>
    <w:unhideWhenUsed/>
    <w:qFormat/>
    <w:rsid w:val="004A0AB5"/>
    <w:pPr>
      <w:keepNext/>
      <w:keepLines/>
      <w:spacing w:before="200" w:after="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0AB5"/>
    <w:rPr>
      <w:rFonts w:asciiTheme="majorHAnsi" w:eastAsiaTheme="majorEastAsia" w:hAnsiTheme="majorHAnsi" w:cstheme="majorBidi"/>
      <w:b/>
      <w:bCs/>
      <w:color w:val="5B9BD5" w:themeColor="accent1"/>
      <w:sz w:val="24"/>
      <w:szCs w:val="26"/>
    </w:rPr>
  </w:style>
  <w:style w:type="character" w:customStyle="1" w:styleId="Heading3Char">
    <w:name w:val="Heading 3 Char"/>
    <w:basedOn w:val="DefaultParagraphFont"/>
    <w:link w:val="Heading3"/>
    <w:uiPriority w:val="9"/>
    <w:rsid w:val="004A0AB5"/>
    <w:rPr>
      <w:rFonts w:asciiTheme="majorHAnsi" w:eastAsiaTheme="majorEastAsia" w:hAnsiTheme="majorHAnsi" w:cstheme="majorBidi"/>
      <w:b/>
      <w:bCs/>
      <w:i/>
      <w:color w:val="5B9BD5" w:themeColor="accent1"/>
      <w:szCs w:val="24"/>
    </w:rPr>
  </w:style>
  <w:style w:type="character" w:customStyle="1" w:styleId="Heading4Char">
    <w:name w:val="Heading 4 Char"/>
    <w:basedOn w:val="DefaultParagraphFont"/>
    <w:link w:val="Heading4"/>
    <w:uiPriority w:val="9"/>
    <w:rsid w:val="004A0AB5"/>
    <w:rPr>
      <w:rFonts w:asciiTheme="majorHAnsi" w:eastAsiaTheme="majorEastAsia" w:hAnsiTheme="majorHAnsi" w:cstheme="majorBidi"/>
      <w:b/>
      <w:bCs/>
      <w:i/>
      <w:iCs/>
      <w:sz w:val="20"/>
    </w:rPr>
  </w:style>
  <w:style w:type="table" w:customStyle="1" w:styleId="Style1">
    <w:name w:val="Style1"/>
    <w:basedOn w:val="TableNormal"/>
    <w:uiPriority w:val="99"/>
    <w:rsid w:val="004A0AB5"/>
    <w:pPr>
      <w:spacing w:after="0" w:line="240" w:lineRule="auto"/>
    </w:pPr>
    <w:rPr>
      <w:rFonts w:ascii="Arial" w:hAnsi="Arial"/>
      <w:color w:val="000000" w:themeColor="text1"/>
      <w:sz w:val="20"/>
    </w:rPr>
    <w:tblPr>
      <w:tblBorders>
        <w:bottom w:val="single" w:sz="2" w:space="0" w:color="5B9BD5" w:themeColor="accent1"/>
        <w:insideH w:val="single" w:sz="2" w:space="0" w:color="5B9BD5"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5B9BD5" w:themeFill="accent1"/>
      </w:tcPr>
    </w:tblStylePr>
    <w:tblStylePr w:type="lastRow">
      <w:pPr>
        <w:jc w:val="left"/>
      </w:pPr>
      <w:rPr>
        <w:rFonts w:ascii="Arial" w:hAnsi="Arial"/>
        <w:b/>
      </w:rPr>
    </w:tblStylePr>
    <w:tblStylePr w:type="firstCol">
      <w:rPr>
        <w:b/>
      </w:rPr>
    </w:tblStylePr>
  </w:style>
  <w:style w:type="paragraph" w:styleId="Header">
    <w:name w:val="header"/>
    <w:basedOn w:val="Normal"/>
    <w:link w:val="HeaderChar"/>
    <w:unhideWhenUsed/>
    <w:rsid w:val="004A0AB5"/>
    <w:pPr>
      <w:tabs>
        <w:tab w:val="center" w:pos="4320"/>
        <w:tab w:val="right" w:pos="8640"/>
      </w:tabs>
      <w:spacing w:after="0" w:line="240" w:lineRule="auto"/>
    </w:pPr>
  </w:style>
  <w:style w:type="character" w:customStyle="1" w:styleId="HeaderChar">
    <w:name w:val="Header Char"/>
    <w:basedOn w:val="DefaultParagraphFont"/>
    <w:link w:val="Header"/>
    <w:rsid w:val="004A0AB5"/>
    <w:rPr>
      <w:sz w:val="20"/>
    </w:rPr>
  </w:style>
  <w:style w:type="paragraph" w:styleId="Footer">
    <w:name w:val="footer"/>
    <w:basedOn w:val="Normal"/>
    <w:link w:val="FooterChar"/>
    <w:uiPriority w:val="99"/>
    <w:unhideWhenUsed/>
    <w:rsid w:val="004A0AB5"/>
    <w:pPr>
      <w:tabs>
        <w:tab w:val="center" w:pos="4320"/>
        <w:tab w:val="right" w:pos="8640"/>
      </w:tabs>
      <w:spacing w:after="0" w:line="240" w:lineRule="auto"/>
    </w:pPr>
  </w:style>
  <w:style w:type="character" w:customStyle="1" w:styleId="FooterChar">
    <w:name w:val="Footer Char"/>
    <w:basedOn w:val="DefaultParagraphFont"/>
    <w:link w:val="Footer"/>
    <w:uiPriority w:val="99"/>
    <w:rsid w:val="004A0AB5"/>
    <w:rPr>
      <w:sz w:val="20"/>
    </w:rPr>
  </w:style>
  <w:style w:type="paragraph" w:styleId="ListParagraph">
    <w:name w:val="List Paragraph"/>
    <w:aliases w:val="Bulleted Para,CV text,DH1,Dot pt,F5 List Paragraph,FooterText,L,List Paragraph1,List Paragraph11,List Paragraph111,List Paragraph2,NFP GP Bulleted List,Numbered Paragraph,Paragraphe de liste1,Recommendation,numbered,列出段落,列出段落1,AR bullet 1"/>
    <w:basedOn w:val="ListBullet"/>
    <w:link w:val="ListParagraphChar"/>
    <w:uiPriority w:val="34"/>
    <w:qFormat/>
    <w:rsid w:val="004A0AB5"/>
    <w:pPr>
      <w:numPr>
        <w:numId w:val="0"/>
      </w:numPr>
      <w:spacing w:after="0" w:line="300" w:lineRule="exact"/>
      <w:ind w:left="360" w:hanging="360"/>
    </w:pPr>
    <w:rPr>
      <w:rFonts w:eastAsia="Times New Roman" w:cs="Times New Roman"/>
      <w:color w:val="000000"/>
      <w:sz w:val="22"/>
      <w:szCs w:val="24"/>
    </w:rPr>
  </w:style>
  <w:style w:type="character" w:customStyle="1" w:styleId="ListParagraphChar">
    <w:name w:val="List Paragraph Char"/>
    <w:aliases w:val="Bulleted Para Char,CV text Char,DH1 Char,Dot pt Char,F5 List Paragraph Char,FooterText Char,L Char,List Paragraph1 Char,List Paragraph11 Char,List Paragraph111 Char,List Paragraph2 Char,NFP GP Bulleted List Char,Recommendation Char"/>
    <w:link w:val="ListParagraph"/>
    <w:uiPriority w:val="34"/>
    <w:qFormat/>
    <w:rsid w:val="004A0AB5"/>
    <w:rPr>
      <w:rFonts w:eastAsia="Times New Roman" w:cs="Times New Roman"/>
      <w:color w:val="000000"/>
      <w:szCs w:val="24"/>
    </w:rPr>
  </w:style>
  <w:style w:type="paragraph" w:styleId="ListBullet">
    <w:name w:val="List Bullet"/>
    <w:basedOn w:val="Normal"/>
    <w:uiPriority w:val="99"/>
    <w:semiHidden/>
    <w:unhideWhenUsed/>
    <w:rsid w:val="004A0AB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pn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Sophie</dc:creator>
  <cp:keywords/>
  <dc:description/>
  <cp:lastModifiedBy>Francis, Sophie</cp:lastModifiedBy>
  <cp:revision>1</cp:revision>
  <dcterms:created xsi:type="dcterms:W3CDTF">2020-08-07T05:31:00Z</dcterms:created>
  <dcterms:modified xsi:type="dcterms:W3CDTF">2020-08-07T05:32:00Z</dcterms:modified>
</cp:coreProperties>
</file>