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EC2EE" w14:textId="26CEEE8C" w:rsidR="00134C35" w:rsidRPr="00134C35" w:rsidRDefault="00134C35" w:rsidP="00134C35">
      <w:pPr>
        <w:pStyle w:val="Title"/>
        <w:spacing w:before="0" w:after="240" w:line="259" w:lineRule="auto"/>
        <w:rPr>
          <w:rFonts w:ascii="Calibri" w:hAnsi="Calibri" w:cs="Calibri"/>
          <w:sz w:val="32"/>
          <w:szCs w:val="32"/>
        </w:rPr>
      </w:pPr>
      <w:r>
        <w:rPr>
          <w:noProof/>
          <w:lang w:eastAsia="en-AU"/>
        </w:rPr>
        <w:drawing>
          <wp:inline distT="0" distB="0" distL="0" distR="0" wp14:anchorId="61AC2F82" wp14:editId="5950F995">
            <wp:extent cx="4401321" cy="679705"/>
            <wp:effectExtent l="0" t="0" r="0" b="6350"/>
            <wp:docPr id="6" name="Picture 6" descr="National Measurement Institute and Department of Industry, Science, Energy and Resources Logo" title="National Measurement Institute and Department of Industry, Science, Energy and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MILogoTripleLineRGB.png"/>
                    <pic:cNvPicPr/>
                  </pic:nvPicPr>
                  <pic:blipFill>
                    <a:blip r:embed="rId12">
                      <a:extLst>
                        <a:ext uri="{28A0092B-C50C-407E-A947-70E740481C1C}">
                          <a14:useLocalDpi xmlns:a14="http://schemas.microsoft.com/office/drawing/2010/main" val="0"/>
                        </a:ext>
                      </a:extLst>
                    </a:blip>
                    <a:stretch>
                      <a:fillRect/>
                    </a:stretch>
                  </pic:blipFill>
                  <pic:spPr>
                    <a:xfrm>
                      <a:off x="0" y="0"/>
                      <a:ext cx="4401321" cy="679705"/>
                    </a:xfrm>
                    <a:prstGeom prst="rect">
                      <a:avLst/>
                    </a:prstGeom>
                  </pic:spPr>
                </pic:pic>
              </a:graphicData>
            </a:graphic>
          </wp:inline>
        </w:drawing>
      </w:r>
    </w:p>
    <w:p w14:paraId="6AB0365C" w14:textId="3260ECA9" w:rsidR="00483A9D" w:rsidRPr="00D73C86" w:rsidRDefault="006025AF" w:rsidP="00134C35">
      <w:pPr>
        <w:pStyle w:val="Title"/>
        <w:spacing w:before="600" w:after="120"/>
        <w:contextualSpacing w:val="0"/>
        <w:rPr>
          <w:sz w:val="44"/>
          <w:szCs w:val="44"/>
        </w:rPr>
      </w:pPr>
      <w:r w:rsidRPr="00D73C86">
        <w:rPr>
          <w:sz w:val="44"/>
          <w:szCs w:val="44"/>
        </w:rPr>
        <w:t xml:space="preserve">Industry Consultation </w:t>
      </w:r>
      <w:r w:rsidR="0007466D" w:rsidRPr="00D73C86">
        <w:rPr>
          <w:sz w:val="44"/>
          <w:szCs w:val="44"/>
        </w:rPr>
        <w:t xml:space="preserve">Third Party </w:t>
      </w:r>
      <w:r w:rsidRPr="00D73C86">
        <w:rPr>
          <w:sz w:val="44"/>
          <w:szCs w:val="44"/>
        </w:rPr>
        <w:t xml:space="preserve">Forums </w:t>
      </w:r>
    </w:p>
    <w:p w14:paraId="0116B67A" w14:textId="5F6312C0" w:rsidR="00E02ABE" w:rsidRPr="00E02ABE" w:rsidRDefault="00E02ABE" w:rsidP="00FC3617">
      <w:pPr>
        <w:spacing w:after="0" w:line="259" w:lineRule="auto"/>
        <w:rPr>
          <w:rFonts w:ascii="Calibri" w:hAnsi="Calibri" w:cs="Calibri"/>
          <w:b/>
          <w:color w:val="7C1222"/>
          <w:sz w:val="28"/>
          <w:szCs w:val="28"/>
        </w:rPr>
      </w:pPr>
      <w:r w:rsidRPr="00E02ABE">
        <w:rPr>
          <w:rFonts w:ascii="Calibri" w:hAnsi="Calibri" w:cs="Calibri"/>
          <w:b/>
          <w:color w:val="7C1222"/>
          <w:sz w:val="28"/>
          <w:szCs w:val="28"/>
        </w:rPr>
        <w:t>Measurement Law Review</w:t>
      </w:r>
      <w:bookmarkStart w:id="0" w:name="_GoBack"/>
      <w:bookmarkEnd w:id="0"/>
    </w:p>
    <w:p w14:paraId="05224490" w14:textId="54DD9430" w:rsidR="00483A9D" w:rsidRPr="000971A8" w:rsidRDefault="00483A9D" w:rsidP="00FC3617">
      <w:pPr>
        <w:spacing w:after="0" w:line="259" w:lineRule="auto"/>
        <w:rPr>
          <w:rFonts w:ascii="Calibri" w:hAnsi="Calibri" w:cs="Calibri"/>
          <w:b/>
          <w:color w:val="7C1222"/>
          <w:sz w:val="24"/>
          <w:szCs w:val="24"/>
        </w:rPr>
      </w:pPr>
      <w:r w:rsidRPr="000971A8">
        <w:rPr>
          <w:rFonts w:ascii="Calibri" w:hAnsi="Calibri" w:cs="Calibri"/>
          <w:b/>
          <w:color w:val="7C1222"/>
          <w:sz w:val="24"/>
          <w:szCs w:val="24"/>
        </w:rPr>
        <w:t xml:space="preserve">14 November – </w:t>
      </w:r>
      <w:r w:rsidR="0007466D" w:rsidRPr="000971A8">
        <w:rPr>
          <w:rFonts w:ascii="Calibri" w:hAnsi="Calibri" w:cs="Calibri"/>
          <w:b/>
          <w:color w:val="7C1222"/>
          <w:sz w:val="24"/>
          <w:szCs w:val="24"/>
        </w:rPr>
        <w:t>5</w:t>
      </w:r>
      <w:r w:rsidR="006756FB">
        <w:rPr>
          <w:rFonts w:ascii="Calibri" w:hAnsi="Calibri" w:cs="Calibri"/>
          <w:b/>
          <w:color w:val="7C1222"/>
          <w:sz w:val="24"/>
          <w:szCs w:val="24"/>
        </w:rPr>
        <w:t xml:space="preserve"> December 2019</w:t>
      </w:r>
    </w:p>
    <w:p w14:paraId="323F5DAA" w14:textId="77777777" w:rsidR="004F1DB9" w:rsidRPr="000971A8" w:rsidRDefault="004F1DB9" w:rsidP="00FC3617">
      <w:pPr>
        <w:spacing w:after="0" w:line="259" w:lineRule="auto"/>
        <w:rPr>
          <w:rFonts w:ascii="Calibri" w:hAnsi="Calibri" w:cs="Calibri"/>
          <w:b/>
          <w:color w:val="7C1222"/>
          <w:sz w:val="24"/>
          <w:szCs w:val="24"/>
        </w:rPr>
      </w:pPr>
    </w:p>
    <w:sdt>
      <w:sdtPr>
        <w:rPr>
          <w:rFonts w:ascii="Calibri" w:eastAsiaTheme="minorHAnsi" w:hAnsi="Calibri" w:cs="Calibri"/>
          <w:b w:val="0"/>
          <w:bCs w:val="0"/>
          <w:color w:val="auto"/>
          <w:sz w:val="22"/>
          <w:szCs w:val="22"/>
          <w:lang w:val="en-AU" w:eastAsia="en-US"/>
        </w:rPr>
        <w:id w:val="331729298"/>
        <w:docPartObj>
          <w:docPartGallery w:val="Table of Contents"/>
          <w:docPartUnique/>
        </w:docPartObj>
      </w:sdtPr>
      <w:sdtEndPr>
        <w:rPr>
          <w:noProof/>
          <w:sz w:val="20"/>
        </w:rPr>
      </w:sdtEndPr>
      <w:sdtContent>
        <w:p w14:paraId="0EACF353" w14:textId="77777777" w:rsidR="00483A9D" w:rsidRPr="000971A8" w:rsidRDefault="00483A9D" w:rsidP="00FC3617">
          <w:pPr>
            <w:pStyle w:val="TOCHeading"/>
            <w:spacing w:before="240" w:after="0" w:line="259" w:lineRule="auto"/>
            <w:rPr>
              <w:rFonts w:ascii="Calibri" w:hAnsi="Calibri" w:cs="Calibri"/>
            </w:rPr>
          </w:pPr>
          <w:r w:rsidRPr="000971A8">
            <w:rPr>
              <w:rFonts w:ascii="Calibri" w:hAnsi="Calibri" w:cs="Calibri"/>
            </w:rPr>
            <w:t>Contents</w:t>
          </w:r>
        </w:p>
        <w:p w14:paraId="7506659C" w14:textId="77777777" w:rsidR="00E61841" w:rsidRDefault="00483A9D">
          <w:pPr>
            <w:pStyle w:val="TOC1"/>
            <w:tabs>
              <w:tab w:val="left" w:pos="660"/>
              <w:tab w:val="right" w:leader="dot" w:pos="9016"/>
            </w:tabs>
            <w:rPr>
              <w:rFonts w:eastAsiaTheme="minorEastAsia"/>
              <w:noProof/>
              <w:sz w:val="22"/>
              <w:lang w:eastAsia="en-AU"/>
            </w:rPr>
          </w:pPr>
          <w:r w:rsidRPr="000971A8">
            <w:rPr>
              <w:rFonts w:ascii="Calibri" w:hAnsi="Calibri" w:cs="Calibri"/>
              <w:b/>
              <w:bCs/>
              <w:noProof/>
            </w:rPr>
            <w:fldChar w:fldCharType="begin"/>
          </w:r>
          <w:r w:rsidRPr="000971A8">
            <w:rPr>
              <w:rFonts w:ascii="Calibri" w:hAnsi="Calibri" w:cs="Calibri"/>
              <w:b/>
              <w:bCs/>
              <w:noProof/>
            </w:rPr>
            <w:instrText xml:space="preserve"> TOC \o "1-3" \h \z \u </w:instrText>
          </w:r>
          <w:r w:rsidRPr="000971A8">
            <w:rPr>
              <w:rFonts w:ascii="Calibri" w:hAnsi="Calibri" w:cs="Calibri"/>
              <w:b/>
              <w:bCs/>
              <w:noProof/>
            </w:rPr>
            <w:fldChar w:fldCharType="separate"/>
          </w:r>
          <w:hyperlink w:anchor="_Toc50541014" w:history="1">
            <w:r w:rsidR="00E61841" w:rsidRPr="00FD2614">
              <w:rPr>
                <w:rStyle w:val="Hyperlink"/>
                <w:noProof/>
              </w:rPr>
              <w:t>1.</w:t>
            </w:r>
            <w:r w:rsidR="00E61841">
              <w:rPr>
                <w:rFonts w:eastAsiaTheme="minorEastAsia"/>
                <w:noProof/>
                <w:sz w:val="22"/>
                <w:lang w:eastAsia="en-AU"/>
              </w:rPr>
              <w:tab/>
            </w:r>
            <w:r w:rsidR="00E61841" w:rsidRPr="00FD2614">
              <w:rPr>
                <w:rStyle w:val="Hyperlink"/>
                <w:noProof/>
              </w:rPr>
              <w:t>Overview and Attendees</w:t>
            </w:r>
            <w:r w:rsidR="00E61841">
              <w:rPr>
                <w:noProof/>
                <w:webHidden/>
              </w:rPr>
              <w:tab/>
            </w:r>
            <w:r w:rsidR="00E61841">
              <w:rPr>
                <w:noProof/>
                <w:webHidden/>
              </w:rPr>
              <w:fldChar w:fldCharType="begin"/>
            </w:r>
            <w:r w:rsidR="00E61841">
              <w:rPr>
                <w:noProof/>
                <w:webHidden/>
              </w:rPr>
              <w:instrText xml:space="preserve"> PAGEREF _Toc50541014 \h </w:instrText>
            </w:r>
            <w:r w:rsidR="00E61841">
              <w:rPr>
                <w:noProof/>
                <w:webHidden/>
              </w:rPr>
            </w:r>
            <w:r w:rsidR="00E61841">
              <w:rPr>
                <w:noProof/>
                <w:webHidden/>
              </w:rPr>
              <w:fldChar w:fldCharType="separate"/>
            </w:r>
            <w:r w:rsidR="004E5DDC">
              <w:rPr>
                <w:noProof/>
                <w:webHidden/>
              </w:rPr>
              <w:t>1</w:t>
            </w:r>
            <w:r w:rsidR="00E61841">
              <w:rPr>
                <w:noProof/>
                <w:webHidden/>
              </w:rPr>
              <w:fldChar w:fldCharType="end"/>
            </w:r>
          </w:hyperlink>
        </w:p>
        <w:p w14:paraId="11750C42" w14:textId="77777777" w:rsidR="00E61841" w:rsidRDefault="004E5DDC">
          <w:pPr>
            <w:pStyle w:val="TOC1"/>
            <w:tabs>
              <w:tab w:val="left" w:pos="660"/>
              <w:tab w:val="right" w:leader="dot" w:pos="9016"/>
            </w:tabs>
            <w:rPr>
              <w:rFonts w:eastAsiaTheme="minorEastAsia"/>
              <w:noProof/>
              <w:sz w:val="22"/>
              <w:lang w:eastAsia="en-AU"/>
            </w:rPr>
          </w:pPr>
          <w:hyperlink w:anchor="_Toc50541015" w:history="1">
            <w:r w:rsidR="00E61841" w:rsidRPr="00FD2614">
              <w:rPr>
                <w:rStyle w:val="Hyperlink"/>
                <w:noProof/>
              </w:rPr>
              <w:t>2.</w:t>
            </w:r>
            <w:r w:rsidR="00E61841">
              <w:rPr>
                <w:rFonts w:eastAsiaTheme="minorEastAsia"/>
                <w:noProof/>
                <w:sz w:val="22"/>
                <w:lang w:eastAsia="en-AU"/>
              </w:rPr>
              <w:tab/>
            </w:r>
            <w:r w:rsidR="00E61841" w:rsidRPr="00FD2614">
              <w:rPr>
                <w:rStyle w:val="Hyperlink"/>
                <w:noProof/>
              </w:rPr>
              <w:t>Servicing Licensees</w:t>
            </w:r>
            <w:r w:rsidR="00E61841">
              <w:rPr>
                <w:noProof/>
                <w:webHidden/>
              </w:rPr>
              <w:tab/>
            </w:r>
            <w:r w:rsidR="00E61841">
              <w:rPr>
                <w:noProof/>
                <w:webHidden/>
              </w:rPr>
              <w:fldChar w:fldCharType="begin"/>
            </w:r>
            <w:r w:rsidR="00E61841">
              <w:rPr>
                <w:noProof/>
                <w:webHidden/>
              </w:rPr>
              <w:instrText xml:space="preserve"> PAGEREF _Toc50541015 \h </w:instrText>
            </w:r>
            <w:r w:rsidR="00E61841">
              <w:rPr>
                <w:noProof/>
                <w:webHidden/>
              </w:rPr>
            </w:r>
            <w:r w:rsidR="00E61841">
              <w:rPr>
                <w:noProof/>
                <w:webHidden/>
              </w:rPr>
              <w:fldChar w:fldCharType="separate"/>
            </w:r>
            <w:r>
              <w:rPr>
                <w:noProof/>
                <w:webHidden/>
              </w:rPr>
              <w:t>2</w:t>
            </w:r>
            <w:r w:rsidR="00E61841">
              <w:rPr>
                <w:noProof/>
                <w:webHidden/>
              </w:rPr>
              <w:fldChar w:fldCharType="end"/>
            </w:r>
          </w:hyperlink>
        </w:p>
        <w:p w14:paraId="5263F9BF" w14:textId="77777777" w:rsidR="00E61841" w:rsidRDefault="004E5DDC">
          <w:pPr>
            <w:pStyle w:val="TOC3"/>
            <w:tabs>
              <w:tab w:val="right" w:leader="dot" w:pos="9016"/>
            </w:tabs>
            <w:rPr>
              <w:rFonts w:eastAsiaTheme="minorEastAsia"/>
              <w:noProof/>
              <w:sz w:val="22"/>
              <w:lang w:eastAsia="en-AU"/>
            </w:rPr>
          </w:pPr>
          <w:hyperlink w:anchor="_Toc50541016" w:history="1">
            <w:r w:rsidR="00E61841" w:rsidRPr="00FD2614">
              <w:rPr>
                <w:rStyle w:val="Hyperlink"/>
                <w:noProof/>
              </w:rPr>
              <w:t>2.1 Verification and Re-verification</w:t>
            </w:r>
            <w:r w:rsidR="00E61841">
              <w:rPr>
                <w:noProof/>
                <w:webHidden/>
              </w:rPr>
              <w:tab/>
            </w:r>
            <w:r w:rsidR="00E61841">
              <w:rPr>
                <w:noProof/>
                <w:webHidden/>
              </w:rPr>
              <w:fldChar w:fldCharType="begin"/>
            </w:r>
            <w:r w:rsidR="00E61841">
              <w:rPr>
                <w:noProof/>
                <w:webHidden/>
              </w:rPr>
              <w:instrText xml:space="preserve"> PAGEREF _Toc50541016 \h </w:instrText>
            </w:r>
            <w:r w:rsidR="00E61841">
              <w:rPr>
                <w:noProof/>
                <w:webHidden/>
              </w:rPr>
            </w:r>
            <w:r w:rsidR="00E61841">
              <w:rPr>
                <w:noProof/>
                <w:webHidden/>
              </w:rPr>
              <w:fldChar w:fldCharType="separate"/>
            </w:r>
            <w:r>
              <w:rPr>
                <w:noProof/>
                <w:webHidden/>
              </w:rPr>
              <w:t>3</w:t>
            </w:r>
            <w:r w:rsidR="00E61841">
              <w:rPr>
                <w:noProof/>
                <w:webHidden/>
              </w:rPr>
              <w:fldChar w:fldCharType="end"/>
            </w:r>
          </w:hyperlink>
        </w:p>
        <w:p w14:paraId="6070EFF3" w14:textId="77777777" w:rsidR="00E61841" w:rsidRDefault="004E5DDC">
          <w:pPr>
            <w:pStyle w:val="TOC3"/>
            <w:tabs>
              <w:tab w:val="right" w:leader="dot" w:pos="9016"/>
            </w:tabs>
            <w:rPr>
              <w:rFonts w:eastAsiaTheme="minorEastAsia"/>
              <w:noProof/>
              <w:sz w:val="22"/>
              <w:lang w:eastAsia="en-AU"/>
            </w:rPr>
          </w:pPr>
          <w:hyperlink w:anchor="_Toc50541017" w:history="1">
            <w:r w:rsidR="00E61841" w:rsidRPr="00FD2614">
              <w:rPr>
                <w:rStyle w:val="Hyperlink"/>
                <w:noProof/>
              </w:rPr>
              <w:t>2.2 Competency</w:t>
            </w:r>
            <w:r w:rsidR="00E61841">
              <w:rPr>
                <w:noProof/>
                <w:webHidden/>
              </w:rPr>
              <w:tab/>
            </w:r>
            <w:r w:rsidR="00E61841">
              <w:rPr>
                <w:noProof/>
                <w:webHidden/>
              </w:rPr>
              <w:fldChar w:fldCharType="begin"/>
            </w:r>
            <w:r w:rsidR="00E61841">
              <w:rPr>
                <w:noProof/>
                <w:webHidden/>
              </w:rPr>
              <w:instrText xml:space="preserve"> PAGEREF _Toc50541017 \h </w:instrText>
            </w:r>
            <w:r w:rsidR="00E61841">
              <w:rPr>
                <w:noProof/>
                <w:webHidden/>
              </w:rPr>
            </w:r>
            <w:r w:rsidR="00E61841">
              <w:rPr>
                <w:noProof/>
                <w:webHidden/>
              </w:rPr>
              <w:fldChar w:fldCharType="separate"/>
            </w:r>
            <w:r>
              <w:rPr>
                <w:noProof/>
                <w:webHidden/>
              </w:rPr>
              <w:t>3</w:t>
            </w:r>
            <w:r w:rsidR="00E61841">
              <w:rPr>
                <w:noProof/>
                <w:webHidden/>
              </w:rPr>
              <w:fldChar w:fldCharType="end"/>
            </w:r>
          </w:hyperlink>
        </w:p>
        <w:p w14:paraId="67B215C4" w14:textId="77777777" w:rsidR="00E61841" w:rsidRDefault="004E5DDC">
          <w:pPr>
            <w:pStyle w:val="TOC3"/>
            <w:tabs>
              <w:tab w:val="right" w:leader="dot" w:pos="9016"/>
            </w:tabs>
            <w:rPr>
              <w:rFonts w:eastAsiaTheme="minorEastAsia"/>
              <w:noProof/>
              <w:sz w:val="22"/>
              <w:lang w:eastAsia="en-AU"/>
            </w:rPr>
          </w:pPr>
          <w:hyperlink w:anchor="_Toc50541018" w:history="1">
            <w:r w:rsidR="00E61841" w:rsidRPr="00FD2614">
              <w:rPr>
                <w:rStyle w:val="Hyperlink"/>
                <w:noProof/>
              </w:rPr>
              <w:t>2.3 Prescriptiveness</w:t>
            </w:r>
            <w:r w:rsidR="00E61841">
              <w:rPr>
                <w:noProof/>
                <w:webHidden/>
              </w:rPr>
              <w:tab/>
            </w:r>
            <w:r w:rsidR="00E61841">
              <w:rPr>
                <w:noProof/>
                <w:webHidden/>
              </w:rPr>
              <w:fldChar w:fldCharType="begin"/>
            </w:r>
            <w:r w:rsidR="00E61841">
              <w:rPr>
                <w:noProof/>
                <w:webHidden/>
              </w:rPr>
              <w:instrText xml:space="preserve"> PAGEREF _Toc50541018 \h </w:instrText>
            </w:r>
            <w:r w:rsidR="00E61841">
              <w:rPr>
                <w:noProof/>
                <w:webHidden/>
              </w:rPr>
            </w:r>
            <w:r w:rsidR="00E61841">
              <w:rPr>
                <w:noProof/>
                <w:webHidden/>
              </w:rPr>
              <w:fldChar w:fldCharType="separate"/>
            </w:r>
            <w:r>
              <w:rPr>
                <w:noProof/>
                <w:webHidden/>
              </w:rPr>
              <w:t>3</w:t>
            </w:r>
            <w:r w:rsidR="00E61841">
              <w:rPr>
                <w:noProof/>
                <w:webHidden/>
              </w:rPr>
              <w:fldChar w:fldCharType="end"/>
            </w:r>
          </w:hyperlink>
        </w:p>
        <w:p w14:paraId="35F9EDE6" w14:textId="77777777" w:rsidR="00E61841" w:rsidRDefault="004E5DDC">
          <w:pPr>
            <w:pStyle w:val="TOC3"/>
            <w:tabs>
              <w:tab w:val="right" w:leader="dot" w:pos="9016"/>
            </w:tabs>
            <w:rPr>
              <w:rFonts w:eastAsiaTheme="minorEastAsia"/>
              <w:noProof/>
              <w:sz w:val="22"/>
              <w:lang w:eastAsia="en-AU"/>
            </w:rPr>
          </w:pPr>
          <w:hyperlink w:anchor="_Toc50541019" w:history="1">
            <w:r w:rsidR="00E61841" w:rsidRPr="00FD2614">
              <w:rPr>
                <w:rStyle w:val="Hyperlink"/>
                <w:noProof/>
              </w:rPr>
              <w:t>2.4 Compliance and Enforcement</w:t>
            </w:r>
            <w:r w:rsidR="00E61841">
              <w:rPr>
                <w:noProof/>
                <w:webHidden/>
              </w:rPr>
              <w:tab/>
            </w:r>
            <w:r w:rsidR="00E61841">
              <w:rPr>
                <w:noProof/>
                <w:webHidden/>
              </w:rPr>
              <w:fldChar w:fldCharType="begin"/>
            </w:r>
            <w:r w:rsidR="00E61841">
              <w:rPr>
                <w:noProof/>
                <w:webHidden/>
              </w:rPr>
              <w:instrText xml:space="preserve"> PAGEREF _Toc50541019 \h </w:instrText>
            </w:r>
            <w:r w:rsidR="00E61841">
              <w:rPr>
                <w:noProof/>
                <w:webHidden/>
              </w:rPr>
            </w:r>
            <w:r w:rsidR="00E61841">
              <w:rPr>
                <w:noProof/>
                <w:webHidden/>
              </w:rPr>
              <w:fldChar w:fldCharType="separate"/>
            </w:r>
            <w:r>
              <w:rPr>
                <w:noProof/>
                <w:webHidden/>
              </w:rPr>
              <w:t>3</w:t>
            </w:r>
            <w:r w:rsidR="00E61841">
              <w:rPr>
                <w:noProof/>
                <w:webHidden/>
              </w:rPr>
              <w:fldChar w:fldCharType="end"/>
            </w:r>
          </w:hyperlink>
        </w:p>
        <w:p w14:paraId="50286765" w14:textId="77777777" w:rsidR="00E61841" w:rsidRDefault="004E5DDC">
          <w:pPr>
            <w:pStyle w:val="TOC1"/>
            <w:tabs>
              <w:tab w:val="left" w:pos="660"/>
              <w:tab w:val="right" w:leader="dot" w:pos="9016"/>
            </w:tabs>
            <w:rPr>
              <w:rFonts w:eastAsiaTheme="minorEastAsia"/>
              <w:noProof/>
              <w:sz w:val="22"/>
              <w:lang w:eastAsia="en-AU"/>
            </w:rPr>
          </w:pPr>
          <w:hyperlink w:anchor="_Toc50541020" w:history="1">
            <w:r w:rsidR="00E61841" w:rsidRPr="00FD2614">
              <w:rPr>
                <w:rStyle w:val="Hyperlink"/>
                <w:noProof/>
              </w:rPr>
              <w:t>3.</w:t>
            </w:r>
            <w:r w:rsidR="00E61841">
              <w:rPr>
                <w:rFonts w:eastAsiaTheme="minorEastAsia"/>
                <w:noProof/>
                <w:sz w:val="22"/>
                <w:lang w:eastAsia="en-AU"/>
              </w:rPr>
              <w:tab/>
            </w:r>
            <w:r w:rsidR="00E61841" w:rsidRPr="00FD2614">
              <w:rPr>
                <w:rStyle w:val="Hyperlink"/>
                <w:noProof/>
              </w:rPr>
              <w:t>Public Weighbridge Licensees</w:t>
            </w:r>
            <w:r w:rsidR="00E61841">
              <w:rPr>
                <w:noProof/>
                <w:webHidden/>
              </w:rPr>
              <w:tab/>
            </w:r>
            <w:r w:rsidR="00E61841">
              <w:rPr>
                <w:noProof/>
                <w:webHidden/>
              </w:rPr>
              <w:fldChar w:fldCharType="begin"/>
            </w:r>
            <w:r w:rsidR="00E61841">
              <w:rPr>
                <w:noProof/>
                <w:webHidden/>
              </w:rPr>
              <w:instrText xml:space="preserve"> PAGEREF _Toc50541020 \h </w:instrText>
            </w:r>
            <w:r w:rsidR="00E61841">
              <w:rPr>
                <w:noProof/>
                <w:webHidden/>
              </w:rPr>
            </w:r>
            <w:r w:rsidR="00E61841">
              <w:rPr>
                <w:noProof/>
                <w:webHidden/>
              </w:rPr>
              <w:fldChar w:fldCharType="separate"/>
            </w:r>
            <w:r>
              <w:rPr>
                <w:noProof/>
                <w:webHidden/>
              </w:rPr>
              <w:t>4</w:t>
            </w:r>
            <w:r w:rsidR="00E61841">
              <w:rPr>
                <w:noProof/>
                <w:webHidden/>
              </w:rPr>
              <w:fldChar w:fldCharType="end"/>
            </w:r>
          </w:hyperlink>
        </w:p>
        <w:p w14:paraId="39137B89" w14:textId="77777777" w:rsidR="00E61841" w:rsidRDefault="004E5DDC">
          <w:pPr>
            <w:pStyle w:val="TOC3"/>
            <w:tabs>
              <w:tab w:val="right" w:leader="dot" w:pos="9016"/>
            </w:tabs>
            <w:rPr>
              <w:rFonts w:eastAsiaTheme="minorEastAsia"/>
              <w:noProof/>
              <w:sz w:val="22"/>
              <w:lang w:eastAsia="en-AU"/>
            </w:rPr>
          </w:pPr>
          <w:hyperlink w:anchor="_Toc50541021" w:history="1">
            <w:r w:rsidR="00E61841" w:rsidRPr="00FD2614">
              <w:rPr>
                <w:rStyle w:val="Hyperlink"/>
                <w:noProof/>
              </w:rPr>
              <w:t>3.1 Re-verification</w:t>
            </w:r>
            <w:r w:rsidR="00E61841">
              <w:rPr>
                <w:noProof/>
                <w:webHidden/>
              </w:rPr>
              <w:tab/>
            </w:r>
            <w:r w:rsidR="00E61841">
              <w:rPr>
                <w:noProof/>
                <w:webHidden/>
              </w:rPr>
              <w:fldChar w:fldCharType="begin"/>
            </w:r>
            <w:r w:rsidR="00E61841">
              <w:rPr>
                <w:noProof/>
                <w:webHidden/>
              </w:rPr>
              <w:instrText xml:space="preserve"> PAGEREF _Toc50541021 \h </w:instrText>
            </w:r>
            <w:r w:rsidR="00E61841">
              <w:rPr>
                <w:noProof/>
                <w:webHidden/>
              </w:rPr>
            </w:r>
            <w:r w:rsidR="00E61841">
              <w:rPr>
                <w:noProof/>
                <w:webHidden/>
              </w:rPr>
              <w:fldChar w:fldCharType="separate"/>
            </w:r>
            <w:r>
              <w:rPr>
                <w:noProof/>
                <w:webHidden/>
              </w:rPr>
              <w:t>4</w:t>
            </w:r>
            <w:r w:rsidR="00E61841">
              <w:rPr>
                <w:noProof/>
                <w:webHidden/>
              </w:rPr>
              <w:fldChar w:fldCharType="end"/>
            </w:r>
          </w:hyperlink>
        </w:p>
        <w:p w14:paraId="3B771B8C" w14:textId="77777777" w:rsidR="00E61841" w:rsidRDefault="004E5DDC">
          <w:pPr>
            <w:pStyle w:val="TOC3"/>
            <w:tabs>
              <w:tab w:val="right" w:leader="dot" w:pos="9016"/>
            </w:tabs>
            <w:rPr>
              <w:rFonts w:eastAsiaTheme="minorEastAsia"/>
              <w:noProof/>
              <w:sz w:val="22"/>
              <w:lang w:eastAsia="en-AU"/>
            </w:rPr>
          </w:pPr>
          <w:hyperlink w:anchor="_Toc50541022" w:history="1">
            <w:r w:rsidR="00E61841" w:rsidRPr="00FD2614">
              <w:rPr>
                <w:rStyle w:val="Hyperlink"/>
                <w:noProof/>
              </w:rPr>
              <w:t>3.2 Competency</w:t>
            </w:r>
            <w:r w:rsidR="00E61841">
              <w:rPr>
                <w:noProof/>
                <w:webHidden/>
              </w:rPr>
              <w:tab/>
            </w:r>
            <w:r w:rsidR="00E61841">
              <w:rPr>
                <w:noProof/>
                <w:webHidden/>
              </w:rPr>
              <w:fldChar w:fldCharType="begin"/>
            </w:r>
            <w:r w:rsidR="00E61841">
              <w:rPr>
                <w:noProof/>
                <w:webHidden/>
              </w:rPr>
              <w:instrText xml:space="preserve"> PAGEREF _Toc50541022 \h </w:instrText>
            </w:r>
            <w:r w:rsidR="00E61841">
              <w:rPr>
                <w:noProof/>
                <w:webHidden/>
              </w:rPr>
            </w:r>
            <w:r w:rsidR="00E61841">
              <w:rPr>
                <w:noProof/>
                <w:webHidden/>
              </w:rPr>
              <w:fldChar w:fldCharType="separate"/>
            </w:r>
            <w:r>
              <w:rPr>
                <w:noProof/>
                <w:webHidden/>
              </w:rPr>
              <w:t>4</w:t>
            </w:r>
            <w:r w:rsidR="00E61841">
              <w:rPr>
                <w:noProof/>
                <w:webHidden/>
              </w:rPr>
              <w:fldChar w:fldCharType="end"/>
            </w:r>
          </w:hyperlink>
        </w:p>
        <w:p w14:paraId="6368AF76" w14:textId="77777777" w:rsidR="00E61841" w:rsidRDefault="004E5DDC">
          <w:pPr>
            <w:pStyle w:val="TOC3"/>
            <w:tabs>
              <w:tab w:val="right" w:leader="dot" w:pos="9016"/>
            </w:tabs>
            <w:rPr>
              <w:rFonts w:eastAsiaTheme="minorEastAsia"/>
              <w:noProof/>
              <w:sz w:val="22"/>
              <w:lang w:eastAsia="en-AU"/>
            </w:rPr>
          </w:pPr>
          <w:hyperlink w:anchor="_Toc50541023" w:history="1">
            <w:r w:rsidR="00E61841" w:rsidRPr="00FD2614">
              <w:rPr>
                <w:rStyle w:val="Hyperlink"/>
                <w:noProof/>
              </w:rPr>
              <w:t>3.3 Prescriptiveness</w:t>
            </w:r>
            <w:r w:rsidR="00E61841">
              <w:rPr>
                <w:noProof/>
                <w:webHidden/>
              </w:rPr>
              <w:tab/>
            </w:r>
            <w:r w:rsidR="00E61841">
              <w:rPr>
                <w:noProof/>
                <w:webHidden/>
              </w:rPr>
              <w:fldChar w:fldCharType="begin"/>
            </w:r>
            <w:r w:rsidR="00E61841">
              <w:rPr>
                <w:noProof/>
                <w:webHidden/>
              </w:rPr>
              <w:instrText xml:space="preserve"> PAGEREF _Toc50541023 \h </w:instrText>
            </w:r>
            <w:r w:rsidR="00E61841">
              <w:rPr>
                <w:noProof/>
                <w:webHidden/>
              </w:rPr>
            </w:r>
            <w:r w:rsidR="00E61841">
              <w:rPr>
                <w:noProof/>
                <w:webHidden/>
              </w:rPr>
              <w:fldChar w:fldCharType="separate"/>
            </w:r>
            <w:r>
              <w:rPr>
                <w:noProof/>
                <w:webHidden/>
              </w:rPr>
              <w:t>4</w:t>
            </w:r>
            <w:r w:rsidR="00E61841">
              <w:rPr>
                <w:noProof/>
                <w:webHidden/>
              </w:rPr>
              <w:fldChar w:fldCharType="end"/>
            </w:r>
          </w:hyperlink>
        </w:p>
        <w:p w14:paraId="42202765" w14:textId="77777777" w:rsidR="00E61841" w:rsidRDefault="004E5DDC">
          <w:pPr>
            <w:pStyle w:val="TOC3"/>
            <w:tabs>
              <w:tab w:val="right" w:leader="dot" w:pos="9016"/>
            </w:tabs>
            <w:rPr>
              <w:rFonts w:eastAsiaTheme="minorEastAsia"/>
              <w:noProof/>
              <w:sz w:val="22"/>
              <w:lang w:eastAsia="en-AU"/>
            </w:rPr>
          </w:pPr>
          <w:hyperlink w:anchor="_Toc50541024" w:history="1">
            <w:r w:rsidR="00E61841" w:rsidRPr="00FD2614">
              <w:rPr>
                <w:rStyle w:val="Hyperlink"/>
                <w:noProof/>
              </w:rPr>
              <w:t>3.4 Compliance and Enforcement</w:t>
            </w:r>
            <w:r w:rsidR="00E61841">
              <w:rPr>
                <w:noProof/>
                <w:webHidden/>
              </w:rPr>
              <w:tab/>
            </w:r>
            <w:r w:rsidR="00E61841">
              <w:rPr>
                <w:noProof/>
                <w:webHidden/>
              </w:rPr>
              <w:fldChar w:fldCharType="begin"/>
            </w:r>
            <w:r w:rsidR="00E61841">
              <w:rPr>
                <w:noProof/>
                <w:webHidden/>
              </w:rPr>
              <w:instrText xml:space="preserve"> PAGEREF _Toc50541024 \h </w:instrText>
            </w:r>
            <w:r w:rsidR="00E61841">
              <w:rPr>
                <w:noProof/>
                <w:webHidden/>
              </w:rPr>
            </w:r>
            <w:r w:rsidR="00E61841">
              <w:rPr>
                <w:noProof/>
                <w:webHidden/>
              </w:rPr>
              <w:fldChar w:fldCharType="separate"/>
            </w:r>
            <w:r>
              <w:rPr>
                <w:noProof/>
                <w:webHidden/>
              </w:rPr>
              <w:t>5</w:t>
            </w:r>
            <w:r w:rsidR="00E61841">
              <w:rPr>
                <w:noProof/>
                <w:webHidden/>
              </w:rPr>
              <w:fldChar w:fldCharType="end"/>
            </w:r>
          </w:hyperlink>
        </w:p>
        <w:p w14:paraId="66942C40" w14:textId="77777777" w:rsidR="00E61841" w:rsidRDefault="004E5DDC">
          <w:pPr>
            <w:pStyle w:val="TOC1"/>
            <w:tabs>
              <w:tab w:val="left" w:pos="660"/>
              <w:tab w:val="right" w:leader="dot" w:pos="9016"/>
            </w:tabs>
            <w:rPr>
              <w:rFonts w:eastAsiaTheme="minorEastAsia"/>
              <w:noProof/>
              <w:sz w:val="22"/>
              <w:lang w:eastAsia="en-AU"/>
            </w:rPr>
          </w:pPr>
          <w:hyperlink w:anchor="_Toc50541025" w:history="1">
            <w:r w:rsidR="00E61841" w:rsidRPr="00FD2614">
              <w:rPr>
                <w:rStyle w:val="Hyperlink"/>
                <w:noProof/>
              </w:rPr>
              <w:t>4.</w:t>
            </w:r>
            <w:r w:rsidR="00E61841">
              <w:rPr>
                <w:rFonts w:eastAsiaTheme="minorEastAsia"/>
                <w:noProof/>
                <w:sz w:val="22"/>
                <w:lang w:eastAsia="en-AU"/>
              </w:rPr>
              <w:tab/>
            </w:r>
            <w:r w:rsidR="00E61841" w:rsidRPr="00FD2614">
              <w:rPr>
                <w:rStyle w:val="Hyperlink"/>
                <w:noProof/>
              </w:rPr>
              <w:t>Utility Meter Verifiers and Legal Metrology Authorities</w:t>
            </w:r>
            <w:r w:rsidR="00E61841">
              <w:rPr>
                <w:noProof/>
                <w:webHidden/>
              </w:rPr>
              <w:tab/>
            </w:r>
            <w:r w:rsidR="00E61841">
              <w:rPr>
                <w:noProof/>
                <w:webHidden/>
              </w:rPr>
              <w:fldChar w:fldCharType="begin"/>
            </w:r>
            <w:r w:rsidR="00E61841">
              <w:rPr>
                <w:noProof/>
                <w:webHidden/>
              </w:rPr>
              <w:instrText xml:space="preserve"> PAGEREF _Toc50541025 \h </w:instrText>
            </w:r>
            <w:r w:rsidR="00E61841">
              <w:rPr>
                <w:noProof/>
                <w:webHidden/>
              </w:rPr>
            </w:r>
            <w:r w:rsidR="00E61841">
              <w:rPr>
                <w:noProof/>
                <w:webHidden/>
              </w:rPr>
              <w:fldChar w:fldCharType="separate"/>
            </w:r>
            <w:r>
              <w:rPr>
                <w:noProof/>
                <w:webHidden/>
              </w:rPr>
              <w:t>5</w:t>
            </w:r>
            <w:r w:rsidR="00E61841">
              <w:rPr>
                <w:noProof/>
                <w:webHidden/>
              </w:rPr>
              <w:fldChar w:fldCharType="end"/>
            </w:r>
          </w:hyperlink>
        </w:p>
        <w:p w14:paraId="5D7275EE" w14:textId="77777777" w:rsidR="00E61841" w:rsidRDefault="004E5DDC">
          <w:pPr>
            <w:pStyle w:val="TOC3"/>
            <w:tabs>
              <w:tab w:val="right" w:leader="dot" w:pos="9016"/>
            </w:tabs>
            <w:rPr>
              <w:rFonts w:eastAsiaTheme="minorEastAsia"/>
              <w:noProof/>
              <w:sz w:val="22"/>
              <w:lang w:eastAsia="en-AU"/>
            </w:rPr>
          </w:pPr>
          <w:hyperlink w:anchor="_Toc50541026" w:history="1">
            <w:r w:rsidR="00E61841" w:rsidRPr="00FD2614">
              <w:rPr>
                <w:rStyle w:val="Hyperlink"/>
                <w:noProof/>
              </w:rPr>
              <w:t>4.1 Competency</w:t>
            </w:r>
            <w:r w:rsidR="00E61841">
              <w:rPr>
                <w:noProof/>
                <w:webHidden/>
              </w:rPr>
              <w:tab/>
            </w:r>
            <w:r w:rsidR="00E61841">
              <w:rPr>
                <w:noProof/>
                <w:webHidden/>
              </w:rPr>
              <w:fldChar w:fldCharType="begin"/>
            </w:r>
            <w:r w:rsidR="00E61841">
              <w:rPr>
                <w:noProof/>
                <w:webHidden/>
              </w:rPr>
              <w:instrText xml:space="preserve"> PAGEREF _Toc50541026 \h </w:instrText>
            </w:r>
            <w:r w:rsidR="00E61841">
              <w:rPr>
                <w:noProof/>
                <w:webHidden/>
              </w:rPr>
            </w:r>
            <w:r w:rsidR="00E61841">
              <w:rPr>
                <w:noProof/>
                <w:webHidden/>
              </w:rPr>
              <w:fldChar w:fldCharType="separate"/>
            </w:r>
            <w:r>
              <w:rPr>
                <w:noProof/>
                <w:webHidden/>
              </w:rPr>
              <w:t>5</w:t>
            </w:r>
            <w:r w:rsidR="00E61841">
              <w:rPr>
                <w:noProof/>
                <w:webHidden/>
              </w:rPr>
              <w:fldChar w:fldCharType="end"/>
            </w:r>
          </w:hyperlink>
        </w:p>
        <w:p w14:paraId="0B230DC5" w14:textId="77777777" w:rsidR="00E61841" w:rsidRDefault="004E5DDC">
          <w:pPr>
            <w:pStyle w:val="TOC3"/>
            <w:tabs>
              <w:tab w:val="right" w:leader="dot" w:pos="9016"/>
            </w:tabs>
            <w:rPr>
              <w:rFonts w:eastAsiaTheme="minorEastAsia"/>
              <w:noProof/>
              <w:sz w:val="22"/>
              <w:lang w:eastAsia="en-AU"/>
            </w:rPr>
          </w:pPr>
          <w:hyperlink w:anchor="_Toc50541027" w:history="1">
            <w:r w:rsidR="00E61841" w:rsidRPr="00FD2614">
              <w:rPr>
                <w:rStyle w:val="Hyperlink"/>
                <w:noProof/>
              </w:rPr>
              <w:t>4.2 Prescriptiveness</w:t>
            </w:r>
            <w:r w:rsidR="00E61841">
              <w:rPr>
                <w:noProof/>
                <w:webHidden/>
              </w:rPr>
              <w:tab/>
            </w:r>
            <w:r w:rsidR="00E61841">
              <w:rPr>
                <w:noProof/>
                <w:webHidden/>
              </w:rPr>
              <w:fldChar w:fldCharType="begin"/>
            </w:r>
            <w:r w:rsidR="00E61841">
              <w:rPr>
                <w:noProof/>
                <w:webHidden/>
              </w:rPr>
              <w:instrText xml:space="preserve"> PAGEREF _Toc50541027 \h </w:instrText>
            </w:r>
            <w:r w:rsidR="00E61841">
              <w:rPr>
                <w:noProof/>
                <w:webHidden/>
              </w:rPr>
            </w:r>
            <w:r w:rsidR="00E61841">
              <w:rPr>
                <w:noProof/>
                <w:webHidden/>
              </w:rPr>
              <w:fldChar w:fldCharType="separate"/>
            </w:r>
            <w:r>
              <w:rPr>
                <w:noProof/>
                <w:webHidden/>
              </w:rPr>
              <w:t>6</w:t>
            </w:r>
            <w:r w:rsidR="00E61841">
              <w:rPr>
                <w:noProof/>
                <w:webHidden/>
              </w:rPr>
              <w:fldChar w:fldCharType="end"/>
            </w:r>
          </w:hyperlink>
        </w:p>
        <w:p w14:paraId="5AD3FE08" w14:textId="77777777" w:rsidR="00E61841" w:rsidRDefault="004E5DDC">
          <w:pPr>
            <w:pStyle w:val="TOC3"/>
            <w:tabs>
              <w:tab w:val="right" w:leader="dot" w:pos="9016"/>
            </w:tabs>
            <w:rPr>
              <w:rFonts w:eastAsiaTheme="minorEastAsia"/>
              <w:noProof/>
              <w:sz w:val="22"/>
              <w:lang w:eastAsia="en-AU"/>
            </w:rPr>
          </w:pPr>
          <w:hyperlink w:anchor="_Toc50541028" w:history="1">
            <w:r w:rsidR="00E61841" w:rsidRPr="00FD2614">
              <w:rPr>
                <w:rStyle w:val="Hyperlink"/>
                <w:noProof/>
              </w:rPr>
              <w:t>4.3 Compliance and Enforcement</w:t>
            </w:r>
            <w:r w:rsidR="00E61841">
              <w:rPr>
                <w:noProof/>
                <w:webHidden/>
              </w:rPr>
              <w:tab/>
            </w:r>
            <w:r w:rsidR="00E61841">
              <w:rPr>
                <w:noProof/>
                <w:webHidden/>
              </w:rPr>
              <w:fldChar w:fldCharType="begin"/>
            </w:r>
            <w:r w:rsidR="00E61841">
              <w:rPr>
                <w:noProof/>
                <w:webHidden/>
              </w:rPr>
              <w:instrText xml:space="preserve"> PAGEREF _Toc50541028 \h </w:instrText>
            </w:r>
            <w:r w:rsidR="00E61841">
              <w:rPr>
                <w:noProof/>
                <w:webHidden/>
              </w:rPr>
            </w:r>
            <w:r w:rsidR="00E61841">
              <w:rPr>
                <w:noProof/>
                <w:webHidden/>
              </w:rPr>
              <w:fldChar w:fldCharType="separate"/>
            </w:r>
            <w:r>
              <w:rPr>
                <w:noProof/>
                <w:webHidden/>
              </w:rPr>
              <w:t>6</w:t>
            </w:r>
            <w:r w:rsidR="00E61841">
              <w:rPr>
                <w:noProof/>
                <w:webHidden/>
              </w:rPr>
              <w:fldChar w:fldCharType="end"/>
            </w:r>
          </w:hyperlink>
        </w:p>
        <w:p w14:paraId="11C54CFB" w14:textId="77777777" w:rsidR="00E61841" w:rsidRDefault="004E5DDC">
          <w:pPr>
            <w:pStyle w:val="TOC1"/>
            <w:tabs>
              <w:tab w:val="right" w:leader="dot" w:pos="9016"/>
            </w:tabs>
            <w:rPr>
              <w:rFonts w:eastAsiaTheme="minorEastAsia"/>
              <w:noProof/>
              <w:sz w:val="22"/>
              <w:lang w:eastAsia="en-AU"/>
            </w:rPr>
          </w:pPr>
          <w:hyperlink w:anchor="_Toc50541029" w:history="1">
            <w:r w:rsidR="00E61841" w:rsidRPr="00FD2614">
              <w:rPr>
                <w:rStyle w:val="Hyperlink"/>
                <w:noProof/>
              </w:rPr>
              <w:t>Contact</w:t>
            </w:r>
            <w:r w:rsidR="00E61841">
              <w:rPr>
                <w:noProof/>
                <w:webHidden/>
              </w:rPr>
              <w:tab/>
            </w:r>
            <w:r w:rsidR="00E61841">
              <w:rPr>
                <w:noProof/>
                <w:webHidden/>
              </w:rPr>
              <w:fldChar w:fldCharType="begin"/>
            </w:r>
            <w:r w:rsidR="00E61841">
              <w:rPr>
                <w:noProof/>
                <w:webHidden/>
              </w:rPr>
              <w:instrText xml:space="preserve"> PAGEREF _Toc50541029 \h </w:instrText>
            </w:r>
            <w:r w:rsidR="00E61841">
              <w:rPr>
                <w:noProof/>
                <w:webHidden/>
              </w:rPr>
            </w:r>
            <w:r w:rsidR="00E61841">
              <w:rPr>
                <w:noProof/>
                <w:webHidden/>
              </w:rPr>
              <w:fldChar w:fldCharType="separate"/>
            </w:r>
            <w:r>
              <w:rPr>
                <w:noProof/>
                <w:webHidden/>
              </w:rPr>
              <w:t>7</w:t>
            </w:r>
            <w:r w:rsidR="00E61841">
              <w:rPr>
                <w:noProof/>
                <w:webHidden/>
              </w:rPr>
              <w:fldChar w:fldCharType="end"/>
            </w:r>
          </w:hyperlink>
        </w:p>
        <w:p w14:paraId="5D0AA84A" w14:textId="1E353453" w:rsidR="000D1E03" w:rsidRPr="000D1E03" w:rsidRDefault="00483A9D" w:rsidP="000D1E03">
          <w:pPr>
            <w:spacing w:line="259" w:lineRule="auto"/>
            <w:rPr>
              <w:rFonts w:ascii="Calibri" w:hAnsi="Calibri" w:cs="Calibri"/>
            </w:rPr>
          </w:pPr>
          <w:r w:rsidRPr="000971A8">
            <w:rPr>
              <w:rFonts w:ascii="Calibri" w:hAnsi="Calibri" w:cs="Calibri"/>
              <w:b/>
              <w:bCs/>
              <w:noProof/>
            </w:rPr>
            <w:fldChar w:fldCharType="end"/>
          </w:r>
        </w:p>
      </w:sdtContent>
    </w:sdt>
    <w:p w14:paraId="6F913022" w14:textId="1565FEF7" w:rsidR="00483A9D" w:rsidRPr="000971A8" w:rsidRDefault="00483A9D" w:rsidP="00185ABF">
      <w:pPr>
        <w:pStyle w:val="Heading1"/>
        <w:numPr>
          <w:ilvl w:val="0"/>
          <w:numId w:val="38"/>
        </w:numPr>
        <w:spacing w:before="0"/>
      </w:pPr>
      <w:bookmarkStart w:id="1" w:name="_Toc50541014"/>
      <w:r w:rsidRPr="000971A8">
        <w:t>Overview and Attendee</w:t>
      </w:r>
      <w:r w:rsidR="0007466D" w:rsidRPr="000971A8">
        <w:t>s</w:t>
      </w:r>
      <w:bookmarkEnd w:id="1"/>
    </w:p>
    <w:p w14:paraId="41EAE1BB" w14:textId="10CBD254" w:rsidR="00A76365" w:rsidRPr="000971A8" w:rsidRDefault="00873D0D" w:rsidP="00FC3617">
      <w:pPr>
        <w:spacing w:before="120" w:after="240" w:line="259" w:lineRule="auto"/>
        <w:rPr>
          <w:rFonts w:ascii="Calibri" w:hAnsi="Calibri" w:cs="Calibri"/>
          <w:sz w:val="22"/>
        </w:rPr>
      </w:pPr>
      <w:r w:rsidRPr="000971A8">
        <w:rPr>
          <w:rFonts w:ascii="Calibri" w:hAnsi="Calibri" w:cs="Calibri"/>
          <w:sz w:val="22"/>
        </w:rPr>
        <w:t xml:space="preserve">During November and December 2019, the National Measurement Institute </w:t>
      </w:r>
      <w:r w:rsidR="00065DC6">
        <w:rPr>
          <w:rFonts w:ascii="Calibri" w:hAnsi="Calibri" w:cs="Calibri"/>
          <w:sz w:val="22"/>
        </w:rPr>
        <w:t xml:space="preserve">(NMI) </w:t>
      </w:r>
      <w:r w:rsidRPr="000971A8">
        <w:rPr>
          <w:rFonts w:ascii="Calibri" w:hAnsi="Calibri" w:cs="Calibri"/>
          <w:sz w:val="22"/>
        </w:rPr>
        <w:t>held a number of workshops with servicing licensees</w:t>
      </w:r>
      <w:r w:rsidR="0007466D" w:rsidRPr="000971A8">
        <w:rPr>
          <w:rFonts w:ascii="Calibri" w:hAnsi="Calibri" w:cs="Calibri"/>
          <w:sz w:val="22"/>
        </w:rPr>
        <w:t>,</w:t>
      </w:r>
      <w:r w:rsidRPr="000971A8">
        <w:rPr>
          <w:rStyle w:val="FootnoteReference"/>
          <w:rFonts w:ascii="Calibri" w:hAnsi="Calibri" w:cs="Calibri"/>
          <w:sz w:val="22"/>
        </w:rPr>
        <w:footnoteReference w:id="2"/>
      </w:r>
      <w:r w:rsidR="0007466D" w:rsidRPr="000971A8">
        <w:rPr>
          <w:rFonts w:ascii="Calibri" w:hAnsi="Calibri" w:cs="Calibri"/>
          <w:sz w:val="22"/>
        </w:rPr>
        <w:t xml:space="preserve"> public weighbridge licensees,</w:t>
      </w:r>
      <w:r w:rsidR="0007466D" w:rsidRPr="000971A8">
        <w:rPr>
          <w:rStyle w:val="FootnoteReference"/>
          <w:rFonts w:ascii="Calibri" w:hAnsi="Calibri" w:cs="Calibri"/>
          <w:sz w:val="22"/>
        </w:rPr>
        <w:footnoteReference w:id="3"/>
      </w:r>
      <w:r w:rsidR="0007466D" w:rsidRPr="000971A8">
        <w:rPr>
          <w:rFonts w:ascii="Calibri" w:hAnsi="Calibri" w:cs="Calibri"/>
          <w:sz w:val="22"/>
        </w:rPr>
        <w:t xml:space="preserve"> utility meter verifiers (UMVs),</w:t>
      </w:r>
      <w:r w:rsidR="0007466D" w:rsidRPr="000971A8">
        <w:rPr>
          <w:rStyle w:val="FootnoteReference"/>
          <w:rFonts w:ascii="Calibri" w:hAnsi="Calibri" w:cs="Calibri"/>
          <w:sz w:val="22"/>
        </w:rPr>
        <w:footnoteReference w:id="4"/>
      </w:r>
      <w:r w:rsidR="0007466D" w:rsidRPr="000971A8">
        <w:rPr>
          <w:rFonts w:ascii="Calibri" w:hAnsi="Calibri" w:cs="Calibri"/>
          <w:sz w:val="22"/>
        </w:rPr>
        <w:t xml:space="preserve"> </w:t>
      </w:r>
      <w:r w:rsidR="0007466D" w:rsidRPr="000971A8">
        <w:rPr>
          <w:rFonts w:ascii="Calibri" w:hAnsi="Calibri" w:cs="Calibri"/>
          <w:sz w:val="22"/>
        </w:rPr>
        <w:lastRenderedPageBreak/>
        <w:t>and legal metrology authorities (LMAs)</w:t>
      </w:r>
      <w:r w:rsidR="0007466D" w:rsidRPr="000971A8">
        <w:rPr>
          <w:rStyle w:val="FootnoteReference"/>
          <w:rFonts w:ascii="Calibri" w:hAnsi="Calibri" w:cs="Calibri"/>
          <w:sz w:val="22"/>
        </w:rPr>
        <w:footnoteReference w:id="5"/>
      </w:r>
      <w:r w:rsidR="0007466D" w:rsidRPr="000971A8">
        <w:rPr>
          <w:rFonts w:ascii="Calibri" w:hAnsi="Calibri" w:cs="Calibri"/>
          <w:sz w:val="22"/>
        </w:rPr>
        <w:t xml:space="preserve"> </w:t>
      </w:r>
      <w:r w:rsidRPr="000971A8">
        <w:rPr>
          <w:rFonts w:ascii="Calibri" w:hAnsi="Calibri" w:cs="Calibri"/>
          <w:sz w:val="22"/>
        </w:rPr>
        <w:t>to get their perspectives on the future of Australia’s measurement laws.</w:t>
      </w:r>
      <w:r w:rsidR="001F4E1C">
        <w:rPr>
          <w:rFonts w:ascii="Calibri" w:hAnsi="Calibri" w:cs="Calibri"/>
          <w:sz w:val="22"/>
        </w:rPr>
        <w:t xml:space="preserve">  </w:t>
      </w:r>
      <w:r w:rsidRPr="000971A8">
        <w:rPr>
          <w:rFonts w:ascii="Calibri" w:hAnsi="Calibri" w:cs="Calibri"/>
          <w:sz w:val="22"/>
        </w:rPr>
        <w:t xml:space="preserve"> </w:t>
      </w:r>
    </w:p>
    <w:p w14:paraId="4D0CDCF2" w14:textId="77777777" w:rsidR="0007466D" w:rsidRPr="000971A8" w:rsidRDefault="0007466D" w:rsidP="0007466D">
      <w:pPr>
        <w:spacing w:before="120" w:after="240" w:line="259" w:lineRule="auto"/>
        <w:rPr>
          <w:rFonts w:ascii="Calibri" w:hAnsi="Calibri" w:cs="Calibri"/>
          <w:sz w:val="22"/>
        </w:rPr>
      </w:pPr>
      <w:r w:rsidRPr="000971A8">
        <w:rPr>
          <w:rFonts w:ascii="Calibri" w:hAnsi="Calibri" w:cs="Calibri"/>
          <w:sz w:val="22"/>
        </w:rPr>
        <w:t>The forums were held in five different locations - Melbourne, Adelaide, Sydney, Brisbane and Perth. At each of the five locations three forums were held, one each for:</w:t>
      </w:r>
    </w:p>
    <w:p w14:paraId="201F0B4F" w14:textId="7E61736D" w:rsidR="00D85193" w:rsidRPr="000971A8" w:rsidRDefault="00B83DF0" w:rsidP="0007466D">
      <w:pPr>
        <w:pStyle w:val="ListParagraph"/>
        <w:numPr>
          <w:ilvl w:val="0"/>
          <w:numId w:val="16"/>
        </w:numPr>
        <w:spacing w:before="120" w:after="240"/>
        <w:rPr>
          <w:rFonts w:ascii="Calibri" w:hAnsi="Calibri" w:cs="Calibri"/>
        </w:rPr>
      </w:pPr>
      <w:r>
        <w:rPr>
          <w:rFonts w:ascii="Calibri" w:hAnsi="Calibri" w:cs="Calibri"/>
        </w:rPr>
        <w:t>S</w:t>
      </w:r>
      <w:r w:rsidR="0007466D" w:rsidRPr="000971A8">
        <w:rPr>
          <w:rFonts w:ascii="Calibri" w:hAnsi="Calibri" w:cs="Calibri"/>
        </w:rPr>
        <w:t>ervicin</w:t>
      </w:r>
      <w:r w:rsidR="00D85193" w:rsidRPr="000971A8">
        <w:rPr>
          <w:rFonts w:ascii="Calibri" w:hAnsi="Calibri" w:cs="Calibri"/>
        </w:rPr>
        <w:t>g l</w:t>
      </w:r>
      <w:r w:rsidR="0007466D" w:rsidRPr="000971A8">
        <w:rPr>
          <w:rFonts w:ascii="Calibri" w:hAnsi="Calibri" w:cs="Calibri"/>
        </w:rPr>
        <w:t xml:space="preserve">icensees </w:t>
      </w:r>
    </w:p>
    <w:p w14:paraId="400563DE" w14:textId="4105D89A" w:rsidR="00D85193" w:rsidRPr="000971A8" w:rsidRDefault="00B83DF0" w:rsidP="0007466D">
      <w:pPr>
        <w:pStyle w:val="ListParagraph"/>
        <w:numPr>
          <w:ilvl w:val="0"/>
          <w:numId w:val="16"/>
        </w:numPr>
        <w:spacing w:before="120" w:after="240"/>
        <w:rPr>
          <w:rFonts w:ascii="Calibri" w:hAnsi="Calibri" w:cs="Calibri"/>
        </w:rPr>
      </w:pPr>
      <w:r>
        <w:rPr>
          <w:rFonts w:ascii="Calibri" w:hAnsi="Calibri" w:cs="Calibri"/>
        </w:rPr>
        <w:t>P</w:t>
      </w:r>
      <w:r w:rsidR="0007466D" w:rsidRPr="000971A8">
        <w:rPr>
          <w:rFonts w:ascii="Calibri" w:hAnsi="Calibri" w:cs="Calibri"/>
        </w:rPr>
        <w:t>u</w:t>
      </w:r>
      <w:r w:rsidR="00D85193" w:rsidRPr="000971A8">
        <w:rPr>
          <w:rFonts w:ascii="Calibri" w:hAnsi="Calibri" w:cs="Calibri"/>
        </w:rPr>
        <w:t>blic weighbridge licensees</w:t>
      </w:r>
    </w:p>
    <w:p w14:paraId="75EC4A6F" w14:textId="39564A5B" w:rsidR="00801A12" w:rsidRPr="001E42C6" w:rsidRDefault="00C43047" w:rsidP="00FC3617">
      <w:pPr>
        <w:pStyle w:val="ListParagraph"/>
        <w:numPr>
          <w:ilvl w:val="0"/>
          <w:numId w:val="16"/>
        </w:numPr>
        <w:spacing w:before="120" w:after="240"/>
        <w:rPr>
          <w:rFonts w:ascii="Calibri" w:hAnsi="Calibri" w:cs="Calibri"/>
        </w:rPr>
      </w:pPr>
      <w:r>
        <w:rPr>
          <w:rFonts w:ascii="Calibri" w:hAnsi="Calibri" w:cs="Calibri"/>
        </w:rPr>
        <w:t xml:space="preserve">UMVs and LMAs </w:t>
      </w:r>
      <w:r w:rsidR="008E2439">
        <w:rPr>
          <w:rFonts w:ascii="Calibri" w:hAnsi="Calibri" w:cs="Calibri"/>
        </w:rPr>
        <w:t>(</w:t>
      </w:r>
      <w:r w:rsidR="00D85193" w:rsidRPr="000971A8">
        <w:rPr>
          <w:rFonts w:ascii="Calibri" w:hAnsi="Calibri" w:cs="Calibri"/>
        </w:rPr>
        <w:t xml:space="preserve">these were combined </w:t>
      </w:r>
      <w:r w:rsidR="001F4E1C">
        <w:rPr>
          <w:rFonts w:ascii="Calibri" w:hAnsi="Calibri" w:cs="Calibri"/>
        </w:rPr>
        <w:t>because their appoint</w:t>
      </w:r>
      <w:r w:rsidR="00282967">
        <w:rPr>
          <w:rFonts w:ascii="Calibri" w:hAnsi="Calibri" w:cs="Calibri"/>
        </w:rPr>
        <w:t>ment</w:t>
      </w:r>
      <w:r w:rsidR="002F299F">
        <w:rPr>
          <w:rFonts w:ascii="Calibri" w:hAnsi="Calibri" w:cs="Calibri"/>
        </w:rPr>
        <w:t>s</w:t>
      </w:r>
      <w:r w:rsidR="001F4E1C">
        <w:rPr>
          <w:rFonts w:ascii="Calibri" w:hAnsi="Calibri" w:cs="Calibri"/>
        </w:rPr>
        <w:t xml:space="preserve"> are based on NATA</w:t>
      </w:r>
      <w:r w:rsidR="008152F3">
        <w:rPr>
          <w:rStyle w:val="FootnoteReference"/>
          <w:rFonts w:ascii="Calibri" w:hAnsi="Calibri" w:cs="Calibri"/>
        </w:rPr>
        <w:footnoteReference w:id="6"/>
      </w:r>
      <w:r>
        <w:rPr>
          <w:rFonts w:ascii="Calibri" w:hAnsi="Calibri" w:cs="Calibri"/>
        </w:rPr>
        <w:t xml:space="preserve"> </w:t>
      </w:r>
      <w:r w:rsidR="001F4E1C">
        <w:rPr>
          <w:rFonts w:ascii="Calibri" w:hAnsi="Calibri" w:cs="Calibri"/>
        </w:rPr>
        <w:t>accreditation</w:t>
      </w:r>
      <w:r w:rsidR="008E2439">
        <w:rPr>
          <w:rFonts w:ascii="Calibri" w:hAnsi="Calibri" w:cs="Calibri"/>
        </w:rPr>
        <w:t>)</w:t>
      </w:r>
    </w:p>
    <w:p w14:paraId="5E4E3288" w14:textId="42D20B98" w:rsidR="009F4B37" w:rsidRPr="000971A8" w:rsidRDefault="002C0E13" w:rsidP="00FC3617">
      <w:pPr>
        <w:spacing w:before="120" w:after="240" w:line="259" w:lineRule="auto"/>
        <w:rPr>
          <w:rFonts w:ascii="Calibri" w:hAnsi="Calibri" w:cs="Calibri"/>
          <w:sz w:val="22"/>
        </w:rPr>
      </w:pPr>
      <w:r w:rsidRPr="000971A8">
        <w:rPr>
          <w:rFonts w:ascii="Calibri" w:hAnsi="Calibri" w:cs="Calibri"/>
          <w:sz w:val="22"/>
        </w:rPr>
        <w:t>The following table provides information on the number</w:t>
      </w:r>
      <w:r w:rsidR="009F4B37" w:rsidRPr="000971A8">
        <w:rPr>
          <w:rFonts w:ascii="Calibri" w:hAnsi="Calibri" w:cs="Calibri"/>
          <w:sz w:val="22"/>
        </w:rPr>
        <w:t xml:space="preserve"> of attendees at each location:</w:t>
      </w:r>
    </w:p>
    <w:tbl>
      <w:tblPr>
        <w:tblStyle w:val="GridTable4-Accent1"/>
        <w:tblW w:w="9067" w:type="dxa"/>
        <w:jc w:val="center"/>
        <w:tblLayout w:type="fixed"/>
        <w:tblLook w:val="04A0" w:firstRow="1" w:lastRow="0" w:firstColumn="1" w:lastColumn="0" w:noHBand="0" w:noVBand="1"/>
        <w:tblCaption w:val="The number of attendees at each location"/>
        <w:tblDescription w:val="The following table provides information on the number of attendees at each location:&#10;Servicing Licensees. 15 in Brisbane, 15 in Melbourne, 12 in Perth, 11 in Adelaide and 26 in Sydney. 79 total&#10;Public Weighbridge Licensees. 1 in Brisbane, 4 in Melbourne, 1 in Perth, 5 in Adelaide and 1 in Sydney. 12 total&#10;UMVs. 2 in Brisbane, 2 in Melbourne, 0 in Perth, 5 in Adelaide and 1 in Sydney. 10 total.&#10;LMAs. 5 in Brisbane, 6 in Melbourne, 2 in Perth, 4 in Adelaide and 5 in Sydney. 22 total.&#10;"/>
      </w:tblPr>
      <w:tblGrid>
        <w:gridCol w:w="2263"/>
        <w:gridCol w:w="1134"/>
        <w:gridCol w:w="1276"/>
        <w:gridCol w:w="992"/>
        <w:gridCol w:w="1134"/>
        <w:gridCol w:w="1134"/>
        <w:gridCol w:w="1134"/>
      </w:tblGrid>
      <w:tr w:rsidR="0007466D" w:rsidRPr="000971A8" w14:paraId="03DB44D0" w14:textId="77777777" w:rsidTr="00310800">
        <w:trPr>
          <w:cnfStyle w:val="100000000000" w:firstRow="1" w:lastRow="0" w:firstColumn="0" w:lastColumn="0" w:oddVBand="0" w:evenVBand="0" w:oddHBand="0" w:evenHBand="0" w:firstRowFirstColumn="0" w:firstRowLastColumn="0" w:lastRowFirstColumn="0" w:lastRowLastColumn="0"/>
          <w:trHeight w:val="401"/>
          <w:tblHeader/>
          <w:jc w:val="center"/>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A6192E" w:themeColor="accent1"/>
            </w:tcBorders>
            <w:vAlign w:val="center"/>
          </w:tcPr>
          <w:p w14:paraId="569752C1" w14:textId="77777777" w:rsidR="00483A9D" w:rsidRPr="000971A8" w:rsidRDefault="00483A9D" w:rsidP="00FC3617">
            <w:pPr>
              <w:spacing w:line="259" w:lineRule="auto"/>
              <w:rPr>
                <w:rFonts w:ascii="Calibri" w:hAnsi="Calibri" w:cs="Calibri"/>
                <w:szCs w:val="20"/>
              </w:rPr>
            </w:pPr>
          </w:p>
        </w:tc>
        <w:tc>
          <w:tcPr>
            <w:tcW w:w="1134" w:type="dxa"/>
            <w:tcBorders>
              <w:left w:val="single" w:sz="4" w:space="0" w:color="A6192E" w:themeColor="accent1"/>
              <w:right w:val="single" w:sz="4" w:space="0" w:color="A6192E" w:themeColor="accent1"/>
            </w:tcBorders>
            <w:vAlign w:val="center"/>
          </w:tcPr>
          <w:p w14:paraId="10D83F97" w14:textId="30ADAFF3" w:rsidR="00483A9D" w:rsidRPr="000971A8" w:rsidRDefault="0007466D" w:rsidP="0007466D">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0"/>
              </w:rPr>
            </w:pPr>
            <w:r w:rsidRPr="000971A8">
              <w:rPr>
                <w:rFonts w:ascii="Calibri" w:hAnsi="Calibri" w:cs="Calibri"/>
                <w:szCs w:val="20"/>
              </w:rPr>
              <w:t>Brisb</w:t>
            </w:r>
            <w:r w:rsidR="00483A9D" w:rsidRPr="000971A8">
              <w:rPr>
                <w:rFonts w:ascii="Calibri" w:hAnsi="Calibri" w:cs="Calibri"/>
                <w:szCs w:val="20"/>
              </w:rPr>
              <w:t>ane</w:t>
            </w:r>
          </w:p>
        </w:tc>
        <w:tc>
          <w:tcPr>
            <w:tcW w:w="1276" w:type="dxa"/>
            <w:tcBorders>
              <w:left w:val="single" w:sz="4" w:space="0" w:color="A6192E" w:themeColor="accent1"/>
              <w:right w:val="single" w:sz="4" w:space="0" w:color="A6192E" w:themeColor="accent1"/>
            </w:tcBorders>
            <w:vAlign w:val="center"/>
          </w:tcPr>
          <w:p w14:paraId="165D4D6F" w14:textId="7C1EF0C7" w:rsidR="00483A9D" w:rsidRPr="000971A8" w:rsidRDefault="00483A9D" w:rsidP="0007466D">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0"/>
              </w:rPr>
            </w:pPr>
            <w:r w:rsidRPr="000971A8">
              <w:rPr>
                <w:rFonts w:ascii="Calibri" w:hAnsi="Calibri" w:cs="Calibri"/>
                <w:szCs w:val="20"/>
              </w:rPr>
              <w:t>Melbourne</w:t>
            </w:r>
          </w:p>
        </w:tc>
        <w:tc>
          <w:tcPr>
            <w:tcW w:w="992" w:type="dxa"/>
            <w:tcBorders>
              <w:left w:val="single" w:sz="4" w:space="0" w:color="A6192E" w:themeColor="accent1"/>
              <w:right w:val="single" w:sz="4" w:space="0" w:color="A6192E" w:themeColor="accent1"/>
            </w:tcBorders>
            <w:vAlign w:val="center"/>
          </w:tcPr>
          <w:p w14:paraId="34C2522E" w14:textId="0BDEC457" w:rsidR="00483A9D" w:rsidRPr="000971A8" w:rsidRDefault="00483A9D" w:rsidP="0007466D">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0"/>
              </w:rPr>
            </w:pPr>
            <w:r w:rsidRPr="000971A8">
              <w:rPr>
                <w:rFonts w:ascii="Calibri" w:hAnsi="Calibri" w:cs="Calibri"/>
                <w:szCs w:val="20"/>
              </w:rPr>
              <w:t>Perth</w:t>
            </w:r>
          </w:p>
        </w:tc>
        <w:tc>
          <w:tcPr>
            <w:tcW w:w="1134" w:type="dxa"/>
            <w:tcBorders>
              <w:left w:val="single" w:sz="4" w:space="0" w:color="A6192E" w:themeColor="accent1"/>
              <w:right w:val="single" w:sz="4" w:space="0" w:color="A6192E" w:themeColor="accent1"/>
            </w:tcBorders>
            <w:vAlign w:val="center"/>
          </w:tcPr>
          <w:p w14:paraId="6D17C380" w14:textId="6327E08F" w:rsidR="00483A9D" w:rsidRPr="000971A8" w:rsidRDefault="00483A9D" w:rsidP="0007466D">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0"/>
              </w:rPr>
            </w:pPr>
            <w:r w:rsidRPr="000971A8">
              <w:rPr>
                <w:rFonts w:ascii="Calibri" w:hAnsi="Calibri" w:cs="Calibri"/>
                <w:szCs w:val="20"/>
              </w:rPr>
              <w:t>Adelaide</w:t>
            </w:r>
          </w:p>
        </w:tc>
        <w:tc>
          <w:tcPr>
            <w:tcW w:w="1134" w:type="dxa"/>
            <w:tcBorders>
              <w:left w:val="single" w:sz="4" w:space="0" w:color="A6192E" w:themeColor="accent1"/>
            </w:tcBorders>
            <w:vAlign w:val="center"/>
          </w:tcPr>
          <w:p w14:paraId="6AADAEC2" w14:textId="00C836E9" w:rsidR="00483A9D" w:rsidRPr="000971A8" w:rsidRDefault="00483A9D" w:rsidP="0007466D">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0"/>
              </w:rPr>
            </w:pPr>
            <w:r w:rsidRPr="000971A8">
              <w:rPr>
                <w:rFonts w:ascii="Calibri" w:hAnsi="Calibri" w:cs="Calibri"/>
                <w:szCs w:val="20"/>
              </w:rPr>
              <w:t>Sydney</w:t>
            </w:r>
          </w:p>
        </w:tc>
        <w:tc>
          <w:tcPr>
            <w:tcW w:w="1134" w:type="dxa"/>
            <w:tcBorders>
              <w:left w:val="single" w:sz="4" w:space="0" w:color="A6192E" w:themeColor="accent1"/>
            </w:tcBorders>
            <w:vAlign w:val="center"/>
          </w:tcPr>
          <w:p w14:paraId="24163AD2" w14:textId="77777777" w:rsidR="00483A9D" w:rsidRPr="000971A8" w:rsidRDefault="00483A9D" w:rsidP="0007466D">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0"/>
              </w:rPr>
            </w:pPr>
            <w:r w:rsidRPr="000971A8">
              <w:rPr>
                <w:rFonts w:ascii="Calibri" w:hAnsi="Calibri" w:cs="Calibri"/>
                <w:szCs w:val="20"/>
              </w:rPr>
              <w:t>Total</w:t>
            </w:r>
          </w:p>
        </w:tc>
      </w:tr>
      <w:tr w:rsidR="0007466D" w:rsidRPr="000971A8" w14:paraId="3319C8B2" w14:textId="77777777" w:rsidTr="009F4B3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DEB8DB9" w14:textId="35F971C9" w:rsidR="00483A9D" w:rsidRPr="000971A8" w:rsidRDefault="00977EDB" w:rsidP="00FC3617">
            <w:pPr>
              <w:spacing w:line="259" w:lineRule="auto"/>
              <w:rPr>
                <w:rFonts w:ascii="Calibri" w:hAnsi="Calibri" w:cs="Calibri"/>
                <w:szCs w:val="20"/>
              </w:rPr>
            </w:pPr>
            <w:r w:rsidRPr="000971A8">
              <w:rPr>
                <w:rFonts w:ascii="Calibri" w:hAnsi="Calibri" w:cs="Calibri"/>
                <w:szCs w:val="20"/>
              </w:rPr>
              <w:t>Servic</w:t>
            </w:r>
            <w:r w:rsidR="0007466D" w:rsidRPr="000971A8">
              <w:rPr>
                <w:rFonts w:ascii="Calibri" w:hAnsi="Calibri" w:cs="Calibri"/>
                <w:szCs w:val="20"/>
              </w:rPr>
              <w:t>ing Licensees</w:t>
            </w:r>
          </w:p>
        </w:tc>
        <w:tc>
          <w:tcPr>
            <w:tcW w:w="1134" w:type="dxa"/>
            <w:vAlign w:val="center"/>
          </w:tcPr>
          <w:p w14:paraId="20A8A17D" w14:textId="77777777" w:rsidR="00483A9D" w:rsidRPr="000971A8" w:rsidRDefault="00483A9D" w:rsidP="0007466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971A8">
              <w:rPr>
                <w:rFonts w:ascii="Calibri" w:hAnsi="Calibri" w:cs="Calibri"/>
              </w:rPr>
              <w:t>15</w:t>
            </w:r>
          </w:p>
        </w:tc>
        <w:tc>
          <w:tcPr>
            <w:tcW w:w="1276" w:type="dxa"/>
            <w:vAlign w:val="center"/>
          </w:tcPr>
          <w:p w14:paraId="0048037E" w14:textId="77777777" w:rsidR="00483A9D" w:rsidRPr="000971A8" w:rsidRDefault="00483A9D" w:rsidP="0007466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971A8">
              <w:rPr>
                <w:rFonts w:ascii="Calibri" w:hAnsi="Calibri" w:cs="Calibri"/>
              </w:rPr>
              <w:t>15</w:t>
            </w:r>
          </w:p>
        </w:tc>
        <w:tc>
          <w:tcPr>
            <w:tcW w:w="992" w:type="dxa"/>
            <w:vAlign w:val="center"/>
          </w:tcPr>
          <w:p w14:paraId="65BAAC66" w14:textId="77777777" w:rsidR="00483A9D" w:rsidRPr="000971A8" w:rsidRDefault="00483A9D" w:rsidP="0007466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971A8">
              <w:rPr>
                <w:rFonts w:ascii="Calibri" w:hAnsi="Calibri" w:cs="Calibri"/>
              </w:rPr>
              <w:t>12</w:t>
            </w:r>
          </w:p>
        </w:tc>
        <w:tc>
          <w:tcPr>
            <w:tcW w:w="1134" w:type="dxa"/>
            <w:vAlign w:val="center"/>
          </w:tcPr>
          <w:p w14:paraId="4574A4AA" w14:textId="77777777" w:rsidR="00483A9D" w:rsidRPr="000971A8" w:rsidRDefault="00483A9D" w:rsidP="0007466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971A8">
              <w:rPr>
                <w:rFonts w:ascii="Calibri" w:hAnsi="Calibri" w:cs="Calibri"/>
              </w:rPr>
              <w:t>11</w:t>
            </w:r>
          </w:p>
        </w:tc>
        <w:tc>
          <w:tcPr>
            <w:tcW w:w="1134" w:type="dxa"/>
            <w:vAlign w:val="center"/>
          </w:tcPr>
          <w:p w14:paraId="26DDED4B" w14:textId="77777777" w:rsidR="00483A9D" w:rsidRPr="000971A8" w:rsidRDefault="00483A9D" w:rsidP="0007466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971A8">
              <w:rPr>
                <w:rFonts w:ascii="Calibri" w:hAnsi="Calibri" w:cs="Calibri"/>
              </w:rPr>
              <w:t>26</w:t>
            </w:r>
          </w:p>
        </w:tc>
        <w:tc>
          <w:tcPr>
            <w:tcW w:w="1134" w:type="dxa"/>
            <w:vAlign w:val="center"/>
          </w:tcPr>
          <w:p w14:paraId="2AE5206D" w14:textId="77777777" w:rsidR="00483A9D" w:rsidRPr="000971A8" w:rsidRDefault="00483A9D" w:rsidP="0007466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0971A8">
              <w:rPr>
                <w:rFonts w:ascii="Calibri" w:hAnsi="Calibri" w:cs="Calibri"/>
                <w:b/>
              </w:rPr>
              <w:t>79</w:t>
            </w:r>
          </w:p>
        </w:tc>
      </w:tr>
      <w:tr w:rsidR="0007466D" w:rsidRPr="000971A8" w14:paraId="3FB785DC" w14:textId="77777777" w:rsidTr="009F4B37">
        <w:trPr>
          <w:trHeight w:val="269"/>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F6C7CE" w:themeFill="accent1" w:themeFillTint="33"/>
            <w:vAlign w:val="center"/>
          </w:tcPr>
          <w:p w14:paraId="0DFE7B20" w14:textId="74A1950C" w:rsidR="0007466D" w:rsidRPr="000971A8" w:rsidRDefault="0007466D" w:rsidP="0007466D">
            <w:pPr>
              <w:spacing w:line="259" w:lineRule="auto"/>
              <w:rPr>
                <w:rFonts w:ascii="Calibri" w:hAnsi="Calibri" w:cs="Calibri"/>
                <w:szCs w:val="20"/>
              </w:rPr>
            </w:pPr>
            <w:r w:rsidRPr="000971A8">
              <w:rPr>
                <w:rFonts w:ascii="Calibri" w:hAnsi="Calibri" w:cs="Calibri"/>
                <w:szCs w:val="20"/>
              </w:rPr>
              <w:t>Public Weighbridge Licensees</w:t>
            </w:r>
          </w:p>
        </w:tc>
        <w:tc>
          <w:tcPr>
            <w:tcW w:w="1134" w:type="dxa"/>
            <w:shd w:val="clear" w:color="auto" w:fill="F6C7CE" w:themeFill="accent1" w:themeFillTint="33"/>
            <w:vAlign w:val="center"/>
          </w:tcPr>
          <w:p w14:paraId="76C64494" w14:textId="75DFE877" w:rsidR="0007466D" w:rsidRPr="000971A8" w:rsidRDefault="0007466D" w:rsidP="0007466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71A8">
              <w:rPr>
                <w:rFonts w:ascii="Calibri" w:hAnsi="Calibri" w:cs="Calibri"/>
              </w:rPr>
              <w:t>1</w:t>
            </w:r>
          </w:p>
        </w:tc>
        <w:tc>
          <w:tcPr>
            <w:tcW w:w="1276" w:type="dxa"/>
            <w:shd w:val="clear" w:color="auto" w:fill="F6C7CE" w:themeFill="accent1" w:themeFillTint="33"/>
            <w:vAlign w:val="center"/>
          </w:tcPr>
          <w:p w14:paraId="2F41C652" w14:textId="29E607DB" w:rsidR="0007466D" w:rsidRPr="000971A8" w:rsidRDefault="0007466D" w:rsidP="0007466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71A8">
              <w:rPr>
                <w:rFonts w:ascii="Calibri" w:hAnsi="Calibri" w:cs="Calibri"/>
              </w:rPr>
              <w:t>4</w:t>
            </w:r>
          </w:p>
        </w:tc>
        <w:tc>
          <w:tcPr>
            <w:tcW w:w="992" w:type="dxa"/>
            <w:shd w:val="clear" w:color="auto" w:fill="F6C7CE" w:themeFill="accent1" w:themeFillTint="33"/>
            <w:vAlign w:val="center"/>
          </w:tcPr>
          <w:p w14:paraId="096208A4" w14:textId="78C82250" w:rsidR="0007466D" w:rsidRPr="000971A8" w:rsidRDefault="0007466D" w:rsidP="0007466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71A8">
              <w:rPr>
                <w:rFonts w:ascii="Calibri" w:hAnsi="Calibri" w:cs="Calibri"/>
              </w:rPr>
              <w:t>1</w:t>
            </w:r>
          </w:p>
        </w:tc>
        <w:tc>
          <w:tcPr>
            <w:tcW w:w="1134" w:type="dxa"/>
            <w:shd w:val="clear" w:color="auto" w:fill="F6C7CE" w:themeFill="accent1" w:themeFillTint="33"/>
            <w:vAlign w:val="center"/>
          </w:tcPr>
          <w:p w14:paraId="10F22EAF" w14:textId="30D95B63" w:rsidR="0007466D" w:rsidRPr="000971A8" w:rsidRDefault="0007466D" w:rsidP="0007466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71A8">
              <w:rPr>
                <w:rFonts w:ascii="Calibri" w:hAnsi="Calibri" w:cs="Calibri"/>
              </w:rPr>
              <w:t>5</w:t>
            </w:r>
          </w:p>
        </w:tc>
        <w:tc>
          <w:tcPr>
            <w:tcW w:w="1134" w:type="dxa"/>
            <w:shd w:val="clear" w:color="auto" w:fill="F6C7CE" w:themeFill="accent1" w:themeFillTint="33"/>
            <w:vAlign w:val="center"/>
          </w:tcPr>
          <w:p w14:paraId="35F59E68" w14:textId="1D93B66A" w:rsidR="0007466D" w:rsidRPr="000971A8" w:rsidRDefault="0007466D" w:rsidP="0007466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71A8">
              <w:rPr>
                <w:rFonts w:ascii="Calibri" w:hAnsi="Calibri" w:cs="Calibri"/>
              </w:rPr>
              <w:t>1</w:t>
            </w:r>
          </w:p>
        </w:tc>
        <w:tc>
          <w:tcPr>
            <w:tcW w:w="1134" w:type="dxa"/>
            <w:shd w:val="clear" w:color="auto" w:fill="F6C7CE" w:themeFill="accent1" w:themeFillTint="33"/>
            <w:vAlign w:val="center"/>
          </w:tcPr>
          <w:p w14:paraId="2ACAC36A" w14:textId="46C9C4FE" w:rsidR="0007466D" w:rsidRPr="000971A8" w:rsidRDefault="0007466D" w:rsidP="0007466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0971A8">
              <w:rPr>
                <w:rFonts w:ascii="Calibri" w:hAnsi="Calibri" w:cs="Calibri"/>
                <w:b/>
              </w:rPr>
              <w:t>12</w:t>
            </w:r>
          </w:p>
        </w:tc>
      </w:tr>
      <w:tr w:rsidR="0007466D" w:rsidRPr="000971A8" w14:paraId="6378215C" w14:textId="77777777" w:rsidTr="009F4B3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9BDDE48" w14:textId="4FEA3535" w:rsidR="0007466D" w:rsidRPr="000971A8" w:rsidRDefault="00733E2D" w:rsidP="00733E2D">
            <w:pPr>
              <w:spacing w:line="259" w:lineRule="auto"/>
              <w:rPr>
                <w:rFonts w:ascii="Calibri" w:hAnsi="Calibri" w:cs="Calibri"/>
                <w:szCs w:val="20"/>
              </w:rPr>
            </w:pPr>
            <w:r>
              <w:rPr>
                <w:rFonts w:ascii="Calibri" w:hAnsi="Calibri" w:cs="Calibri"/>
                <w:szCs w:val="20"/>
              </w:rPr>
              <w:t>UMVs</w:t>
            </w:r>
          </w:p>
        </w:tc>
        <w:tc>
          <w:tcPr>
            <w:tcW w:w="1134" w:type="dxa"/>
            <w:vAlign w:val="center"/>
          </w:tcPr>
          <w:p w14:paraId="540522BB" w14:textId="7D3EA471" w:rsidR="0007466D" w:rsidRPr="000971A8" w:rsidRDefault="0007466D" w:rsidP="0007466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971A8">
              <w:rPr>
                <w:rFonts w:ascii="Calibri" w:hAnsi="Calibri" w:cs="Calibri"/>
              </w:rPr>
              <w:t>2</w:t>
            </w:r>
          </w:p>
        </w:tc>
        <w:tc>
          <w:tcPr>
            <w:tcW w:w="1276" w:type="dxa"/>
            <w:vAlign w:val="center"/>
          </w:tcPr>
          <w:p w14:paraId="64125113" w14:textId="67377B15" w:rsidR="0007466D" w:rsidRPr="000971A8" w:rsidRDefault="0007466D" w:rsidP="0007466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971A8">
              <w:rPr>
                <w:rFonts w:ascii="Calibri" w:hAnsi="Calibri" w:cs="Calibri"/>
              </w:rPr>
              <w:t>2</w:t>
            </w:r>
          </w:p>
        </w:tc>
        <w:tc>
          <w:tcPr>
            <w:tcW w:w="992" w:type="dxa"/>
            <w:vAlign w:val="center"/>
          </w:tcPr>
          <w:p w14:paraId="2DBD2A62" w14:textId="5679D488" w:rsidR="0007466D" w:rsidRPr="000971A8" w:rsidRDefault="0007466D" w:rsidP="0007466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971A8">
              <w:rPr>
                <w:rFonts w:ascii="Calibri" w:hAnsi="Calibri" w:cs="Calibri"/>
              </w:rPr>
              <w:t>0</w:t>
            </w:r>
          </w:p>
        </w:tc>
        <w:tc>
          <w:tcPr>
            <w:tcW w:w="1134" w:type="dxa"/>
            <w:vAlign w:val="center"/>
          </w:tcPr>
          <w:p w14:paraId="4D0FBB55" w14:textId="1ADB4192" w:rsidR="0007466D" w:rsidRPr="000971A8" w:rsidRDefault="0007466D" w:rsidP="0007466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971A8">
              <w:rPr>
                <w:rFonts w:ascii="Calibri" w:hAnsi="Calibri" w:cs="Calibri"/>
              </w:rPr>
              <w:t>5</w:t>
            </w:r>
          </w:p>
        </w:tc>
        <w:tc>
          <w:tcPr>
            <w:tcW w:w="1134" w:type="dxa"/>
            <w:vAlign w:val="center"/>
          </w:tcPr>
          <w:p w14:paraId="6F927B86" w14:textId="686F418C" w:rsidR="0007466D" w:rsidRPr="000971A8" w:rsidRDefault="0007466D" w:rsidP="0007466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971A8">
              <w:rPr>
                <w:rFonts w:ascii="Calibri" w:hAnsi="Calibri" w:cs="Calibri"/>
              </w:rPr>
              <w:t>1</w:t>
            </w:r>
          </w:p>
        </w:tc>
        <w:tc>
          <w:tcPr>
            <w:tcW w:w="1134" w:type="dxa"/>
            <w:vAlign w:val="center"/>
          </w:tcPr>
          <w:p w14:paraId="6199C71A" w14:textId="19A540EB" w:rsidR="0007466D" w:rsidRPr="000971A8" w:rsidRDefault="0007466D" w:rsidP="0007466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0971A8">
              <w:rPr>
                <w:rFonts w:ascii="Calibri" w:hAnsi="Calibri" w:cs="Calibri"/>
                <w:b/>
              </w:rPr>
              <w:t>10</w:t>
            </w:r>
          </w:p>
        </w:tc>
      </w:tr>
      <w:tr w:rsidR="0007466D" w:rsidRPr="000971A8" w14:paraId="7EA01413" w14:textId="77777777" w:rsidTr="009F4B37">
        <w:trPr>
          <w:trHeight w:val="269"/>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F6C7CE" w:themeFill="accent1" w:themeFillTint="33"/>
            <w:vAlign w:val="center"/>
          </w:tcPr>
          <w:p w14:paraId="5F64E2BC" w14:textId="446B4B6C" w:rsidR="0007466D" w:rsidRPr="000971A8" w:rsidRDefault="00733E2D" w:rsidP="0007466D">
            <w:pPr>
              <w:spacing w:line="259" w:lineRule="auto"/>
              <w:rPr>
                <w:rFonts w:ascii="Calibri" w:hAnsi="Calibri" w:cs="Calibri"/>
                <w:szCs w:val="20"/>
              </w:rPr>
            </w:pPr>
            <w:r>
              <w:rPr>
                <w:rFonts w:ascii="Calibri" w:hAnsi="Calibri" w:cs="Calibri"/>
                <w:szCs w:val="20"/>
              </w:rPr>
              <w:t>LMAs</w:t>
            </w:r>
          </w:p>
        </w:tc>
        <w:tc>
          <w:tcPr>
            <w:tcW w:w="1134" w:type="dxa"/>
            <w:shd w:val="clear" w:color="auto" w:fill="F6C7CE" w:themeFill="accent1" w:themeFillTint="33"/>
            <w:vAlign w:val="center"/>
          </w:tcPr>
          <w:p w14:paraId="3C5B1E44" w14:textId="0F328AF4" w:rsidR="0007466D" w:rsidRPr="000971A8" w:rsidRDefault="0007466D" w:rsidP="0007466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71A8">
              <w:rPr>
                <w:rFonts w:ascii="Calibri" w:hAnsi="Calibri" w:cs="Calibri"/>
              </w:rPr>
              <w:t>5</w:t>
            </w:r>
          </w:p>
        </w:tc>
        <w:tc>
          <w:tcPr>
            <w:tcW w:w="1276" w:type="dxa"/>
            <w:shd w:val="clear" w:color="auto" w:fill="F6C7CE" w:themeFill="accent1" w:themeFillTint="33"/>
            <w:vAlign w:val="center"/>
          </w:tcPr>
          <w:p w14:paraId="0EA4EAA0" w14:textId="2109661E" w:rsidR="0007466D" w:rsidRPr="000971A8" w:rsidRDefault="0007466D" w:rsidP="0007466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71A8">
              <w:rPr>
                <w:rFonts w:ascii="Calibri" w:hAnsi="Calibri" w:cs="Calibri"/>
              </w:rPr>
              <w:t>6</w:t>
            </w:r>
          </w:p>
        </w:tc>
        <w:tc>
          <w:tcPr>
            <w:tcW w:w="992" w:type="dxa"/>
            <w:shd w:val="clear" w:color="auto" w:fill="F6C7CE" w:themeFill="accent1" w:themeFillTint="33"/>
            <w:vAlign w:val="center"/>
          </w:tcPr>
          <w:p w14:paraId="67C9C062" w14:textId="009F5E93" w:rsidR="0007466D" w:rsidRPr="000971A8" w:rsidRDefault="0007466D" w:rsidP="0007466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71A8">
              <w:rPr>
                <w:rFonts w:ascii="Calibri" w:hAnsi="Calibri" w:cs="Calibri"/>
              </w:rPr>
              <w:t>2</w:t>
            </w:r>
          </w:p>
        </w:tc>
        <w:tc>
          <w:tcPr>
            <w:tcW w:w="1134" w:type="dxa"/>
            <w:shd w:val="clear" w:color="auto" w:fill="F6C7CE" w:themeFill="accent1" w:themeFillTint="33"/>
            <w:vAlign w:val="center"/>
          </w:tcPr>
          <w:p w14:paraId="41E65BA6" w14:textId="7CFBE06D" w:rsidR="0007466D" w:rsidRPr="000971A8" w:rsidRDefault="0007466D" w:rsidP="0007466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71A8">
              <w:rPr>
                <w:rFonts w:ascii="Calibri" w:hAnsi="Calibri" w:cs="Calibri"/>
              </w:rPr>
              <w:t>4</w:t>
            </w:r>
          </w:p>
        </w:tc>
        <w:tc>
          <w:tcPr>
            <w:tcW w:w="1134" w:type="dxa"/>
            <w:shd w:val="clear" w:color="auto" w:fill="F6C7CE" w:themeFill="accent1" w:themeFillTint="33"/>
            <w:vAlign w:val="center"/>
          </w:tcPr>
          <w:p w14:paraId="3D56C64C" w14:textId="65DDAA2F" w:rsidR="0007466D" w:rsidRPr="000971A8" w:rsidRDefault="0007466D" w:rsidP="0007466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71A8">
              <w:rPr>
                <w:rFonts w:ascii="Calibri" w:hAnsi="Calibri" w:cs="Calibri"/>
              </w:rPr>
              <w:t>5</w:t>
            </w:r>
          </w:p>
        </w:tc>
        <w:tc>
          <w:tcPr>
            <w:tcW w:w="1134" w:type="dxa"/>
            <w:shd w:val="clear" w:color="auto" w:fill="F6C7CE" w:themeFill="accent1" w:themeFillTint="33"/>
            <w:vAlign w:val="center"/>
          </w:tcPr>
          <w:p w14:paraId="45022707" w14:textId="73B83EED" w:rsidR="0007466D" w:rsidRPr="000971A8" w:rsidRDefault="0007466D" w:rsidP="0007466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0971A8">
              <w:rPr>
                <w:rFonts w:ascii="Calibri" w:hAnsi="Calibri" w:cs="Calibri"/>
                <w:b/>
              </w:rPr>
              <w:t>22</w:t>
            </w:r>
          </w:p>
        </w:tc>
      </w:tr>
    </w:tbl>
    <w:p w14:paraId="5C171567" w14:textId="6FF554C7" w:rsidR="00DD651F" w:rsidRPr="000971A8" w:rsidRDefault="00DD651F" w:rsidP="0037190D">
      <w:pPr>
        <w:spacing w:before="240" w:line="259" w:lineRule="auto"/>
        <w:rPr>
          <w:rFonts w:ascii="Calibri" w:hAnsi="Calibri" w:cs="Calibri"/>
          <w:sz w:val="22"/>
        </w:rPr>
      </w:pPr>
      <w:r w:rsidRPr="000971A8">
        <w:rPr>
          <w:rFonts w:ascii="Calibri" w:hAnsi="Calibri" w:cs="Calibri"/>
          <w:sz w:val="22"/>
        </w:rPr>
        <w:t>This document captures the key feedback received fro</w:t>
      </w:r>
      <w:r w:rsidR="00392991">
        <w:rPr>
          <w:rFonts w:ascii="Calibri" w:hAnsi="Calibri" w:cs="Calibri"/>
          <w:sz w:val="22"/>
        </w:rPr>
        <w:t>m attendees at these workshops. The Review will consider the different perspectives provide</w:t>
      </w:r>
      <w:r w:rsidR="009F7FA7">
        <w:rPr>
          <w:rFonts w:ascii="Calibri" w:hAnsi="Calibri" w:cs="Calibri"/>
          <w:sz w:val="22"/>
        </w:rPr>
        <w:t>d</w:t>
      </w:r>
      <w:r w:rsidR="00392991">
        <w:rPr>
          <w:rFonts w:ascii="Calibri" w:hAnsi="Calibri" w:cs="Calibri"/>
          <w:sz w:val="22"/>
        </w:rPr>
        <w:t xml:space="preserve"> during consultations when developing options for reform. Further consultation will be undertaken on these options once developed.</w:t>
      </w:r>
    </w:p>
    <w:p w14:paraId="310E677F" w14:textId="50A2F729" w:rsidR="008329F5" w:rsidRPr="000971A8" w:rsidRDefault="009F4B37" w:rsidP="00E3276D">
      <w:pPr>
        <w:pStyle w:val="Heading1"/>
        <w:numPr>
          <w:ilvl w:val="0"/>
          <w:numId w:val="38"/>
        </w:numPr>
        <w:ind w:left="567" w:hanging="425"/>
      </w:pPr>
      <w:bookmarkStart w:id="2" w:name="_Toc50541015"/>
      <w:r w:rsidRPr="000971A8">
        <w:t>Servicing Licensees</w:t>
      </w:r>
      <w:bookmarkEnd w:id="2"/>
    </w:p>
    <w:p w14:paraId="3C5D8AF5" w14:textId="0076385A" w:rsidR="00D9595A" w:rsidRPr="000971A8" w:rsidRDefault="00D9595A" w:rsidP="00DD26F0">
      <w:pPr>
        <w:pStyle w:val="ListParagraph"/>
        <w:numPr>
          <w:ilvl w:val="0"/>
          <w:numId w:val="23"/>
        </w:numPr>
        <w:spacing w:after="0"/>
        <w:rPr>
          <w:rFonts w:ascii="Calibri" w:hAnsi="Calibri" w:cs="Calibri"/>
        </w:rPr>
      </w:pPr>
      <w:r w:rsidRPr="000971A8">
        <w:rPr>
          <w:rFonts w:ascii="Calibri" w:hAnsi="Calibri" w:cs="Calibri"/>
        </w:rPr>
        <w:t>Servicing licensees play an important role to help underpin accurate measurement in trade transactions and maintain regulatory standards. Without the support of servicing licensees, it would be difficult for government to support industry and this could potentially erode the measurement framework. Industry would start cutting corners and it would produce a measurement system that was cost-based instead of performance and quality based.</w:t>
      </w:r>
    </w:p>
    <w:p w14:paraId="37E63B9B" w14:textId="77777777" w:rsidR="00870FEC" w:rsidRPr="000971A8" w:rsidRDefault="00870FEC" w:rsidP="00870FEC">
      <w:pPr>
        <w:pStyle w:val="ListParagraph"/>
        <w:numPr>
          <w:ilvl w:val="0"/>
          <w:numId w:val="23"/>
        </w:numPr>
        <w:spacing w:after="0"/>
        <w:rPr>
          <w:rFonts w:ascii="Calibri" w:hAnsi="Calibri" w:cs="Calibri"/>
        </w:rPr>
      </w:pPr>
      <w:r w:rsidRPr="000971A8">
        <w:rPr>
          <w:rFonts w:ascii="Calibri" w:hAnsi="Calibri" w:cs="Calibri"/>
        </w:rPr>
        <w:t>Some participants suggested that trade measurement legislation should include consumer protection provisions in order to support confidence in the measurement system.</w:t>
      </w:r>
    </w:p>
    <w:p w14:paraId="0E934BBD" w14:textId="55E0FA84" w:rsidR="00DD26F0" w:rsidRPr="000971A8" w:rsidRDefault="00870FEC" w:rsidP="00870FEC">
      <w:pPr>
        <w:pStyle w:val="ListParagraph"/>
        <w:numPr>
          <w:ilvl w:val="1"/>
          <w:numId w:val="23"/>
        </w:numPr>
        <w:spacing w:after="0"/>
        <w:rPr>
          <w:rFonts w:ascii="Calibri" w:hAnsi="Calibri" w:cs="Calibri"/>
        </w:rPr>
      </w:pPr>
      <w:r w:rsidRPr="000971A8">
        <w:rPr>
          <w:rFonts w:ascii="Calibri" w:hAnsi="Calibri" w:cs="Calibri"/>
        </w:rPr>
        <w:t>Consumers expect accuracy and assume measuring instruments and measurement results are accurate</w:t>
      </w:r>
      <w:r w:rsidR="00F00967">
        <w:rPr>
          <w:rFonts w:ascii="Calibri" w:hAnsi="Calibri" w:cs="Calibri"/>
        </w:rPr>
        <w:t>. If the existing framework was</w:t>
      </w:r>
      <w:r w:rsidRPr="000971A8">
        <w:rPr>
          <w:rFonts w:ascii="Calibri" w:hAnsi="Calibri" w:cs="Calibri"/>
        </w:rPr>
        <w:t xml:space="preserve"> to be taken away (or significantly relaxed), consumers and industry may express concern and request feedback as to the rationale behind the changes.</w:t>
      </w:r>
    </w:p>
    <w:p w14:paraId="0A1E1EC8" w14:textId="77777777" w:rsidR="00FC1079" w:rsidRDefault="00FC1079" w:rsidP="00FC1079">
      <w:pPr>
        <w:pStyle w:val="ListParagraph"/>
        <w:numPr>
          <w:ilvl w:val="0"/>
          <w:numId w:val="23"/>
        </w:numPr>
        <w:spacing w:after="0"/>
        <w:rPr>
          <w:rFonts w:ascii="Calibri" w:hAnsi="Calibri" w:cs="Calibri"/>
        </w:rPr>
      </w:pPr>
      <w:r w:rsidRPr="000971A8">
        <w:rPr>
          <w:rFonts w:ascii="Calibri" w:hAnsi="Calibri" w:cs="Calibri"/>
        </w:rPr>
        <w:t>It was suggested that NMI should play a greater role in educating traders about their obligations – the current perception is that this falls on servicing licensees given there is no requirement for mandatory re-verification (except for public weighbridges).</w:t>
      </w:r>
    </w:p>
    <w:p w14:paraId="3E575CCF" w14:textId="2ABE91A2" w:rsidR="003A78A6" w:rsidRPr="0081380A" w:rsidRDefault="003A78A6" w:rsidP="0081380A">
      <w:pPr>
        <w:pStyle w:val="ListParagraph"/>
        <w:numPr>
          <w:ilvl w:val="0"/>
          <w:numId w:val="23"/>
        </w:numPr>
        <w:spacing w:after="0"/>
        <w:rPr>
          <w:rStyle w:val="CommentReference"/>
          <w:rFonts w:ascii="Calibri" w:hAnsi="Calibri" w:cs="Calibri"/>
          <w:sz w:val="22"/>
          <w:szCs w:val="22"/>
        </w:rPr>
      </w:pPr>
      <w:r w:rsidRPr="000971A8">
        <w:rPr>
          <w:rFonts w:ascii="Calibri" w:hAnsi="Calibri" w:cs="Calibri"/>
        </w:rPr>
        <w:t>Improved communication and collaboration between the NMI and servicing licensees is needed.</w:t>
      </w:r>
    </w:p>
    <w:p w14:paraId="574FADFB" w14:textId="3F0D144D" w:rsidR="00FC1079" w:rsidRPr="00FC1079" w:rsidRDefault="00FC1079" w:rsidP="00FC1079">
      <w:pPr>
        <w:pStyle w:val="ListParagraph"/>
        <w:numPr>
          <w:ilvl w:val="0"/>
          <w:numId w:val="23"/>
        </w:numPr>
        <w:spacing w:after="0"/>
        <w:rPr>
          <w:rFonts w:ascii="Calibri" w:hAnsi="Calibri" w:cs="Calibri"/>
        </w:rPr>
      </w:pPr>
      <w:r w:rsidRPr="00B0261F">
        <w:rPr>
          <w:rStyle w:val="CommentReference"/>
          <w:sz w:val="20"/>
          <w:szCs w:val="20"/>
        </w:rPr>
        <w:lastRenderedPageBreak/>
        <w:t>T</w:t>
      </w:r>
      <w:r w:rsidRPr="00FC1079">
        <w:rPr>
          <w:rFonts w:ascii="Calibri" w:hAnsi="Calibri" w:cs="Calibri"/>
        </w:rPr>
        <w:t>he cost of maintaining equipment was raised in a number of the forums. The maintenance of specialty tools and equipment used to test instruments comes at significant expense to industry.</w:t>
      </w:r>
    </w:p>
    <w:p w14:paraId="0E923100" w14:textId="16F0BFBB" w:rsidR="006E6EEC" w:rsidRPr="000971A8" w:rsidRDefault="00185ABF" w:rsidP="000971A8">
      <w:pPr>
        <w:pStyle w:val="Heading3"/>
      </w:pPr>
      <w:bookmarkStart w:id="3" w:name="_Toc50541016"/>
      <w:r>
        <w:t xml:space="preserve">2.1 </w:t>
      </w:r>
      <w:r w:rsidR="006E6EEC" w:rsidRPr="000971A8">
        <w:t>Verification and Re-verification</w:t>
      </w:r>
      <w:bookmarkEnd w:id="3"/>
      <w:r w:rsidR="006E6EEC" w:rsidRPr="000971A8">
        <w:t xml:space="preserve"> </w:t>
      </w:r>
    </w:p>
    <w:p w14:paraId="1039969E" w14:textId="3000E7A3" w:rsidR="00483A9D" w:rsidRPr="000971A8" w:rsidRDefault="003D5B5E" w:rsidP="000971A8">
      <w:pPr>
        <w:pStyle w:val="ListParagraph"/>
        <w:numPr>
          <w:ilvl w:val="0"/>
          <w:numId w:val="13"/>
        </w:numPr>
        <w:spacing w:after="0"/>
        <w:rPr>
          <w:rFonts w:ascii="Calibri" w:hAnsi="Calibri" w:cs="Calibri"/>
        </w:rPr>
      </w:pPr>
      <w:r w:rsidRPr="000971A8">
        <w:rPr>
          <w:rFonts w:ascii="Calibri" w:hAnsi="Calibri" w:cs="Calibri"/>
        </w:rPr>
        <w:t xml:space="preserve">The greatest area of concern voiced in the </w:t>
      </w:r>
      <w:r w:rsidR="00065DC6">
        <w:rPr>
          <w:rFonts w:ascii="Calibri" w:hAnsi="Calibri" w:cs="Calibri"/>
        </w:rPr>
        <w:t xml:space="preserve">servicing licensee </w:t>
      </w:r>
      <w:r w:rsidRPr="000971A8">
        <w:rPr>
          <w:rFonts w:ascii="Calibri" w:hAnsi="Calibri" w:cs="Calibri"/>
        </w:rPr>
        <w:t>forums was a lack of mandatory re-verification</w:t>
      </w:r>
      <w:r w:rsidRPr="000971A8">
        <w:rPr>
          <w:rStyle w:val="FootnoteReference"/>
          <w:rFonts w:ascii="Calibri" w:hAnsi="Calibri" w:cs="Calibri"/>
        </w:rPr>
        <w:footnoteReference w:id="7"/>
      </w:r>
      <w:r w:rsidRPr="000971A8">
        <w:rPr>
          <w:rFonts w:ascii="Calibri" w:hAnsi="Calibri" w:cs="Calibri"/>
        </w:rPr>
        <w:t xml:space="preserve"> or expiry date on verification for measuring instruments </w:t>
      </w:r>
      <w:r w:rsidR="00DD651F" w:rsidRPr="000971A8">
        <w:rPr>
          <w:rFonts w:ascii="Calibri" w:hAnsi="Calibri" w:cs="Calibri"/>
        </w:rPr>
        <w:t>since transition to the national system (some state and territories previously mandated re-verification periods).</w:t>
      </w:r>
    </w:p>
    <w:p w14:paraId="28E65388" w14:textId="77777777" w:rsidR="009F4B37" w:rsidRPr="000971A8" w:rsidRDefault="00593C9D" w:rsidP="009F4B37">
      <w:pPr>
        <w:pStyle w:val="ListParagraph"/>
        <w:numPr>
          <w:ilvl w:val="0"/>
          <w:numId w:val="13"/>
        </w:numPr>
        <w:spacing w:after="0"/>
        <w:rPr>
          <w:rFonts w:ascii="Calibri" w:hAnsi="Calibri" w:cs="Calibri"/>
        </w:rPr>
      </w:pPr>
      <w:r w:rsidRPr="000971A8">
        <w:rPr>
          <w:rFonts w:ascii="Calibri" w:hAnsi="Calibri" w:cs="Calibri"/>
        </w:rPr>
        <w:t>A few participants felt strongly that the requirements for verification should extend beyond measuring instruments used for trade purposes to other non-trade applications, including health, environment and safety.</w:t>
      </w:r>
    </w:p>
    <w:p w14:paraId="35DBE1B2" w14:textId="77777777" w:rsidR="008329F5" w:rsidRPr="000971A8" w:rsidRDefault="008329F5" w:rsidP="008329F5">
      <w:pPr>
        <w:pStyle w:val="ListParagraph"/>
        <w:numPr>
          <w:ilvl w:val="0"/>
          <w:numId w:val="13"/>
        </w:numPr>
        <w:spacing w:after="0"/>
        <w:rPr>
          <w:rFonts w:ascii="Calibri" w:hAnsi="Calibri" w:cs="Calibri"/>
        </w:rPr>
      </w:pPr>
      <w:r w:rsidRPr="000971A8">
        <w:rPr>
          <w:rFonts w:ascii="Calibri" w:hAnsi="Calibri" w:cs="Calibri"/>
        </w:rPr>
        <w:t>Many participants raised issues with the “Form 6” verification reporting system and supported the proposal to explore applications or other digital solutions for instrument reporting (e.g. verification). Some concerns raised with the Form 6 system included:</w:t>
      </w:r>
    </w:p>
    <w:p w14:paraId="4F6E3F75" w14:textId="77777777" w:rsidR="008329F5" w:rsidRPr="000971A8" w:rsidRDefault="008329F5" w:rsidP="008329F5">
      <w:pPr>
        <w:pStyle w:val="ListParagraph"/>
        <w:numPr>
          <w:ilvl w:val="1"/>
          <w:numId w:val="13"/>
        </w:numPr>
        <w:spacing w:after="0"/>
        <w:rPr>
          <w:rFonts w:ascii="Calibri" w:hAnsi="Calibri" w:cs="Calibri"/>
        </w:rPr>
      </w:pPr>
      <w:r w:rsidRPr="000971A8">
        <w:rPr>
          <w:rFonts w:ascii="Calibri" w:hAnsi="Calibri" w:cs="Calibri"/>
        </w:rPr>
        <w:t xml:space="preserve">The Form 6 system is cumbersome and difficult to understand. </w:t>
      </w:r>
    </w:p>
    <w:p w14:paraId="53854485" w14:textId="77777777" w:rsidR="008329F5" w:rsidRPr="000971A8" w:rsidRDefault="008329F5" w:rsidP="008329F5">
      <w:pPr>
        <w:pStyle w:val="ListParagraph"/>
        <w:numPr>
          <w:ilvl w:val="1"/>
          <w:numId w:val="13"/>
        </w:numPr>
        <w:spacing w:after="0"/>
        <w:rPr>
          <w:rFonts w:ascii="Calibri" w:hAnsi="Calibri" w:cs="Calibri"/>
        </w:rPr>
      </w:pPr>
      <w:r w:rsidRPr="000971A8">
        <w:rPr>
          <w:rFonts w:ascii="Calibri" w:hAnsi="Calibri" w:cs="Calibri"/>
        </w:rPr>
        <w:t xml:space="preserve">There are no tools available to servicing licensees for managing information when something is certified. </w:t>
      </w:r>
    </w:p>
    <w:p w14:paraId="3AA27410" w14:textId="5717BD32" w:rsidR="008329F5" w:rsidRPr="000971A8" w:rsidRDefault="008329F5" w:rsidP="008329F5">
      <w:pPr>
        <w:pStyle w:val="ListParagraph"/>
        <w:numPr>
          <w:ilvl w:val="1"/>
          <w:numId w:val="13"/>
        </w:numPr>
        <w:spacing w:after="0"/>
        <w:rPr>
          <w:rFonts w:ascii="Calibri" w:hAnsi="Calibri" w:cs="Calibri"/>
        </w:rPr>
      </w:pPr>
      <w:r w:rsidRPr="000971A8">
        <w:rPr>
          <w:rFonts w:ascii="Calibri" w:hAnsi="Calibri" w:cs="Calibri"/>
        </w:rPr>
        <w:t xml:space="preserve">The NMI does not provide access to their database information. Information gets sent to NMI and </w:t>
      </w:r>
      <w:r w:rsidR="00E80E1E" w:rsidRPr="000971A8">
        <w:rPr>
          <w:rFonts w:ascii="Calibri" w:hAnsi="Calibri" w:cs="Calibri"/>
        </w:rPr>
        <w:t>s</w:t>
      </w:r>
      <w:r w:rsidRPr="000971A8">
        <w:rPr>
          <w:rFonts w:ascii="Calibri" w:hAnsi="Calibri" w:cs="Calibri"/>
        </w:rPr>
        <w:t xml:space="preserve">ervicing licensees have no visibility. </w:t>
      </w:r>
    </w:p>
    <w:p w14:paraId="485A5A71" w14:textId="3CBC8996" w:rsidR="006E6EEC" w:rsidRPr="000971A8" w:rsidRDefault="008329F5" w:rsidP="000971A8">
      <w:pPr>
        <w:pStyle w:val="ListParagraph"/>
        <w:numPr>
          <w:ilvl w:val="1"/>
          <w:numId w:val="13"/>
        </w:numPr>
        <w:spacing w:after="0"/>
        <w:rPr>
          <w:rFonts w:ascii="Calibri" w:hAnsi="Calibri" w:cs="Calibri"/>
        </w:rPr>
      </w:pPr>
      <w:r w:rsidRPr="000971A8">
        <w:rPr>
          <w:rFonts w:ascii="Calibri" w:hAnsi="Calibri" w:cs="Calibri"/>
        </w:rPr>
        <w:t>Technology should be used more effectively to improve access to information.</w:t>
      </w:r>
    </w:p>
    <w:p w14:paraId="5B3402C7" w14:textId="2CF828A0" w:rsidR="006E6EEC" w:rsidRPr="000971A8" w:rsidRDefault="00185ABF" w:rsidP="000971A8">
      <w:pPr>
        <w:pStyle w:val="Heading3"/>
      </w:pPr>
      <w:bookmarkStart w:id="4" w:name="_Toc50541017"/>
      <w:r>
        <w:t xml:space="preserve">2.2 </w:t>
      </w:r>
      <w:r w:rsidR="006E6EEC" w:rsidRPr="000971A8">
        <w:t>Competency</w:t>
      </w:r>
      <w:bookmarkEnd w:id="4"/>
    </w:p>
    <w:p w14:paraId="4D2FCDE2" w14:textId="2E2EC1EA" w:rsidR="00483A9D" w:rsidRPr="000971A8" w:rsidRDefault="00483A9D" w:rsidP="00FC3617">
      <w:pPr>
        <w:pStyle w:val="ListParagraph"/>
        <w:numPr>
          <w:ilvl w:val="0"/>
          <w:numId w:val="13"/>
        </w:numPr>
        <w:spacing w:after="0"/>
        <w:rPr>
          <w:rFonts w:ascii="Calibri" w:hAnsi="Calibri" w:cs="Calibri"/>
        </w:rPr>
      </w:pPr>
      <w:r w:rsidRPr="000971A8">
        <w:rPr>
          <w:rFonts w:ascii="Calibri" w:hAnsi="Calibri" w:cs="Calibri"/>
        </w:rPr>
        <w:t>Statements of attainment</w:t>
      </w:r>
      <w:r w:rsidR="0027177C" w:rsidRPr="000971A8">
        <w:rPr>
          <w:rStyle w:val="FootnoteReference"/>
          <w:rFonts w:ascii="Calibri" w:hAnsi="Calibri" w:cs="Calibri"/>
        </w:rPr>
        <w:footnoteReference w:id="8"/>
      </w:r>
      <w:r w:rsidRPr="000971A8">
        <w:rPr>
          <w:rFonts w:ascii="Calibri" w:hAnsi="Calibri" w:cs="Calibri"/>
        </w:rPr>
        <w:t xml:space="preserve"> </w:t>
      </w:r>
      <w:r w:rsidR="008A53F4" w:rsidRPr="000971A8">
        <w:rPr>
          <w:rFonts w:ascii="Calibri" w:hAnsi="Calibri" w:cs="Calibri"/>
        </w:rPr>
        <w:t xml:space="preserve">(SoA) </w:t>
      </w:r>
      <w:r w:rsidR="001719BE" w:rsidRPr="000971A8">
        <w:rPr>
          <w:rFonts w:ascii="Calibri" w:hAnsi="Calibri" w:cs="Calibri"/>
        </w:rPr>
        <w:t xml:space="preserve">to demonstrate individual’s competencies </w:t>
      </w:r>
      <w:r w:rsidRPr="000971A8">
        <w:rPr>
          <w:rFonts w:ascii="Calibri" w:hAnsi="Calibri" w:cs="Calibri"/>
        </w:rPr>
        <w:t xml:space="preserve">were considered appropriate but there was support </w:t>
      </w:r>
      <w:r w:rsidR="001719BE" w:rsidRPr="000971A8">
        <w:rPr>
          <w:rFonts w:ascii="Calibri" w:hAnsi="Calibri" w:cs="Calibri"/>
        </w:rPr>
        <w:t xml:space="preserve">to extend </w:t>
      </w:r>
      <w:r w:rsidR="007C4946" w:rsidRPr="000971A8">
        <w:rPr>
          <w:rFonts w:ascii="Calibri" w:hAnsi="Calibri" w:cs="Calibri"/>
        </w:rPr>
        <w:t>competenc</w:t>
      </w:r>
      <w:r w:rsidR="00C21AA9" w:rsidRPr="000971A8">
        <w:rPr>
          <w:rFonts w:ascii="Calibri" w:hAnsi="Calibri" w:cs="Calibri"/>
        </w:rPr>
        <w:t>y</w:t>
      </w:r>
      <w:r w:rsidR="007C4946" w:rsidRPr="000971A8">
        <w:rPr>
          <w:rFonts w:ascii="Calibri" w:hAnsi="Calibri" w:cs="Calibri"/>
        </w:rPr>
        <w:t xml:space="preserve"> audits</w:t>
      </w:r>
      <w:r w:rsidRPr="000971A8">
        <w:rPr>
          <w:rFonts w:ascii="Calibri" w:hAnsi="Calibri" w:cs="Calibri"/>
        </w:rPr>
        <w:t xml:space="preserve"> in the field</w:t>
      </w:r>
      <w:r w:rsidR="001719BE" w:rsidRPr="000971A8">
        <w:rPr>
          <w:rFonts w:ascii="Calibri" w:hAnsi="Calibri" w:cs="Calibri"/>
        </w:rPr>
        <w:t xml:space="preserve"> (field based assessments)</w:t>
      </w:r>
      <w:r w:rsidRPr="000971A8">
        <w:rPr>
          <w:rFonts w:ascii="Calibri" w:hAnsi="Calibri" w:cs="Calibri"/>
        </w:rPr>
        <w:t>.</w:t>
      </w:r>
    </w:p>
    <w:p w14:paraId="3DFA32F7" w14:textId="26794BB5" w:rsidR="00483A9D" w:rsidRPr="000971A8" w:rsidRDefault="00483A9D" w:rsidP="00FC3617">
      <w:pPr>
        <w:pStyle w:val="ListParagraph"/>
        <w:numPr>
          <w:ilvl w:val="0"/>
          <w:numId w:val="13"/>
        </w:numPr>
        <w:spacing w:after="0"/>
        <w:rPr>
          <w:rFonts w:ascii="Calibri" w:hAnsi="Calibri" w:cs="Calibri"/>
        </w:rPr>
      </w:pPr>
      <w:r w:rsidRPr="000971A8">
        <w:rPr>
          <w:rFonts w:ascii="Calibri" w:hAnsi="Calibri" w:cs="Calibri"/>
        </w:rPr>
        <w:t xml:space="preserve">General acceptance that licence classes should be looked at to </w:t>
      </w:r>
      <w:r w:rsidR="00C26C11" w:rsidRPr="000971A8">
        <w:rPr>
          <w:rFonts w:ascii="Calibri" w:hAnsi="Calibri" w:cs="Calibri"/>
        </w:rPr>
        <w:t>consider alternative approaches</w:t>
      </w:r>
      <w:r w:rsidR="00801A12" w:rsidRPr="000971A8">
        <w:rPr>
          <w:rFonts w:ascii="Calibri" w:hAnsi="Calibri" w:cs="Calibri"/>
        </w:rPr>
        <w:t>, e.g. competence could be assessed with reference to instrument methodology, rather than the current approach of instrument classes.</w:t>
      </w:r>
    </w:p>
    <w:p w14:paraId="27FB6984" w14:textId="473B44BC" w:rsidR="006E6EEC" w:rsidRPr="000971A8" w:rsidRDefault="00185ABF" w:rsidP="000971A8">
      <w:pPr>
        <w:pStyle w:val="Heading3"/>
      </w:pPr>
      <w:bookmarkStart w:id="5" w:name="_Toc50541018"/>
      <w:r>
        <w:t xml:space="preserve">2.3 </w:t>
      </w:r>
      <w:r w:rsidR="000971A8">
        <w:t>P</w:t>
      </w:r>
      <w:r w:rsidR="00C16058">
        <w:t>rescriptiveness</w:t>
      </w:r>
      <w:bookmarkEnd w:id="5"/>
    </w:p>
    <w:p w14:paraId="4281FBBB" w14:textId="3C76FF45" w:rsidR="00483A9D" w:rsidRPr="000971A8" w:rsidRDefault="00870FEC" w:rsidP="00FC3617">
      <w:pPr>
        <w:pStyle w:val="ListParagraph"/>
        <w:numPr>
          <w:ilvl w:val="0"/>
          <w:numId w:val="13"/>
        </w:numPr>
        <w:spacing w:after="0"/>
        <w:rPr>
          <w:rFonts w:ascii="Calibri" w:hAnsi="Calibri" w:cs="Calibri"/>
        </w:rPr>
      </w:pPr>
      <w:r w:rsidRPr="000971A8">
        <w:rPr>
          <w:rFonts w:ascii="Calibri" w:hAnsi="Calibri" w:cs="Calibri"/>
        </w:rPr>
        <w:t>There was s</w:t>
      </w:r>
      <w:r w:rsidR="00483A9D" w:rsidRPr="000971A8">
        <w:rPr>
          <w:rFonts w:ascii="Calibri" w:hAnsi="Calibri" w:cs="Calibri"/>
        </w:rPr>
        <w:t>upport for</w:t>
      </w:r>
      <w:r w:rsidRPr="000971A8">
        <w:rPr>
          <w:rFonts w:ascii="Calibri" w:hAnsi="Calibri" w:cs="Calibri"/>
        </w:rPr>
        <w:t xml:space="preserve"> the</w:t>
      </w:r>
      <w:r w:rsidR="008A53F4" w:rsidRPr="000971A8">
        <w:rPr>
          <w:rFonts w:ascii="Calibri" w:hAnsi="Calibri" w:cs="Calibri"/>
        </w:rPr>
        <w:t xml:space="preserve"> National Instrument Test Procedures</w:t>
      </w:r>
      <w:r w:rsidR="000F6FC5" w:rsidRPr="000971A8">
        <w:rPr>
          <w:rStyle w:val="FootnoteReference"/>
          <w:rFonts w:ascii="Calibri" w:hAnsi="Calibri" w:cs="Calibri"/>
        </w:rPr>
        <w:footnoteReference w:id="9"/>
      </w:r>
      <w:r w:rsidR="00483A9D" w:rsidRPr="000971A8">
        <w:rPr>
          <w:rFonts w:ascii="Calibri" w:hAnsi="Calibri" w:cs="Calibri"/>
        </w:rPr>
        <w:t xml:space="preserve"> </w:t>
      </w:r>
      <w:r w:rsidR="008A53F4" w:rsidRPr="000971A8">
        <w:rPr>
          <w:rFonts w:ascii="Calibri" w:hAnsi="Calibri" w:cs="Calibri"/>
        </w:rPr>
        <w:t>(</w:t>
      </w:r>
      <w:r w:rsidR="00483A9D" w:rsidRPr="000971A8">
        <w:rPr>
          <w:rFonts w:ascii="Calibri" w:hAnsi="Calibri" w:cs="Calibri"/>
        </w:rPr>
        <w:t>NITPs</w:t>
      </w:r>
      <w:r w:rsidR="008A53F4" w:rsidRPr="000971A8">
        <w:rPr>
          <w:rFonts w:ascii="Calibri" w:hAnsi="Calibri" w:cs="Calibri"/>
        </w:rPr>
        <w:t>)</w:t>
      </w:r>
      <w:r w:rsidR="00483A9D" w:rsidRPr="000971A8">
        <w:rPr>
          <w:rFonts w:ascii="Calibri" w:hAnsi="Calibri" w:cs="Calibri"/>
        </w:rPr>
        <w:t xml:space="preserve"> to remain prescriptive but </w:t>
      </w:r>
      <w:r w:rsidR="004C4E2F" w:rsidRPr="000971A8">
        <w:rPr>
          <w:rFonts w:ascii="Calibri" w:hAnsi="Calibri" w:cs="Calibri"/>
        </w:rPr>
        <w:t xml:space="preserve">participants </w:t>
      </w:r>
      <w:r w:rsidR="00483A9D" w:rsidRPr="000971A8">
        <w:rPr>
          <w:rFonts w:ascii="Calibri" w:hAnsi="Calibri" w:cs="Calibri"/>
        </w:rPr>
        <w:t>acknowledg</w:t>
      </w:r>
      <w:r w:rsidR="004C4E2F" w:rsidRPr="000971A8">
        <w:rPr>
          <w:rFonts w:ascii="Calibri" w:hAnsi="Calibri" w:cs="Calibri"/>
        </w:rPr>
        <w:t>ed</w:t>
      </w:r>
      <w:r w:rsidR="00483A9D" w:rsidRPr="000971A8">
        <w:rPr>
          <w:rFonts w:ascii="Calibri" w:hAnsi="Calibri" w:cs="Calibri"/>
        </w:rPr>
        <w:t xml:space="preserve"> that</w:t>
      </w:r>
      <w:r w:rsidR="008A53F4" w:rsidRPr="000971A8">
        <w:rPr>
          <w:rFonts w:ascii="Calibri" w:hAnsi="Calibri" w:cs="Calibri"/>
        </w:rPr>
        <w:t xml:space="preserve"> </w:t>
      </w:r>
      <w:r w:rsidR="004C4E2F" w:rsidRPr="000971A8">
        <w:rPr>
          <w:rFonts w:ascii="Calibri" w:hAnsi="Calibri" w:cs="Calibri"/>
        </w:rPr>
        <w:t>NITPs</w:t>
      </w:r>
      <w:r w:rsidR="00483A9D" w:rsidRPr="000971A8">
        <w:rPr>
          <w:rFonts w:ascii="Calibri" w:hAnsi="Calibri" w:cs="Calibri"/>
        </w:rPr>
        <w:t xml:space="preserve"> need to be updated and could be simplified.</w:t>
      </w:r>
    </w:p>
    <w:p w14:paraId="487EF658" w14:textId="397713AA" w:rsidR="008329F5" w:rsidRPr="000971A8" w:rsidRDefault="00870FEC" w:rsidP="000971A8">
      <w:pPr>
        <w:pStyle w:val="ListParagraph"/>
        <w:numPr>
          <w:ilvl w:val="0"/>
          <w:numId w:val="13"/>
        </w:numPr>
        <w:spacing w:after="0"/>
        <w:rPr>
          <w:rFonts w:ascii="Calibri" w:hAnsi="Calibri" w:cs="Calibri"/>
        </w:rPr>
      </w:pPr>
      <w:r w:rsidRPr="000971A8">
        <w:rPr>
          <w:rFonts w:ascii="Calibri" w:hAnsi="Calibri" w:cs="Calibri"/>
        </w:rPr>
        <w:t>In support of prescriptive NITPs, participants indicated they want clear rules. They support the justification to a client as to why an instrument has failed an NITP test. The prescriptiveness of the current test procedure supports consistency, clarity and fairness.</w:t>
      </w:r>
    </w:p>
    <w:p w14:paraId="65997DFF" w14:textId="47C8CC7E" w:rsidR="008329F5" w:rsidRPr="000971A8" w:rsidRDefault="00185ABF" w:rsidP="000971A8">
      <w:pPr>
        <w:pStyle w:val="Heading3"/>
      </w:pPr>
      <w:bookmarkStart w:id="6" w:name="_Toc50541019"/>
      <w:r>
        <w:t xml:space="preserve">2.4 </w:t>
      </w:r>
      <w:r w:rsidR="00CA746D" w:rsidRPr="000971A8">
        <w:t>Compliance and E</w:t>
      </w:r>
      <w:r w:rsidR="008329F5" w:rsidRPr="000971A8">
        <w:t>nforcement</w:t>
      </w:r>
      <w:bookmarkEnd w:id="6"/>
    </w:p>
    <w:p w14:paraId="4EADC9A1" w14:textId="7ED95C6F" w:rsidR="00F22F62" w:rsidRPr="000971A8" w:rsidRDefault="006D6200" w:rsidP="00FC3617">
      <w:pPr>
        <w:pStyle w:val="ListParagraph"/>
        <w:numPr>
          <w:ilvl w:val="0"/>
          <w:numId w:val="13"/>
        </w:numPr>
        <w:spacing w:after="0"/>
        <w:rPr>
          <w:rFonts w:ascii="Calibri" w:hAnsi="Calibri" w:cs="Calibri"/>
        </w:rPr>
      </w:pPr>
      <w:r w:rsidRPr="000971A8">
        <w:rPr>
          <w:rFonts w:ascii="Calibri" w:hAnsi="Calibri" w:cs="Calibri"/>
        </w:rPr>
        <w:t xml:space="preserve">The perception is that the </w:t>
      </w:r>
      <w:r w:rsidR="00F22F62" w:rsidRPr="000971A8">
        <w:rPr>
          <w:rFonts w:ascii="Calibri" w:hAnsi="Calibri" w:cs="Calibri"/>
        </w:rPr>
        <w:t xml:space="preserve">NMI does not have enough inspectors </w:t>
      </w:r>
      <w:r w:rsidRPr="000971A8">
        <w:rPr>
          <w:rFonts w:ascii="Calibri" w:hAnsi="Calibri" w:cs="Calibri"/>
        </w:rPr>
        <w:t xml:space="preserve">undertaking compliance inspections of </w:t>
      </w:r>
      <w:r w:rsidR="004C4E2F" w:rsidRPr="000971A8">
        <w:rPr>
          <w:rFonts w:ascii="Calibri" w:hAnsi="Calibri" w:cs="Calibri"/>
        </w:rPr>
        <w:t xml:space="preserve">measuring </w:t>
      </w:r>
      <w:r w:rsidR="00F22F62" w:rsidRPr="000971A8">
        <w:rPr>
          <w:rFonts w:ascii="Calibri" w:hAnsi="Calibri" w:cs="Calibri"/>
        </w:rPr>
        <w:t xml:space="preserve">instruments. </w:t>
      </w:r>
    </w:p>
    <w:p w14:paraId="7C1D06D1" w14:textId="22C4D25E" w:rsidR="00F22F62" w:rsidRPr="000971A8" w:rsidRDefault="008329F5" w:rsidP="008329F5">
      <w:pPr>
        <w:pStyle w:val="ListParagraph"/>
        <w:numPr>
          <w:ilvl w:val="0"/>
          <w:numId w:val="13"/>
        </w:numPr>
        <w:spacing w:after="0"/>
        <w:rPr>
          <w:rFonts w:ascii="Calibri" w:hAnsi="Calibri" w:cs="Calibri"/>
        </w:rPr>
      </w:pPr>
      <w:r w:rsidRPr="000971A8">
        <w:rPr>
          <w:rFonts w:ascii="Calibri" w:hAnsi="Calibri" w:cs="Calibri"/>
        </w:rPr>
        <w:t>A number of participants wanted NMI to do more about non-compliant measuring instruments in the marketplace, however servicing licensees were reluctant to report non-compliance, particularly when it involved their own clients and the risk of losing business.</w:t>
      </w:r>
    </w:p>
    <w:p w14:paraId="3D5EF58B" w14:textId="77777777" w:rsidR="00870FEC" w:rsidRPr="000971A8" w:rsidRDefault="00DD26F0" w:rsidP="00870FEC">
      <w:pPr>
        <w:pStyle w:val="ListParagraph"/>
        <w:numPr>
          <w:ilvl w:val="0"/>
          <w:numId w:val="13"/>
        </w:numPr>
        <w:spacing w:after="0"/>
        <w:rPr>
          <w:rFonts w:ascii="Calibri" w:hAnsi="Calibri" w:cs="Calibri"/>
        </w:rPr>
      </w:pPr>
      <w:r w:rsidRPr="000971A8">
        <w:rPr>
          <w:rFonts w:ascii="Calibri" w:hAnsi="Calibri" w:cs="Calibri"/>
        </w:rPr>
        <w:lastRenderedPageBreak/>
        <w:t>Online purchases of unapproved measuring instruments was highlighted as an area of emerging risk for NMI, industry and consumers.</w:t>
      </w:r>
    </w:p>
    <w:p w14:paraId="4096073A" w14:textId="7EFEA3CB" w:rsidR="00870FEC" w:rsidRPr="00FC1079" w:rsidRDefault="00870FEC" w:rsidP="0004188B">
      <w:pPr>
        <w:pStyle w:val="ListParagraph"/>
        <w:numPr>
          <w:ilvl w:val="0"/>
          <w:numId w:val="31"/>
        </w:numPr>
        <w:spacing w:after="0"/>
        <w:ind w:left="1134" w:hanging="283"/>
        <w:rPr>
          <w:rFonts w:ascii="Calibri" w:hAnsi="Calibri" w:cs="Calibri"/>
        </w:rPr>
      </w:pPr>
      <w:r w:rsidRPr="00FC1079">
        <w:rPr>
          <w:rFonts w:ascii="Calibri" w:hAnsi="Calibri" w:cs="Calibri"/>
        </w:rPr>
        <w:t>One stakeholder advised they are not on a level playing field because unverified and inaccurate measuring instruments are being imported and used for trade (at a lower upfront purchase and install cost).</w:t>
      </w:r>
    </w:p>
    <w:p w14:paraId="4E2D64C8" w14:textId="4C85C47C" w:rsidR="00DD26F0" w:rsidRPr="00EB4A4B" w:rsidRDefault="00870FEC" w:rsidP="00EB4A4B">
      <w:pPr>
        <w:pStyle w:val="ListParagraph"/>
        <w:numPr>
          <w:ilvl w:val="0"/>
          <w:numId w:val="13"/>
        </w:numPr>
        <w:spacing w:after="360"/>
        <w:ind w:left="782" w:hanging="357"/>
        <w:contextualSpacing w:val="0"/>
        <w:rPr>
          <w:rFonts w:ascii="Calibri" w:hAnsi="Calibri" w:cs="Calibri"/>
        </w:rPr>
      </w:pPr>
      <w:r w:rsidRPr="000971A8">
        <w:rPr>
          <w:rFonts w:ascii="Calibri" w:hAnsi="Calibri" w:cs="Calibri"/>
        </w:rPr>
        <w:t xml:space="preserve">Self-regulation is encouraged in the fuel industry. However, independent players are not as proactive as major players. This should be addressed in the fuel industry as a whole and with the manufacturers of these instruments. </w:t>
      </w:r>
    </w:p>
    <w:p w14:paraId="1DADFE64" w14:textId="7C5AE090" w:rsidR="009F4B37" w:rsidRPr="000971A8" w:rsidRDefault="003953E5" w:rsidP="00E3276D">
      <w:pPr>
        <w:pStyle w:val="Heading1"/>
        <w:numPr>
          <w:ilvl w:val="0"/>
          <w:numId w:val="38"/>
        </w:numPr>
        <w:ind w:left="567" w:hanging="425"/>
      </w:pPr>
      <w:bookmarkStart w:id="7" w:name="_Toc42812380"/>
      <w:bookmarkStart w:id="8" w:name="_Toc50541020"/>
      <w:bookmarkEnd w:id="7"/>
      <w:r>
        <w:t>Public Weighbridge Licens</w:t>
      </w:r>
      <w:r w:rsidR="009F4B37" w:rsidRPr="000971A8">
        <w:t>ees</w:t>
      </w:r>
      <w:bookmarkEnd w:id="8"/>
    </w:p>
    <w:p w14:paraId="37050FCE" w14:textId="6EA2058B" w:rsidR="009F4B37" w:rsidRPr="000971A8" w:rsidRDefault="009F4B37" w:rsidP="000971A8">
      <w:pPr>
        <w:pStyle w:val="ListParagraph"/>
        <w:numPr>
          <w:ilvl w:val="0"/>
          <w:numId w:val="17"/>
        </w:numPr>
        <w:spacing w:after="0"/>
        <w:rPr>
          <w:rFonts w:ascii="Calibri" w:hAnsi="Calibri" w:cs="Calibri"/>
        </w:rPr>
      </w:pPr>
      <w:r w:rsidRPr="000971A8">
        <w:rPr>
          <w:rFonts w:ascii="Calibri" w:hAnsi="Calibri" w:cs="Calibri"/>
        </w:rPr>
        <w:t>It was observed that the current licensing framework promotes confidence in the measu</w:t>
      </w:r>
      <w:r w:rsidR="003953E5">
        <w:rPr>
          <w:rFonts w:ascii="Calibri" w:hAnsi="Calibri" w:cs="Calibri"/>
        </w:rPr>
        <w:t>rement system through the licenc</w:t>
      </w:r>
      <w:r w:rsidRPr="000971A8">
        <w:rPr>
          <w:rFonts w:ascii="Calibri" w:hAnsi="Calibri" w:cs="Calibri"/>
        </w:rPr>
        <w:t>e approval and verification / re-verification process.</w:t>
      </w:r>
    </w:p>
    <w:p w14:paraId="583C24A1" w14:textId="77777777" w:rsidR="009F4B37" w:rsidRPr="000971A8" w:rsidRDefault="009F4B37" w:rsidP="009F4B37">
      <w:pPr>
        <w:pStyle w:val="ListParagraph"/>
        <w:numPr>
          <w:ilvl w:val="0"/>
          <w:numId w:val="17"/>
        </w:numPr>
        <w:rPr>
          <w:rFonts w:ascii="Calibri" w:hAnsi="Calibri" w:cs="Calibri"/>
          <w:b/>
        </w:rPr>
      </w:pPr>
      <w:r w:rsidRPr="000971A8">
        <w:rPr>
          <w:rFonts w:ascii="Calibri" w:hAnsi="Calibri" w:cs="Calibri"/>
        </w:rPr>
        <w:t>Most public weighbridge licensees were concerned that the integrity of the system may be eroded over time as a result of administrative allowances being made.</w:t>
      </w:r>
    </w:p>
    <w:p w14:paraId="4A8B4182" w14:textId="5092DAFF" w:rsidR="00243A27" w:rsidRDefault="00243A27" w:rsidP="00243A27">
      <w:pPr>
        <w:pStyle w:val="ListParagraph"/>
        <w:numPr>
          <w:ilvl w:val="0"/>
          <w:numId w:val="17"/>
        </w:numPr>
        <w:rPr>
          <w:rFonts w:ascii="Calibri" w:hAnsi="Calibri" w:cs="Calibri"/>
        </w:rPr>
      </w:pPr>
      <w:r w:rsidRPr="000971A8">
        <w:rPr>
          <w:rFonts w:ascii="Calibri" w:hAnsi="Calibri" w:cs="Calibri"/>
        </w:rPr>
        <w:t>Participa</w:t>
      </w:r>
      <w:r w:rsidR="00282967">
        <w:rPr>
          <w:rFonts w:ascii="Calibri" w:hAnsi="Calibri" w:cs="Calibri"/>
        </w:rPr>
        <w:t>nts indicated licensing costs are</w:t>
      </w:r>
      <w:r w:rsidRPr="000971A8">
        <w:rPr>
          <w:rFonts w:ascii="Calibri" w:hAnsi="Calibri" w:cs="Calibri"/>
        </w:rPr>
        <w:t xml:space="preserve"> of concern, leading to an uneven playing field. This is because non-public weighbridges do not have similar re-verification periods and licensing costs.</w:t>
      </w:r>
      <w:r w:rsidR="0004188B">
        <w:rPr>
          <w:rFonts w:ascii="Calibri" w:hAnsi="Calibri" w:cs="Calibri"/>
        </w:rPr>
        <w:t xml:space="preserve"> There was also a perception from some stakeholders that non-public weighbridges are being used illegally for public use.</w:t>
      </w:r>
    </w:p>
    <w:p w14:paraId="6886D016" w14:textId="71CC5823" w:rsidR="00243A27" w:rsidRPr="00313F23" w:rsidRDefault="004A0FFA" w:rsidP="00313F23">
      <w:pPr>
        <w:pStyle w:val="ListParagraph"/>
        <w:numPr>
          <w:ilvl w:val="0"/>
          <w:numId w:val="17"/>
        </w:numPr>
        <w:spacing w:before="120" w:after="0"/>
        <w:rPr>
          <w:rFonts w:ascii="Calibri" w:hAnsi="Calibri" w:cs="Calibri"/>
        </w:rPr>
      </w:pPr>
      <w:r w:rsidRPr="000971A8">
        <w:rPr>
          <w:rFonts w:ascii="Calibri" w:hAnsi="Calibri" w:cs="Calibri"/>
        </w:rPr>
        <w:t>Public weighbridge licensees commented that the costs associated with licensing, maintaining and op</w:t>
      </w:r>
      <w:r w:rsidR="00011E21">
        <w:rPr>
          <w:rFonts w:ascii="Calibri" w:hAnsi="Calibri" w:cs="Calibri"/>
        </w:rPr>
        <w:t>erating a public weighbridge are</w:t>
      </w:r>
      <w:r w:rsidRPr="000971A8">
        <w:rPr>
          <w:rFonts w:ascii="Calibri" w:hAnsi="Calibri" w:cs="Calibri"/>
        </w:rPr>
        <w:t xml:space="preserve"> not sufficiently profitable to maintain viability.</w:t>
      </w:r>
    </w:p>
    <w:p w14:paraId="454E7DE1" w14:textId="4565F81D" w:rsidR="00EC4AE6" w:rsidRDefault="00185ABF" w:rsidP="00EC4AE6">
      <w:pPr>
        <w:pStyle w:val="Heading3"/>
      </w:pPr>
      <w:bookmarkStart w:id="9" w:name="_Toc50541021"/>
      <w:r>
        <w:t xml:space="preserve">3.1 </w:t>
      </w:r>
      <w:r w:rsidR="00EC4AE6" w:rsidRPr="000971A8">
        <w:t>Re-verification</w:t>
      </w:r>
      <w:bookmarkEnd w:id="9"/>
    </w:p>
    <w:p w14:paraId="4E225CDE" w14:textId="6FCF04C1" w:rsidR="00EC4AE6" w:rsidRPr="00243A27" w:rsidRDefault="00EC4AE6" w:rsidP="00243A27">
      <w:pPr>
        <w:pStyle w:val="ListParagraph"/>
        <w:numPr>
          <w:ilvl w:val="0"/>
          <w:numId w:val="26"/>
        </w:numPr>
        <w:rPr>
          <w:rFonts w:ascii="Calibri" w:hAnsi="Calibri" w:cs="Calibri"/>
        </w:rPr>
      </w:pPr>
      <w:r w:rsidRPr="00EC4AE6">
        <w:rPr>
          <w:rFonts w:ascii="Calibri" w:hAnsi="Calibri" w:cs="Calibri"/>
        </w:rPr>
        <w:t>Participants identified re-verification as being important</w:t>
      </w:r>
      <w:r>
        <w:rPr>
          <w:rFonts w:ascii="Calibri" w:hAnsi="Calibri" w:cs="Calibri"/>
        </w:rPr>
        <w:t xml:space="preserve"> to help ensure accuracy of their instrument</w:t>
      </w:r>
      <w:r w:rsidRPr="00EC4AE6">
        <w:rPr>
          <w:rFonts w:ascii="Calibri" w:hAnsi="Calibri" w:cs="Calibri"/>
        </w:rPr>
        <w:t xml:space="preserve"> but suggested there could be some flexibility in how often public weighbridges are required to be re-verified. </w:t>
      </w:r>
    </w:p>
    <w:p w14:paraId="65EBBA00" w14:textId="64EA13DC" w:rsidR="000971A8" w:rsidRPr="000971A8" w:rsidRDefault="00185ABF" w:rsidP="000971A8">
      <w:pPr>
        <w:pStyle w:val="Heading3"/>
      </w:pPr>
      <w:bookmarkStart w:id="10" w:name="_Toc50541022"/>
      <w:r>
        <w:t xml:space="preserve">3.2 </w:t>
      </w:r>
      <w:r w:rsidR="000971A8" w:rsidRPr="000971A8">
        <w:t>Competency</w:t>
      </w:r>
      <w:bookmarkEnd w:id="10"/>
    </w:p>
    <w:p w14:paraId="10935F61" w14:textId="5BD5387A" w:rsidR="00243A27" w:rsidRPr="00243A27" w:rsidRDefault="00243A27" w:rsidP="00243A27">
      <w:pPr>
        <w:pStyle w:val="ListParagraph"/>
        <w:numPr>
          <w:ilvl w:val="0"/>
          <w:numId w:val="17"/>
        </w:numPr>
        <w:rPr>
          <w:rFonts w:ascii="Calibri" w:hAnsi="Calibri" w:cs="Calibri"/>
        </w:rPr>
      </w:pPr>
      <w:r w:rsidRPr="00243A27">
        <w:rPr>
          <w:rFonts w:ascii="Calibri" w:hAnsi="Calibri" w:cs="Calibri"/>
        </w:rPr>
        <w:t>Participants generally stated that they did not think it was particularly burdensome to acq</w:t>
      </w:r>
      <w:r w:rsidR="00E63999">
        <w:rPr>
          <w:rFonts w:ascii="Calibri" w:hAnsi="Calibri" w:cs="Calibri"/>
        </w:rPr>
        <w:t>uire a SoA</w:t>
      </w:r>
      <w:r w:rsidRPr="00243A27">
        <w:rPr>
          <w:rFonts w:ascii="Calibri" w:hAnsi="Calibri" w:cs="Calibri"/>
        </w:rPr>
        <w:t>.</w:t>
      </w:r>
    </w:p>
    <w:p w14:paraId="79C8517E" w14:textId="77777777" w:rsidR="00243A27" w:rsidRDefault="00243A27" w:rsidP="00243A27">
      <w:pPr>
        <w:pStyle w:val="ListParagraph"/>
        <w:numPr>
          <w:ilvl w:val="0"/>
          <w:numId w:val="17"/>
        </w:numPr>
        <w:rPr>
          <w:rFonts w:ascii="Calibri" w:hAnsi="Calibri" w:cs="Calibri"/>
        </w:rPr>
      </w:pPr>
      <w:r w:rsidRPr="00243A27">
        <w:rPr>
          <w:rFonts w:ascii="Calibri" w:hAnsi="Calibri" w:cs="Calibri"/>
        </w:rPr>
        <w:t>A few issues with the current SoA requirement were noted by various participants, including:</w:t>
      </w:r>
    </w:p>
    <w:p w14:paraId="5B14EADF" w14:textId="77777777" w:rsidR="00243A27" w:rsidRDefault="00243A27" w:rsidP="00243A27">
      <w:pPr>
        <w:pStyle w:val="ListParagraph"/>
        <w:numPr>
          <w:ilvl w:val="0"/>
          <w:numId w:val="27"/>
        </w:numPr>
        <w:rPr>
          <w:rFonts w:ascii="Calibri" w:hAnsi="Calibri" w:cs="Calibri"/>
        </w:rPr>
      </w:pPr>
      <w:r w:rsidRPr="00243A27">
        <w:rPr>
          <w:rFonts w:ascii="Calibri" w:hAnsi="Calibri" w:cs="Calibri"/>
        </w:rPr>
        <w:t>Concerns around the appropriateness of the requirement for at least one operator to hold a SoA, even though that operator may not be an active operator.</w:t>
      </w:r>
    </w:p>
    <w:p w14:paraId="2743847F" w14:textId="77777777" w:rsidR="00243A27" w:rsidRDefault="00243A27" w:rsidP="00243A27">
      <w:pPr>
        <w:pStyle w:val="ListParagraph"/>
        <w:numPr>
          <w:ilvl w:val="0"/>
          <w:numId w:val="27"/>
        </w:numPr>
        <w:rPr>
          <w:rFonts w:ascii="Calibri" w:hAnsi="Calibri" w:cs="Calibri"/>
        </w:rPr>
      </w:pPr>
      <w:r w:rsidRPr="00243A27">
        <w:rPr>
          <w:rFonts w:ascii="Calibri" w:hAnsi="Calibri" w:cs="Calibri"/>
        </w:rPr>
        <w:t>There is disconnect between the SoA and an experienced operator training staff on the job.</w:t>
      </w:r>
    </w:p>
    <w:p w14:paraId="62F6D367" w14:textId="158FB1B3" w:rsidR="000971A8" w:rsidRPr="00243A27" w:rsidRDefault="00243A27" w:rsidP="00243A27">
      <w:pPr>
        <w:pStyle w:val="ListParagraph"/>
        <w:numPr>
          <w:ilvl w:val="0"/>
          <w:numId w:val="27"/>
        </w:numPr>
        <w:rPr>
          <w:rFonts w:ascii="Calibri" w:hAnsi="Calibri" w:cs="Calibri"/>
        </w:rPr>
      </w:pPr>
      <w:r w:rsidRPr="00243A27">
        <w:rPr>
          <w:rFonts w:ascii="Calibri" w:hAnsi="Calibri" w:cs="Calibri"/>
        </w:rPr>
        <w:t xml:space="preserve">The cost of training does not seem commensurate to the package being offered by the NMI. </w:t>
      </w:r>
    </w:p>
    <w:p w14:paraId="146F67C3" w14:textId="3889CE97" w:rsidR="000971A8" w:rsidRPr="000971A8" w:rsidRDefault="00185ABF" w:rsidP="000971A8">
      <w:pPr>
        <w:pStyle w:val="Heading3"/>
      </w:pPr>
      <w:bookmarkStart w:id="11" w:name="_Toc50541023"/>
      <w:r>
        <w:t xml:space="preserve">3.3 </w:t>
      </w:r>
      <w:r w:rsidR="000971A8">
        <w:t>Prescriptiveness</w:t>
      </w:r>
      <w:bookmarkEnd w:id="11"/>
    </w:p>
    <w:p w14:paraId="35BFD075" w14:textId="648C5B7D" w:rsidR="00243A27" w:rsidRPr="00243A27" w:rsidRDefault="00243A27" w:rsidP="00243A27">
      <w:pPr>
        <w:pStyle w:val="ListParagraph"/>
        <w:numPr>
          <w:ilvl w:val="0"/>
          <w:numId w:val="17"/>
        </w:numPr>
        <w:rPr>
          <w:rFonts w:ascii="Calibri" w:hAnsi="Calibri" w:cs="Calibri"/>
        </w:rPr>
      </w:pPr>
      <w:r w:rsidRPr="00243A27">
        <w:rPr>
          <w:rFonts w:ascii="Calibri" w:hAnsi="Calibri" w:cs="Calibri"/>
        </w:rPr>
        <w:t>There was general agreement that the legislation for pub</w:t>
      </w:r>
      <w:r w:rsidR="00582785">
        <w:rPr>
          <w:rFonts w:ascii="Calibri" w:hAnsi="Calibri" w:cs="Calibri"/>
        </w:rPr>
        <w:t>l</w:t>
      </w:r>
      <w:r w:rsidRPr="00243A27">
        <w:rPr>
          <w:rFonts w:ascii="Calibri" w:hAnsi="Calibri" w:cs="Calibri"/>
        </w:rPr>
        <w:t>ic weighbridges is highly prescriptive. There were mixed views as to whether this is deemed positive or negative.</w:t>
      </w:r>
    </w:p>
    <w:p w14:paraId="294D457C" w14:textId="1AACDE91" w:rsidR="000971A8" w:rsidRPr="00EB4A4B" w:rsidRDefault="00C16058" w:rsidP="00243A27">
      <w:pPr>
        <w:pStyle w:val="ListParagraph"/>
        <w:numPr>
          <w:ilvl w:val="0"/>
          <w:numId w:val="17"/>
        </w:numPr>
        <w:rPr>
          <w:rFonts w:ascii="Calibri" w:hAnsi="Calibri" w:cs="Calibri"/>
          <w:b/>
        </w:rPr>
      </w:pPr>
      <w:r w:rsidRPr="000971A8">
        <w:rPr>
          <w:rFonts w:ascii="Calibri" w:hAnsi="Calibri" w:cs="Calibri"/>
        </w:rPr>
        <w:t>Concerns were raised that the legislation does not have sufficient flexibility to keep pace with technological advancements in weighbridge systems. For example, weighbridge automation and digital ticketing.</w:t>
      </w:r>
    </w:p>
    <w:p w14:paraId="0FE879BD" w14:textId="6B843AEE" w:rsidR="0081380A" w:rsidRPr="00EB4A4B" w:rsidRDefault="0081380A" w:rsidP="0081380A">
      <w:pPr>
        <w:pStyle w:val="ListParagraph"/>
        <w:numPr>
          <w:ilvl w:val="0"/>
          <w:numId w:val="17"/>
        </w:numPr>
        <w:rPr>
          <w:rFonts w:ascii="Calibri" w:hAnsi="Calibri" w:cs="Calibri"/>
          <w:b/>
        </w:rPr>
      </w:pPr>
      <w:r w:rsidRPr="000971A8">
        <w:rPr>
          <w:rFonts w:ascii="Calibri" w:hAnsi="Calibri" w:cs="Calibri"/>
        </w:rPr>
        <w:t>Overall, participants did not feel that the regulatory requirements for public weighbridges were particularly burdensome.</w:t>
      </w:r>
    </w:p>
    <w:p w14:paraId="45E28E5D" w14:textId="04A4347A" w:rsidR="000971A8" w:rsidRPr="000971A8" w:rsidRDefault="00185ABF" w:rsidP="000971A8">
      <w:pPr>
        <w:pStyle w:val="Heading3"/>
      </w:pPr>
      <w:bookmarkStart w:id="12" w:name="_Toc50541024"/>
      <w:r>
        <w:lastRenderedPageBreak/>
        <w:t xml:space="preserve">3.4 </w:t>
      </w:r>
      <w:r w:rsidR="000971A8" w:rsidRPr="000971A8">
        <w:t>Compliance and Enforcement</w:t>
      </w:r>
      <w:bookmarkEnd w:id="12"/>
    </w:p>
    <w:p w14:paraId="085E876F" w14:textId="79C9A046" w:rsidR="00243A27" w:rsidRPr="00243A27" w:rsidRDefault="00243A27" w:rsidP="00243A27">
      <w:pPr>
        <w:pStyle w:val="ListParagraph"/>
        <w:numPr>
          <w:ilvl w:val="0"/>
          <w:numId w:val="17"/>
        </w:numPr>
        <w:rPr>
          <w:rFonts w:ascii="Calibri" w:hAnsi="Calibri" w:cs="Calibri"/>
        </w:rPr>
      </w:pPr>
      <w:r w:rsidRPr="00243A27">
        <w:rPr>
          <w:rFonts w:ascii="Calibri" w:hAnsi="Calibri" w:cs="Calibri"/>
        </w:rPr>
        <w:t>Partic</w:t>
      </w:r>
      <w:r>
        <w:rPr>
          <w:rFonts w:ascii="Calibri" w:hAnsi="Calibri" w:cs="Calibri"/>
        </w:rPr>
        <w:t>ipants indicated they were satisfied</w:t>
      </w:r>
      <w:r w:rsidRPr="00243A27">
        <w:rPr>
          <w:rFonts w:ascii="Calibri" w:hAnsi="Calibri" w:cs="Calibri"/>
        </w:rPr>
        <w:t xml:space="preserve"> with the compliance framework for public weighbridges and did not consider the auditing process burdensome.</w:t>
      </w:r>
    </w:p>
    <w:p w14:paraId="2D7E61A0" w14:textId="77777777" w:rsidR="00243A27" w:rsidRPr="00243A27" w:rsidRDefault="00243A27" w:rsidP="00243A27">
      <w:pPr>
        <w:pStyle w:val="ListParagraph"/>
        <w:numPr>
          <w:ilvl w:val="0"/>
          <w:numId w:val="17"/>
        </w:numPr>
        <w:rPr>
          <w:rFonts w:ascii="Calibri" w:hAnsi="Calibri" w:cs="Calibri"/>
        </w:rPr>
      </w:pPr>
      <w:r w:rsidRPr="00243A27">
        <w:rPr>
          <w:rFonts w:ascii="Calibri" w:hAnsi="Calibri" w:cs="Calibri"/>
        </w:rPr>
        <w:t>Participants were concerned with competition from unlicensed weighbridges and wanted NMI to do more inspections.</w:t>
      </w:r>
    </w:p>
    <w:p w14:paraId="19665BE5" w14:textId="77777777" w:rsidR="00243A27" w:rsidRPr="000971A8" w:rsidRDefault="00243A27" w:rsidP="00243A27">
      <w:pPr>
        <w:pStyle w:val="ListParagraph"/>
        <w:numPr>
          <w:ilvl w:val="0"/>
          <w:numId w:val="17"/>
        </w:numPr>
        <w:rPr>
          <w:rFonts w:ascii="Calibri" w:hAnsi="Calibri" w:cs="Calibri"/>
        </w:rPr>
      </w:pPr>
      <w:r w:rsidRPr="000971A8">
        <w:rPr>
          <w:rFonts w:ascii="Calibri" w:hAnsi="Calibri" w:cs="Calibri"/>
        </w:rPr>
        <w:t xml:space="preserve">There is a general perception that the licensing requirements for public weighbridges has created an uneven playing field. </w:t>
      </w:r>
    </w:p>
    <w:p w14:paraId="06E01612" w14:textId="77777777" w:rsidR="00243A27" w:rsidRPr="000971A8" w:rsidRDefault="00243A27" w:rsidP="00243A27">
      <w:pPr>
        <w:pStyle w:val="ListParagraph"/>
        <w:numPr>
          <w:ilvl w:val="1"/>
          <w:numId w:val="17"/>
        </w:numPr>
        <w:rPr>
          <w:rFonts w:ascii="Calibri" w:hAnsi="Calibri" w:cs="Calibri"/>
        </w:rPr>
      </w:pPr>
      <w:r w:rsidRPr="000971A8">
        <w:rPr>
          <w:rFonts w:ascii="Calibri" w:hAnsi="Calibri" w:cs="Calibri"/>
        </w:rPr>
        <w:t xml:space="preserve">Weighbridges outside of the public weighbridge licensing framework do not have mandatory re-verification periods. </w:t>
      </w:r>
    </w:p>
    <w:p w14:paraId="5DBB54A7" w14:textId="7B47441A" w:rsidR="00243A27" w:rsidRPr="000971A8" w:rsidRDefault="00243A27" w:rsidP="00243A27">
      <w:pPr>
        <w:pStyle w:val="ListParagraph"/>
        <w:numPr>
          <w:ilvl w:val="1"/>
          <w:numId w:val="17"/>
        </w:numPr>
        <w:rPr>
          <w:rFonts w:ascii="Calibri" w:hAnsi="Calibri" w:cs="Calibri"/>
        </w:rPr>
      </w:pPr>
      <w:r w:rsidRPr="000971A8">
        <w:rPr>
          <w:rFonts w:ascii="Calibri" w:hAnsi="Calibri" w:cs="Calibri"/>
        </w:rPr>
        <w:t xml:space="preserve">It was suggested that some unlicensed </w:t>
      </w:r>
      <w:r w:rsidR="00755598">
        <w:rPr>
          <w:rFonts w:ascii="Calibri" w:hAnsi="Calibri" w:cs="Calibri"/>
        </w:rPr>
        <w:t>weigh</w:t>
      </w:r>
      <w:r w:rsidRPr="000971A8">
        <w:rPr>
          <w:rFonts w:ascii="Calibri" w:hAnsi="Calibri" w:cs="Calibri"/>
        </w:rPr>
        <w:t>bridges may be opened for public weighing which could operate at a lower cost base.</w:t>
      </w:r>
    </w:p>
    <w:p w14:paraId="76FB52DB" w14:textId="17B4C7C8" w:rsidR="00194DC6" w:rsidRPr="00EB4A4B" w:rsidRDefault="00243A27" w:rsidP="00EB4A4B">
      <w:pPr>
        <w:pStyle w:val="ListParagraph"/>
        <w:numPr>
          <w:ilvl w:val="1"/>
          <w:numId w:val="17"/>
        </w:numPr>
        <w:spacing w:after="360"/>
        <w:ind w:left="1434" w:hanging="357"/>
        <w:rPr>
          <w:rFonts w:ascii="Calibri" w:hAnsi="Calibri" w:cs="Calibri"/>
        </w:rPr>
      </w:pPr>
      <w:r w:rsidRPr="000971A8">
        <w:rPr>
          <w:rFonts w:ascii="Calibri" w:hAnsi="Calibri" w:cs="Calibri"/>
        </w:rPr>
        <w:t>Participants expressed concern that if these weighbridges are being used for trade purposes, they should have to comply with similar requirements. It was suggested that it’s equally important that weighbridges used for trade are accurate.</w:t>
      </w:r>
      <w:r w:rsidRPr="009A5961">
        <w:rPr>
          <w:rFonts w:ascii="Calibri" w:hAnsi="Calibri" w:cs="Calibri"/>
        </w:rPr>
        <w:t xml:space="preserve"> </w:t>
      </w:r>
    </w:p>
    <w:p w14:paraId="45D62CB8" w14:textId="0A85CB72" w:rsidR="009F4B37" w:rsidRPr="000971A8" w:rsidRDefault="004D475C" w:rsidP="00E3276D">
      <w:pPr>
        <w:pStyle w:val="Heading1"/>
        <w:numPr>
          <w:ilvl w:val="0"/>
          <w:numId w:val="38"/>
        </w:numPr>
        <w:ind w:left="567" w:hanging="425"/>
      </w:pPr>
      <w:bookmarkStart w:id="13" w:name="_Toc40281035"/>
      <w:bookmarkStart w:id="14" w:name="_Toc50541025"/>
      <w:bookmarkEnd w:id="13"/>
      <w:r>
        <w:t>U</w:t>
      </w:r>
      <w:r w:rsidR="00673E1B">
        <w:t>tility Meter Verifier</w:t>
      </w:r>
      <w:r>
        <w:t>s and</w:t>
      </w:r>
      <w:r w:rsidR="009F4B37" w:rsidRPr="000971A8">
        <w:t xml:space="preserve"> L</w:t>
      </w:r>
      <w:r w:rsidR="00673E1B">
        <w:t>egal Metrology Authoritie</w:t>
      </w:r>
      <w:r w:rsidR="009F4B37" w:rsidRPr="000971A8">
        <w:t>s</w:t>
      </w:r>
      <w:bookmarkEnd w:id="14"/>
    </w:p>
    <w:p w14:paraId="4C3201B6" w14:textId="77777777" w:rsidR="00CA2D39" w:rsidRPr="000971A8" w:rsidRDefault="00CA2D39" w:rsidP="00CA2D39">
      <w:pPr>
        <w:pStyle w:val="ListParagraph"/>
        <w:numPr>
          <w:ilvl w:val="0"/>
          <w:numId w:val="18"/>
        </w:numPr>
        <w:rPr>
          <w:rFonts w:ascii="Calibri" w:hAnsi="Calibri" w:cs="Calibri"/>
        </w:rPr>
      </w:pPr>
      <w:r w:rsidRPr="000971A8">
        <w:rPr>
          <w:rFonts w:ascii="Calibri" w:hAnsi="Calibri" w:cs="Calibri"/>
        </w:rPr>
        <w:t xml:space="preserve">UMV participants generally supported the status quo and don’t see benefits in amending the current framework. There is confidence in the test laboratories where UMVs are accredited for certain instruments and sizes. </w:t>
      </w:r>
    </w:p>
    <w:p w14:paraId="744E3544" w14:textId="77777777" w:rsidR="00EE6F13" w:rsidRDefault="00CA2D39" w:rsidP="00EE6F13">
      <w:pPr>
        <w:pStyle w:val="ListParagraph"/>
        <w:numPr>
          <w:ilvl w:val="1"/>
          <w:numId w:val="18"/>
        </w:numPr>
        <w:rPr>
          <w:rFonts w:ascii="Calibri" w:hAnsi="Calibri" w:cs="Calibri"/>
        </w:rPr>
      </w:pPr>
      <w:r w:rsidRPr="000971A8">
        <w:rPr>
          <w:rFonts w:ascii="Calibri" w:hAnsi="Calibri" w:cs="Calibri"/>
        </w:rPr>
        <w:t xml:space="preserve">They rely on other UMVs for verifications of meters outside the scope of their own UMV appointment. </w:t>
      </w:r>
    </w:p>
    <w:p w14:paraId="526F6EEA" w14:textId="1F82D632" w:rsidR="00EE6F13" w:rsidRPr="00EE6F13" w:rsidRDefault="00EE6F13" w:rsidP="00EE6F13">
      <w:pPr>
        <w:pStyle w:val="ListParagraph"/>
        <w:numPr>
          <w:ilvl w:val="1"/>
          <w:numId w:val="18"/>
        </w:numPr>
        <w:rPr>
          <w:rFonts w:ascii="Calibri" w:hAnsi="Calibri" w:cs="Calibri"/>
        </w:rPr>
      </w:pPr>
      <w:r w:rsidRPr="00EE6F13">
        <w:rPr>
          <w:rFonts w:ascii="Calibri" w:hAnsi="Calibri" w:cs="Calibri"/>
        </w:rPr>
        <w:t xml:space="preserve">When utility meters are to be verified there is currently a need for an approving authority to be involved, however there aren’t many approving authorities in Australia. </w:t>
      </w:r>
    </w:p>
    <w:p w14:paraId="1A31353E" w14:textId="1665241E" w:rsidR="00EE6F13" w:rsidRPr="00EE6F13" w:rsidRDefault="00EE6F13" w:rsidP="00EE6F13">
      <w:pPr>
        <w:pStyle w:val="ListParagraph"/>
        <w:numPr>
          <w:ilvl w:val="0"/>
          <w:numId w:val="18"/>
        </w:numPr>
        <w:spacing w:before="120" w:after="0"/>
        <w:rPr>
          <w:rFonts w:ascii="Calibri" w:hAnsi="Calibri" w:cs="Calibri"/>
        </w:rPr>
      </w:pPr>
      <w:r w:rsidRPr="000971A8">
        <w:rPr>
          <w:rFonts w:ascii="Calibri" w:hAnsi="Calibri" w:cs="Calibri"/>
        </w:rPr>
        <w:t>Participants noted UMVs are slightly different to other third parties as there are multiple regulators they interact with in their sector.</w:t>
      </w:r>
    </w:p>
    <w:p w14:paraId="6FC8F6E4" w14:textId="45924718" w:rsidR="00EE6F13" w:rsidRPr="00EE6F13" w:rsidRDefault="00CA2D39" w:rsidP="00EE6F13">
      <w:pPr>
        <w:pStyle w:val="ListParagraph"/>
        <w:numPr>
          <w:ilvl w:val="0"/>
          <w:numId w:val="18"/>
        </w:numPr>
      </w:pPr>
      <w:r w:rsidRPr="00EE6F13">
        <w:rPr>
          <w:rFonts w:ascii="Calibri" w:hAnsi="Calibri" w:cs="Calibri"/>
        </w:rPr>
        <w:t xml:space="preserve">LMA participants generally saw value in the appointment process, </w:t>
      </w:r>
      <w:r w:rsidR="00EE6F13" w:rsidRPr="00EE6F13">
        <w:rPr>
          <w:rFonts w:ascii="Calibri" w:hAnsi="Calibri" w:cs="Calibri"/>
        </w:rPr>
        <w:t>even if it did not form a large part of their business. The appointment</w:t>
      </w:r>
      <w:r w:rsidRPr="00EE6F13">
        <w:rPr>
          <w:rFonts w:ascii="Calibri" w:hAnsi="Calibri" w:cs="Calibri"/>
        </w:rPr>
        <w:t xml:space="preserve"> provided confidence and supported legal traceability.</w:t>
      </w:r>
    </w:p>
    <w:p w14:paraId="1A203E57" w14:textId="3422ADC0" w:rsidR="00600350" w:rsidRDefault="00600350" w:rsidP="00600350">
      <w:pPr>
        <w:pStyle w:val="ListParagraph"/>
        <w:numPr>
          <w:ilvl w:val="0"/>
          <w:numId w:val="18"/>
        </w:numPr>
        <w:rPr>
          <w:rFonts w:ascii="Calibri" w:hAnsi="Calibri" w:cs="Calibri"/>
        </w:rPr>
      </w:pPr>
      <w:r w:rsidRPr="000971A8">
        <w:rPr>
          <w:rFonts w:ascii="Calibri" w:hAnsi="Calibri" w:cs="Calibri"/>
        </w:rPr>
        <w:t xml:space="preserve">Participants suggested better communication between NMI and third parties so NMI’s expectations of third parties is clearer. </w:t>
      </w:r>
    </w:p>
    <w:p w14:paraId="26658062" w14:textId="49DA9BAC" w:rsidR="00CA2D39" w:rsidRPr="00CA2D39" w:rsidRDefault="00185ABF" w:rsidP="00CA2D39">
      <w:pPr>
        <w:pStyle w:val="Heading3"/>
      </w:pPr>
      <w:bookmarkStart w:id="15" w:name="_Toc50541026"/>
      <w:r>
        <w:t xml:space="preserve">4.1 </w:t>
      </w:r>
      <w:r w:rsidR="00CA2D39" w:rsidRPr="000971A8">
        <w:t>Competency</w:t>
      </w:r>
      <w:bookmarkEnd w:id="15"/>
    </w:p>
    <w:p w14:paraId="5BD126BB" w14:textId="6CD423D7" w:rsidR="00876708" w:rsidRPr="003953E5" w:rsidRDefault="00876708" w:rsidP="00DA7392">
      <w:pPr>
        <w:pStyle w:val="ListParagraph"/>
        <w:numPr>
          <w:ilvl w:val="0"/>
          <w:numId w:val="18"/>
        </w:numPr>
        <w:rPr>
          <w:rFonts w:ascii="Calibri" w:hAnsi="Calibri" w:cs="Calibri"/>
        </w:rPr>
      </w:pPr>
      <w:r w:rsidRPr="00CA2D39">
        <w:rPr>
          <w:rFonts w:ascii="Calibri" w:hAnsi="Calibri" w:cs="Calibri"/>
        </w:rPr>
        <w:t>The role of the Chief Metrologist / NMI in approving appointments should continue</w:t>
      </w:r>
      <w:r>
        <w:rPr>
          <w:rFonts w:ascii="Calibri" w:hAnsi="Calibri" w:cs="Calibri"/>
        </w:rPr>
        <w:t xml:space="preserve"> for LMAs and UMVs</w:t>
      </w:r>
      <w:r w:rsidRPr="00CA2D39">
        <w:rPr>
          <w:rFonts w:ascii="Calibri" w:hAnsi="Calibri" w:cs="Calibri"/>
        </w:rPr>
        <w:t>.</w:t>
      </w:r>
    </w:p>
    <w:p w14:paraId="233151B6" w14:textId="77777777" w:rsidR="009F4B37" w:rsidRPr="000971A8" w:rsidRDefault="009F4B37" w:rsidP="009F4B37">
      <w:pPr>
        <w:pStyle w:val="ListParagraph"/>
        <w:numPr>
          <w:ilvl w:val="0"/>
          <w:numId w:val="18"/>
        </w:numPr>
        <w:rPr>
          <w:rFonts w:ascii="Calibri" w:hAnsi="Calibri" w:cs="Calibri"/>
        </w:rPr>
      </w:pPr>
      <w:r w:rsidRPr="000971A8">
        <w:rPr>
          <w:rFonts w:ascii="Calibri" w:hAnsi="Calibri" w:cs="Calibri"/>
        </w:rPr>
        <w:t xml:space="preserve">Participants considered that NATA accreditation (which forms part of the assessment process) is an appropriate mechanism to determine competency. Some thought it should only provide a base level for competency and that additional assessment tools were appropriate. </w:t>
      </w:r>
    </w:p>
    <w:p w14:paraId="65640E5B" w14:textId="0EA92CE9" w:rsidR="00600350" w:rsidRDefault="009F4B37" w:rsidP="009F4B37">
      <w:pPr>
        <w:pStyle w:val="ListParagraph"/>
        <w:numPr>
          <w:ilvl w:val="0"/>
          <w:numId w:val="18"/>
        </w:numPr>
        <w:rPr>
          <w:rFonts w:ascii="Calibri" w:hAnsi="Calibri" w:cs="Calibri"/>
        </w:rPr>
      </w:pPr>
      <w:r w:rsidRPr="000971A8">
        <w:rPr>
          <w:rFonts w:ascii="Calibri" w:hAnsi="Calibri" w:cs="Calibri"/>
        </w:rPr>
        <w:t xml:space="preserve">The topic of the </w:t>
      </w:r>
      <w:r w:rsidR="00F7619F">
        <w:rPr>
          <w:rFonts w:ascii="Calibri" w:hAnsi="Calibri" w:cs="Calibri"/>
        </w:rPr>
        <w:t>NMI</w:t>
      </w:r>
      <w:r w:rsidRPr="000971A8">
        <w:rPr>
          <w:rFonts w:ascii="Calibri" w:hAnsi="Calibri" w:cs="Calibri"/>
        </w:rPr>
        <w:t xml:space="preserve"> and NATA sharing information about audit results and non-conformance was discussed at most of the forums. </w:t>
      </w:r>
    </w:p>
    <w:p w14:paraId="361880D2" w14:textId="4A87B690" w:rsidR="009F4B37" w:rsidRPr="000971A8" w:rsidRDefault="009F4B37" w:rsidP="009F4B37">
      <w:pPr>
        <w:pStyle w:val="ListParagraph"/>
        <w:numPr>
          <w:ilvl w:val="0"/>
          <w:numId w:val="18"/>
        </w:numPr>
        <w:rPr>
          <w:rFonts w:ascii="Calibri" w:hAnsi="Calibri" w:cs="Calibri"/>
        </w:rPr>
      </w:pPr>
      <w:r w:rsidRPr="000971A8">
        <w:rPr>
          <w:rFonts w:ascii="Calibri" w:hAnsi="Calibri" w:cs="Calibri"/>
        </w:rPr>
        <w:t xml:space="preserve">Participants encouraged an increase in collaboration between NATA and NMI in terms of information sharing. </w:t>
      </w:r>
    </w:p>
    <w:p w14:paraId="3066EF6F" w14:textId="6292E55B" w:rsidR="00CA2D39" w:rsidRPr="00CA2D39" w:rsidRDefault="00185ABF" w:rsidP="00CA2D39">
      <w:pPr>
        <w:pStyle w:val="Heading3"/>
      </w:pPr>
      <w:bookmarkStart w:id="16" w:name="_Toc50541027"/>
      <w:r>
        <w:lastRenderedPageBreak/>
        <w:t xml:space="preserve">4.2 </w:t>
      </w:r>
      <w:r w:rsidR="00CA2D39">
        <w:t>Prescriptiveness</w:t>
      </w:r>
      <w:bookmarkEnd w:id="16"/>
    </w:p>
    <w:p w14:paraId="10D0C2A2" w14:textId="6D449006" w:rsidR="00CA2D39" w:rsidRPr="00CA2D39" w:rsidRDefault="00CA2D39" w:rsidP="00CA2D39">
      <w:pPr>
        <w:pStyle w:val="ListParagraph"/>
        <w:numPr>
          <w:ilvl w:val="0"/>
          <w:numId w:val="18"/>
        </w:numPr>
        <w:rPr>
          <w:rFonts w:ascii="Calibri" w:hAnsi="Calibri" w:cs="Calibri"/>
        </w:rPr>
      </w:pPr>
      <w:r w:rsidRPr="00CA2D39">
        <w:rPr>
          <w:rFonts w:ascii="Calibri" w:hAnsi="Calibri" w:cs="Calibri"/>
        </w:rPr>
        <w:t>Generally</w:t>
      </w:r>
      <w:r w:rsidR="00C05D1D">
        <w:rPr>
          <w:rFonts w:ascii="Calibri" w:hAnsi="Calibri" w:cs="Calibri"/>
        </w:rPr>
        <w:t>,</w:t>
      </w:r>
      <w:r w:rsidRPr="00CA2D39">
        <w:rPr>
          <w:rFonts w:ascii="Calibri" w:hAnsi="Calibri" w:cs="Calibri"/>
        </w:rPr>
        <w:t xml:space="preserve"> participants said current levels of prescription applicable to UMVs and LMAs are appropriate and there is value in the current framework (noting the framework for UMVs and LMAs is less prescriptive than most other areas of the current framework).</w:t>
      </w:r>
    </w:p>
    <w:p w14:paraId="33C7717B" w14:textId="77777777" w:rsidR="00CA2D39" w:rsidRPr="000971A8" w:rsidRDefault="00CA2D39" w:rsidP="00CA2D39">
      <w:pPr>
        <w:pStyle w:val="ListParagraph"/>
        <w:numPr>
          <w:ilvl w:val="1"/>
          <w:numId w:val="18"/>
        </w:numPr>
        <w:rPr>
          <w:rFonts w:ascii="Calibri" w:hAnsi="Calibri" w:cs="Calibri"/>
        </w:rPr>
      </w:pPr>
      <w:r w:rsidRPr="000971A8">
        <w:rPr>
          <w:rFonts w:ascii="Calibri" w:hAnsi="Calibri" w:cs="Calibri"/>
        </w:rPr>
        <w:t xml:space="preserve">The level of prescription provides confidence that the proper process is being followed and ensures confidence in the outcome. </w:t>
      </w:r>
    </w:p>
    <w:p w14:paraId="0559511B" w14:textId="16153EFD" w:rsidR="00CA2D39" w:rsidRPr="000971A8" w:rsidRDefault="00CA2D39" w:rsidP="00CA2D39">
      <w:pPr>
        <w:pStyle w:val="ListParagraph"/>
        <w:numPr>
          <w:ilvl w:val="1"/>
          <w:numId w:val="18"/>
        </w:numPr>
        <w:rPr>
          <w:rFonts w:ascii="Calibri" w:hAnsi="Calibri" w:cs="Calibri"/>
        </w:rPr>
      </w:pPr>
      <w:r w:rsidRPr="000971A8">
        <w:rPr>
          <w:rFonts w:ascii="Calibri" w:hAnsi="Calibri" w:cs="Calibri"/>
        </w:rPr>
        <w:t xml:space="preserve">The </w:t>
      </w:r>
      <w:r w:rsidR="00DC7D7A">
        <w:rPr>
          <w:rFonts w:ascii="Calibri" w:hAnsi="Calibri" w:cs="Calibri"/>
        </w:rPr>
        <w:t>NATA</w:t>
      </w:r>
      <w:r w:rsidRPr="000971A8">
        <w:rPr>
          <w:rFonts w:ascii="Calibri" w:hAnsi="Calibri" w:cs="Calibri"/>
        </w:rPr>
        <w:t xml:space="preserve"> framework contributes to confidence in the assessment outcome.</w:t>
      </w:r>
    </w:p>
    <w:p w14:paraId="478C0592" w14:textId="3B33A132" w:rsidR="00C479EC" w:rsidRPr="00EB4A4B" w:rsidRDefault="009F4B37" w:rsidP="00EB4A4B">
      <w:pPr>
        <w:pStyle w:val="ListParagraph"/>
        <w:numPr>
          <w:ilvl w:val="0"/>
          <w:numId w:val="18"/>
        </w:numPr>
        <w:rPr>
          <w:rFonts w:ascii="Calibri" w:hAnsi="Calibri" w:cs="Calibri"/>
        </w:rPr>
      </w:pPr>
      <w:r w:rsidRPr="000971A8">
        <w:rPr>
          <w:rFonts w:ascii="Calibri" w:hAnsi="Calibri" w:cs="Calibri"/>
        </w:rPr>
        <w:t xml:space="preserve">Some participants expressed concern that a principles-based approach may increase regulatory burden. Others </w:t>
      </w:r>
      <w:r w:rsidR="00C479EC">
        <w:rPr>
          <w:rFonts w:ascii="Calibri" w:hAnsi="Calibri" w:cs="Calibri"/>
        </w:rPr>
        <w:t xml:space="preserve">indicated </w:t>
      </w:r>
      <w:r w:rsidR="00C479EC" w:rsidRPr="00C479EC">
        <w:rPr>
          <w:rFonts w:ascii="Calibri" w:hAnsi="Calibri" w:cs="Calibri"/>
        </w:rPr>
        <w:t>prescriptiveness can be problematic where it creates a barrier to technology advancements or doesn’t keep pace with changes in technology</w:t>
      </w:r>
      <w:r w:rsidR="00EB4A4B">
        <w:rPr>
          <w:rFonts w:ascii="Calibri" w:hAnsi="Calibri" w:cs="Calibri"/>
        </w:rPr>
        <w:t>.</w:t>
      </w:r>
      <w:r w:rsidR="00C479EC" w:rsidRPr="00C479EC" w:rsidDel="00C479EC">
        <w:rPr>
          <w:rFonts w:ascii="Calibri" w:hAnsi="Calibri" w:cs="Calibri"/>
        </w:rPr>
        <w:t xml:space="preserve"> </w:t>
      </w:r>
    </w:p>
    <w:p w14:paraId="4509CA32" w14:textId="64F04641" w:rsidR="0009133B" w:rsidRPr="0009133B" w:rsidRDefault="0009133B" w:rsidP="0009133B">
      <w:pPr>
        <w:pStyle w:val="ListParagraph"/>
        <w:numPr>
          <w:ilvl w:val="0"/>
          <w:numId w:val="35"/>
        </w:numPr>
        <w:ind w:left="1276" w:hanging="425"/>
        <w:rPr>
          <w:rFonts w:ascii="Calibri" w:hAnsi="Calibri" w:cs="Calibri"/>
        </w:rPr>
      </w:pPr>
      <w:r w:rsidRPr="0009133B">
        <w:rPr>
          <w:rFonts w:ascii="Calibri" w:hAnsi="Calibri" w:cs="Calibri"/>
        </w:rPr>
        <w:t>Ultrasonic water meters were raised as an example of new technology encountering limitations with the current framework.</w:t>
      </w:r>
    </w:p>
    <w:p w14:paraId="0CE2ED69" w14:textId="23D6AF86" w:rsidR="00EE6F13" w:rsidRPr="00EB4A4B" w:rsidRDefault="00EE6F13" w:rsidP="00EB4A4B">
      <w:pPr>
        <w:pStyle w:val="ListParagraph"/>
        <w:numPr>
          <w:ilvl w:val="0"/>
          <w:numId w:val="18"/>
        </w:numPr>
        <w:ind w:left="714" w:hanging="357"/>
        <w:rPr>
          <w:rFonts w:ascii="Calibri" w:hAnsi="Calibri" w:cs="Calibri"/>
        </w:rPr>
      </w:pPr>
      <w:r w:rsidRPr="00EB4A4B">
        <w:rPr>
          <w:rFonts w:ascii="Calibri" w:hAnsi="Calibri" w:cs="Calibri"/>
        </w:rPr>
        <w:t>One participant noted that the testing process is lengthy for the pattern approval of water meters.</w:t>
      </w:r>
    </w:p>
    <w:p w14:paraId="7D841B49" w14:textId="67657561" w:rsidR="00EE6F13" w:rsidRPr="00EB4A4B" w:rsidRDefault="00EE6F13" w:rsidP="00EB4A4B">
      <w:pPr>
        <w:pStyle w:val="ListParagraph"/>
        <w:numPr>
          <w:ilvl w:val="1"/>
          <w:numId w:val="18"/>
        </w:numPr>
        <w:ind w:left="1276" w:hanging="425"/>
        <w:rPr>
          <w:rFonts w:ascii="Calibri" w:hAnsi="Calibri" w:cs="Calibri"/>
        </w:rPr>
      </w:pPr>
      <w:r w:rsidRPr="000971A8">
        <w:rPr>
          <w:rFonts w:ascii="Calibri" w:hAnsi="Calibri" w:cs="Calibri"/>
        </w:rPr>
        <w:t xml:space="preserve">The pattern approval process often lasts six months </w:t>
      </w:r>
      <w:r w:rsidR="00C05D1D">
        <w:rPr>
          <w:rFonts w:ascii="Calibri" w:hAnsi="Calibri" w:cs="Calibri"/>
        </w:rPr>
        <w:t>and two-three</w:t>
      </w:r>
      <w:r w:rsidRPr="000971A8">
        <w:rPr>
          <w:rFonts w:ascii="Calibri" w:hAnsi="Calibri" w:cs="Calibri"/>
        </w:rPr>
        <w:t xml:space="preserve"> months for water marks. Many UMV customers who are manufacturers from the Asia Pacific region raise this as an issue because there is considerable lead time before they are able to sell their meters into the Australian market.</w:t>
      </w:r>
    </w:p>
    <w:p w14:paraId="5A552B43" w14:textId="3875C606" w:rsidR="00874F71" w:rsidRPr="000971A8" w:rsidRDefault="00185ABF" w:rsidP="00874F71">
      <w:pPr>
        <w:pStyle w:val="Heading3"/>
      </w:pPr>
      <w:bookmarkStart w:id="17" w:name="_Toc50541028"/>
      <w:r>
        <w:t xml:space="preserve">4.3 </w:t>
      </w:r>
      <w:r w:rsidR="00874F71" w:rsidRPr="000971A8">
        <w:t>Compliance and Enforcement</w:t>
      </w:r>
      <w:bookmarkEnd w:id="17"/>
    </w:p>
    <w:p w14:paraId="088F6828" w14:textId="1C5DEEB3" w:rsidR="009F4B37" w:rsidRDefault="00874F71" w:rsidP="00874F71">
      <w:pPr>
        <w:pStyle w:val="ListParagraph"/>
        <w:numPr>
          <w:ilvl w:val="0"/>
          <w:numId w:val="30"/>
        </w:numPr>
        <w:spacing w:after="0"/>
        <w:rPr>
          <w:rFonts w:ascii="Calibri" w:hAnsi="Calibri" w:cs="Calibri"/>
        </w:rPr>
      </w:pPr>
      <w:r w:rsidRPr="00874F71">
        <w:rPr>
          <w:rFonts w:ascii="Calibri" w:hAnsi="Calibri" w:cs="Calibri"/>
        </w:rPr>
        <w:t>Participants indicated they were confident in NATA initiating compliance action. They have seen some accreditations suspended or cancelled by NATA</w:t>
      </w:r>
      <w:r>
        <w:rPr>
          <w:rFonts w:ascii="Calibri" w:hAnsi="Calibri" w:cs="Calibri"/>
        </w:rPr>
        <w:t>.</w:t>
      </w:r>
    </w:p>
    <w:p w14:paraId="34831B29" w14:textId="77777777" w:rsidR="00874F71" w:rsidRDefault="00874F71" w:rsidP="00874F71">
      <w:pPr>
        <w:pStyle w:val="ListParagraph"/>
        <w:numPr>
          <w:ilvl w:val="0"/>
          <w:numId w:val="30"/>
        </w:numPr>
        <w:rPr>
          <w:rFonts w:ascii="Calibri" w:hAnsi="Calibri" w:cs="Calibri"/>
        </w:rPr>
      </w:pPr>
      <w:r w:rsidRPr="00874F71">
        <w:rPr>
          <w:rFonts w:ascii="Calibri" w:hAnsi="Calibri" w:cs="Calibri"/>
        </w:rPr>
        <w:t>Participants were satisfied with NATA to handle low level administrative non-conformance but if there was continuous non-conformance then perhaps that needs to be escalated to NMI for higher level enforcement action.</w:t>
      </w:r>
    </w:p>
    <w:p w14:paraId="7689B7D2" w14:textId="1F4243C3" w:rsidR="00874F71" w:rsidRDefault="00874F71" w:rsidP="00BB52CA">
      <w:pPr>
        <w:pStyle w:val="ListParagraph"/>
        <w:numPr>
          <w:ilvl w:val="0"/>
          <w:numId w:val="30"/>
        </w:numPr>
        <w:rPr>
          <w:rFonts w:ascii="Calibri" w:hAnsi="Calibri" w:cs="Calibri"/>
        </w:rPr>
      </w:pPr>
      <w:r w:rsidRPr="00874F71">
        <w:rPr>
          <w:rFonts w:ascii="Calibri" w:hAnsi="Calibri" w:cs="Calibri"/>
        </w:rPr>
        <w:t>Participants commented that aligning third party compliance would be good (servicing licensees, public weighbridge licensees, UMVs and LMAs). There was support for updating compliance</w:t>
      </w:r>
      <w:r>
        <w:rPr>
          <w:rFonts w:ascii="Calibri" w:hAnsi="Calibri" w:cs="Calibri"/>
        </w:rPr>
        <w:t xml:space="preserve"> arrangements for UMVs and LMAs</w:t>
      </w:r>
      <w:r w:rsidRPr="00874F71">
        <w:rPr>
          <w:rFonts w:ascii="Calibri" w:hAnsi="Calibri" w:cs="Calibri"/>
        </w:rPr>
        <w:t xml:space="preserve"> to include additional regulatory response options (extra warnings and reprimands). </w:t>
      </w:r>
    </w:p>
    <w:p w14:paraId="19C0FD76" w14:textId="77777777" w:rsidR="0009133B" w:rsidRDefault="00EE6F13" w:rsidP="00EE6F13">
      <w:pPr>
        <w:pStyle w:val="ListParagraph"/>
        <w:numPr>
          <w:ilvl w:val="0"/>
          <w:numId w:val="30"/>
        </w:numPr>
        <w:rPr>
          <w:rFonts w:ascii="Calibri" w:hAnsi="Calibri" w:cs="Calibri"/>
        </w:rPr>
      </w:pPr>
      <w:r w:rsidRPr="000971A8">
        <w:rPr>
          <w:rFonts w:ascii="Calibri" w:hAnsi="Calibri" w:cs="Calibri"/>
        </w:rPr>
        <w:t>In a hypothetical situation where there were no regulation 13 certificates,</w:t>
      </w:r>
      <w:r w:rsidR="0009133B">
        <w:rPr>
          <w:rStyle w:val="FootnoteReference"/>
          <w:rFonts w:ascii="Calibri" w:hAnsi="Calibri" w:cs="Calibri"/>
        </w:rPr>
        <w:footnoteReference w:id="10"/>
      </w:r>
      <w:r w:rsidRPr="000971A8">
        <w:rPr>
          <w:rFonts w:ascii="Calibri" w:hAnsi="Calibri" w:cs="Calibri"/>
        </w:rPr>
        <w:t xml:space="preserve"> attendees stated that UMVs and LMAs would only be able to provide confidence to their clients by refining processes from the feedback from their clients and providing information on traceability derived from manufacturers with their test equipment.</w:t>
      </w:r>
    </w:p>
    <w:p w14:paraId="6F890EEC" w14:textId="77777777" w:rsidR="0009133B" w:rsidRPr="000971A8" w:rsidRDefault="0009133B" w:rsidP="0009133B">
      <w:pPr>
        <w:pStyle w:val="ListParagraph"/>
        <w:numPr>
          <w:ilvl w:val="0"/>
          <w:numId w:val="30"/>
        </w:numPr>
        <w:rPr>
          <w:rFonts w:ascii="Calibri" w:hAnsi="Calibri" w:cs="Calibri"/>
        </w:rPr>
      </w:pPr>
      <w:r w:rsidRPr="000971A8">
        <w:rPr>
          <w:rFonts w:ascii="Calibri" w:hAnsi="Calibri" w:cs="Calibri"/>
        </w:rPr>
        <w:t>Participants expressed concerns regarding relying on overseas calibrations or industry self-regulation for utility meters. It was suggested that issues could arise similar to those in the building industry, including:</w:t>
      </w:r>
    </w:p>
    <w:p w14:paraId="780E57FC" w14:textId="77777777" w:rsidR="0009133B" w:rsidRPr="000971A8" w:rsidRDefault="0009133B" w:rsidP="0009133B">
      <w:pPr>
        <w:pStyle w:val="ListParagraph"/>
        <w:numPr>
          <w:ilvl w:val="1"/>
          <w:numId w:val="30"/>
        </w:numPr>
        <w:rPr>
          <w:rFonts w:ascii="Calibri" w:hAnsi="Calibri" w:cs="Calibri"/>
        </w:rPr>
      </w:pPr>
      <w:r w:rsidRPr="000971A8">
        <w:rPr>
          <w:rFonts w:ascii="Calibri" w:hAnsi="Calibri" w:cs="Calibri"/>
        </w:rPr>
        <w:t>A reduction in standards.</w:t>
      </w:r>
    </w:p>
    <w:p w14:paraId="72BFCF4E" w14:textId="4B6491F2" w:rsidR="00EE6F13" w:rsidRPr="00855C7D" w:rsidRDefault="0009133B" w:rsidP="0009133B">
      <w:pPr>
        <w:pStyle w:val="ListParagraph"/>
        <w:numPr>
          <w:ilvl w:val="1"/>
          <w:numId w:val="30"/>
        </w:numPr>
        <w:rPr>
          <w:rFonts w:ascii="Calibri" w:hAnsi="Calibri" w:cs="Calibri"/>
        </w:rPr>
      </w:pPr>
      <w:r w:rsidRPr="000971A8">
        <w:rPr>
          <w:rFonts w:ascii="Calibri" w:hAnsi="Calibri" w:cs="Calibri"/>
        </w:rPr>
        <w:t>A lack of ownership (no one taking responsibility).</w:t>
      </w:r>
    </w:p>
    <w:p w14:paraId="009B791D" w14:textId="5A81E118" w:rsidR="00874E84" w:rsidRDefault="00874E84">
      <w:pPr>
        <w:spacing w:after="200"/>
        <w:rPr>
          <w:rFonts w:ascii="Calibri" w:hAnsi="Calibri" w:cs="Calibri"/>
        </w:rPr>
      </w:pPr>
      <w:r>
        <w:rPr>
          <w:rFonts w:ascii="Calibri" w:hAnsi="Calibri" w:cs="Calibri"/>
        </w:rPr>
        <w:br w:type="page"/>
      </w:r>
    </w:p>
    <w:p w14:paraId="5D7511CA" w14:textId="77777777" w:rsidR="009D37DF" w:rsidRDefault="009D37DF" w:rsidP="00874E84">
      <w:pPr>
        <w:pStyle w:val="Heading1"/>
        <w:spacing w:after="120"/>
        <w:rPr>
          <w:color w:val="7C1222"/>
          <w:sz w:val="32"/>
          <w:szCs w:val="32"/>
        </w:rPr>
      </w:pPr>
      <w:bookmarkStart w:id="18" w:name="_Toc41565966"/>
      <w:bookmarkStart w:id="19" w:name="_Toc49422390"/>
      <w:bookmarkStart w:id="20" w:name="_Toc50540374"/>
    </w:p>
    <w:p w14:paraId="32C81681" w14:textId="77777777" w:rsidR="00874E84" w:rsidRPr="00874E84" w:rsidRDefault="00874E84" w:rsidP="00874E84">
      <w:pPr>
        <w:pStyle w:val="Heading1"/>
        <w:spacing w:after="120"/>
        <w:rPr>
          <w:color w:val="7C1222"/>
          <w:sz w:val="32"/>
          <w:szCs w:val="32"/>
        </w:rPr>
      </w:pPr>
      <w:bookmarkStart w:id="21" w:name="_Toc50541029"/>
      <w:r w:rsidRPr="00874E84">
        <w:rPr>
          <w:color w:val="7C1222"/>
          <w:sz w:val="32"/>
          <w:szCs w:val="32"/>
        </w:rPr>
        <w:t>Contact</w:t>
      </w:r>
      <w:bookmarkEnd w:id="18"/>
      <w:bookmarkEnd w:id="19"/>
      <w:bookmarkEnd w:id="20"/>
      <w:bookmarkEnd w:id="21"/>
    </w:p>
    <w:p w14:paraId="41140E6E" w14:textId="77777777" w:rsidR="00874E84" w:rsidRPr="00994C0F" w:rsidRDefault="00874E84" w:rsidP="00874E84">
      <w:pPr>
        <w:rPr>
          <w:rFonts w:cstheme="minorHAnsi"/>
        </w:rPr>
      </w:pPr>
      <w:r w:rsidRPr="00994C0F">
        <w:rPr>
          <w:rFonts w:cstheme="minorHAnsi"/>
          <w:b/>
        </w:rPr>
        <w:t>Phone</w:t>
      </w:r>
      <w:r w:rsidRPr="00994C0F">
        <w:rPr>
          <w:rFonts w:cstheme="minorHAnsi"/>
        </w:rPr>
        <w:t>: 1300 686 664</w:t>
      </w:r>
    </w:p>
    <w:p w14:paraId="397A7B50" w14:textId="77777777" w:rsidR="00874E84" w:rsidRPr="00994C0F" w:rsidRDefault="00874E84" w:rsidP="00874E84">
      <w:pPr>
        <w:rPr>
          <w:rFonts w:cstheme="minorHAnsi"/>
        </w:rPr>
      </w:pPr>
      <w:r w:rsidRPr="00994C0F">
        <w:rPr>
          <w:rFonts w:cstheme="minorHAnsi"/>
          <w:b/>
        </w:rPr>
        <w:t>Email</w:t>
      </w:r>
      <w:r w:rsidRPr="00994C0F">
        <w:rPr>
          <w:rFonts w:cstheme="minorHAnsi"/>
        </w:rPr>
        <w:t xml:space="preserve">: </w:t>
      </w:r>
      <w:hyperlink r:id="rId13" w:history="1">
        <w:r w:rsidRPr="009D37DF">
          <w:rPr>
            <w:rStyle w:val="Hyperlink"/>
            <w:rFonts w:cstheme="minorHAnsi"/>
            <w:color w:val="0070C0"/>
          </w:rPr>
          <w:t>measurementlawreview@industry.gov.au</w:t>
        </w:r>
      </w:hyperlink>
    </w:p>
    <w:p w14:paraId="2AD96E60" w14:textId="77777777" w:rsidR="00874E84" w:rsidRDefault="00874E84" w:rsidP="00874E84">
      <w:pPr>
        <w:rPr>
          <w:rFonts w:cstheme="minorHAnsi"/>
        </w:rPr>
      </w:pPr>
      <w:r w:rsidRPr="00994C0F">
        <w:rPr>
          <w:rFonts w:cstheme="minorHAnsi"/>
          <w:b/>
        </w:rPr>
        <w:t>Web</w:t>
      </w:r>
      <w:r w:rsidRPr="00994C0F">
        <w:rPr>
          <w:rFonts w:cstheme="minorHAnsi"/>
        </w:rPr>
        <w:t xml:space="preserve">: </w:t>
      </w:r>
      <w:hyperlink r:id="rId14" w:history="1">
        <w:r w:rsidRPr="009D37DF">
          <w:rPr>
            <w:rStyle w:val="Hyperlink"/>
            <w:rFonts w:cstheme="minorHAnsi"/>
            <w:color w:val="0070C0"/>
          </w:rPr>
          <w:t>https://industry.gov.au/measurement-law-review</w:t>
        </w:r>
      </w:hyperlink>
    </w:p>
    <w:p w14:paraId="43A52D4F" w14:textId="77777777" w:rsidR="009F4B37" w:rsidRPr="00855C7D" w:rsidRDefault="009F4B37" w:rsidP="00855C7D">
      <w:pPr>
        <w:spacing w:after="0"/>
        <w:rPr>
          <w:rFonts w:ascii="Calibri" w:hAnsi="Calibri" w:cs="Calibri"/>
        </w:rPr>
      </w:pPr>
    </w:p>
    <w:sectPr w:rsidR="009F4B37" w:rsidRPr="00855C7D" w:rsidSect="004E5DDC">
      <w:headerReference w:type="default" r:id="rId15"/>
      <w:footerReference w:type="default" r:id="rId16"/>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583F7" w14:textId="77777777" w:rsidR="00C26C11" w:rsidRDefault="00C26C11" w:rsidP="00B526AB">
      <w:pPr>
        <w:spacing w:after="0" w:line="240" w:lineRule="auto"/>
      </w:pPr>
      <w:r>
        <w:separator/>
      </w:r>
    </w:p>
  </w:endnote>
  <w:endnote w:type="continuationSeparator" w:id="0">
    <w:p w14:paraId="23B335E9" w14:textId="77777777" w:rsidR="00C26C11" w:rsidRDefault="00C26C11" w:rsidP="00B526AB">
      <w:pPr>
        <w:spacing w:after="0" w:line="240" w:lineRule="auto"/>
      </w:pPr>
      <w:r>
        <w:continuationSeparator/>
      </w:r>
    </w:p>
  </w:endnote>
  <w:endnote w:type="continuationNotice" w:id="1">
    <w:p w14:paraId="72F940FB" w14:textId="77777777" w:rsidR="00365E6D" w:rsidRDefault="00365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537120"/>
      <w:docPartObj>
        <w:docPartGallery w:val="Page Numbers (Bottom of Page)"/>
        <w:docPartUnique/>
      </w:docPartObj>
    </w:sdtPr>
    <w:sdtEndPr>
      <w:rPr>
        <w:noProof/>
      </w:rPr>
    </w:sdtEndPr>
    <w:sdtContent>
      <w:p w14:paraId="323ECA46" w14:textId="6BFBF3FB" w:rsidR="00BD522F" w:rsidRDefault="00BD522F">
        <w:pPr>
          <w:pStyle w:val="Footer"/>
          <w:jc w:val="right"/>
        </w:pPr>
        <w:r>
          <w:fldChar w:fldCharType="begin"/>
        </w:r>
        <w:r>
          <w:instrText xml:space="preserve"> PAGE   \* MERGEFORMAT </w:instrText>
        </w:r>
        <w:r>
          <w:fldChar w:fldCharType="separate"/>
        </w:r>
        <w:r w:rsidR="004E5DDC">
          <w:rPr>
            <w:noProof/>
          </w:rPr>
          <w:t>7</w:t>
        </w:r>
        <w:r>
          <w:rPr>
            <w:noProof/>
          </w:rPr>
          <w:fldChar w:fldCharType="end"/>
        </w:r>
      </w:p>
    </w:sdtContent>
  </w:sdt>
  <w:p w14:paraId="23419D42" w14:textId="77777777" w:rsidR="00BD522F" w:rsidRDefault="00BD5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D913D" w14:textId="77777777" w:rsidR="00C26C11" w:rsidRDefault="00C26C11" w:rsidP="00B526AB">
      <w:pPr>
        <w:spacing w:after="0" w:line="240" w:lineRule="auto"/>
      </w:pPr>
      <w:r>
        <w:separator/>
      </w:r>
    </w:p>
  </w:footnote>
  <w:footnote w:type="continuationSeparator" w:id="0">
    <w:p w14:paraId="420CCE6B" w14:textId="77777777" w:rsidR="00C26C11" w:rsidRDefault="00C26C11" w:rsidP="00B526AB">
      <w:pPr>
        <w:spacing w:after="0" w:line="240" w:lineRule="auto"/>
      </w:pPr>
      <w:r>
        <w:continuationSeparator/>
      </w:r>
    </w:p>
  </w:footnote>
  <w:footnote w:type="continuationNotice" w:id="1">
    <w:p w14:paraId="62BAB3A4" w14:textId="77777777" w:rsidR="00365E6D" w:rsidRDefault="00365E6D">
      <w:pPr>
        <w:spacing w:after="0" w:line="240" w:lineRule="auto"/>
      </w:pPr>
    </w:p>
  </w:footnote>
  <w:footnote w:id="2">
    <w:p w14:paraId="2FDD80BA" w14:textId="4DAF58BE" w:rsidR="00873D0D" w:rsidRDefault="00873D0D">
      <w:pPr>
        <w:pStyle w:val="FootnoteText"/>
      </w:pPr>
      <w:r>
        <w:rPr>
          <w:rStyle w:val="FootnoteReference"/>
        </w:rPr>
        <w:footnoteRef/>
      </w:r>
      <w:r>
        <w:t xml:space="preserve"> </w:t>
      </w:r>
      <w:r w:rsidRPr="00873D0D">
        <w:t xml:space="preserve">Servicing licensees support the trade measurement system by testing and verifying measuring instruments used for trade.  </w:t>
      </w:r>
    </w:p>
  </w:footnote>
  <w:footnote w:id="3">
    <w:p w14:paraId="7A727F00" w14:textId="77777777" w:rsidR="0007466D" w:rsidRDefault="0007466D" w:rsidP="0007466D">
      <w:pPr>
        <w:pStyle w:val="FootnoteText"/>
      </w:pPr>
      <w:r>
        <w:rPr>
          <w:rStyle w:val="FootnoteReference"/>
        </w:rPr>
        <w:footnoteRef/>
      </w:r>
      <w:r>
        <w:t xml:space="preserve"> </w:t>
      </w:r>
      <w:r w:rsidRPr="00381D39">
        <w:t>Public weighbridge licensees make weighbridges available for public use. Public weighbridge licensees have obligations to comply with, including ensuring the weighbridge is operated in accordance with requirements in the legislation and complying with licence conditions.</w:t>
      </w:r>
      <w:r>
        <w:t xml:space="preserve"> </w:t>
      </w:r>
    </w:p>
  </w:footnote>
  <w:footnote w:id="4">
    <w:p w14:paraId="129F48A3" w14:textId="30DD5BF6" w:rsidR="0007466D" w:rsidRDefault="0007466D">
      <w:pPr>
        <w:pStyle w:val="FootnoteText"/>
      </w:pPr>
      <w:r>
        <w:rPr>
          <w:rStyle w:val="FootnoteReference"/>
        </w:rPr>
        <w:footnoteRef/>
      </w:r>
      <w:r>
        <w:t xml:space="preserve"> </w:t>
      </w:r>
      <w:r w:rsidRPr="00D85E5C">
        <w:t>UMVs test and verify utility meters.</w:t>
      </w:r>
    </w:p>
  </w:footnote>
  <w:footnote w:id="5">
    <w:p w14:paraId="0D451E24" w14:textId="7F102B82" w:rsidR="0007466D" w:rsidRDefault="0007466D" w:rsidP="0007466D">
      <w:pPr>
        <w:pStyle w:val="FootnoteText"/>
      </w:pPr>
      <w:r>
        <w:rPr>
          <w:rStyle w:val="FootnoteReference"/>
        </w:rPr>
        <w:footnoteRef/>
      </w:r>
      <w:r>
        <w:t xml:space="preserve"> </w:t>
      </w:r>
      <w:r w:rsidRPr="00D85E5C">
        <w:t xml:space="preserve">LMAs include </w:t>
      </w:r>
      <w:r w:rsidRPr="008E2439">
        <w:rPr>
          <w:i/>
        </w:rPr>
        <w:t>verifying authorities</w:t>
      </w:r>
      <w:r w:rsidRPr="00D85E5C">
        <w:t xml:space="preserve"> who verify standards of measurement and artefacts, </w:t>
      </w:r>
      <w:r w:rsidRPr="008E2439">
        <w:rPr>
          <w:i/>
        </w:rPr>
        <w:t>certifying authorities</w:t>
      </w:r>
      <w:r w:rsidRPr="00D85E5C">
        <w:t xml:space="preserve"> who certify measuring instruments or reference materials and </w:t>
      </w:r>
      <w:r w:rsidRPr="008E2439">
        <w:rPr>
          <w:i/>
        </w:rPr>
        <w:t>approving authorities</w:t>
      </w:r>
      <w:r w:rsidRPr="00D85E5C">
        <w:t xml:space="preserve"> who examine measuring instruments and approve patterns of measuring instruments.</w:t>
      </w:r>
    </w:p>
  </w:footnote>
  <w:footnote w:id="6">
    <w:p w14:paraId="52E5AB98" w14:textId="73A668DD" w:rsidR="008152F3" w:rsidRDefault="008152F3" w:rsidP="008152F3">
      <w:pPr>
        <w:pStyle w:val="FootnoteText"/>
      </w:pPr>
      <w:r>
        <w:rPr>
          <w:rStyle w:val="FootnoteReference"/>
        </w:rPr>
        <w:footnoteRef/>
      </w:r>
      <w:r>
        <w:t xml:space="preserve"> </w:t>
      </w:r>
      <w:r w:rsidRPr="00C43047">
        <w:t>NATA</w:t>
      </w:r>
      <w:r>
        <w:t xml:space="preserve"> </w:t>
      </w:r>
      <w:r w:rsidRPr="008152F3">
        <w:t xml:space="preserve">(National Association of </w:t>
      </w:r>
      <w:r>
        <w:t>Testing Authorities, Australia)</w:t>
      </w:r>
      <w:r w:rsidRPr="00C43047">
        <w:t xml:space="preserve"> is the authority that provides independent assurance of technical competence</w:t>
      </w:r>
      <w:r>
        <w:t>.</w:t>
      </w:r>
    </w:p>
  </w:footnote>
  <w:footnote w:id="7">
    <w:p w14:paraId="25625669" w14:textId="77777777" w:rsidR="003D5B5E" w:rsidRDefault="003D5B5E" w:rsidP="003D5B5E">
      <w:pPr>
        <w:pStyle w:val="FootnoteText"/>
      </w:pPr>
      <w:r>
        <w:rPr>
          <w:rStyle w:val="FootnoteReference"/>
        </w:rPr>
        <w:footnoteRef/>
      </w:r>
      <w:r>
        <w:t xml:space="preserve"> The periodic verification of a trade measurement instrument.</w:t>
      </w:r>
    </w:p>
  </w:footnote>
  <w:footnote w:id="8">
    <w:p w14:paraId="52D20440" w14:textId="3BEFE0C1" w:rsidR="0027177C" w:rsidRDefault="0027177C">
      <w:pPr>
        <w:pStyle w:val="FootnoteText"/>
      </w:pPr>
      <w:r>
        <w:rPr>
          <w:rStyle w:val="FootnoteReference"/>
        </w:rPr>
        <w:footnoteRef/>
      </w:r>
      <w:r>
        <w:t xml:space="preserve"> </w:t>
      </w:r>
      <w:r w:rsidRPr="0027177C">
        <w:t xml:space="preserve">Nominated verifiers must hold a statement of attainment </w:t>
      </w:r>
      <w:r w:rsidR="00B0261F">
        <w:t xml:space="preserve">(SoA) </w:t>
      </w:r>
      <w:r w:rsidRPr="0027177C">
        <w:t>for the relevant licence (instrument) subclass they verify</w:t>
      </w:r>
      <w:r w:rsidR="0086768A">
        <w:t>.</w:t>
      </w:r>
    </w:p>
  </w:footnote>
  <w:footnote w:id="9">
    <w:p w14:paraId="6D4AB92D" w14:textId="77777777" w:rsidR="000F6FC5" w:rsidRDefault="000F6FC5" w:rsidP="000F6FC5">
      <w:pPr>
        <w:pStyle w:val="FootnoteText"/>
      </w:pPr>
      <w:r>
        <w:rPr>
          <w:rStyle w:val="FootnoteReference"/>
        </w:rPr>
        <w:footnoteRef/>
      </w:r>
      <w:r>
        <w:t xml:space="preserve"> </w:t>
      </w:r>
      <w:hyperlink r:id="rId1" w:history="1">
        <w:r w:rsidRPr="00B91A4B">
          <w:rPr>
            <w:rStyle w:val="Hyperlink"/>
          </w:rPr>
          <w:t>https://www.industry.gov.au/data-and-publications/test-procedures</w:t>
        </w:r>
      </w:hyperlink>
    </w:p>
    <w:p w14:paraId="3C2BBB7B" w14:textId="241D5DAD" w:rsidR="000F6FC5" w:rsidRDefault="000F6FC5">
      <w:pPr>
        <w:pStyle w:val="FootnoteText"/>
      </w:pPr>
    </w:p>
  </w:footnote>
  <w:footnote w:id="10">
    <w:p w14:paraId="52B8A758" w14:textId="415E77BE" w:rsidR="0009133B" w:rsidRDefault="0009133B">
      <w:pPr>
        <w:pStyle w:val="FootnoteText"/>
      </w:pPr>
      <w:r>
        <w:rPr>
          <w:rStyle w:val="FootnoteReference"/>
        </w:rPr>
        <w:footnoteRef/>
      </w:r>
      <w:r>
        <w:t xml:space="preserve"> </w:t>
      </w:r>
      <w:r w:rsidRPr="0009133B">
        <w:t>NATA accredited facilities that have been appointed as Verifying Authorities by the National Measurement Institute of Australia (NMI) must comply with reporting, calibration and test method requirements of NMI where relevant, and hold Regulation 13 certificates for their reference equipment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CB837" w14:textId="363E6B13" w:rsidR="00C26C11" w:rsidRDefault="009D37DF">
    <w:pPr>
      <w:pStyle w:val="Header"/>
      <w:jc w:val="right"/>
    </w:pPr>
    <w:r>
      <w:rPr>
        <w:noProof/>
        <w:lang w:eastAsia="en-AU"/>
      </w:rPr>
      <w:drawing>
        <wp:anchor distT="0" distB="0" distL="114300" distR="114300" simplePos="0" relativeHeight="251659264" behindDoc="1" locked="0" layoutInCell="1" allowOverlap="1" wp14:anchorId="139E8036" wp14:editId="667624F7">
          <wp:simplePos x="0" y="0"/>
          <wp:positionH relativeFrom="column">
            <wp:posOffset>321869</wp:posOffset>
          </wp:positionH>
          <wp:positionV relativeFrom="paragraph">
            <wp:posOffset>-278613</wp:posOffset>
          </wp:positionV>
          <wp:extent cx="3736800" cy="576000"/>
          <wp:effectExtent l="0" t="0" r="0" b="0"/>
          <wp:wrapNone/>
          <wp:docPr id="67" name="Picture 67" descr="Department of Industry, Science, Energy and Resources, and National Measurement Institute logo." title="Department of Industry, Science, Energy and Resources, and National Measurement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6800" cy="576000"/>
                  </a:xfrm>
                  <a:prstGeom prst="rect">
                    <a:avLst/>
                  </a:prstGeom>
                  <a:noFill/>
                </pic:spPr>
              </pic:pic>
            </a:graphicData>
          </a:graphic>
          <wp14:sizeRelH relativeFrom="page">
            <wp14:pctWidth>0</wp14:pctWidth>
          </wp14:sizeRelH>
          <wp14:sizeRelV relativeFrom="page">
            <wp14:pctHeight>0</wp14:pctHeight>
          </wp14:sizeRelV>
        </wp:anchor>
      </w:drawing>
    </w:r>
  </w:p>
  <w:p w14:paraId="654B21C9" w14:textId="1949EEB5" w:rsidR="00C26C11" w:rsidRDefault="00C26C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A6192E"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A6192E" w:themeColor="accent1"/>
      </w:rPr>
    </w:lvl>
  </w:abstractNum>
  <w:abstractNum w:abstractNumId="10" w15:restartNumberingAfterBreak="0">
    <w:nsid w:val="04F37B06"/>
    <w:multiLevelType w:val="hybridMultilevel"/>
    <w:tmpl w:val="18F486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C64184"/>
    <w:multiLevelType w:val="hybridMultilevel"/>
    <w:tmpl w:val="42004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925723"/>
    <w:multiLevelType w:val="hybridMultilevel"/>
    <w:tmpl w:val="54FCA7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DC450C"/>
    <w:multiLevelType w:val="hybridMultilevel"/>
    <w:tmpl w:val="2AD80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53696E"/>
    <w:multiLevelType w:val="hybridMultilevel"/>
    <w:tmpl w:val="74FEA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B761E1"/>
    <w:multiLevelType w:val="hybridMultilevel"/>
    <w:tmpl w:val="CA361D08"/>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A2B6F"/>
    <w:multiLevelType w:val="hybridMultilevel"/>
    <w:tmpl w:val="EE24656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D196F36"/>
    <w:multiLevelType w:val="hybridMultilevel"/>
    <w:tmpl w:val="72C42B1E"/>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5047D7"/>
    <w:multiLevelType w:val="hybridMultilevel"/>
    <w:tmpl w:val="ADF04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934D5C"/>
    <w:multiLevelType w:val="hybridMultilevel"/>
    <w:tmpl w:val="1786B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406CDF"/>
    <w:multiLevelType w:val="hybridMultilevel"/>
    <w:tmpl w:val="DCD2DF9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660BAA"/>
    <w:multiLevelType w:val="hybridMultilevel"/>
    <w:tmpl w:val="3F8074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FB13E3"/>
    <w:multiLevelType w:val="hybridMultilevel"/>
    <w:tmpl w:val="541AF3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33A30B1"/>
    <w:multiLevelType w:val="hybridMultilevel"/>
    <w:tmpl w:val="8AA0A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AC026E"/>
    <w:multiLevelType w:val="hybridMultilevel"/>
    <w:tmpl w:val="A646776C"/>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55B72180"/>
    <w:multiLevelType w:val="hybridMultilevel"/>
    <w:tmpl w:val="D20A614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66937ED"/>
    <w:multiLevelType w:val="hybridMultilevel"/>
    <w:tmpl w:val="7B6EC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B338D2"/>
    <w:multiLevelType w:val="hybridMultilevel"/>
    <w:tmpl w:val="04D4A594"/>
    <w:lvl w:ilvl="0" w:tplc="0C090003">
      <w:start w:val="1"/>
      <w:numFmt w:val="bullet"/>
      <w:lvlText w:val="o"/>
      <w:lvlJc w:val="left"/>
      <w:pPr>
        <w:ind w:left="114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8" w15:restartNumberingAfterBreak="0">
    <w:nsid w:val="6387082C"/>
    <w:multiLevelType w:val="hybridMultilevel"/>
    <w:tmpl w:val="ED00DE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847087"/>
    <w:multiLevelType w:val="hybridMultilevel"/>
    <w:tmpl w:val="763EB2A0"/>
    <w:lvl w:ilvl="0" w:tplc="0C090003">
      <w:start w:val="1"/>
      <w:numFmt w:val="bullet"/>
      <w:lvlText w:val="o"/>
      <w:lvlJc w:val="left"/>
      <w:pPr>
        <w:ind w:left="114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0" w15:restartNumberingAfterBreak="0">
    <w:nsid w:val="6F346AF5"/>
    <w:multiLevelType w:val="hybridMultilevel"/>
    <w:tmpl w:val="C16CC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775A32"/>
    <w:multiLevelType w:val="hybridMultilevel"/>
    <w:tmpl w:val="14A6837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5545F8E"/>
    <w:multiLevelType w:val="hybridMultilevel"/>
    <w:tmpl w:val="102823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B65637"/>
    <w:multiLevelType w:val="hybridMultilevel"/>
    <w:tmpl w:val="926CE7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604F7E"/>
    <w:multiLevelType w:val="hybridMultilevel"/>
    <w:tmpl w:val="9EE2B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965FBE"/>
    <w:multiLevelType w:val="hybridMultilevel"/>
    <w:tmpl w:val="BA6EC578"/>
    <w:lvl w:ilvl="0" w:tplc="4CBC1C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2372D1"/>
    <w:multiLevelType w:val="hybridMultilevel"/>
    <w:tmpl w:val="7EF63D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4744A3"/>
    <w:multiLevelType w:val="hybridMultilevel"/>
    <w:tmpl w:val="D3D29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7"/>
  </w:num>
  <w:num w:numId="13">
    <w:abstractNumId w:val="15"/>
  </w:num>
  <w:num w:numId="14">
    <w:abstractNumId w:val="32"/>
  </w:num>
  <w:num w:numId="15">
    <w:abstractNumId w:val="35"/>
  </w:num>
  <w:num w:numId="16">
    <w:abstractNumId w:val="18"/>
  </w:num>
  <w:num w:numId="17">
    <w:abstractNumId w:val="21"/>
  </w:num>
  <w:num w:numId="18">
    <w:abstractNumId w:val="14"/>
  </w:num>
  <w:num w:numId="19">
    <w:abstractNumId w:val="36"/>
  </w:num>
  <w:num w:numId="20">
    <w:abstractNumId w:val="25"/>
  </w:num>
  <w:num w:numId="21">
    <w:abstractNumId w:val="17"/>
  </w:num>
  <w:num w:numId="22">
    <w:abstractNumId w:val="34"/>
  </w:num>
  <w:num w:numId="23">
    <w:abstractNumId w:val="12"/>
  </w:num>
  <w:num w:numId="24">
    <w:abstractNumId w:val="27"/>
  </w:num>
  <w:num w:numId="25">
    <w:abstractNumId w:val="19"/>
  </w:num>
  <w:num w:numId="26">
    <w:abstractNumId w:val="26"/>
  </w:num>
  <w:num w:numId="27">
    <w:abstractNumId w:val="16"/>
  </w:num>
  <w:num w:numId="28">
    <w:abstractNumId w:val="20"/>
  </w:num>
  <w:num w:numId="29">
    <w:abstractNumId w:val="11"/>
  </w:num>
  <w:num w:numId="30">
    <w:abstractNumId w:val="13"/>
  </w:num>
  <w:num w:numId="31">
    <w:abstractNumId w:val="29"/>
  </w:num>
  <w:num w:numId="32">
    <w:abstractNumId w:val="33"/>
  </w:num>
  <w:num w:numId="33">
    <w:abstractNumId w:val="22"/>
  </w:num>
  <w:num w:numId="34">
    <w:abstractNumId w:val="30"/>
  </w:num>
  <w:num w:numId="35">
    <w:abstractNumId w:val="31"/>
  </w:num>
  <w:num w:numId="36">
    <w:abstractNumId w:val="24"/>
  </w:num>
  <w:num w:numId="37">
    <w:abstractNumId w:val="2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hideGrammaticalErrors/>
  <w:proofState w:spelling="clean" w:grammar="clean"/>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60"/>
    <w:rsid w:val="00000E4A"/>
    <w:rsid w:val="00005C4C"/>
    <w:rsid w:val="00011E21"/>
    <w:rsid w:val="0002397A"/>
    <w:rsid w:val="0004188B"/>
    <w:rsid w:val="00061F64"/>
    <w:rsid w:val="00065DC6"/>
    <w:rsid w:val="00073D5E"/>
    <w:rsid w:val="0007466D"/>
    <w:rsid w:val="0009133B"/>
    <w:rsid w:val="00092C71"/>
    <w:rsid w:val="000971A8"/>
    <w:rsid w:val="000A6DAD"/>
    <w:rsid w:val="000D1E03"/>
    <w:rsid w:val="000D2B10"/>
    <w:rsid w:val="000E560E"/>
    <w:rsid w:val="000E7E5B"/>
    <w:rsid w:val="000F4141"/>
    <w:rsid w:val="000F6FC5"/>
    <w:rsid w:val="00112C81"/>
    <w:rsid w:val="0011448B"/>
    <w:rsid w:val="001205BB"/>
    <w:rsid w:val="00134C35"/>
    <w:rsid w:val="00140080"/>
    <w:rsid w:val="00141625"/>
    <w:rsid w:val="0014735A"/>
    <w:rsid w:val="001544E5"/>
    <w:rsid w:val="00161F57"/>
    <w:rsid w:val="00163B54"/>
    <w:rsid w:val="001663B6"/>
    <w:rsid w:val="001719BE"/>
    <w:rsid w:val="00171FD3"/>
    <w:rsid w:val="00181BE1"/>
    <w:rsid w:val="00185ABF"/>
    <w:rsid w:val="00185AE8"/>
    <w:rsid w:val="001904C6"/>
    <w:rsid w:val="00194DC6"/>
    <w:rsid w:val="001A25AE"/>
    <w:rsid w:val="001A2DC6"/>
    <w:rsid w:val="001B14E4"/>
    <w:rsid w:val="001B1CFF"/>
    <w:rsid w:val="001D22D6"/>
    <w:rsid w:val="001E2C34"/>
    <w:rsid w:val="001E42C6"/>
    <w:rsid w:val="001F4E1C"/>
    <w:rsid w:val="0022001F"/>
    <w:rsid w:val="00221E4E"/>
    <w:rsid w:val="002300AC"/>
    <w:rsid w:val="002337AB"/>
    <w:rsid w:val="0024251D"/>
    <w:rsid w:val="00243A27"/>
    <w:rsid w:val="00244596"/>
    <w:rsid w:val="0025468B"/>
    <w:rsid w:val="00256A9F"/>
    <w:rsid w:val="002607A0"/>
    <w:rsid w:val="00263E00"/>
    <w:rsid w:val="00264A9A"/>
    <w:rsid w:val="002656AB"/>
    <w:rsid w:val="0027177C"/>
    <w:rsid w:val="00274EF0"/>
    <w:rsid w:val="00282967"/>
    <w:rsid w:val="002A59A9"/>
    <w:rsid w:val="002A72D3"/>
    <w:rsid w:val="002B57BF"/>
    <w:rsid w:val="002C029F"/>
    <w:rsid w:val="002C0E13"/>
    <w:rsid w:val="002D3954"/>
    <w:rsid w:val="002E14EA"/>
    <w:rsid w:val="002E201E"/>
    <w:rsid w:val="002E3CF0"/>
    <w:rsid w:val="002F03EB"/>
    <w:rsid w:val="002F299F"/>
    <w:rsid w:val="002F65AF"/>
    <w:rsid w:val="00304F04"/>
    <w:rsid w:val="00306686"/>
    <w:rsid w:val="00310800"/>
    <w:rsid w:val="00313F23"/>
    <w:rsid w:val="0031711C"/>
    <w:rsid w:val="00325247"/>
    <w:rsid w:val="00363613"/>
    <w:rsid w:val="00364C89"/>
    <w:rsid w:val="00365E6D"/>
    <w:rsid w:val="0037190D"/>
    <w:rsid w:val="0038442D"/>
    <w:rsid w:val="00385509"/>
    <w:rsid w:val="00390004"/>
    <w:rsid w:val="00392991"/>
    <w:rsid w:val="003953E5"/>
    <w:rsid w:val="003A78A6"/>
    <w:rsid w:val="003B0A44"/>
    <w:rsid w:val="003C38B0"/>
    <w:rsid w:val="003C6658"/>
    <w:rsid w:val="003D2F1F"/>
    <w:rsid w:val="003D35F5"/>
    <w:rsid w:val="003D5B5E"/>
    <w:rsid w:val="003D6861"/>
    <w:rsid w:val="003F5D8F"/>
    <w:rsid w:val="00402E42"/>
    <w:rsid w:val="00407ECA"/>
    <w:rsid w:val="004111E9"/>
    <w:rsid w:val="004218E1"/>
    <w:rsid w:val="004358C5"/>
    <w:rsid w:val="00436B60"/>
    <w:rsid w:val="00441B73"/>
    <w:rsid w:val="00444676"/>
    <w:rsid w:val="00452BA6"/>
    <w:rsid w:val="0045641F"/>
    <w:rsid w:val="00463211"/>
    <w:rsid w:val="004672EF"/>
    <w:rsid w:val="00476817"/>
    <w:rsid w:val="00483A9D"/>
    <w:rsid w:val="00486ECA"/>
    <w:rsid w:val="00497CD7"/>
    <w:rsid w:val="004A0FFA"/>
    <w:rsid w:val="004A1F2A"/>
    <w:rsid w:val="004A3232"/>
    <w:rsid w:val="004B2347"/>
    <w:rsid w:val="004C4E2F"/>
    <w:rsid w:val="004C693D"/>
    <w:rsid w:val="004D3D80"/>
    <w:rsid w:val="004D405C"/>
    <w:rsid w:val="004D475C"/>
    <w:rsid w:val="004D6072"/>
    <w:rsid w:val="004E5DDC"/>
    <w:rsid w:val="004F1DB9"/>
    <w:rsid w:val="00505618"/>
    <w:rsid w:val="005140FB"/>
    <w:rsid w:val="00515B5E"/>
    <w:rsid w:val="00520980"/>
    <w:rsid w:val="00527C38"/>
    <w:rsid w:val="005432E0"/>
    <w:rsid w:val="00551499"/>
    <w:rsid w:val="005517FE"/>
    <w:rsid w:val="00555FC8"/>
    <w:rsid w:val="00556C28"/>
    <w:rsid w:val="00560DFC"/>
    <w:rsid w:val="005642F2"/>
    <w:rsid w:val="005658F1"/>
    <w:rsid w:val="00573524"/>
    <w:rsid w:val="00574972"/>
    <w:rsid w:val="00582785"/>
    <w:rsid w:val="00585806"/>
    <w:rsid w:val="005900A3"/>
    <w:rsid w:val="00593C9D"/>
    <w:rsid w:val="00597603"/>
    <w:rsid w:val="005A1ADF"/>
    <w:rsid w:val="005B2B30"/>
    <w:rsid w:val="005B377A"/>
    <w:rsid w:val="005B6110"/>
    <w:rsid w:val="005D0228"/>
    <w:rsid w:val="005D1CA2"/>
    <w:rsid w:val="005F1934"/>
    <w:rsid w:val="00600350"/>
    <w:rsid w:val="006025AF"/>
    <w:rsid w:val="00602C92"/>
    <w:rsid w:val="00605DEC"/>
    <w:rsid w:val="006101D6"/>
    <w:rsid w:val="006166DD"/>
    <w:rsid w:val="006243B7"/>
    <w:rsid w:val="00632095"/>
    <w:rsid w:val="00632419"/>
    <w:rsid w:val="00652CC8"/>
    <w:rsid w:val="006571EB"/>
    <w:rsid w:val="0067103F"/>
    <w:rsid w:val="00673E1B"/>
    <w:rsid w:val="006756FB"/>
    <w:rsid w:val="0068654B"/>
    <w:rsid w:val="00687691"/>
    <w:rsid w:val="006A269E"/>
    <w:rsid w:val="006B3840"/>
    <w:rsid w:val="006C2852"/>
    <w:rsid w:val="006D6200"/>
    <w:rsid w:val="006E6EEC"/>
    <w:rsid w:val="006F0935"/>
    <w:rsid w:val="006F2F45"/>
    <w:rsid w:val="006F6CCD"/>
    <w:rsid w:val="006F7CEC"/>
    <w:rsid w:val="00707794"/>
    <w:rsid w:val="00722EA0"/>
    <w:rsid w:val="00723B30"/>
    <w:rsid w:val="00733E2D"/>
    <w:rsid w:val="007359BD"/>
    <w:rsid w:val="00736CF7"/>
    <w:rsid w:val="00750F8C"/>
    <w:rsid w:val="00751853"/>
    <w:rsid w:val="00754739"/>
    <w:rsid w:val="00755598"/>
    <w:rsid w:val="00767FEF"/>
    <w:rsid w:val="007A4D83"/>
    <w:rsid w:val="007C4946"/>
    <w:rsid w:val="007C77F1"/>
    <w:rsid w:val="007F182C"/>
    <w:rsid w:val="00801A12"/>
    <w:rsid w:val="00803E52"/>
    <w:rsid w:val="0081380A"/>
    <w:rsid w:val="008152F3"/>
    <w:rsid w:val="00822068"/>
    <w:rsid w:val="008263B9"/>
    <w:rsid w:val="008329F5"/>
    <w:rsid w:val="00842B64"/>
    <w:rsid w:val="00850038"/>
    <w:rsid w:val="008555D5"/>
    <w:rsid w:val="00855C7D"/>
    <w:rsid w:val="0086768A"/>
    <w:rsid w:val="00870FEC"/>
    <w:rsid w:val="00873D0D"/>
    <w:rsid w:val="00874BC1"/>
    <w:rsid w:val="00874E84"/>
    <w:rsid w:val="00874F71"/>
    <w:rsid w:val="00876708"/>
    <w:rsid w:val="0088639D"/>
    <w:rsid w:val="00890B5D"/>
    <w:rsid w:val="00892BF9"/>
    <w:rsid w:val="0089625C"/>
    <w:rsid w:val="008A53F4"/>
    <w:rsid w:val="008B4499"/>
    <w:rsid w:val="008C1786"/>
    <w:rsid w:val="008C2AB3"/>
    <w:rsid w:val="008C2BED"/>
    <w:rsid w:val="008C4A8E"/>
    <w:rsid w:val="008C74EB"/>
    <w:rsid w:val="008D1935"/>
    <w:rsid w:val="008D5CF1"/>
    <w:rsid w:val="008E2439"/>
    <w:rsid w:val="00905534"/>
    <w:rsid w:val="009310FE"/>
    <w:rsid w:val="00935526"/>
    <w:rsid w:val="00956813"/>
    <w:rsid w:val="00962AEE"/>
    <w:rsid w:val="0097400C"/>
    <w:rsid w:val="00975726"/>
    <w:rsid w:val="00977EDB"/>
    <w:rsid w:val="00991FDD"/>
    <w:rsid w:val="009A0EF0"/>
    <w:rsid w:val="009A32B4"/>
    <w:rsid w:val="009A5961"/>
    <w:rsid w:val="009B35E0"/>
    <w:rsid w:val="009B66E3"/>
    <w:rsid w:val="009C0138"/>
    <w:rsid w:val="009D37DF"/>
    <w:rsid w:val="009D6602"/>
    <w:rsid w:val="009D7BB6"/>
    <w:rsid w:val="009E4DD5"/>
    <w:rsid w:val="009E51FE"/>
    <w:rsid w:val="009F1E99"/>
    <w:rsid w:val="009F27DC"/>
    <w:rsid w:val="009F4B37"/>
    <w:rsid w:val="009F7FA7"/>
    <w:rsid w:val="00A04850"/>
    <w:rsid w:val="00A32DC3"/>
    <w:rsid w:val="00A445B6"/>
    <w:rsid w:val="00A51E16"/>
    <w:rsid w:val="00A53D1B"/>
    <w:rsid w:val="00A723DE"/>
    <w:rsid w:val="00A72EF9"/>
    <w:rsid w:val="00A74815"/>
    <w:rsid w:val="00A76365"/>
    <w:rsid w:val="00A85BA1"/>
    <w:rsid w:val="00A9077B"/>
    <w:rsid w:val="00AA5A42"/>
    <w:rsid w:val="00AA76EC"/>
    <w:rsid w:val="00AB0853"/>
    <w:rsid w:val="00AB5680"/>
    <w:rsid w:val="00AD5CC0"/>
    <w:rsid w:val="00AE4A66"/>
    <w:rsid w:val="00B0261F"/>
    <w:rsid w:val="00B42D5D"/>
    <w:rsid w:val="00B526AB"/>
    <w:rsid w:val="00B52C1A"/>
    <w:rsid w:val="00B665E0"/>
    <w:rsid w:val="00B75A79"/>
    <w:rsid w:val="00B83001"/>
    <w:rsid w:val="00B83DF0"/>
    <w:rsid w:val="00B90C48"/>
    <w:rsid w:val="00B979BC"/>
    <w:rsid w:val="00BA51ED"/>
    <w:rsid w:val="00BB52CA"/>
    <w:rsid w:val="00BC287C"/>
    <w:rsid w:val="00BC28E5"/>
    <w:rsid w:val="00BC36A9"/>
    <w:rsid w:val="00BD28AE"/>
    <w:rsid w:val="00BD45BE"/>
    <w:rsid w:val="00BD522F"/>
    <w:rsid w:val="00BF6B71"/>
    <w:rsid w:val="00C05D1D"/>
    <w:rsid w:val="00C14D36"/>
    <w:rsid w:val="00C152B0"/>
    <w:rsid w:val="00C16058"/>
    <w:rsid w:val="00C21AA9"/>
    <w:rsid w:val="00C26C11"/>
    <w:rsid w:val="00C43047"/>
    <w:rsid w:val="00C45C90"/>
    <w:rsid w:val="00C479EC"/>
    <w:rsid w:val="00C5417E"/>
    <w:rsid w:val="00C56BA5"/>
    <w:rsid w:val="00C62BAC"/>
    <w:rsid w:val="00C6439C"/>
    <w:rsid w:val="00C740B5"/>
    <w:rsid w:val="00C75DEE"/>
    <w:rsid w:val="00C87BDD"/>
    <w:rsid w:val="00C92B4C"/>
    <w:rsid w:val="00C94371"/>
    <w:rsid w:val="00CA0B8C"/>
    <w:rsid w:val="00CA2D39"/>
    <w:rsid w:val="00CA558B"/>
    <w:rsid w:val="00CA746D"/>
    <w:rsid w:val="00CB0AEB"/>
    <w:rsid w:val="00CB2680"/>
    <w:rsid w:val="00CB58A4"/>
    <w:rsid w:val="00CC10F8"/>
    <w:rsid w:val="00CC2DCE"/>
    <w:rsid w:val="00CC7875"/>
    <w:rsid w:val="00CD400E"/>
    <w:rsid w:val="00CD7808"/>
    <w:rsid w:val="00CE744B"/>
    <w:rsid w:val="00CF2827"/>
    <w:rsid w:val="00D01068"/>
    <w:rsid w:val="00D0523A"/>
    <w:rsid w:val="00D13E7A"/>
    <w:rsid w:val="00D32CB4"/>
    <w:rsid w:val="00D55C42"/>
    <w:rsid w:val="00D57C05"/>
    <w:rsid w:val="00D73C86"/>
    <w:rsid w:val="00D73D8C"/>
    <w:rsid w:val="00D801A4"/>
    <w:rsid w:val="00D85193"/>
    <w:rsid w:val="00D87BC8"/>
    <w:rsid w:val="00D9595A"/>
    <w:rsid w:val="00DA6B39"/>
    <w:rsid w:val="00DA7392"/>
    <w:rsid w:val="00DC222B"/>
    <w:rsid w:val="00DC7D7A"/>
    <w:rsid w:val="00DD26F0"/>
    <w:rsid w:val="00DD3BCB"/>
    <w:rsid w:val="00DD5A5F"/>
    <w:rsid w:val="00DD651F"/>
    <w:rsid w:val="00E00267"/>
    <w:rsid w:val="00E02ABE"/>
    <w:rsid w:val="00E0448C"/>
    <w:rsid w:val="00E119CC"/>
    <w:rsid w:val="00E3276D"/>
    <w:rsid w:val="00E532F6"/>
    <w:rsid w:val="00E560E8"/>
    <w:rsid w:val="00E56663"/>
    <w:rsid w:val="00E61841"/>
    <w:rsid w:val="00E61DEC"/>
    <w:rsid w:val="00E62897"/>
    <w:rsid w:val="00E63999"/>
    <w:rsid w:val="00E72774"/>
    <w:rsid w:val="00E80E1E"/>
    <w:rsid w:val="00E93043"/>
    <w:rsid w:val="00EA15BD"/>
    <w:rsid w:val="00EB4327"/>
    <w:rsid w:val="00EB4A4B"/>
    <w:rsid w:val="00EB4DA7"/>
    <w:rsid w:val="00EC19DE"/>
    <w:rsid w:val="00EC4AE6"/>
    <w:rsid w:val="00ED17D8"/>
    <w:rsid w:val="00ED56DB"/>
    <w:rsid w:val="00EE6F13"/>
    <w:rsid w:val="00EF6BC7"/>
    <w:rsid w:val="00F00967"/>
    <w:rsid w:val="00F01651"/>
    <w:rsid w:val="00F11C75"/>
    <w:rsid w:val="00F158CD"/>
    <w:rsid w:val="00F22F62"/>
    <w:rsid w:val="00F25F29"/>
    <w:rsid w:val="00F32F72"/>
    <w:rsid w:val="00F371EA"/>
    <w:rsid w:val="00F66781"/>
    <w:rsid w:val="00F7619F"/>
    <w:rsid w:val="00F94218"/>
    <w:rsid w:val="00FA6FA9"/>
    <w:rsid w:val="00FB05FE"/>
    <w:rsid w:val="00FC1079"/>
    <w:rsid w:val="00FC3617"/>
    <w:rsid w:val="00FC57E1"/>
    <w:rsid w:val="00FC70DE"/>
    <w:rsid w:val="00FC7D9C"/>
    <w:rsid w:val="00FD5D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3ADE3B04"/>
  <w15:docId w15:val="{1D937E3F-C409-429D-BC6C-4D530100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B"/>
    <w:pPr>
      <w:spacing w:after="120"/>
    </w:pPr>
    <w:rPr>
      <w:sz w:val="20"/>
    </w:rPr>
  </w:style>
  <w:style w:type="paragraph" w:styleId="Heading1">
    <w:name w:val="heading 1"/>
    <w:basedOn w:val="Normal"/>
    <w:next w:val="Normal"/>
    <w:link w:val="Heading1Char"/>
    <w:uiPriority w:val="9"/>
    <w:qFormat/>
    <w:rsid w:val="00975726"/>
    <w:pPr>
      <w:keepNext/>
      <w:keepLines/>
      <w:spacing w:before="480" w:after="0"/>
      <w:outlineLvl w:val="0"/>
    </w:pPr>
    <w:rPr>
      <w:rFonts w:asciiTheme="majorHAnsi" w:eastAsiaTheme="majorEastAsia" w:hAnsiTheme="majorHAnsi" w:cstheme="majorBidi"/>
      <w:b/>
      <w:bCs/>
      <w:color w:val="7C1222" w:themeColor="accent1" w:themeShade="BF"/>
      <w:sz w:val="28"/>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A6192E" w:themeColor="accent1"/>
      <w:sz w:val="26"/>
      <w:szCs w:val="26"/>
    </w:rPr>
  </w:style>
  <w:style w:type="paragraph" w:styleId="Heading3">
    <w:name w:val="heading 3"/>
    <w:basedOn w:val="Normal"/>
    <w:next w:val="Normal"/>
    <w:link w:val="Heading3Char"/>
    <w:uiPriority w:val="9"/>
    <w:unhideWhenUsed/>
    <w:qFormat/>
    <w:rsid w:val="00822068"/>
    <w:pPr>
      <w:keepNext/>
      <w:keepLines/>
      <w:spacing w:before="200" w:after="0"/>
      <w:outlineLvl w:val="2"/>
    </w:pPr>
    <w:rPr>
      <w:rFonts w:asciiTheme="majorHAnsi" w:eastAsiaTheme="majorEastAsia" w:hAnsiTheme="majorHAnsi" w:cstheme="majorBidi"/>
      <w:b/>
      <w:bCs/>
      <w:color w:val="A6192E" w:themeColor="accent1"/>
    </w:rPr>
  </w:style>
  <w:style w:type="paragraph" w:styleId="Heading4">
    <w:name w:val="heading 4"/>
    <w:basedOn w:val="Normal"/>
    <w:next w:val="Normal"/>
    <w:link w:val="Heading4Char"/>
    <w:uiPriority w:val="9"/>
    <w:unhideWhenUsed/>
    <w:qFormat/>
    <w:rsid w:val="00822068"/>
    <w:pPr>
      <w:keepNext/>
      <w:keepLines/>
      <w:spacing w:before="200" w:after="0"/>
      <w:outlineLvl w:val="3"/>
    </w:pPr>
    <w:rPr>
      <w:rFonts w:asciiTheme="majorHAnsi" w:eastAsiaTheme="majorEastAsia" w:hAnsiTheme="majorHAnsi" w:cstheme="majorBidi"/>
      <w:b/>
      <w:bCs/>
      <w:i/>
      <w:iCs/>
      <w:color w:val="A6192E" w:themeColor="accent1"/>
    </w:rPr>
  </w:style>
  <w:style w:type="paragraph" w:styleId="Heading5">
    <w:name w:val="heading 5"/>
    <w:basedOn w:val="Normal"/>
    <w:next w:val="Normal"/>
    <w:link w:val="Heading5Char"/>
    <w:uiPriority w:val="9"/>
    <w:unhideWhenUsed/>
    <w:qFormat/>
    <w:rsid w:val="00822068"/>
    <w:pPr>
      <w:keepNext/>
      <w:keepLines/>
      <w:spacing w:before="200" w:after="0"/>
      <w:outlineLvl w:val="4"/>
    </w:pPr>
    <w:rPr>
      <w:rFonts w:asciiTheme="majorHAnsi" w:eastAsiaTheme="majorEastAsia" w:hAnsiTheme="majorHAnsi" w:cstheme="majorBidi"/>
      <w:color w:val="520C1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7C1222"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A6192E" w:themeColor="accent1"/>
      <w:sz w:val="26"/>
      <w:szCs w:val="26"/>
    </w:rPr>
  </w:style>
  <w:style w:type="paragraph" w:styleId="Title">
    <w:name w:val="Title"/>
    <w:basedOn w:val="Normal"/>
    <w:next w:val="Normal"/>
    <w:link w:val="TitleChar"/>
    <w:uiPriority w:val="10"/>
    <w:qFormat/>
    <w:rsid w:val="00EF6BC7"/>
    <w:pPr>
      <w:spacing w:before="88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uiPriority w:val="10"/>
    <w:rsid w:val="00EF6BC7"/>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822068"/>
    <w:rPr>
      <w:rFonts w:asciiTheme="majorHAnsi" w:eastAsiaTheme="majorEastAsia" w:hAnsiTheme="majorHAnsi" w:cstheme="majorBidi"/>
      <w:b/>
      <w:bCs/>
      <w:color w:val="A6192E" w:themeColor="accent1"/>
      <w:sz w:val="20"/>
    </w:rPr>
  </w:style>
  <w:style w:type="character" w:customStyle="1" w:styleId="Heading4Char">
    <w:name w:val="Heading 4 Char"/>
    <w:basedOn w:val="DefaultParagraphFont"/>
    <w:link w:val="Heading4"/>
    <w:uiPriority w:val="9"/>
    <w:rsid w:val="00822068"/>
    <w:rPr>
      <w:rFonts w:asciiTheme="majorHAnsi" w:eastAsiaTheme="majorEastAsia" w:hAnsiTheme="majorHAnsi" w:cstheme="majorBidi"/>
      <w:b/>
      <w:bCs/>
      <w:i/>
      <w:iCs/>
      <w:color w:val="A6192E" w:themeColor="accent1"/>
      <w:sz w:val="20"/>
    </w:rPr>
  </w:style>
  <w:style w:type="character" w:customStyle="1" w:styleId="Heading5Char">
    <w:name w:val="Heading 5 Char"/>
    <w:basedOn w:val="DefaultParagraphFont"/>
    <w:link w:val="Heading5"/>
    <w:uiPriority w:val="9"/>
    <w:rsid w:val="00822068"/>
    <w:rPr>
      <w:rFonts w:asciiTheme="majorHAnsi" w:eastAsiaTheme="majorEastAsia" w:hAnsiTheme="majorHAnsi" w:cstheme="majorBidi"/>
      <w:color w:val="520C16" w:themeColor="accent1" w:themeShade="7F"/>
      <w:sz w:val="20"/>
    </w:rPr>
  </w:style>
  <w:style w:type="table" w:styleId="TableGrid">
    <w:name w:val="Table Grid"/>
    <w:basedOn w:val="TableNormal"/>
    <w:uiPriority w:val="59"/>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tblBorders>
    </w:tblPr>
    <w:tblStylePr w:type="firstRow">
      <w:pPr>
        <w:spacing w:before="0" w:after="0" w:line="240" w:lineRule="auto"/>
      </w:pPr>
      <w:rPr>
        <w:b/>
        <w:bCs/>
        <w:color w:val="FFFFFF" w:themeColor="background1"/>
      </w:rPr>
      <w:tblPr/>
      <w:tcPr>
        <w:shd w:val="clear" w:color="auto" w:fill="A6192E" w:themeFill="accent1"/>
      </w:tcPr>
    </w:tblStylePr>
    <w:tblStylePr w:type="lastRow">
      <w:pPr>
        <w:spacing w:before="0" w:after="0" w:line="240" w:lineRule="auto"/>
      </w:pPr>
      <w:rPr>
        <w:b/>
        <w:bCs/>
      </w:rPr>
      <w:tblPr/>
      <w:tcPr>
        <w:tcBorders>
          <w:top w:val="double" w:sz="6" w:space="0" w:color="A6192E" w:themeColor="accent1"/>
          <w:left w:val="single" w:sz="8" w:space="0" w:color="A6192E" w:themeColor="accent1"/>
          <w:bottom w:val="single" w:sz="8" w:space="0" w:color="A6192E" w:themeColor="accent1"/>
          <w:right w:val="single" w:sz="8" w:space="0" w:color="A6192E" w:themeColor="accent1"/>
        </w:tcBorders>
      </w:tcPr>
    </w:tblStylePr>
    <w:tblStylePr w:type="firstCol">
      <w:rPr>
        <w:b/>
        <w:bCs/>
      </w:rPr>
    </w:tblStylePr>
    <w:tblStylePr w:type="lastCol">
      <w:rPr>
        <w:b/>
        <w:bCs/>
      </w:rPr>
    </w:tblStylePr>
    <w:tblStylePr w:type="band1Vert">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tblStylePr w:type="band1Horz">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572D2D" w:themeColor="accent2"/>
        <w:left w:val="single" w:sz="8" w:space="0" w:color="572D2D" w:themeColor="accent2"/>
        <w:bottom w:val="single" w:sz="8" w:space="0" w:color="572D2D" w:themeColor="accent2"/>
        <w:right w:val="single" w:sz="8" w:space="0" w:color="572D2D" w:themeColor="accent2"/>
      </w:tblBorders>
    </w:tblPr>
    <w:tblStylePr w:type="firstRow">
      <w:pPr>
        <w:spacing w:before="0" w:after="0" w:line="240" w:lineRule="auto"/>
      </w:pPr>
      <w:rPr>
        <w:b/>
        <w:bCs/>
        <w:color w:val="FFFFFF" w:themeColor="background1"/>
      </w:rPr>
      <w:tblPr/>
      <w:tcPr>
        <w:shd w:val="clear" w:color="auto" w:fill="572D2D" w:themeFill="accent2"/>
      </w:tcPr>
    </w:tblStylePr>
    <w:tblStylePr w:type="lastRow">
      <w:pPr>
        <w:spacing w:before="0" w:after="0" w:line="240" w:lineRule="auto"/>
      </w:pPr>
      <w:rPr>
        <w:b/>
        <w:bCs/>
      </w:rPr>
      <w:tblPr/>
      <w:tcPr>
        <w:tcBorders>
          <w:top w:val="double" w:sz="6" w:space="0" w:color="572D2D" w:themeColor="accent2"/>
          <w:left w:val="single" w:sz="8" w:space="0" w:color="572D2D" w:themeColor="accent2"/>
          <w:bottom w:val="single" w:sz="8" w:space="0" w:color="572D2D" w:themeColor="accent2"/>
          <w:right w:val="single" w:sz="8" w:space="0" w:color="572D2D" w:themeColor="accent2"/>
        </w:tcBorders>
      </w:tcPr>
    </w:tblStylePr>
    <w:tblStylePr w:type="firstCol">
      <w:rPr>
        <w:b/>
        <w:bCs/>
      </w:rPr>
    </w:tblStylePr>
    <w:tblStylePr w:type="lastCol">
      <w:rPr>
        <w:b/>
        <w:bCs/>
      </w:rPr>
    </w:tblStylePr>
    <w:tblStylePr w:type="band1Vert">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tblStylePr w:type="band1Horz">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71CC98" w:themeColor="accent3"/>
        <w:left w:val="single" w:sz="8" w:space="0" w:color="71CC98" w:themeColor="accent3"/>
        <w:bottom w:val="single" w:sz="8" w:space="0" w:color="71CC98" w:themeColor="accent3"/>
        <w:right w:val="single" w:sz="8" w:space="0" w:color="71CC98" w:themeColor="accent3"/>
      </w:tblBorders>
    </w:tblPr>
    <w:tblStylePr w:type="firstRow">
      <w:pPr>
        <w:spacing w:before="0" w:after="0" w:line="240" w:lineRule="auto"/>
      </w:pPr>
      <w:rPr>
        <w:b/>
        <w:bCs/>
        <w:color w:val="FFFFFF" w:themeColor="background1"/>
      </w:rPr>
      <w:tblPr/>
      <w:tcPr>
        <w:shd w:val="clear" w:color="auto" w:fill="71CC98" w:themeFill="accent3"/>
      </w:tcPr>
    </w:tblStylePr>
    <w:tblStylePr w:type="lastRow">
      <w:pPr>
        <w:spacing w:before="0" w:after="0" w:line="240" w:lineRule="auto"/>
      </w:pPr>
      <w:rPr>
        <w:b/>
        <w:bCs/>
      </w:rPr>
      <w:tblPr/>
      <w:tcPr>
        <w:tcBorders>
          <w:top w:val="double" w:sz="6" w:space="0" w:color="71CC98" w:themeColor="accent3"/>
          <w:left w:val="single" w:sz="8" w:space="0" w:color="71CC98" w:themeColor="accent3"/>
          <w:bottom w:val="single" w:sz="8" w:space="0" w:color="71CC98" w:themeColor="accent3"/>
          <w:right w:val="single" w:sz="8" w:space="0" w:color="71CC98" w:themeColor="accent3"/>
        </w:tcBorders>
      </w:tcPr>
    </w:tblStylePr>
    <w:tblStylePr w:type="firstCol">
      <w:rPr>
        <w:b/>
        <w:bCs/>
      </w:rPr>
    </w:tblStylePr>
    <w:tblStylePr w:type="lastCol">
      <w:rPr>
        <w:b/>
        <w:bCs/>
      </w:rPr>
    </w:tblStylePr>
    <w:tblStylePr w:type="band1Vert">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tblStylePr w:type="band1Horz">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B7B09C" w:themeColor="accent4"/>
        <w:left w:val="single" w:sz="8" w:space="0" w:color="B7B09C" w:themeColor="accent4"/>
        <w:bottom w:val="single" w:sz="8" w:space="0" w:color="B7B09C" w:themeColor="accent4"/>
        <w:right w:val="single" w:sz="8" w:space="0" w:color="B7B09C" w:themeColor="accent4"/>
      </w:tblBorders>
    </w:tblPr>
    <w:tblStylePr w:type="firstRow">
      <w:pPr>
        <w:spacing w:before="0" w:after="0" w:line="240" w:lineRule="auto"/>
      </w:pPr>
      <w:rPr>
        <w:b/>
        <w:bCs/>
        <w:color w:val="FFFFFF" w:themeColor="background1"/>
      </w:rPr>
      <w:tblPr/>
      <w:tcPr>
        <w:shd w:val="clear" w:color="auto" w:fill="B7B09C" w:themeFill="accent4"/>
      </w:tcPr>
    </w:tblStylePr>
    <w:tblStylePr w:type="lastRow">
      <w:pPr>
        <w:spacing w:before="0" w:after="0" w:line="240" w:lineRule="auto"/>
      </w:pPr>
      <w:rPr>
        <w:b/>
        <w:bCs/>
      </w:rPr>
      <w:tblPr/>
      <w:tcPr>
        <w:tcBorders>
          <w:top w:val="double" w:sz="6" w:space="0" w:color="B7B09C" w:themeColor="accent4"/>
          <w:left w:val="single" w:sz="8" w:space="0" w:color="B7B09C" w:themeColor="accent4"/>
          <w:bottom w:val="single" w:sz="8" w:space="0" w:color="B7B09C" w:themeColor="accent4"/>
          <w:right w:val="single" w:sz="8" w:space="0" w:color="B7B09C" w:themeColor="accent4"/>
        </w:tcBorders>
      </w:tcPr>
    </w:tblStylePr>
    <w:tblStylePr w:type="firstCol">
      <w:rPr>
        <w:b/>
        <w:bCs/>
      </w:rPr>
    </w:tblStylePr>
    <w:tblStylePr w:type="lastCol">
      <w:rPr>
        <w:b/>
        <w:bCs/>
      </w:rPr>
    </w:tblStylePr>
    <w:tblStylePr w:type="band1Vert">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tblStylePr w:type="band1Horz">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A6192E" w:themeColor="accent1"/>
        <w:insideH w:val="single" w:sz="2" w:space="0" w:color="A6192E"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A6192E"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71CC98" w:themeColor="accent3"/>
        <w:bottom w:val="single" w:sz="4" w:space="1" w:color="71CC98" w:themeColor="accent3"/>
      </w:pBdr>
      <w:spacing w:before="240" w:after="240"/>
    </w:pPr>
    <w:rPr>
      <w:i/>
      <w:iCs/>
      <w:color w:val="A6192E" w:themeColor="accent1"/>
      <w:sz w:val="24"/>
    </w:rPr>
  </w:style>
  <w:style w:type="character" w:customStyle="1" w:styleId="QuoteChar">
    <w:name w:val="Quote Char"/>
    <w:basedOn w:val="DefaultParagraphFont"/>
    <w:link w:val="Quote"/>
    <w:uiPriority w:val="29"/>
    <w:rsid w:val="009D7BB6"/>
    <w:rPr>
      <w:i/>
      <w:iCs/>
      <w:color w:val="A6192E"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A6192E" w:themeColor="accent1"/>
    </w:rPr>
  </w:style>
  <w:style w:type="paragraph" w:styleId="Caption">
    <w:name w:val="caption"/>
    <w:basedOn w:val="Normal"/>
    <w:next w:val="Normal"/>
    <w:uiPriority w:val="35"/>
    <w:unhideWhenUsed/>
    <w:qFormat/>
    <w:rsid w:val="00B526AB"/>
    <w:pPr>
      <w:spacing w:after="360" w:line="240" w:lineRule="auto"/>
    </w:pPr>
    <w:rPr>
      <w:bCs/>
      <w:color w:val="A6192E" w:themeColor="accent1"/>
      <w:sz w:val="18"/>
      <w:szCs w:val="18"/>
    </w:rPr>
  </w:style>
  <w:style w:type="character" w:customStyle="1" w:styleId="Tabletitle">
    <w:name w:val="Table title"/>
    <w:basedOn w:val="DefaultParagraphFont"/>
    <w:uiPriority w:val="1"/>
    <w:qFormat/>
    <w:rsid w:val="00D87BC8"/>
    <w:rPr>
      <w:b/>
      <w:color w:val="A6192E" w:themeColor="accent1"/>
    </w:rPr>
  </w:style>
  <w:style w:type="character" w:customStyle="1" w:styleId="Figuretitle">
    <w:name w:val="Figure title"/>
    <w:basedOn w:val="Tabletitle"/>
    <w:uiPriority w:val="1"/>
    <w:qFormat/>
    <w:rsid w:val="00D87BC8"/>
    <w:rPr>
      <w:b/>
      <w:color w:val="A6192E"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fn,5_G,Table/Chart Ref"/>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fn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572D2D" w:themeColor="accent2"/>
        <w:left w:val="single" w:sz="4" w:space="4" w:color="572D2D" w:themeColor="accent2"/>
        <w:bottom w:val="single" w:sz="4" w:space="4" w:color="572D2D" w:themeColor="accent2"/>
        <w:right w:val="single" w:sz="4" w:space="4" w:color="572D2D" w:themeColor="accent2"/>
      </w:pBdr>
      <w:shd w:val="clear" w:color="auto" w:fill="F1E5E5" w:themeFill="accent2" w:themeFillTint="1A"/>
      <w:ind w:left="113" w:right="113"/>
    </w:pPr>
  </w:style>
  <w:style w:type="paragraph" w:customStyle="1" w:styleId="Casestudytitle">
    <w:name w:val="Case study title"/>
    <w:basedOn w:val="Casestudy"/>
    <w:qFormat/>
    <w:rsid w:val="002D3954"/>
    <w:pPr>
      <w:spacing w:before="360"/>
    </w:pPr>
    <w:rPr>
      <w:color w:val="572D2D" w:themeColor="accent2"/>
      <w:sz w:val="28"/>
    </w:rPr>
  </w:style>
  <w:style w:type="paragraph" w:customStyle="1" w:styleId="Casestudysource">
    <w:name w:val="Case study source"/>
    <w:basedOn w:val="Casestudy"/>
    <w:qFormat/>
    <w:rsid w:val="00F25F29"/>
    <w:pPr>
      <w:spacing w:before="240" w:after="480"/>
    </w:pPr>
    <w:rPr>
      <w:color w:val="572D2D"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paragraph" w:styleId="ListParagraph">
    <w:name w:val="List Paragraph"/>
    <w:aliases w:val="List Paragraph1,List Paragraph11,List Paragraph2,Recommendation,Bullet 1,CV text,Dot pt,F5 List Paragraph,Indicator Text,L,List Paragraph Char Char Char,List Paragraph111,MAIN CONTENT,Normal numbered,Numbered Para 1,bullet point list,列出段"/>
    <w:basedOn w:val="Normal"/>
    <w:link w:val="ListParagraphChar"/>
    <w:uiPriority w:val="34"/>
    <w:qFormat/>
    <w:rsid w:val="005B377A"/>
    <w:pPr>
      <w:spacing w:after="160" w:line="259" w:lineRule="auto"/>
      <w:ind w:left="720"/>
      <w:contextualSpacing/>
    </w:pPr>
    <w:rPr>
      <w:sz w:val="22"/>
    </w:rPr>
  </w:style>
  <w:style w:type="table" w:styleId="GridTable4-Accent1">
    <w:name w:val="Grid Table 4 Accent 1"/>
    <w:basedOn w:val="TableNormal"/>
    <w:uiPriority w:val="49"/>
    <w:rsid w:val="00483A9D"/>
    <w:pPr>
      <w:spacing w:after="0" w:line="240" w:lineRule="auto"/>
    </w:pPr>
    <w:tblPr>
      <w:tblStyleRowBandSize w:val="1"/>
      <w:tblStyleColBandSize w:val="1"/>
      <w:tblBorders>
        <w:top w:val="single" w:sz="4" w:space="0" w:color="E6586C" w:themeColor="accent1" w:themeTint="99"/>
        <w:left w:val="single" w:sz="4" w:space="0" w:color="E6586C" w:themeColor="accent1" w:themeTint="99"/>
        <w:bottom w:val="single" w:sz="4" w:space="0" w:color="E6586C" w:themeColor="accent1" w:themeTint="99"/>
        <w:right w:val="single" w:sz="4" w:space="0" w:color="E6586C" w:themeColor="accent1" w:themeTint="99"/>
        <w:insideH w:val="single" w:sz="4" w:space="0" w:color="E6586C" w:themeColor="accent1" w:themeTint="99"/>
        <w:insideV w:val="single" w:sz="4" w:space="0" w:color="E6586C" w:themeColor="accent1" w:themeTint="99"/>
      </w:tblBorders>
    </w:tblPr>
    <w:tblStylePr w:type="firstRow">
      <w:rPr>
        <w:b/>
        <w:bCs/>
        <w:color w:val="FFFFFF" w:themeColor="background1"/>
      </w:rPr>
      <w:tblPr/>
      <w:tcPr>
        <w:tcBorders>
          <w:top w:val="single" w:sz="4" w:space="0" w:color="A6192E" w:themeColor="accent1"/>
          <w:left w:val="single" w:sz="4" w:space="0" w:color="A6192E" w:themeColor="accent1"/>
          <w:bottom w:val="single" w:sz="4" w:space="0" w:color="A6192E" w:themeColor="accent1"/>
          <w:right w:val="single" w:sz="4" w:space="0" w:color="A6192E" w:themeColor="accent1"/>
          <w:insideH w:val="nil"/>
          <w:insideV w:val="nil"/>
        </w:tcBorders>
        <w:shd w:val="clear" w:color="auto" w:fill="A6192E" w:themeFill="accent1"/>
      </w:tcPr>
    </w:tblStylePr>
    <w:tblStylePr w:type="lastRow">
      <w:rPr>
        <w:b/>
        <w:bCs/>
      </w:rPr>
      <w:tblPr/>
      <w:tcPr>
        <w:tcBorders>
          <w:top w:val="double" w:sz="4" w:space="0" w:color="A6192E" w:themeColor="accent1"/>
        </w:tcBorders>
      </w:tcPr>
    </w:tblStylePr>
    <w:tblStylePr w:type="firstCol">
      <w:rPr>
        <w:b/>
        <w:bCs/>
      </w:rPr>
    </w:tblStylePr>
    <w:tblStylePr w:type="lastCol">
      <w:rPr>
        <w:b/>
        <w:bCs/>
      </w:rPr>
    </w:tblStylePr>
    <w:tblStylePr w:type="band1Vert">
      <w:tblPr/>
      <w:tcPr>
        <w:shd w:val="clear" w:color="auto" w:fill="F6C7CE" w:themeFill="accent1" w:themeFillTint="33"/>
      </w:tcPr>
    </w:tblStylePr>
    <w:tblStylePr w:type="band1Horz">
      <w:tblPr/>
      <w:tcPr>
        <w:shd w:val="clear" w:color="auto" w:fill="F6C7CE" w:themeFill="accent1" w:themeFillTint="33"/>
      </w:tcPr>
    </w:tblStylePr>
  </w:style>
  <w:style w:type="character" w:styleId="CommentReference">
    <w:name w:val="annotation reference"/>
    <w:basedOn w:val="DefaultParagraphFont"/>
    <w:uiPriority w:val="99"/>
    <w:semiHidden/>
    <w:unhideWhenUsed/>
    <w:rsid w:val="007C4946"/>
    <w:rPr>
      <w:sz w:val="16"/>
      <w:szCs w:val="16"/>
    </w:rPr>
  </w:style>
  <w:style w:type="paragraph" w:styleId="CommentText">
    <w:name w:val="annotation text"/>
    <w:basedOn w:val="Normal"/>
    <w:link w:val="CommentTextChar"/>
    <w:uiPriority w:val="99"/>
    <w:semiHidden/>
    <w:unhideWhenUsed/>
    <w:rsid w:val="007C4946"/>
    <w:pPr>
      <w:spacing w:line="240" w:lineRule="auto"/>
    </w:pPr>
    <w:rPr>
      <w:szCs w:val="20"/>
    </w:rPr>
  </w:style>
  <w:style w:type="character" w:customStyle="1" w:styleId="CommentTextChar">
    <w:name w:val="Comment Text Char"/>
    <w:basedOn w:val="DefaultParagraphFont"/>
    <w:link w:val="CommentText"/>
    <w:uiPriority w:val="99"/>
    <w:semiHidden/>
    <w:rsid w:val="007C4946"/>
    <w:rPr>
      <w:sz w:val="20"/>
      <w:szCs w:val="20"/>
    </w:rPr>
  </w:style>
  <w:style w:type="paragraph" w:styleId="CommentSubject">
    <w:name w:val="annotation subject"/>
    <w:basedOn w:val="CommentText"/>
    <w:next w:val="CommentText"/>
    <w:link w:val="CommentSubjectChar"/>
    <w:uiPriority w:val="99"/>
    <w:semiHidden/>
    <w:unhideWhenUsed/>
    <w:rsid w:val="007C4946"/>
    <w:rPr>
      <w:b/>
      <w:bCs/>
    </w:rPr>
  </w:style>
  <w:style w:type="character" w:customStyle="1" w:styleId="CommentSubjectChar">
    <w:name w:val="Comment Subject Char"/>
    <w:basedOn w:val="CommentTextChar"/>
    <w:link w:val="CommentSubject"/>
    <w:uiPriority w:val="99"/>
    <w:semiHidden/>
    <w:rsid w:val="007C4946"/>
    <w:rPr>
      <w:b/>
      <w:bCs/>
      <w:sz w:val="20"/>
      <w:szCs w:val="20"/>
    </w:rPr>
  </w:style>
  <w:style w:type="character" w:customStyle="1" w:styleId="ListParagraphChar">
    <w:name w:val="List Paragraph Char"/>
    <w:aliases w:val="List Paragraph1 Char,List Paragraph11 Char,List Paragraph2 Char,Recommendation Char,Bullet 1 Char,CV text Char,Dot pt Char,F5 List Paragraph Char,Indicator Text Char,L Char,List Paragraph Char Char Char Char,List Paragraph111 Char"/>
    <w:basedOn w:val="DefaultParagraphFont"/>
    <w:link w:val="ListParagraph"/>
    <w:uiPriority w:val="34"/>
    <w:qFormat/>
    <w:locked/>
    <w:rsid w:val="009F4B37"/>
  </w:style>
  <w:style w:type="paragraph" w:styleId="Revision">
    <w:name w:val="Revision"/>
    <w:hidden/>
    <w:uiPriority w:val="99"/>
    <w:semiHidden/>
    <w:rsid w:val="00B0261F"/>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7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asurementlawreview@industry.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dustry.gov.au/measurement-law-revie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data-and-publications/test-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58595B"/>
      </a:dk2>
      <a:lt2>
        <a:srgbClr val="939598"/>
      </a:lt2>
      <a:accent1>
        <a:srgbClr val="A6192E"/>
      </a:accent1>
      <a:accent2>
        <a:srgbClr val="572D2D"/>
      </a:accent2>
      <a:accent3>
        <a:srgbClr val="71CC98"/>
      </a:accent3>
      <a:accent4>
        <a:srgbClr val="B7B09C"/>
      </a:accent4>
      <a:accent5>
        <a:srgbClr val="58595B"/>
      </a:accent5>
      <a:accent6>
        <a:srgbClr val="6D6E70"/>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ef1c6b3d-2616-4020-9054-bdf2c47fde80">
      <Terms xmlns="http://schemas.microsoft.com/office/infopath/2007/PartnerControls">
        <TermInfo xmlns="http://schemas.microsoft.com/office/infopath/2007/PartnerControls">
          <TermName xmlns="http://schemas.microsoft.com/office/infopath/2007/PartnerControls">Consultation Notes</TermName>
          <TermId xmlns="http://schemas.microsoft.com/office/infopath/2007/PartnerControls">bac8dbb3-9577-40b5-b896-a95f4726f319</TermId>
        </TermInfo>
      </Terms>
    </pe2555c81638466f9eb614edb9ecde52>
    <g7bcb40ba23249a78edca7d43a67c1c9 xmlns="ef1c6b3d-2616-4020-9054-bdf2c47fde80">
      <Terms xmlns="http://schemas.microsoft.com/office/infopath/2007/PartnerControls"/>
    </g7bcb40ba23249a78edca7d43a67c1c9>
    <n99e4c9942c6404eb103464a00e6097b xmlns="ef1c6b3d-2616-4020-9054-bdf2c47fde80">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ef1c6b3d-2616-4020-9054-bdf2c47fde80">
      <Terms xmlns="http://schemas.microsoft.com/office/infopath/2007/PartnerControls"/>
    </adb9bed2e36e4a93af574aeb444da63e>
    <DocHub_MeetingDate xmlns="898be809-5e21-4b54-881d-d8a3488368c8" xsi:nil="true"/>
    <TaxCatchAll xmlns="ef1c6b3d-2616-4020-9054-bdf2c47fde80">
      <Value>4</Value>
      <Value>318</Value>
      <Value>352</Value>
      <Value>616</Value>
    </TaxCatchAll>
    <gabcb1eff41b4b4092332a967995e2a8 xmlns="898be809-5e21-4b54-881d-d8a3488368c8">
      <Terms xmlns="http://schemas.microsoft.com/office/infopath/2007/PartnerControls">
        <TermInfo xmlns="http://schemas.microsoft.com/office/infopath/2007/PartnerControls">
          <TermName xmlns="http://schemas.microsoft.com/office/infopath/2007/PartnerControls">Industry engagement</TermName>
          <TermId xmlns="http://schemas.microsoft.com/office/infopath/2007/PartnerControls">e162e7c5-bf32-46d2-82b5-f264b289273a</TermId>
        </TermInfo>
      </Terms>
    </gabcb1eff41b4b4092332a967995e2a8>
    <aa25a1a23adf4c92a153145de6afe324 xmlns="ef1c6b3d-2616-4020-9054-bdf2c47fde8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99D9608FED8D498BCA2801844341AD" ma:contentTypeVersion="16" ma:contentTypeDescription="Create a new document." ma:contentTypeScope="" ma:versionID="a27c4ff7e9f8c10d6612767d2619f208">
  <xsd:schema xmlns:xsd="http://www.w3.org/2001/XMLSchema" xmlns:xs="http://www.w3.org/2001/XMLSchema" xmlns:p="http://schemas.microsoft.com/office/2006/metadata/properties" xmlns:ns1="http://schemas.microsoft.com/sharepoint/v3" xmlns:ns2="ef1c6b3d-2616-4020-9054-bdf2c47fde80" xmlns:ns3="898be809-5e21-4b54-881d-d8a3488368c8" targetNamespace="http://schemas.microsoft.com/office/2006/metadata/properties" ma:root="true" ma:fieldsID="cab66b29ff45c3acc2582bd0eef22a30" ns1:_="" ns2:_="" ns3:_="">
    <xsd:import namespace="http://schemas.microsoft.com/sharepoint/v3"/>
    <xsd:import namespace="ef1c6b3d-2616-4020-9054-bdf2c47fde80"/>
    <xsd:import namespace="898be809-5e21-4b54-881d-d8a3488368c8"/>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DocHub_MeetingDate" minOccurs="0"/>
                <xsd:element ref="ns3:gabcb1eff41b4b4092332a967995e2a8"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1c6b3d-2616-4020-9054-bdf2c47fde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ad33dd0-8c30-4cf3-ae64-570ad1bc4d6f}" ma:internalName="TaxCatchAll" ma:showField="CatchAllData" ma:web="898be809-5e21-4b54-881d-d8a3488368c8">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86c3a53-8547-45b0-a109-083f704d138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8be809-5e21-4b54-881d-d8a3488368c8" elementFormDefault="qualified">
    <xsd:import namespace="http://schemas.microsoft.com/office/2006/documentManagement/types"/>
    <xsd:import namespace="http://schemas.microsoft.com/office/infopath/2007/PartnerControls"/>
    <xsd:element name="DocHub_MeetingDate" ma:index="23" nillable="true" ma:displayName="Meeting Date" ma:description="Date of the meeting (DD/MM/YYYY)" ma:format="DateOnly" ma:internalName="DocHub_MeetingDate">
      <xsd:simpleType>
        <xsd:restriction base="dms:DateTime"/>
      </xsd:simpleType>
    </xsd:element>
    <xsd:element name="gabcb1eff41b4b4092332a967995e2a8" ma:index="25" nillable="true" ma:taxonomy="true" ma:internalName="gabcb1eff41b4b4092332a967995e2a8" ma:taxonomyFieldName="DocHub_WorkTopic" ma:displayName="Work Topic" ma:default="" ma:fieldId="{0abcb1ef-f41b-4b40-9233-2a967995e2a8}" ma:sspId="fb0313f7-9433-48c0-866e-9e0bbee59a50" ma:termSetId="58a2bccc-25c0-4473-9d2d-96641c2d7d3f" ma:anchorId="00000000-0000-0000-0000-000000000000" ma:open="false" ma:isKeyword="false">
      <xsd:complexType>
        <xsd:sequence>
          <xsd:element ref="pc:Terms" minOccurs="0" maxOccurs="1"/>
        </xsd:sequence>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94BDE-12A0-43DF-8773-DD48436553CD}">
  <ds:schemaRefs>
    <ds:schemaRef ds:uri="http://schemas.microsoft.com/sharepoint/events"/>
  </ds:schemaRefs>
</ds:datastoreItem>
</file>

<file path=customXml/itemProps2.xml><?xml version="1.0" encoding="utf-8"?>
<ds:datastoreItem xmlns:ds="http://schemas.openxmlformats.org/officeDocument/2006/customXml" ds:itemID="{7DD96561-863C-4F9F-9520-83330CD71F0E}">
  <ds:schemaRefs>
    <ds:schemaRef ds:uri="http://schemas.microsoft.com/sharepoint/v3/contenttype/forms"/>
  </ds:schemaRefs>
</ds:datastoreItem>
</file>

<file path=customXml/itemProps3.xml><?xml version="1.0" encoding="utf-8"?>
<ds:datastoreItem xmlns:ds="http://schemas.openxmlformats.org/officeDocument/2006/customXml" ds:itemID="{D9B08487-B632-4FBC-9D96-FEBE4DB1A5B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898be809-5e21-4b54-881d-d8a3488368c8"/>
    <ds:schemaRef ds:uri="ef1c6b3d-2616-4020-9054-bdf2c47fde80"/>
    <ds:schemaRef ds:uri="http://www.w3.org/XML/1998/namespace"/>
    <ds:schemaRef ds:uri="http://purl.org/dc/dcmitype/"/>
  </ds:schemaRefs>
</ds:datastoreItem>
</file>

<file path=customXml/itemProps4.xml><?xml version="1.0" encoding="utf-8"?>
<ds:datastoreItem xmlns:ds="http://schemas.openxmlformats.org/officeDocument/2006/customXml" ds:itemID="{00C46D6E-414F-481C-B9E9-D16C60DDC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c6b3d-2616-4020-9054-bdf2c47fde80"/>
    <ds:schemaRef ds:uri="898be809-5e21-4b54-881d-d8a348836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E409DC-F200-4E63-B314-26E671C6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Meeting paper</vt:lpstr>
    </vt:vector>
  </TitlesOfParts>
  <Company>Australian Government | National Measurement Institute | measurement.gov.au</Company>
  <LinksUpToDate>false</LinksUpToDate>
  <CharactersWithSpaces>14707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paper</dc:title>
  <dc:creator>NMI</dc:creator>
  <cp:lastModifiedBy>Barr, Lorna</cp:lastModifiedBy>
  <cp:revision>25</cp:revision>
  <cp:lastPrinted>2020-07-01T04:35:00Z</cp:lastPrinted>
  <dcterms:created xsi:type="dcterms:W3CDTF">2020-08-05T05:39:00Z</dcterms:created>
  <dcterms:modified xsi:type="dcterms:W3CDTF">2020-09-09T03:17:00Z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0x010100D199D9608FED8D498BCA2801844341AD</vt:lpwstr>
  </property>
  <property fmtid="{D5CDD505-2E9C-101B-9397-08002B2CF9AE}" pid="7" name="DocHub_Year">
    <vt:lpwstr>616;#2019|7e451fe0-4dc6-437a-a849-bab7965a9aee</vt:lpwstr>
  </property>
  <property fmtid="{D5CDD505-2E9C-101B-9397-08002B2CF9AE}" pid="8" name="DocHub_DocumentType">
    <vt:lpwstr>318;#Consultation Notes|bac8dbb3-9577-40b5-b896-a95f4726f319</vt:lpwstr>
  </property>
  <property fmtid="{D5CDD505-2E9C-101B-9397-08002B2CF9AE}" pid="9" name="DocHub_SecurityClassification">
    <vt:lpwstr>4;#UNCLASSIFIED|6106d03b-a1a0-4e30-9d91-d5e9fb4314f9</vt:lpwstr>
  </property>
  <property fmtid="{D5CDD505-2E9C-101B-9397-08002B2CF9AE}" pid="10" name="DocHub_Keywords">
    <vt:lpwstr/>
  </property>
  <property fmtid="{D5CDD505-2E9C-101B-9397-08002B2CF9AE}" pid="11" name="DocHub_WorkActivity">
    <vt:lpwstr/>
  </property>
  <property fmtid="{D5CDD505-2E9C-101B-9397-08002B2CF9AE}" pid="12" name="DocHub_WorkTopic">
    <vt:lpwstr>352;#Industry engagement|e162e7c5-bf32-46d2-82b5-f264b289273a</vt:lpwstr>
  </property>
</Properties>
</file>