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0074237" w:displacedByCustomXml="next"/>
    <w:bookmarkStart w:id="1" w:name="_Toc30063714" w:displacedByCustomXml="next"/>
    <w:sdt>
      <w:sdtPr>
        <w:rPr>
          <w:rFonts w:ascii="Microsoft YaHei" w:eastAsia="Microsoft YaHei" w:hAnsi="Microsoft YaHei" w:cstheme="majorBidi"/>
          <w:color w:val="579AB0" w:themeColor="text2"/>
          <w:sz w:val="22"/>
          <w:szCs w:val="49"/>
          <w:lang w:val="en-AU"/>
          <w14:ligatures w14:val="standardContextual"/>
        </w:rPr>
        <w:id w:val="414904541"/>
        <w:docPartObj>
          <w:docPartGallery w:val="Cover Pages"/>
          <w:docPartUnique/>
        </w:docPartObj>
      </w:sdtPr>
      <w:sdtEndPr>
        <w:rPr>
          <w:rFonts w:ascii="Microsoft New Tai Lue" w:eastAsiaTheme="minorHAnsi" w:hAnsi="Microsoft New Tai Lue" w:cs="Microsoft New Tai Lue"/>
          <w:color w:val="auto"/>
          <w:sz w:val="21"/>
          <w:szCs w:val="21"/>
          <w:lang w:val="en-GB"/>
          <w14:ligatures w14:val="none"/>
        </w:rPr>
      </w:sdtEndPr>
      <w:sdtContent>
        <w:p w14:paraId="5AD92314" w14:textId="4B2857A1" w:rsidR="00D140E0" w:rsidRPr="009150DC" w:rsidRDefault="007A6E2C" w:rsidP="007A6E2C">
          <w:pPr>
            <w:ind w:right="-1418" w:hanging="1330"/>
            <w:rPr>
              <w:rFonts w:asciiTheme="majorHAnsi" w:eastAsiaTheme="majorEastAsia" w:hAnsiTheme="majorHAnsi" w:cstheme="majorBidi"/>
              <w:color w:val="FFFFFF" w:themeColor="background1"/>
              <w:kern w:val="28"/>
              <w:sz w:val="52"/>
              <w:szCs w:val="52"/>
              <w:lang w:val="en-AU"/>
              <w14:ligatures w14:val="standardContextual"/>
            </w:rPr>
          </w:pPr>
          <w:r>
            <w:rPr>
              <w:noProof/>
              <w:lang w:val="en-AU" w:eastAsia="en-AU"/>
            </w:rPr>
            <w:drawing>
              <wp:inline distT="0" distB="0" distL="0" distR="0" wp14:anchorId="5CA43036" wp14:editId="0F8E53E4">
                <wp:extent cx="7432675" cy="9990667"/>
                <wp:effectExtent l="0" t="0" r="0" b="0"/>
                <wp:docPr id="6" name="Picture 6" descr="Driving effective Government investment in innovation, science and research appendices document cover page with Industry Innovation and Science Australia logo and 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IISA - Govt invest innovation - ISA _APPENDICES _300dp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88980" cy="10066350"/>
                        </a:xfrm>
                        <a:prstGeom prst="rect">
                          <a:avLst/>
                        </a:prstGeom>
                      </pic:spPr>
                    </pic:pic>
                  </a:graphicData>
                </a:graphic>
              </wp:inline>
            </w:drawing>
          </w:r>
        </w:p>
        <w:p w14:paraId="0C7D72E6" w14:textId="5255C4BC" w:rsidR="007A6E2C" w:rsidRPr="007A6E2C" w:rsidRDefault="007A6E2C" w:rsidP="007A6E2C">
          <w:pPr>
            <w:spacing w:before="240"/>
            <w:rPr>
              <w:rFonts w:asciiTheme="majorHAnsi" w:eastAsiaTheme="majorEastAsia" w:hAnsiTheme="majorHAnsi" w:cstheme="majorBidi"/>
              <w:color w:val="FFFFFF" w:themeColor="background1"/>
              <w:kern w:val="28"/>
              <w:sz w:val="52"/>
              <w:szCs w:val="52"/>
              <w:lang w:val="en-AU"/>
              <w14:ligatures w14:val="standardContextual"/>
            </w:rPr>
            <w:sectPr w:rsidR="007A6E2C" w:rsidRPr="007A6E2C" w:rsidSect="007A6E2C">
              <w:headerReference w:type="even" r:id="rId15"/>
              <w:footerReference w:type="default" r:id="rId16"/>
              <w:pgSz w:w="11907" w:h="16839" w:code="9"/>
              <w:pgMar w:top="142" w:right="1418" w:bottom="0" w:left="1418" w:header="0" w:footer="0" w:gutter="0"/>
              <w:pgNumType w:fmt="lowerRoman"/>
              <w:cols w:space="720"/>
              <w:titlePg/>
              <w:docGrid w:linePitch="360"/>
            </w:sectPr>
          </w:pPr>
          <w:bookmarkStart w:id="2" w:name="_Toc34989511"/>
          <w:bookmarkStart w:id="3" w:name="_Toc35006795"/>
          <w:bookmarkStart w:id="4" w:name="_Toc35011730"/>
          <w:bookmarkStart w:id="5" w:name="_Toc35015757"/>
          <w:bookmarkStart w:id="6" w:name="_Toc35356367"/>
          <w:bookmarkStart w:id="7" w:name="_Toc36651039"/>
          <w:bookmarkStart w:id="8" w:name="_Toc36806795"/>
          <w:bookmarkStart w:id="9" w:name="_Toc42868657"/>
          <w:bookmarkStart w:id="10" w:name="_Toc42872677"/>
          <w:bookmarkStart w:id="11" w:name="_Toc43996686"/>
          <w:bookmarkStart w:id="12" w:name="_Toc43999062"/>
          <w:bookmarkStart w:id="13" w:name="_Toc44071633"/>
          <w:bookmarkStart w:id="14" w:name="_Toc44074716"/>
          <w:bookmarkStart w:id="15" w:name="_Toc44076142"/>
          <w:bookmarkStart w:id="16" w:name="_Toc44079125"/>
          <w:bookmarkStart w:id="17" w:name="_Toc44317955"/>
          <w:bookmarkStart w:id="18" w:name="_Toc44312288"/>
        </w:p>
        <w:p w14:paraId="19402EF1" w14:textId="5DD1A310" w:rsidR="00441836" w:rsidRDefault="00441836">
          <w:pPr>
            <w:spacing w:before="40" w:after="160" w:line="288" w:lineRule="auto"/>
            <w:rPr>
              <w:rFonts w:ascii="Microsoft YaHei" w:eastAsia="Microsoft YaHei" w:hAnsi="Microsoft YaHei" w:cstheme="majorBidi"/>
              <w:color w:val="579AB0" w:themeColor="text2"/>
              <w:sz w:val="32"/>
              <w:szCs w:val="49"/>
              <w:lang w:val="en-AU"/>
              <w14:ligatures w14:val="standardContextual"/>
            </w:rPr>
          </w:pPr>
        </w:p>
        <w:p w14:paraId="02B52152" w14:textId="77777777" w:rsidR="00441836" w:rsidRDefault="00441836" w:rsidP="00441836">
          <w:pPr>
            <w:spacing w:before="240"/>
            <w:jc w:val="center"/>
            <w:rPr>
              <w:rFonts w:asciiTheme="majorHAnsi" w:eastAsiaTheme="majorEastAsia" w:hAnsiTheme="majorHAnsi" w:cstheme="majorBidi"/>
              <w:kern w:val="28"/>
              <w:sz w:val="52"/>
              <w:szCs w:val="52"/>
              <w14:ligatures w14:val="standardContextual"/>
            </w:rPr>
          </w:pPr>
          <w:r w:rsidRPr="00064D7F">
            <w:rPr>
              <w:rFonts w:asciiTheme="majorHAnsi" w:eastAsiaTheme="majorEastAsia" w:hAnsiTheme="majorHAnsi" w:cstheme="majorBidi"/>
              <w:kern w:val="28"/>
              <w:sz w:val="52"/>
              <w:szCs w:val="52"/>
              <w14:ligatures w14:val="standardContextual"/>
            </w:rPr>
            <w:t>Driving effective Government investment in innovation, science and research</w:t>
          </w:r>
        </w:p>
        <w:p w14:paraId="611C4210" w14:textId="3CEC0001" w:rsidR="000071F0" w:rsidRDefault="000071F0" w:rsidP="00441836">
          <w:pPr>
            <w:spacing w:before="240"/>
            <w:jc w:val="center"/>
            <w:rPr>
              <w:rFonts w:asciiTheme="majorHAnsi" w:eastAsiaTheme="majorEastAsia" w:hAnsiTheme="majorHAnsi" w:cstheme="majorBidi"/>
              <w:kern w:val="28"/>
              <w:sz w:val="52"/>
              <w:szCs w:val="52"/>
              <w14:ligatures w14:val="standardContextual"/>
            </w:rPr>
          </w:pPr>
          <w:r>
            <w:rPr>
              <w:rFonts w:asciiTheme="majorHAnsi" w:eastAsiaTheme="majorEastAsia" w:hAnsiTheme="majorHAnsi" w:cstheme="majorBidi"/>
              <w:kern w:val="28"/>
              <w:sz w:val="52"/>
              <w:szCs w:val="52"/>
              <w14:ligatures w14:val="standardContextual"/>
            </w:rPr>
            <w:t>Appendices</w:t>
          </w:r>
        </w:p>
        <w:p w14:paraId="79CC07E6" w14:textId="77777777" w:rsidR="00441836" w:rsidRDefault="00441836" w:rsidP="00441836">
          <w:pPr>
            <w:spacing w:before="240"/>
            <w:jc w:val="center"/>
            <w:rPr>
              <w:rFonts w:asciiTheme="majorHAnsi" w:eastAsiaTheme="majorEastAsia" w:hAnsiTheme="majorHAnsi" w:cstheme="majorBidi"/>
              <w:kern w:val="28"/>
              <w:sz w:val="52"/>
              <w:szCs w:val="52"/>
              <w14:ligatures w14:val="standardContextual"/>
            </w:rPr>
          </w:pPr>
        </w:p>
        <w:p w14:paraId="2357FCD8" w14:textId="65568B09" w:rsidR="00441836" w:rsidRPr="00636DE0" w:rsidRDefault="007F4A88" w:rsidP="00441836">
          <w:pPr>
            <w:jc w:val="center"/>
            <w:rPr>
              <w:rFonts w:ascii="Microsoft YaHei" w:eastAsia="Microsoft YaHei" w:hAnsi="Microsoft YaHei"/>
              <w:color w:val="579AB0" w:themeColor="text2"/>
              <w:sz w:val="24"/>
              <w:szCs w:val="24"/>
            </w:rPr>
          </w:pPr>
          <w:r>
            <w:rPr>
              <w:rFonts w:ascii="Microsoft YaHei" w:eastAsia="Microsoft YaHei" w:hAnsi="Microsoft YaHei"/>
              <w:color w:val="579AB0" w:themeColor="text2"/>
              <w:sz w:val="24"/>
              <w:szCs w:val="24"/>
            </w:rPr>
            <w:t xml:space="preserve">Industry </w:t>
          </w:r>
          <w:r w:rsidR="00441836" w:rsidRPr="00636DE0">
            <w:rPr>
              <w:rFonts w:ascii="Microsoft YaHei" w:eastAsia="Microsoft YaHei" w:hAnsi="Microsoft YaHei"/>
              <w:color w:val="579AB0" w:themeColor="text2"/>
              <w:sz w:val="24"/>
              <w:szCs w:val="24"/>
            </w:rPr>
            <w:t>Innovation and Science Australia</w:t>
          </w:r>
        </w:p>
        <w:p w14:paraId="018B9F72" w14:textId="77777777" w:rsidR="00441836" w:rsidRDefault="00441836" w:rsidP="00441836">
          <w:pPr>
            <w:rPr>
              <w:rFonts w:ascii="Microsoft YaHei UI" w:eastAsia="Microsoft YaHei UI" w:hAnsi="Microsoft YaHei UI" w:cstheme="majorBidi"/>
              <w:color w:val="579AB0" w:themeColor="text2"/>
              <w:sz w:val="32"/>
              <w:szCs w:val="32"/>
              <w:lang w:val="en-US"/>
              <w14:ligatures w14:val="standardContextual"/>
            </w:rPr>
          </w:pPr>
          <w:r>
            <w:br w:type="page"/>
          </w:r>
        </w:p>
        <w:p w14:paraId="7157397B" w14:textId="77777777" w:rsidR="00F96D55" w:rsidRPr="00186E55" w:rsidRDefault="00F96D55" w:rsidP="00F96D55">
          <w:pPr>
            <w:pStyle w:val="Pa12"/>
            <w:rPr>
              <w:rFonts w:ascii="Microsoft New Tai Lue" w:hAnsi="Microsoft New Tai Lue" w:cs="Microsoft New Tai Lue"/>
              <w:b/>
              <w:color w:val="auto"/>
              <w:kern w:val="20"/>
              <w:sz w:val="500"/>
              <w:szCs w:val="500"/>
            </w:rPr>
          </w:pPr>
        </w:p>
        <w:p w14:paraId="16CB180E" w14:textId="2A7BFAF4" w:rsidR="00F96D55" w:rsidRPr="003B4B7F" w:rsidRDefault="00F96D55" w:rsidP="00F96D55">
          <w:pPr>
            <w:pStyle w:val="Pa12"/>
            <w:rPr>
              <w:rFonts w:ascii="Microsoft New Tai Lue" w:hAnsi="Microsoft New Tai Lue" w:cs="Microsoft New Tai Lue"/>
              <w:b/>
              <w:color w:val="auto"/>
              <w:kern w:val="20"/>
              <w:sz w:val="20"/>
              <w:szCs w:val="20"/>
            </w:rPr>
          </w:pPr>
          <w:r w:rsidRPr="003B4B7F">
            <w:rPr>
              <w:rFonts w:ascii="Microsoft New Tai Lue" w:hAnsi="Microsoft New Tai Lue" w:cs="Microsoft New Tai Lue"/>
              <w:b/>
              <w:color w:val="auto"/>
              <w:kern w:val="20"/>
              <w:sz w:val="20"/>
              <w:szCs w:val="20"/>
            </w:rPr>
            <w:t>Online version</w:t>
          </w:r>
        </w:p>
        <w:p w14:paraId="08669580" w14:textId="77777777" w:rsidR="00F96D55" w:rsidRPr="003B4B7F" w:rsidRDefault="00F96D55" w:rsidP="00F96D55">
          <w:pPr>
            <w:pStyle w:val="Pa12"/>
            <w:rPr>
              <w:rFonts w:ascii="Microsoft New Tai Lue" w:hAnsi="Microsoft New Tai Lue" w:cs="Microsoft New Tai Lue"/>
              <w:color w:val="auto"/>
              <w:kern w:val="20"/>
              <w:sz w:val="20"/>
              <w:szCs w:val="20"/>
            </w:rPr>
          </w:pPr>
          <w:r w:rsidRPr="003B4B7F">
            <w:rPr>
              <w:rFonts w:ascii="Microsoft New Tai Lue" w:hAnsi="Microsoft New Tai Lue" w:cs="Microsoft New Tai Lue"/>
              <w:color w:val="auto"/>
              <w:kern w:val="20"/>
              <w:sz w:val="20"/>
              <w:szCs w:val="20"/>
            </w:rPr>
            <w:t>The online version of this report can be accessed:</w:t>
          </w:r>
        </w:p>
        <w:p w14:paraId="6281FCC1" w14:textId="071F6076" w:rsidR="00F96D55" w:rsidRPr="003B4B7F" w:rsidRDefault="00400295" w:rsidP="00F96D55">
          <w:pPr>
            <w:pStyle w:val="Pa22"/>
            <w:spacing w:after="100"/>
            <w:rPr>
              <w:rFonts w:ascii="Microsoft New Tai Lue" w:hAnsi="Microsoft New Tai Lue" w:cs="Microsoft New Tai Lue"/>
              <w:color w:val="auto"/>
              <w:kern w:val="20"/>
              <w:sz w:val="20"/>
              <w:szCs w:val="20"/>
            </w:rPr>
          </w:pPr>
          <w:hyperlink r:id="rId17" w:history="1">
            <w:r w:rsidR="00505107" w:rsidRPr="00EA5326">
              <w:rPr>
                <w:rStyle w:val="Hyperlink"/>
                <w:rFonts w:ascii="Microsoft New Tai Lue" w:hAnsi="Microsoft New Tai Lue" w:cs="Microsoft New Tai Lue"/>
                <w:kern w:val="20"/>
                <w:sz w:val="20"/>
                <w:szCs w:val="20"/>
              </w:rPr>
              <w:t>https://www.industry.gov.au/iisa</w:t>
            </w:r>
          </w:hyperlink>
          <w:r w:rsidR="00505107">
            <w:rPr>
              <w:rFonts w:ascii="Microsoft New Tai Lue" w:hAnsi="Microsoft New Tai Lue" w:cs="Microsoft New Tai Lue"/>
              <w:color w:val="auto"/>
              <w:kern w:val="20"/>
              <w:sz w:val="20"/>
              <w:szCs w:val="20"/>
            </w:rPr>
            <w:t xml:space="preserve"> </w:t>
          </w:r>
        </w:p>
        <w:p w14:paraId="2FCA6D3A" w14:textId="77777777" w:rsidR="00F96D55" w:rsidRDefault="00F96D55" w:rsidP="00F96D55">
          <w:pPr>
            <w:pStyle w:val="Pa12"/>
            <w:rPr>
              <w:rFonts w:ascii="Microsoft New Tai Lue" w:hAnsi="Microsoft New Tai Lue" w:cs="Microsoft New Tai Lue"/>
              <w:b/>
              <w:color w:val="auto"/>
              <w:kern w:val="20"/>
              <w:sz w:val="20"/>
              <w:szCs w:val="20"/>
            </w:rPr>
          </w:pPr>
        </w:p>
        <w:p w14:paraId="03CD203E" w14:textId="77777777" w:rsidR="00F96D55" w:rsidRPr="003B4B7F" w:rsidRDefault="00F96D55" w:rsidP="00F96D55">
          <w:pPr>
            <w:pStyle w:val="Pa12"/>
            <w:rPr>
              <w:rFonts w:ascii="Microsoft New Tai Lue" w:hAnsi="Microsoft New Tai Lue" w:cs="Microsoft New Tai Lue"/>
              <w:b/>
              <w:color w:val="auto"/>
              <w:kern w:val="20"/>
              <w:sz w:val="20"/>
              <w:szCs w:val="20"/>
            </w:rPr>
          </w:pPr>
          <w:r w:rsidRPr="003B4B7F">
            <w:rPr>
              <w:rFonts w:ascii="Microsoft New Tai Lue" w:hAnsi="Microsoft New Tai Lue" w:cs="Microsoft New Tai Lue"/>
              <w:b/>
              <w:color w:val="auto"/>
              <w:kern w:val="20"/>
              <w:sz w:val="20"/>
              <w:szCs w:val="20"/>
            </w:rPr>
            <w:t>Contact</w:t>
          </w:r>
        </w:p>
        <w:p w14:paraId="1EEE6068" w14:textId="77777777" w:rsidR="00186E55" w:rsidRDefault="00F96D55" w:rsidP="00186E55">
          <w:pPr>
            <w:pStyle w:val="Pa22"/>
            <w:spacing w:line="240" w:lineRule="auto"/>
            <w:rPr>
              <w:rFonts w:ascii="Microsoft New Tai Lue" w:hAnsi="Microsoft New Tai Lue" w:cs="Microsoft New Tai Lue"/>
              <w:color w:val="auto"/>
              <w:kern w:val="20"/>
              <w:sz w:val="20"/>
              <w:szCs w:val="20"/>
            </w:rPr>
          </w:pPr>
          <w:r w:rsidRPr="003B4B7F">
            <w:rPr>
              <w:rFonts w:ascii="Microsoft New Tai Lue" w:hAnsi="Microsoft New Tai Lue" w:cs="Microsoft New Tai Lue"/>
              <w:color w:val="auto"/>
              <w:kern w:val="20"/>
              <w:sz w:val="20"/>
              <w:szCs w:val="20"/>
            </w:rPr>
            <w:t>Industry Innovation and Science Australia,</w:t>
          </w:r>
          <w:r w:rsidR="00E75475">
            <w:rPr>
              <w:rFonts w:ascii="Microsoft New Tai Lue" w:hAnsi="Microsoft New Tai Lue" w:cs="Microsoft New Tai Lue"/>
              <w:color w:val="auto"/>
              <w:kern w:val="20"/>
              <w:sz w:val="20"/>
              <w:szCs w:val="20"/>
            </w:rPr>
            <w:t xml:space="preserve"> </w:t>
          </w:r>
        </w:p>
        <w:p w14:paraId="11196E2A" w14:textId="29AC683D" w:rsidR="00186E55" w:rsidRDefault="00E75475" w:rsidP="00186E55">
          <w:pPr>
            <w:pStyle w:val="Pa22"/>
            <w:spacing w:line="240" w:lineRule="auto"/>
            <w:rPr>
              <w:rFonts w:ascii="Microsoft New Tai Lue" w:hAnsi="Microsoft New Tai Lue" w:cs="Microsoft New Tai Lue"/>
              <w:color w:val="auto"/>
              <w:kern w:val="20"/>
              <w:sz w:val="20"/>
              <w:szCs w:val="20"/>
            </w:rPr>
          </w:pPr>
          <w:r>
            <w:rPr>
              <w:rFonts w:ascii="Microsoft New Tai Lue" w:hAnsi="Microsoft New Tai Lue" w:cs="Microsoft New Tai Lue"/>
              <w:color w:val="auto"/>
              <w:kern w:val="20"/>
              <w:sz w:val="20"/>
              <w:szCs w:val="20"/>
            </w:rPr>
            <w:t>GPO Box 2013</w:t>
          </w:r>
          <w:r w:rsidR="00326136">
            <w:rPr>
              <w:rFonts w:ascii="Microsoft New Tai Lue" w:hAnsi="Microsoft New Tai Lue" w:cs="Microsoft New Tai Lue"/>
              <w:color w:val="auto"/>
              <w:kern w:val="20"/>
              <w:sz w:val="20"/>
              <w:szCs w:val="20"/>
            </w:rPr>
            <w:t>,</w:t>
          </w:r>
        </w:p>
        <w:p w14:paraId="7675F283" w14:textId="77777777" w:rsidR="00186E55" w:rsidRDefault="00E75475" w:rsidP="00186E55">
          <w:pPr>
            <w:pStyle w:val="Pa22"/>
            <w:spacing w:line="240" w:lineRule="auto"/>
            <w:rPr>
              <w:rFonts w:ascii="Microsoft New Tai Lue" w:hAnsi="Microsoft New Tai Lue" w:cs="Microsoft New Tai Lue"/>
              <w:color w:val="auto"/>
              <w:kern w:val="20"/>
              <w:sz w:val="20"/>
              <w:szCs w:val="20"/>
            </w:rPr>
          </w:pPr>
          <w:r>
            <w:rPr>
              <w:rFonts w:ascii="Microsoft New Tai Lue" w:hAnsi="Microsoft New Tai Lue" w:cs="Microsoft New Tai Lue"/>
              <w:color w:val="auto"/>
              <w:kern w:val="20"/>
              <w:sz w:val="20"/>
              <w:szCs w:val="20"/>
            </w:rPr>
            <w:t>C</w:t>
          </w:r>
          <w:r w:rsidR="00F96D55" w:rsidRPr="003B4B7F">
            <w:rPr>
              <w:rFonts w:ascii="Microsoft New Tai Lue" w:hAnsi="Microsoft New Tai Lue" w:cs="Microsoft New Tai Lue"/>
              <w:color w:val="auto"/>
              <w:kern w:val="20"/>
              <w:sz w:val="20"/>
              <w:szCs w:val="20"/>
            </w:rPr>
            <w:t>anberra ACT 2601</w:t>
          </w:r>
        </w:p>
        <w:p w14:paraId="6F5A99A7" w14:textId="7175E4F9" w:rsidR="00F96D55" w:rsidRPr="003B4B7F" w:rsidRDefault="00F96D55" w:rsidP="00186E55">
          <w:pPr>
            <w:pStyle w:val="Pa22"/>
            <w:spacing w:line="240" w:lineRule="auto"/>
            <w:rPr>
              <w:rFonts w:ascii="Microsoft New Tai Lue" w:hAnsi="Microsoft New Tai Lue" w:cs="Microsoft New Tai Lue"/>
              <w:color w:val="auto"/>
              <w:kern w:val="20"/>
              <w:sz w:val="20"/>
              <w:szCs w:val="20"/>
            </w:rPr>
          </w:pPr>
          <w:r w:rsidRPr="003B4B7F">
            <w:rPr>
              <w:rFonts w:ascii="Microsoft New Tai Lue" w:hAnsi="Microsoft New Tai Lue" w:cs="Microsoft New Tai Lue"/>
              <w:color w:val="auto"/>
              <w:kern w:val="20"/>
              <w:sz w:val="20"/>
              <w:szCs w:val="20"/>
            </w:rPr>
            <w:t xml:space="preserve">Email </w:t>
          </w:r>
          <w:hyperlink r:id="rId18" w:history="1">
            <w:r w:rsidR="00E75475" w:rsidRPr="00D64A9E">
              <w:rPr>
                <w:rStyle w:val="Hyperlink"/>
                <w:rFonts w:ascii="Microsoft New Tai Lue" w:hAnsi="Microsoft New Tai Lue" w:cs="Microsoft New Tai Lue"/>
                <w:kern w:val="20"/>
                <w:sz w:val="20"/>
                <w:szCs w:val="20"/>
              </w:rPr>
              <w:t>office@isa.gov.au</w:t>
            </w:r>
          </w:hyperlink>
          <w:r w:rsidR="00E75475">
            <w:rPr>
              <w:rFonts w:ascii="Microsoft New Tai Lue" w:hAnsi="Microsoft New Tai Lue" w:cs="Microsoft New Tai Lue"/>
              <w:color w:val="auto"/>
              <w:kern w:val="20"/>
              <w:sz w:val="20"/>
              <w:szCs w:val="20"/>
            </w:rPr>
            <w:t xml:space="preserve"> </w:t>
          </w:r>
        </w:p>
        <w:p w14:paraId="01C57F2D" w14:textId="77777777" w:rsidR="00F96D55" w:rsidRDefault="00F96D55" w:rsidP="00F96D55">
          <w:pPr>
            <w:pStyle w:val="Pa12"/>
            <w:rPr>
              <w:rFonts w:ascii="Microsoft New Tai Lue" w:hAnsi="Microsoft New Tai Lue" w:cs="Microsoft New Tai Lue"/>
              <w:color w:val="auto"/>
              <w:kern w:val="20"/>
              <w:sz w:val="20"/>
              <w:szCs w:val="20"/>
            </w:rPr>
          </w:pPr>
        </w:p>
        <w:p w14:paraId="10AC9D38" w14:textId="77777777" w:rsidR="00F96D55" w:rsidRPr="003B4B7F" w:rsidRDefault="00F96D55" w:rsidP="00F96D55">
          <w:pPr>
            <w:pStyle w:val="Pa12"/>
            <w:rPr>
              <w:rFonts w:ascii="Microsoft New Tai Lue" w:hAnsi="Microsoft New Tai Lue" w:cs="Microsoft New Tai Lue"/>
              <w:color w:val="auto"/>
              <w:kern w:val="20"/>
              <w:sz w:val="20"/>
              <w:szCs w:val="20"/>
            </w:rPr>
          </w:pPr>
          <w:r w:rsidRPr="003B4B7F">
            <w:rPr>
              <w:rFonts w:ascii="Microsoft New Tai Lue" w:hAnsi="Microsoft New Tai Lue" w:cs="Microsoft New Tai Lue"/>
              <w:color w:val="auto"/>
              <w:kern w:val="20"/>
              <w:sz w:val="20"/>
              <w:szCs w:val="20"/>
            </w:rPr>
            <w:t>© Commonwealth of Australia 2021</w:t>
          </w:r>
        </w:p>
        <w:p w14:paraId="491825D8" w14:textId="77777777" w:rsidR="00F96D55" w:rsidRPr="003B4B7F" w:rsidRDefault="00F96D55" w:rsidP="00F96D55">
          <w:pPr>
            <w:pStyle w:val="Pa22"/>
            <w:spacing w:after="100"/>
            <w:rPr>
              <w:rFonts w:ascii="Microsoft New Tai Lue" w:hAnsi="Microsoft New Tai Lue" w:cs="Microsoft New Tai Lue"/>
              <w:color w:val="auto"/>
              <w:kern w:val="20"/>
              <w:sz w:val="20"/>
              <w:szCs w:val="20"/>
            </w:rPr>
          </w:pPr>
          <w:r w:rsidRPr="003B4B7F">
            <w:rPr>
              <w:rFonts w:ascii="Microsoft New Tai Lue" w:hAnsi="Microsoft New Tai Lue" w:cs="Microsoft New Tai Lue"/>
              <w:color w:val="auto"/>
              <w:kern w:val="20"/>
              <w:sz w:val="20"/>
              <w:szCs w:val="20"/>
            </w:rPr>
            <w:t>This work is copyright. Apart from any use as permitted under the Copyright Act 1968, no part may be reproduced by any process without prior written permission from the Commonwealth.</w:t>
          </w:r>
        </w:p>
        <w:p w14:paraId="3E70984D" w14:textId="6D69EA62" w:rsidR="00F96D55" w:rsidRPr="003B4B7F" w:rsidRDefault="00F96D55" w:rsidP="00F96D55">
          <w:pPr>
            <w:spacing w:line="240" w:lineRule="auto"/>
            <w:rPr>
              <w:sz w:val="20"/>
              <w:szCs w:val="20"/>
            </w:rPr>
          </w:pPr>
          <w:r w:rsidRPr="003B4B7F">
            <w:rPr>
              <w:sz w:val="20"/>
              <w:szCs w:val="20"/>
            </w:rPr>
            <w:t>Requests and enquiries concerning reproduction and rights should be addressed to the Department of Industry, Science, Energy and Resources</w:t>
          </w:r>
          <w:r w:rsidR="00E75475">
            <w:rPr>
              <w:sz w:val="20"/>
              <w:szCs w:val="20"/>
            </w:rPr>
            <w:t xml:space="preserve"> </w:t>
          </w:r>
          <w:r w:rsidRPr="003B4B7F">
            <w:rPr>
              <w:sz w:val="20"/>
              <w:szCs w:val="20"/>
            </w:rPr>
            <w:t xml:space="preserve">GPO Box 9839, Canberra ACT 2601. </w:t>
          </w:r>
        </w:p>
        <w:p w14:paraId="008F8ABB" w14:textId="77777777" w:rsidR="00F96D55" w:rsidRPr="0045334B" w:rsidRDefault="00F96D55" w:rsidP="00F96D55">
          <w:pPr>
            <w:spacing w:after="0" w:line="240" w:lineRule="auto"/>
            <w:rPr>
              <w:rFonts w:ascii="Microsoft YaHei" w:eastAsia="Microsoft YaHei" w:hAnsi="Microsoft YaHei"/>
              <w:color w:val="579AB0" w:themeColor="text2"/>
              <w:sz w:val="24"/>
              <w:szCs w:val="24"/>
            </w:rPr>
          </w:pPr>
          <w:r w:rsidRPr="0045334B">
            <w:rPr>
              <w:rFonts w:ascii="Microsoft YaHei" w:eastAsia="Microsoft YaHei" w:hAnsi="Microsoft YaHei"/>
              <w:color w:val="579AB0" w:themeColor="text2"/>
              <w:sz w:val="24"/>
              <w:szCs w:val="24"/>
            </w:rPr>
            <w:t>Disclaimer</w:t>
          </w:r>
        </w:p>
        <w:p w14:paraId="1DC9E9B9" w14:textId="77777777" w:rsidR="00F96D55" w:rsidRPr="0045334B" w:rsidRDefault="00F96D55" w:rsidP="00F96D55">
          <w:pPr>
            <w:spacing w:after="0" w:line="240" w:lineRule="auto"/>
            <w:rPr>
              <w:sz w:val="16"/>
              <w:szCs w:val="16"/>
            </w:rPr>
          </w:pPr>
          <w:r w:rsidRPr="0045334B">
            <w:rPr>
              <w:sz w:val="16"/>
              <w:szCs w:val="16"/>
            </w:rPr>
            <w:t>The Australian Government as represented by the Department of Industry, Science, Energy and Resources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commitment by the Australian Government to a particular course of action.</w:t>
          </w:r>
        </w:p>
        <w:p w14:paraId="6E092CAD" w14:textId="0ABA2E95" w:rsidR="008D0697" w:rsidRPr="009150DC" w:rsidRDefault="005F466A" w:rsidP="00066E5A">
          <w:pPr>
            <w:pStyle w:val="Contentsheading"/>
          </w:pPr>
          <w:r w:rsidRPr="009150DC">
            <w:lastRenderedPageBreak/>
            <w:t>C</w:t>
          </w:r>
          <w:r w:rsidR="00354E14" w:rsidRPr="009150DC">
            <w:t>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6BE2F01" w14:textId="77777777" w:rsidR="00441836" w:rsidRDefault="00935B7E">
          <w:pPr>
            <w:pStyle w:val="TOC1"/>
            <w:rPr>
              <w:rFonts w:asciiTheme="minorHAnsi" w:eastAsiaTheme="minorEastAsia" w:hAnsiTheme="minorHAnsi" w:cstheme="minorBidi"/>
              <w:kern w:val="0"/>
              <w:szCs w:val="22"/>
              <w:lang w:val="en-AU" w:eastAsia="en-AU"/>
            </w:rPr>
          </w:pPr>
          <w:r w:rsidRPr="009150DC">
            <w:rPr>
              <w:noProof w:val="0"/>
              <w:color w:val="7F7F7F" w:themeColor="text1" w:themeTint="80"/>
              <w:lang w:val="en-AU"/>
            </w:rPr>
            <w:fldChar w:fldCharType="begin"/>
          </w:r>
          <w:r w:rsidRPr="009150DC">
            <w:rPr>
              <w:noProof w:val="0"/>
              <w:color w:val="7F7F7F" w:themeColor="text1" w:themeTint="80"/>
              <w:lang w:val="en-AU"/>
            </w:rPr>
            <w:instrText xml:space="preserve"> TOC \h \z \t "Heading 1,1,Table Heading,1,App Heading 1,1,AppHead,1" </w:instrText>
          </w:r>
          <w:r w:rsidRPr="009150DC">
            <w:rPr>
              <w:noProof w:val="0"/>
              <w:color w:val="7F7F7F" w:themeColor="text1" w:themeTint="80"/>
              <w:lang w:val="en-AU"/>
            </w:rPr>
            <w:fldChar w:fldCharType="separate"/>
          </w:r>
          <w:hyperlink w:anchor="_Toc57641031" w:history="1">
            <w:r w:rsidR="00441836" w:rsidRPr="00375F23">
              <w:rPr>
                <w:rStyle w:val="Hyperlink"/>
              </w:rPr>
              <w:t>Appendix A: Introduction</w:t>
            </w:r>
            <w:r w:rsidR="00441836">
              <w:rPr>
                <w:webHidden/>
              </w:rPr>
              <w:tab/>
            </w:r>
            <w:r w:rsidR="00441836">
              <w:rPr>
                <w:webHidden/>
              </w:rPr>
              <w:fldChar w:fldCharType="begin"/>
            </w:r>
            <w:r w:rsidR="00441836">
              <w:rPr>
                <w:webHidden/>
              </w:rPr>
              <w:instrText xml:space="preserve"> PAGEREF _Toc57641031 \h </w:instrText>
            </w:r>
            <w:r w:rsidR="00441836">
              <w:rPr>
                <w:webHidden/>
              </w:rPr>
            </w:r>
            <w:r w:rsidR="00441836">
              <w:rPr>
                <w:webHidden/>
              </w:rPr>
              <w:fldChar w:fldCharType="separate"/>
            </w:r>
            <w:r w:rsidR="00441836">
              <w:rPr>
                <w:webHidden/>
              </w:rPr>
              <w:t>5</w:t>
            </w:r>
            <w:r w:rsidR="00441836">
              <w:rPr>
                <w:webHidden/>
              </w:rPr>
              <w:fldChar w:fldCharType="end"/>
            </w:r>
          </w:hyperlink>
        </w:p>
        <w:p w14:paraId="491DF322" w14:textId="77777777" w:rsidR="00441836" w:rsidRDefault="00400295">
          <w:pPr>
            <w:pStyle w:val="TOC1"/>
            <w:rPr>
              <w:rFonts w:asciiTheme="minorHAnsi" w:eastAsiaTheme="minorEastAsia" w:hAnsiTheme="minorHAnsi" w:cstheme="minorBidi"/>
              <w:kern w:val="0"/>
              <w:szCs w:val="22"/>
              <w:lang w:val="en-AU" w:eastAsia="en-AU"/>
            </w:rPr>
          </w:pPr>
          <w:hyperlink w:anchor="_Toc57641032" w:history="1">
            <w:r w:rsidR="00441836" w:rsidRPr="00375F23">
              <w:rPr>
                <w:rStyle w:val="Hyperlink"/>
              </w:rPr>
              <w:t>Appendix B: Aligned to priorities</w:t>
            </w:r>
            <w:r w:rsidR="00441836">
              <w:rPr>
                <w:webHidden/>
              </w:rPr>
              <w:tab/>
            </w:r>
            <w:r w:rsidR="00441836">
              <w:rPr>
                <w:webHidden/>
              </w:rPr>
              <w:fldChar w:fldCharType="begin"/>
            </w:r>
            <w:r w:rsidR="00441836">
              <w:rPr>
                <w:webHidden/>
              </w:rPr>
              <w:instrText xml:space="preserve"> PAGEREF _Toc57641032 \h </w:instrText>
            </w:r>
            <w:r w:rsidR="00441836">
              <w:rPr>
                <w:webHidden/>
              </w:rPr>
            </w:r>
            <w:r w:rsidR="00441836">
              <w:rPr>
                <w:webHidden/>
              </w:rPr>
              <w:fldChar w:fldCharType="separate"/>
            </w:r>
            <w:r w:rsidR="00441836">
              <w:rPr>
                <w:webHidden/>
              </w:rPr>
              <w:t>15</w:t>
            </w:r>
            <w:r w:rsidR="00441836">
              <w:rPr>
                <w:webHidden/>
              </w:rPr>
              <w:fldChar w:fldCharType="end"/>
            </w:r>
          </w:hyperlink>
        </w:p>
        <w:p w14:paraId="1D053AEB" w14:textId="77777777" w:rsidR="00441836" w:rsidRDefault="00400295">
          <w:pPr>
            <w:pStyle w:val="TOC1"/>
            <w:rPr>
              <w:rFonts w:asciiTheme="minorHAnsi" w:eastAsiaTheme="minorEastAsia" w:hAnsiTheme="minorHAnsi" w:cstheme="minorBidi"/>
              <w:kern w:val="0"/>
              <w:szCs w:val="22"/>
              <w:lang w:val="en-AU" w:eastAsia="en-AU"/>
            </w:rPr>
          </w:pPr>
          <w:hyperlink w:anchor="_Toc57641033" w:history="1">
            <w:r w:rsidR="00441836" w:rsidRPr="00375F23">
              <w:rPr>
                <w:rStyle w:val="Hyperlink"/>
              </w:rPr>
              <w:t>Appendix C: Delivering impact</w:t>
            </w:r>
            <w:r w:rsidR="00441836">
              <w:rPr>
                <w:webHidden/>
              </w:rPr>
              <w:tab/>
            </w:r>
            <w:r w:rsidR="00441836">
              <w:rPr>
                <w:webHidden/>
              </w:rPr>
              <w:fldChar w:fldCharType="begin"/>
            </w:r>
            <w:r w:rsidR="00441836">
              <w:rPr>
                <w:webHidden/>
              </w:rPr>
              <w:instrText xml:space="preserve"> PAGEREF _Toc57641033 \h </w:instrText>
            </w:r>
            <w:r w:rsidR="00441836">
              <w:rPr>
                <w:webHidden/>
              </w:rPr>
            </w:r>
            <w:r w:rsidR="00441836">
              <w:rPr>
                <w:webHidden/>
              </w:rPr>
              <w:fldChar w:fldCharType="separate"/>
            </w:r>
            <w:r w:rsidR="00441836">
              <w:rPr>
                <w:webHidden/>
              </w:rPr>
              <w:t>18</w:t>
            </w:r>
            <w:r w:rsidR="00441836">
              <w:rPr>
                <w:webHidden/>
              </w:rPr>
              <w:fldChar w:fldCharType="end"/>
            </w:r>
          </w:hyperlink>
        </w:p>
        <w:p w14:paraId="6CB1FB7F" w14:textId="77777777" w:rsidR="00441836" w:rsidRDefault="00400295">
          <w:pPr>
            <w:pStyle w:val="TOC1"/>
            <w:rPr>
              <w:rFonts w:asciiTheme="minorHAnsi" w:eastAsiaTheme="minorEastAsia" w:hAnsiTheme="minorHAnsi" w:cstheme="minorBidi"/>
              <w:kern w:val="0"/>
              <w:szCs w:val="22"/>
              <w:lang w:val="en-AU" w:eastAsia="en-AU"/>
            </w:rPr>
          </w:pPr>
          <w:hyperlink w:anchor="_Toc57641034" w:history="1">
            <w:r w:rsidR="00441836" w:rsidRPr="00375F23">
              <w:rPr>
                <w:rStyle w:val="Hyperlink"/>
              </w:rPr>
              <w:t>Appendix D: Sustainable</w:t>
            </w:r>
            <w:r w:rsidR="00441836">
              <w:rPr>
                <w:webHidden/>
              </w:rPr>
              <w:tab/>
            </w:r>
            <w:r w:rsidR="00441836">
              <w:rPr>
                <w:webHidden/>
              </w:rPr>
              <w:fldChar w:fldCharType="begin"/>
            </w:r>
            <w:r w:rsidR="00441836">
              <w:rPr>
                <w:webHidden/>
              </w:rPr>
              <w:instrText xml:space="preserve"> PAGEREF _Toc57641034 \h </w:instrText>
            </w:r>
            <w:r w:rsidR="00441836">
              <w:rPr>
                <w:webHidden/>
              </w:rPr>
            </w:r>
            <w:r w:rsidR="00441836">
              <w:rPr>
                <w:webHidden/>
              </w:rPr>
              <w:fldChar w:fldCharType="separate"/>
            </w:r>
            <w:r w:rsidR="00441836">
              <w:rPr>
                <w:webHidden/>
              </w:rPr>
              <w:t>20</w:t>
            </w:r>
            <w:r w:rsidR="00441836">
              <w:rPr>
                <w:webHidden/>
              </w:rPr>
              <w:fldChar w:fldCharType="end"/>
            </w:r>
          </w:hyperlink>
        </w:p>
        <w:p w14:paraId="030A24D6" w14:textId="77777777" w:rsidR="00441836" w:rsidRDefault="00400295">
          <w:pPr>
            <w:pStyle w:val="TOC1"/>
            <w:rPr>
              <w:rFonts w:asciiTheme="minorHAnsi" w:eastAsiaTheme="minorEastAsia" w:hAnsiTheme="minorHAnsi" w:cstheme="minorBidi"/>
              <w:kern w:val="0"/>
              <w:szCs w:val="22"/>
              <w:lang w:val="en-AU" w:eastAsia="en-AU"/>
            </w:rPr>
          </w:pPr>
          <w:hyperlink w:anchor="_Toc57641035" w:history="1">
            <w:r w:rsidR="00441836" w:rsidRPr="00375F23">
              <w:rPr>
                <w:rStyle w:val="Hyperlink"/>
              </w:rPr>
              <w:t>Appendix E: Coordinated</w:t>
            </w:r>
            <w:r w:rsidR="00441836">
              <w:rPr>
                <w:webHidden/>
              </w:rPr>
              <w:tab/>
            </w:r>
            <w:r w:rsidR="00441836">
              <w:rPr>
                <w:webHidden/>
              </w:rPr>
              <w:fldChar w:fldCharType="begin"/>
            </w:r>
            <w:r w:rsidR="00441836">
              <w:rPr>
                <w:webHidden/>
              </w:rPr>
              <w:instrText xml:space="preserve"> PAGEREF _Toc57641035 \h </w:instrText>
            </w:r>
            <w:r w:rsidR="00441836">
              <w:rPr>
                <w:webHidden/>
              </w:rPr>
            </w:r>
            <w:r w:rsidR="00441836">
              <w:rPr>
                <w:webHidden/>
              </w:rPr>
              <w:fldChar w:fldCharType="separate"/>
            </w:r>
            <w:r w:rsidR="00441836">
              <w:rPr>
                <w:webHidden/>
              </w:rPr>
              <w:t>21</w:t>
            </w:r>
            <w:r w:rsidR="00441836">
              <w:rPr>
                <w:webHidden/>
              </w:rPr>
              <w:fldChar w:fldCharType="end"/>
            </w:r>
          </w:hyperlink>
        </w:p>
        <w:p w14:paraId="3733D639" w14:textId="77777777" w:rsidR="00441836" w:rsidRDefault="00400295">
          <w:pPr>
            <w:pStyle w:val="TOC1"/>
            <w:rPr>
              <w:rFonts w:asciiTheme="minorHAnsi" w:eastAsiaTheme="minorEastAsia" w:hAnsiTheme="minorHAnsi" w:cstheme="minorBidi"/>
              <w:kern w:val="0"/>
              <w:szCs w:val="22"/>
              <w:lang w:val="en-AU" w:eastAsia="en-AU"/>
            </w:rPr>
          </w:pPr>
          <w:hyperlink w:anchor="_Toc57641036" w:history="1">
            <w:r w:rsidR="00441836" w:rsidRPr="00375F23">
              <w:rPr>
                <w:rStyle w:val="Hyperlink"/>
              </w:rPr>
              <w:t>Appendix F: Strategically balanced</w:t>
            </w:r>
            <w:r w:rsidR="00441836">
              <w:rPr>
                <w:webHidden/>
              </w:rPr>
              <w:tab/>
            </w:r>
            <w:r w:rsidR="00441836">
              <w:rPr>
                <w:webHidden/>
              </w:rPr>
              <w:fldChar w:fldCharType="begin"/>
            </w:r>
            <w:r w:rsidR="00441836">
              <w:rPr>
                <w:webHidden/>
              </w:rPr>
              <w:instrText xml:space="preserve"> PAGEREF _Toc57641036 \h </w:instrText>
            </w:r>
            <w:r w:rsidR="00441836">
              <w:rPr>
                <w:webHidden/>
              </w:rPr>
            </w:r>
            <w:r w:rsidR="00441836">
              <w:rPr>
                <w:webHidden/>
              </w:rPr>
              <w:fldChar w:fldCharType="separate"/>
            </w:r>
            <w:r w:rsidR="00441836">
              <w:rPr>
                <w:webHidden/>
              </w:rPr>
              <w:t>23</w:t>
            </w:r>
            <w:r w:rsidR="00441836">
              <w:rPr>
                <w:webHidden/>
              </w:rPr>
              <w:fldChar w:fldCharType="end"/>
            </w:r>
          </w:hyperlink>
        </w:p>
        <w:p w14:paraId="5AAE1031" w14:textId="77777777" w:rsidR="00441836" w:rsidRDefault="00400295">
          <w:pPr>
            <w:pStyle w:val="TOC1"/>
            <w:rPr>
              <w:rFonts w:asciiTheme="minorHAnsi" w:eastAsiaTheme="minorEastAsia" w:hAnsiTheme="minorHAnsi" w:cstheme="minorBidi"/>
              <w:kern w:val="0"/>
              <w:szCs w:val="22"/>
              <w:lang w:val="en-AU" w:eastAsia="en-AU"/>
            </w:rPr>
          </w:pPr>
          <w:hyperlink w:anchor="_Toc57641037" w:history="1">
            <w:r w:rsidR="00441836" w:rsidRPr="00375F23">
              <w:rPr>
                <w:rStyle w:val="Hyperlink"/>
              </w:rPr>
              <w:t>Appendix G: Data limitations</w:t>
            </w:r>
            <w:r w:rsidR="00441836">
              <w:rPr>
                <w:webHidden/>
              </w:rPr>
              <w:tab/>
            </w:r>
            <w:r w:rsidR="00441836">
              <w:rPr>
                <w:webHidden/>
              </w:rPr>
              <w:fldChar w:fldCharType="begin"/>
            </w:r>
            <w:r w:rsidR="00441836">
              <w:rPr>
                <w:webHidden/>
              </w:rPr>
              <w:instrText xml:space="preserve"> PAGEREF _Toc57641037 \h </w:instrText>
            </w:r>
            <w:r w:rsidR="00441836">
              <w:rPr>
                <w:webHidden/>
              </w:rPr>
            </w:r>
            <w:r w:rsidR="00441836">
              <w:rPr>
                <w:webHidden/>
              </w:rPr>
              <w:fldChar w:fldCharType="separate"/>
            </w:r>
            <w:r w:rsidR="00441836">
              <w:rPr>
                <w:webHidden/>
              </w:rPr>
              <w:t>31</w:t>
            </w:r>
            <w:r w:rsidR="00441836">
              <w:rPr>
                <w:webHidden/>
              </w:rPr>
              <w:fldChar w:fldCharType="end"/>
            </w:r>
          </w:hyperlink>
        </w:p>
        <w:p w14:paraId="62AFFD38" w14:textId="77777777" w:rsidR="00441836" w:rsidRDefault="00400295">
          <w:pPr>
            <w:pStyle w:val="TOC1"/>
            <w:rPr>
              <w:rFonts w:asciiTheme="minorHAnsi" w:eastAsiaTheme="minorEastAsia" w:hAnsiTheme="minorHAnsi" w:cstheme="minorBidi"/>
              <w:kern w:val="0"/>
              <w:szCs w:val="22"/>
              <w:lang w:val="en-AU" w:eastAsia="en-AU"/>
            </w:rPr>
          </w:pPr>
          <w:hyperlink w:anchor="_Toc57641038" w:history="1">
            <w:r w:rsidR="00441836" w:rsidRPr="00375F23">
              <w:rPr>
                <w:rStyle w:val="Hyperlink"/>
              </w:rPr>
              <w:t>Appendix H: Australia's ISR system performance Scorecard</w:t>
            </w:r>
            <w:r w:rsidR="00441836">
              <w:rPr>
                <w:webHidden/>
              </w:rPr>
              <w:tab/>
            </w:r>
            <w:r w:rsidR="00441836">
              <w:rPr>
                <w:webHidden/>
              </w:rPr>
              <w:fldChar w:fldCharType="begin"/>
            </w:r>
            <w:r w:rsidR="00441836">
              <w:rPr>
                <w:webHidden/>
              </w:rPr>
              <w:instrText xml:space="preserve"> PAGEREF _Toc57641038 \h </w:instrText>
            </w:r>
            <w:r w:rsidR="00441836">
              <w:rPr>
                <w:webHidden/>
              </w:rPr>
            </w:r>
            <w:r w:rsidR="00441836">
              <w:rPr>
                <w:webHidden/>
              </w:rPr>
              <w:fldChar w:fldCharType="separate"/>
            </w:r>
            <w:r w:rsidR="00441836">
              <w:rPr>
                <w:webHidden/>
              </w:rPr>
              <w:t>34</w:t>
            </w:r>
            <w:r w:rsidR="00441836">
              <w:rPr>
                <w:webHidden/>
              </w:rPr>
              <w:fldChar w:fldCharType="end"/>
            </w:r>
          </w:hyperlink>
        </w:p>
        <w:p w14:paraId="149229E2" w14:textId="77777777" w:rsidR="00441836" w:rsidRDefault="00400295">
          <w:pPr>
            <w:pStyle w:val="TOC1"/>
            <w:rPr>
              <w:rFonts w:asciiTheme="minorHAnsi" w:eastAsiaTheme="minorEastAsia" w:hAnsiTheme="minorHAnsi" w:cstheme="minorBidi"/>
              <w:kern w:val="0"/>
              <w:szCs w:val="22"/>
              <w:lang w:val="en-AU" w:eastAsia="en-AU"/>
            </w:rPr>
          </w:pPr>
          <w:hyperlink w:anchor="_Toc57641039" w:history="1">
            <w:r w:rsidR="00441836" w:rsidRPr="00375F23">
              <w:rPr>
                <w:rStyle w:val="Hyperlink"/>
              </w:rPr>
              <w:t>Appendix I: Glossary</w:t>
            </w:r>
            <w:r w:rsidR="00441836">
              <w:rPr>
                <w:webHidden/>
              </w:rPr>
              <w:tab/>
            </w:r>
            <w:r w:rsidR="00441836">
              <w:rPr>
                <w:webHidden/>
              </w:rPr>
              <w:fldChar w:fldCharType="begin"/>
            </w:r>
            <w:r w:rsidR="00441836">
              <w:rPr>
                <w:webHidden/>
              </w:rPr>
              <w:instrText xml:space="preserve"> PAGEREF _Toc57641039 \h </w:instrText>
            </w:r>
            <w:r w:rsidR="00441836">
              <w:rPr>
                <w:webHidden/>
              </w:rPr>
            </w:r>
            <w:r w:rsidR="00441836">
              <w:rPr>
                <w:webHidden/>
              </w:rPr>
              <w:fldChar w:fldCharType="separate"/>
            </w:r>
            <w:r w:rsidR="00441836">
              <w:rPr>
                <w:webHidden/>
              </w:rPr>
              <w:t>50</w:t>
            </w:r>
            <w:r w:rsidR="00441836">
              <w:rPr>
                <w:webHidden/>
              </w:rPr>
              <w:fldChar w:fldCharType="end"/>
            </w:r>
          </w:hyperlink>
        </w:p>
        <w:p w14:paraId="6DDDB385" w14:textId="39E1F43F" w:rsidR="00D4167B" w:rsidRPr="009E72CC" w:rsidRDefault="00935B7E" w:rsidP="009E72CC">
          <w:pPr>
            <w:pStyle w:val="TOC1"/>
            <w:rPr>
              <w:noProof w:val="0"/>
              <w:color w:val="7F7F7F" w:themeColor="text1" w:themeTint="80"/>
              <w:lang w:val="en-AU"/>
            </w:rPr>
            <w:sectPr w:rsidR="00D4167B" w:rsidRPr="009E72CC" w:rsidSect="00441836">
              <w:pgSz w:w="11907" w:h="16839" w:code="9"/>
              <w:pgMar w:top="1701" w:right="1418" w:bottom="1701" w:left="1418" w:header="850" w:footer="720" w:gutter="0"/>
              <w:pgNumType w:fmt="lowerRoman"/>
              <w:cols w:space="720"/>
              <w:docGrid w:linePitch="360"/>
            </w:sectPr>
          </w:pPr>
          <w:r w:rsidRPr="009150DC">
            <w:rPr>
              <w:noProof w:val="0"/>
              <w:color w:val="7F7F7F" w:themeColor="text1" w:themeTint="80"/>
              <w:lang w:val="en-AU"/>
            </w:rPr>
            <w:fldChar w:fldCharType="end"/>
          </w:r>
        </w:p>
        <w:p w14:paraId="09DDC2E4" w14:textId="1B6D7932" w:rsidR="007D57BE" w:rsidRDefault="00066E5A" w:rsidP="00066E5A">
          <w:pPr>
            <w:pStyle w:val="Heading1"/>
          </w:pPr>
          <w:bookmarkStart w:id="19" w:name="_Toc57113511"/>
          <w:bookmarkStart w:id="20" w:name="_Toc57113694"/>
          <w:bookmarkStart w:id="21" w:name="_Toc57641031"/>
          <w:bookmarkStart w:id="22" w:name="_Toc44339031"/>
          <w:bookmarkStart w:id="23" w:name="_Toc44340731"/>
          <w:bookmarkStart w:id="24" w:name="_Toc44419460"/>
          <w:bookmarkStart w:id="25" w:name="_Toc44420417"/>
          <w:bookmarkStart w:id="26" w:name="_Toc56073614"/>
          <w:r>
            <w:lastRenderedPageBreak/>
            <w:t xml:space="preserve">Appendix A: </w:t>
          </w:r>
          <w:r w:rsidR="00E65AA3" w:rsidRPr="009150DC">
            <w:t>Introduction</w:t>
          </w:r>
          <w:bookmarkEnd w:id="19"/>
          <w:bookmarkEnd w:id="20"/>
          <w:bookmarkEnd w:id="21"/>
        </w:p>
        <w:p w14:paraId="2D583DB0" w14:textId="6FBD1DA1" w:rsidR="009A6243" w:rsidRPr="007D57BE" w:rsidRDefault="007D57BE" w:rsidP="007D57BE">
          <w:pPr>
            <w:rPr>
              <w:lang w:val="en-AU"/>
            </w:rPr>
          </w:pPr>
          <w:r>
            <w:rPr>
              <w:lang w:val="en-AU"/>
            </w:rPr>
            <w:t xml:space="preserve">The following chapters present additional analyses and information to support the findings presented in the main body of the </w:t>
          </w:r>
          <w:r w:rsidRPr="007D57BE">
            <w:rPr>
              <w:i/>
              <w:lang w:val="en-AU"/>
            </w:rPr>
            <w:t>Driving effective Government investment in innovation, science and research</w:t>
          </w:r>
          <w:r w:rsidRPr="007D57BE">
            <w:rPr>
              <w:lang w:val="en-AU"/>
            </w:rPr>
            <w:t xml:space="preserve"> </w:t>
          </w:r>
          <w:r>
            <w:rPr>
              <w:lang w:val="en-AU"/>
            </w:rPr>
            <w:t>report.</w:t>
          </w:r>
          <w:r w:rsidR="00A70FC9">
            <w:rPr>
              <w:rStyle w:val="FootnoteReference"/>
              <w:lang w:val="en-AU"/>
            </w:rPr>
            <w:footnoteReference w:id="2"/>
          </w:r>
        </w:p>
      </w:sdtContent>
    </w:sdt>
    <w:bookmarkEnd w:id="26" w:displacedByCustomXml="prev"/>
    <w:bookmarkEnd w:id="25" w:displacedByCustomXml="prev"/>
    <w:bookmarkEnd w:id="24" w:displacedByCustomXml="prev"/>
    <w:bookmarkEnd w:id="23" w:displacedByCustomXml="prev"/>
    <w:bookmarkEnd w:id="22" w:displacedByCustomXml="prev"/>
    <w:bookmarkStart w:id="27" w:name="_Toc22828833" w:displacedByCustomXml="prev"/>
    <w:bookmarkStart w:id="28" w:name="_Toc23244395" w:displacedByCustomXml="prev"/>
    <w:bookmarkStart w:id="29" w:name="_Toc23346337" w:displacedByCustomXml="prev"/>
    <w:bookmarkStart w:id="30" w:name="_Toc23348485" w:displacedByCustomXml="prev"/>
    <w:bookmarkStart w:id="31" w:name="_Toc23349377" w:displacedByCustomXml="prev"/>
    <w:bookmarkStart w:id="32" w:name="_Toc23415102" w:displacedByCustomXml="prev"/>
    <w:bookmarkStart w:id="33" w:name="_Toc23417259" w:displacedByCustomXml="prev"/>
    <w:bookmarkStart w:id="34" w:name="_Toc23417363" w:displacedByCustomXml="prev"/>
    <w:bookmarkStart w:id="35" w:name="_Toc23424266" w:displacedByCustomXml="prev"/>
    <w:bookmarkStart w:id="36" w:name="_Toc23430774" w:displacedByCustomXml="prev"/>
    <w:bookmarkStart w:id="37" w:name="_Toc23431383" w:displacedByCustomXml="prev"/>
    <w:bookmarkStart w:id="38" w:name="_Toc24037970" w:displacedByCustomXml="prev"/>
    <w:bookmarkStart w:id="39" w:name="_Toc24363537" w:displacedByCustomXml="prev"/>
    <w:bookmarkStart w:id="40" w:name="_Toc24384978" w:displacedByCustomXml="prev"/>
    <w:bookmarkStart w:id="41" w:name="_Toc24451055" w:displacedByCustomXml="prev"/>
    <w:bookmarkStart w:id="42" w:name="_Toc24465893" w:displacedByCustomXml="prev"/>
    <w:bookmarkStart w:id="43" w:name="_Toc24469993" w:displacedByCustomXml="prev"/>
    <w:bookmarkStart w:id="44" w:name="_Toc24984060" w:displacedByCustomXml="prev"/>
    <w:bookmarkStart w:id="45" w:name="_Toc25248658" w:displacedByCustomXml="prev"/>
    <w:bookmarkStart w:id="46" w:name="_Toc25325050" w:displacedByCustomXml="prev"/>
    <w:bookmarkStart w:id="47" w:name="_Toc25592062" w:displacedByCustomXml="prev"/>
    <w:bookmarkStart w:id="48" w:name="_Toc25594126" w:displacedByCustomXml="prev"/>
    <w:bookmarkStart w:id="49" w:name="_Toc25680339" w:displacedByCustomXml="prev"/>
    <w:bookmarkStart w:id="50" w:name="_Toc25766375" w:displacedByCustomXml="prev"/>
    <w:bookmarkStart w:id="51" w:name="_Toc25772536" w:displacedByCustomXml="prev"/>
    <w:bookmarkStart w:id="52" w:name="_Toc25772571" w:displacedByCustomXml="prev"/>
    <w:bookmarkStart w:id="53" w:name="_Toc25848444" w:displacedByCustomXml="prev"/>
    <w:bookmarkStart w:id="54" w:name="_Toc25848768" w:displacedByCustomXml="prev"/>
    <w:bookmarkStart w:id="55" w:name="_Toc25849326" w:displacedByCustomXml="prev"/>
    <w:bookmarkStart w:id="56" w:name="_Toc25849474" w:displacedByCustomXml="prev"/>
    <w:bookmarkStart w:id="57" w:name="_Toc25849542" w:displacedByCustomXml="prev"/>
    <w:bookmarkStart w:id="58" w:name="_Toc25850429" w:displacedByCustomXml="prev"/>
    <w:bookmarkStart w:id="59" w:name="_Toc26176383" w:displacedByCustomXml="prev"/>
    <w:bookmarkStart w:id="60" w:name="_Toc26368119" w:displacedByCustomXml="prev"/>
    <w:bookmarkStart w:id="61" w:name="_Toc26368302" w:displacedByCustomXml="prev"/>
    <w:bookmarkStart w:id="62" w:name="_Toc26368384" w:displacedByCustomXml="prev"/>
    <w:bookmarkStart w:id="63" w:name="_Toc26368770" w:displacedByCustomXml="prev"/>
    <w:bookmarkStart w:id="64" w:name="_Toc26797144" w:displacedByCustomXml="prev"/>
    <w:bookmarkStart w:id="65" w:name="_Ref34056978" w:displacedByCustomXml="prev"/>
    <w:bookmarkStart w:id="66" w:name="_Toc34919437" w:displacedByCustomXml="prev"/>
    <w:bookmarkStart w:id="67" w:name="_Toc34921723" w:displacedByCustomXml="prev"/>
    <w:bookmarkStart w:id="68" w:name="_Toc34924041" w:displacedByCustomXml="prev"/>
    <w:bookmarkStart w:id="69" w:name="_Toc34925366" w:displacedByCustomXml="prev"/>
    <w:bookmarkStart w:id="70" w:name="_Toc34989512" w:displacedByCustomXml="prev"/>
    <w:bookmarkStart w:id="71" w:name="_Toc35006796" w:displacedByCustomXml="prev"/>
    <w:bookmarkStart w:id="72" w:name="_Toc35011731" w:displacedByCustomXml="prev"/>
    <w:bookmarkStart w:id="73" w:name="_Toc35015758" w:displacedByCustomXml="prev"/>
    <w:bookmarkStart w:id="74" w:name="_Toc35356368" w:displacedByCustomXml="prev"/>
    <w:bookmarkStart w:id="75" w:name="_Toc36651040" w:displacedByCustomXml="prev"/>
    <w:bookmarkStart w:id="76" w:name="_Toc36806796" w:displacedByCustomXml="prev"/>
    <w:p w14:paraId="7D781A9A" w14:textId="65F4E88F" w:rsidR="004B083F" w:rsidRPr="009150DC" w:rsidRDefault="004B083F" w:rsidP="00615108">
      <w:pPr>
        <w:pStyle w:val="Heading3"/>
        <w:rPr>
          <w:lang w:val="en-AU"/>
        </w:rPr>
      </w:pPr>
      <w:bookmarkStart w:id="77" w:name="_Toc35356371"/>
      <w:bookmarkStart w:id="78" w:name="_Toc36651043"/>
      <w:bookmarkStart w:id="79" w:name="_Toc36806799"/>
      <w:bookmarkStart w:id="80" w:name="_Toc42868658"/>
      <w:bookmarkStart w:id="81" w:name="_Toc42872678"/>
      <w:bookmarkStart w:id="82" w:name="_Toc43996687"/>
      <w:bookmarkStart w:id="83" w:name="_Toc43999063"/>
      <w:bookmarkStart w:id="84" w:name="_Toc44071634"/>
      <w:bookmarkStart w:id="85" w:name="_Toc44074717"/>
      <w:bookmarkStart w:id="86" w:name="_Toc44076143"/>
      <w:bookmarkStart w:id="87" w:name="_Toc44079126"/>
      <w:bookmarkStart w:id="88" w:name="_Toc23346338"/>
      <w:bookmarkStart w:id="89" w:name="_Toc23348486"/>
      <w:bookmarkStart w:id="90" w:name="_Toc23349378"/>
      <w:bookmarkStart w:id="91" w:name="_Toc23415103"/>
      <w:bookmarkStart w:id="92" w:name="_Toc23417260"/>
      <w:bookmarkStart w:id="93" w:name="_Toc23417364"/>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r w:rsidRPr="009150DC">
        <w:rPr>
          <w:lang w:val="en-AU"/>
        </w:rPr>
        <w:t>Why governments invest in innovation, science and research</w:t>
      </w:r>
      <w:bookmarkEnd w:id="77"/>
      <w:bookmarkEnd w:id="78"/>
      <w:bookmarkEnd w:id="79"/>
      <w:bookmarkEnd w:id="80"/>
      <w:bookmarkEnd w:id="81"/>
      <w:bookmarkEnd w:id="82"/>
      <w:bookmarkEnd w:id="83"/>
      <w:bookmarkEnd w:id="84"/>
      <w:bookmarkEnd w:id="85"/>
      <w:bookmarkEnd w:id="86"/>
      <w:bookmarkEnd w:id="87"/>
    </w:p>
    <w:p w14:paraId="5C81B75A" w14:textId="33EF3FB0" w:rsidR="007B6964" w:rsidRPr="009150DC" w:rsidRDefault="007B6964" w:rsidP="007B6964">
      <w:pPr>
        <w:rPr>
          <w:lang w:val="en-AU"/>
        </w:rPr>
      </w:pPr>
      <w:r w:rsidRPr="009150DC">
        <w:rPr>
          <w:lang w:val="en-AU"/>
        </w:rPr>
        <w:t>Public investment in scien</w:t>
      </w:r>
      <w:r w:rsidR="00815727" w:rsidRPr="009150DC">
        <w:rPr>
          <w:lang w:val="en-AU"/>
        </w:rPr>
        <w:t>ce and</w:t>
      </w:r>
      <w:r w:rsidRPr="009150DC">
        <w:rPr>
          <w:lang w:val="en-AU"/>
        </w:rPr>
        <w:t xml:space="preserve"> research is widely recognised as an essential feature of a national innovation system, playing a key role in providing new knowledge and pushing the knowledge frontier.</w:t>
      </w:r>
      <w:r w:rsidRPr="009150DC">
        <w:rPr>
          <w:rStyle w:val="FootnoteReference"/>
          <w:lang w:val="en-AU"/>
        </w:rPr>
        <w:footnoteReference w:id="3"/>
      </w:r>
      <w:r w:rsidRPr="009150DC">
        <w:rPr>
          <w:lang w:val="en-AU"/>
        </w:rPr>
        <w:t xml:space="preserve"> Before considering the issue of why the </w:t>
      </w:r>
      <w:r w:rsidR="003E51DA">
        <w:rPr>
          <w:lang w:val="en-AU"/>
        </w:rPr>
        <w:t>Commonwealth</w:t>
      </w:r>
      <w:r w:rsidRPr="009150DC">
        <w:rPr>
          <w:lang w:val="en-AU"/>
        </w:rPr>
        <w:t xml:space="preserve"> Government invests in innovation</w:t>
      </w:r>
      <w:r w:rsidR="00171F35">
        <w:rPr>
          <w:lang w:val="en-AU"/>
        </w:rPr>
        <w:t>,</w:t>
      </w:r>
      <w:r w:rsidRPr="009150DC">
        <w:rPr>
          <w:lang w:val="en-AU"/>
        </w:rPr>
        <w:t xml:space="preserve"> science and research (ISR), it is worth considering how international jurisdictions are </w:t>
      </w:r>
      <w:r w:rsidR="00815727" w:rsidRPr="009150DC">
        <w:rPr>
          <w:lang w:val="en-AU"/>
        </w:rPr>
        <w:t>approaching their investments</w:t>
      </w:r>
      <w:r w:rsidR="007D57BE">
        <w:rPr>
          <w:lang w:val="en-AU"/>
        </w:rPr>
        <w:t>,</w:t>
      </w:r>
      <w:r w:rsidR="00815727" w:rsidRPr="009150DC">
        <w:rPr>
          <w:lang w:val="en-AU"/>
        </w:rPr>
        <w:t xml:space="preserve"> </w:t>
      </w:r>
      <w:r w:rsidRPr="009150DC">
        <w:rPr>
          <w:lang w:val="en-AU"/>
        </w:rPr>
        <w:t>and how these investments have evolved over time.</w:t>
      </w:r>
    </w:p>
    <w:p w14:paraId="03A17046" w14:textId="112D4895" w:rsidR="004B083F" w:rsidRPr="009150DC" w:rsidRDefault="004B083F" w:rsidP="001103C7">
      <w:pPr>
        <w:pStyle w:val="Heading4"/>
        <w:tabs>
          <w:tab w:val="left" w:pos="5502"/>
        </w:tabs>
        <w:rPr>
          <w:lang w:val="en-AU"/>
        </w:rPr>
      </w:pPr>
      <w:bookmarkStart w:id="94" w:name="_Toc43996688"/>
      <w:bookmarkStart w:id="95" w:name="_Toc43999064"/>
      <w:r w:rsidRPr="009150DC">
        <w:rPr>
          <w:lang w:val="en-AU"/>
        </w:rPr>
        <w:t>An international perspective</w:t>
      </w:r>
      <w:bookmarkEnd w:id="94"/>
      <w:bookmarkEnd w:id="95"/>
    </w:p>
    <w:p w14:paraId="60B8FA7B" w14:textId="2F68A724" w:rsidR="000E44A8" w:rsidRPr="009150DC" w:rsidRDefault="00C25752" w:rsidP="003D11D5">
      <w:pPr>
        <w:rPr>
          <w:lang w:val="en-AU"/>
        </w:rPr>
      </w:pPr>
      <w:r w:rsidRPr="009150DC">
        <w:rPr>
          <w:color w:val="000000"/>
          <w:lang w:val="en-AU"/>
        </w:rPr>
        <w:t>In 2011</w:t>
      </w:r>
      <w:r w:rsidR="00171F35">
        <w:rPr>
          <w:color w:val="000000"/>
          <w:lang w:val="en-AU"/>
        </w:rPr>
        <w:t>,</w:t>
      </w:r>
      <w:r w:rsidRPr="009150DC">
        <w:rPr>
          <w:color w:val="000000"/>
          <w:lang w:val="en-AU"/>
        </w:rPr>
        <w:t xml:space="preserve"> the European Union (EU) Heads of State </w:t>
      </w:r>
      <w:r w:rsidR="00646919">
        <w:rPr>
          <w:color w:val="000000"/>
          <w:lang w:val="en-AU"/>
        </w:rPr>
        <w:t>or</w:t>
      </w:r>
      <w:r w:rsidRPr="009150DC">
        <w:rPr>
          <w:color w:val="000000"/>
          <w:lang w:val="en-AU"/>
        </w:rPr>
        <w:t xml:space="preserve"> Government called for all of the EU's research and innovation funding to be </w:t>
      </w:r>
      <w:r w:rsidR="008C4F13">
        <w:rPr>
          <w:color w:val="000000"/>
          <w:lang w:val="en-AU"/>
        </w:rPr>
        <w:t>united</w:t>
      </w:r>
      <w:r w:rsidRPr="009150DC">
        <w:rPr>
          <w:color w:val="000000"/>
          <w:lang w:val="en-AU"/>
        </w:rPr>
        <w:t xml:space="preserve"> under a common strategic framework. Wide</w:t>
      </w:r>
      <w:r w:rsidR="007D57BE">
        <w:rPr>
          <w:color w:val="000000"/>
          <w:lang w:val="en-AU"/>
        </w:rPr>
        <w:noBreakHyphen/>
      </w:r>
      <w:r w:rsidRPr="009150DC">
        <w:rPr>
          <w:color w:val="000000"/>
          <w:lang w:val="en-AU"/>
        </w:rPr>
        <w:t>ranging consultation involving all key stakeholders led to Horizon 2020</w:t>
      </w:r>
      <w:r w:rsidR="002E0206" w:rsidRPr="009150DC">
        <w:rPr>
          <w:color w:val="000000"/>
          <w:lang w:val="en-AU"/>
        </w:rPr>
        <w:t xml:space="preserve">, </w:t>
      </w:r>
      <w:r w:rsidR="0027372A" w:rsidRPr="009150DC">
        <w:rPr>
          <w:lang w:val="en-AU"/>
        </w:rPr>
        <w:t>the financial instrument</w:t>
      </w:r>
      <w:r w:rsidR="002E0206" w:rsidRPr="009150DC">
        <w:rPr>
          <w:lang w:val="en-AU"/>
        </w:rPr>
        <w:t xml:space="preserve"> that</w:t>
      </w:r>
      <w:r w:rsidR="0027372A" w:rsidRPr="009150DC">
        <w:rPr>
          <w:lang w:val="en-AU"/>
        </w:rPr>
        <w:t xml:space="preserve"> implement</w:t>
      </w:r>
      <w:r w:rsidR="002E0206" w:rsidRPr="009150DC">
        <w:rPr>
          <w:lang w:val="en-AU"/>
        </w:rPr>
        <w:t>s</w:t>
      </w:r>
      <w:r w:rsidR="0027372A" w:rsidRPr="009150DC">
        <w:rPr>
          <w:lang w:val="en-AU"/>
        </w:rPr>
        <w:t xml:space="preserve"> the Innovation Union</w:t>
      </w:r>
      <w:r w:rsidR="002E0206" w:rsidRPr="009150DC">
        <w:rPr>
          <w:lang w:val="en-AU"/>
        </w:rPr>
        <w:t xml:space="preserve"> </w:t>
      </w:r>
      <w:r w:rsidR="00D57B32" w:rsidRPr="009150DC">
        <w:rPr>
          <w:lang w:val="en-AU"/>
        </w:rPr>
        <w:t xml:space="preserve">to </w:t>
      </w:r>
      <w:r w:rsidR="002E0206" w:rsidRPr="009150DC">
        <w:rPr>
          <w:lang w:val="en-AU"/>
        </w:rPr>
        <w:t>promote employment, competitiveness and growth for the current decade. Horizon 2020’s</w:t>
      </w:r>
      <w:r w:rsidR="0055095A" w:rsidRPr="009150DC">
        <w:rPr>
          <w:lang w:val="en-AU"/>
        </w:rPr>
        <w:t xml:space="preserve"> goal</w:t>
      </w:r>
      <w:r w:rsidR="00BD260B" w:rsidRPr="009150DC">
        <w:rPr>
          <w:lang w:val="en-AU"/>
        </w:rPr>
        <w:t xml:space="preserve"> </w:t>
      </w:r>
      <w:r w:rsidR="00732D53" w:rsidRPr="009150DC">
        <w:rPr>
          <w:lang w:val="en-AU"/>
        </w:rPr>
        <w:t>i</w:t>
      </w:r>
      <w:r w:rsidR="002E0206" w:rsidRPr="009150DC">
        <w:rPr>
          <w:lang w:val="en-AU"/>
        </w:rPr>
        <w:t xml:space="preserve">s to ensure Europe achieves scientific and technological excellence in order to stimulate smart, sustainable and inclusive growth. </w:t>
      </w:r>
      <w:r w:rsidR="00BD260B" w:rsidRPr="009150DC">
        <w:rPr>
          <w:lang w:val="en-AU"/>
        </w:rPr>
        <w:t xml:space="preserve">Industrial leadership is one of its three organisational </w:t>
      </w:r>
      <w:r w:rsidR="002E0206" w:rsidRPr="009150DC">
        <w:rPr>
          <w:lang w:val="en-AU"/>
        </w:rPr>
        <w:t xml:space="preserve">pillars, </w:t>
      </w:r>
      <w:r w:rsidR="001169D6">
        <w:rPr>
          <w:lang w:val="en-AU"/>
        </w:rPr>
        <w:t>intended to</w:t>
      </w:r>
      <w:r w:rsidR="002E0206" w:rsidRPr="009150DC">
        <w:rPr>
          <w:lang w:val="en-AU"/>
        </w:rPr>
        <w:t xml:space="preserve"> bolster the competitiveness of European firms, </w:t>
      </w:r>
      <w:r w:rsidR="00DE36E3" w:rsidRPr="009150DC">
        <w:rPr>
          <w:lang w:val="en-AU"/>
        </w:rPr>
        <w:t>optimising</w:t>
      </w:r>
      <w:r w:rsidR="002E0206" w:rsidRPr="009150DC">
        <w:rPr>
          <w:lang w:val="en-AU"/>
        </w:rPr>
        <w:t xml:space="preserve"> their growth potential and help</w:t>
      </w:r>
      <w:r w:rsidR="000B1D8D" w:rsidRPr="009150DC">
        <w:rPr>
          <w:lang w:val="en-AU"/>
        </w:rPr>
        <w:t>ing</w:t>
      </w:r>
      <w:r w:rsidR="002E0206" w:rsidRPr="009150DC">
        <w:rPr>
          <w:lang w:val="en-AU"/>
        </w:rPr>
        <w:t xml:space="preserve"> EU </w:t>
      </w:r>
      <w:r w:rsidR="00FE007E" w:rsidRPr="009150DC">
        <w:rPr>
          <w:lang w:val="en-AU"/>
        </w:rPr>
        <w:t>small and medium</w:t>
      </w:r>
      <w:r w:rsidR="00687C03">
        <w:rPr>
          <w:lang w:val="en-AU"/>
        </w:rPr>
        <w:t>-sized</w:t>
      </w:r>
      <w:r w:rsidR="00FE007E" w:rsidRPr="009150DC">
        <w:rPr>
          <w:lang w:val="en-AU"/>
        </w:rPr>
        <w:t xml:space="preserve"> enterprises (</w:t>
      </w:r>
      <w:r w:rsidR="002E0206" w:rsidRPr="009150DC">
        <w:rPr>
          <w:lang w:val="en-AU"/>
        </w:rPr>
        <w:t>SMEs</w:t>
      </w:r>
      <w:r w:rsidR="00FE007E" w:rsidRPr="009150DC">
        <w:rPr>
          <w:lang w:val="en-AU"/>
        </w:rPr>
        <w:t>)</w:t>
      </w:r>
      <w:r w:rsidR="002E0206" w:rsidRPr="009150DC">
        <w:rPr>
          <w:lang w:val="en-AU"/>
        </w:rPr>
        <w:t xml:space="preserve"> become major actors </w:t>
      </w:r>
      <w:r w:rsidR="0051678E">
        <w:rPr>
          <w:lang w:val="en-AU"/>
        </w:rPr>
        <w:t>i</w:t>
      </w:r>
      <w:r w:rsidR="002E0206" w:rsidRPr="009150DC">
        <w:rPr>
          <w:lang w:val="en-AU"/>
        </w:rPr>
        <w:t>n the international market.</w:t>
      </w:r>
      <w:r w:rsidR="00DC1896" w:rsidRPr="009150DC">
        <w:rPr>
          <w:rStyle w:val="FootnoteReference"/>
          <w:lang w:val="en-AU"/>
        </w:rPr>
        <w:footnoteReference w:id="4"/>
      </w:r>
    </w:p>
    <w:p w14:paraId="0E475231" w14:textId="554D93EE" w:rsidR="000E44A8" w:rsidRPr="009150DC" w:rsidRDefault="004B083F" w:rsidP="006A6BCA">
      <w:pPr>
        <w:rPr>
          <w:lang w:val="en-AU"/>
        </w:rPr>
      </w:pPr>
      <w:r w:rsidRPr="009150DC">
        <w:rPr>
          <w:lang w:val="en-AU"/>
        </w:rPr>
        <w:t>In the United Kingdom (UK), the 2014 Nurse Review of Research Councils</w:t>
      </w:r>
      <w:r w:rsidRPr="009150DC">
        <w:rPr>
          <w:rStyle w:val="FootnoteReference"/>
          <w:lang w:val="en-AU"/>
        </w:rPr>
        <w:footnoteReference w:id="5"/>
      </w:r>
      <w:r w:rsidRPr="009150DC">
        <w:rPr>
          <w:lang w:val="en-AU"/>
        </w:rPr>
        <w:t xml:space="preserve"> led to major reform of the UK’s research arc</w:t>
      </w:r>
      <w:r w:rsidR="00495CD3" w:rsidRPr="009150DC">
        <w:rPr>
          <w:lang w:val="en-AU"/>
        </w:rPr>
        <w:t xml:space="preserve">hitecture and funding landscape. The findings of this review were </w:t>
      </w:r>
      <w:r w:rsidRPr="009150DC">
        <w:rPr>
          <w:lang w:val="en-AU"/>
        </w:rPr>
        <w:t>subsequently incorporated into an Industrial Strategy</w:t>
      </w:r>
      <w:r w:rsidR="007D57BE">
        <w:rPr>
          <w:lang w:val="en-AU"/>
        </w:rPr>
        <w:t>,</w:t>
      </w:r>
      <w:r w:rsidRPr="009150DC">
        <w:rPr>
          <w:rStyle w:val="FootnoteReference"/>
          <w:lang w:val="en-AU"/>
        </w:rPr>
        <w:footnoteReference w:id="6"/>
      </w:r>
      <w:r w:rsidRPr="009150DC">
        <w:rPr>
          <w:lang w:val="en-AU"/>
        </w:rPr>
        <w:t xml:space="preserve"> </w:t>
      </w:r>
      <w:r w:rsidR="001B06F4" w:rsidRPr="009150DC">
        <w:rPr>
          <w:lang w:val="en-AU"/>
        </w:rPr>
        <w:t>and UK Research and Innovation (UKRI) was launched in 2018 as the national funding agency investing in science and research.</w:t>
      </w:r>
      <w:r w:rsidR="0068759A" w:rsidRPr="009150DC">
        <w:rPr>
          <w:rStyle w:val="FootnoteReference"/>
          <w:lang w:val="en-AU"/>
        </w:rPr>
        <w:footnoteReference w:id="7"/>
      </w:r>
      <w:r w:rsidR="001B06F4" w:rsidRPr="009150DC">
        <w:rPr>
          <w:lang w:val="en-AU"/>
        </w:rPr>
        <w:t xml:space="preserve"> UKRI’s main objective is to increase</w:t>
      </w:r>
      <w:r w:rsidR="0051678E">
        <w:rPr>
          <w:lang w:val="en-AU"/>
        </w:rPr>
        <w:t xml:space="preserve"> the</w:t>
      </w:r>
      <w:r w:rsidR="001B06F4" w:rsidRPr="009150DC">
        <w:rPr>
          <w:lang w:val="en-AU"/>
        </w:rPr>
        <w:t xml:space="preserve"> UK’s </w:t>
      </w:r>
      <w:r w:rsidRPr="009150DC">
        <w:rPr>
          <w:lang w:val="en-AU"/>
        </w:rPr>
        <w:t>Gross Expenditure on R</w:t>
      </w:r>
      <w:r w:rsidR="00C12AAD" w:rsidRPr="009150DC">
        <w:rPr>
          <w:lang w:val="en-AU"/>
        </w:rPr>
        <w:t xml:space="preserve">esearch </w:t>
      </w:r>
      <w:r w:rsidRPr="009150DC">
        <w:rPr>
          <w:lang w:val="en-AU"/>
        </w:rPr>
        <w:t>&amp;</w:t>
      </w:r>
      <w:r w:rsidR="00C12AAD" w:rsidRPr="009150DC">
        <w:rPr>
          <w:lang w:val="en-AU"/>
        </w:rPr>
        <w:t xml:space="preserve"> </w:t>
      </w:r>
      <w:r w:rsidRPr="009150DC">
        <w:rPr>
          <w:lang w:val="en-AU"/>
        </w:rPr>
        <w:t>D</w:t>
      </w:r>
      <w:r w:rsidR="00C12AAD" w:rsidRPr="009150DC">
        <w:rPr>
          <w:lang w:val="en-AU"/>
        </w:rPr>
        <w:t>evelopment</w:t>
      </w:r>
      <w:r w:rsidRPr="009150DC">
        <w:rPr>
          <w:lang w:val="en-AU"/>
        </w:rPr>
        <w:t xml:space="preserve"> (GERD) </w:t>
      </w:r>
      <w:r w:rsidR="001B06F4" w:rsidRPr="009150DC">
        <w:rPr>
          <w:lang w:val="en-AU"/>
        </w:rPr>
        <w:t>to</w:t>
      </w:r>
      <w:r w:rsidRPr="009150DC">
        <w:rPr>
          <w:lang w:val="en-AU"/>
        </w:rPr>
        <w:t xml:space="preserve"> 2.4</w:t>
      </w:r>
      <w:r w:rsidR="006A2EF3" w:rsidRPr="009150DC">
        <w:rPr>
          <w:lang w:val="en-AU"/>
        </w:rPr>
        <w:t> per cent</w:t>
      </w:r>
      <w:r w:rsidRPr="009150DC">
        <w:rPr>
          <w:lang w:val="en-AU"/>
        </w:rPr>
        <w:t xml:space="preserve"> of gross domestic product (GDP)</w:t>
      </w:r>
      <w:r w:rsidR="001B06F4" w:rsidRPr="009150DC">
        <w:rPr>
          <w:lang w:val="en-AU"/>
        </w:rPr>
        <w:t xml:space="preserve"> by 2027</w:t>
      </w:r>
      <w:r w:rsidRPr="009150DC">
        <w:rPr>
          <w:lang w:val="en-AU"/>
        </w:rPr>
        <w:t>.</w:t>
      </w:r>
      <w:r w:rsidR="001B06F4" w:rsidRPr="009150DC">
        <w:rPr>
          <w:lang w:val="en-AU"/>
        </w:rPr>
        <w:t xml:space="preserve"> It also enables </w:t>
      </w:r>
      <w:r w:rsidR="001169D6">
        <w:rPr>
          <w:lang w:val="en-AU"/>
        </w:rPr>
        <w:t>improved</w:t>
      </w:r>
      <w:r w:rsidR="001169D6" w:rsidRPr="009150DC">
        <w:rPr>
          <w:lang w:val="en-AU"/>
        </w:rPr>
        <w:t xml:space="preserve"> </w:t>
      </w:r>
      <w:r w:rsidR="001B06F4" w:rsidRPr="009150DC">
        <w:rPr>
          <w:lang w:val="en-AU"/>
        </w:rPr>
        <w:t>coordination across disciplines and direct dialogue over funding between government and researchers.</w:t>
      </w:r>
    </w:p>
    <w:p w14:paraId="39489B0C" w14:textId="01FC1EDB" w:rsidR="004B083F" w:rsidRPr="009150DC" w:rsidRDefault="004B083F" w:rsidP="00615108">
      <w:pPr>
        <w:pStyle w:val="Heading4"/>
        <w:rPr>
          <w:lang w:val="en-AU"/>
        </w:rPr>
      </w:pPr>
      <w:bookmarkStart w:id="96" w:name="_Toc43996689"/>
      <w:bookmarkStart w:id="97" w:name="_Toc43999065"/>
      <w:r w:rsidRPr="009150DC">
        <w:rPr>
          <w:lang w:val="en-AU"/>
        </w:rPr>
        <w:lastRenderedPageBreak/>
        <w:t>An Australian perspective</w:t>
      </w:r>
      <w:bookmarkEnd w:id="96"/>
      <w:bookmarkEnd w:id="97"/>
    </w:p>
    <w:p w14:paraId="3170E35E" w14:textId="0C2C73E9" w:rsidR="004B083F" w:rsidRPr="009150DC" w:rsidRDefault="004B083F" w:rsidP="004B083F">
      <w:pPr>
        <w:rPr>
          <w:rFonts w:eastAsia="Microsoft New Tai Lue"/>
          <w:lang w:val="en-AU"/>
        </w:rPr>
      </w:pPr>
      <w:r w:rsidRPr="009150DC">
        <w:rPr>
          <w:rFonts w:eastAsia="Microsoft New Tai Lue"/>
          <w:lang w:val="en-AU"/>
        </w:rPr>
        <w:t xml:space="preserve">The role of </w:t>
      </w:r>
      <w:r w:rsidR="00DA6518" w:rsidRPr="009150DC">
        <w:rPr>
          <w:rFonts w:eastAsia="Microsoft New Tai Lue"/>
          <w:lang w:val="en-AU"/>
        </w:rPr>
        <w:t xml:space="preserve">the </w:t>
      </w:r>
      <w:r w:rsidR="003E51DA">
        <w:rPr>
          <w:rFonts w:eastAsia="Microsoft New Tai Lue"/>
          <w:lang w:val="en-AU"/>
        </w:rPr>
        <w:t>Commonwealth</w:t>
      </w:r>
      <w:r w:rsidR="00DA6518" w:rsidRPr="009150DC">
        <w:rPr>
          <w:rFonts w:eastAsia="Microsoft New Tai Lue"/>
          <w:lang w:val="en-AU"/>
        </w:rPr>
        <w:t xml:space="preserve"> </w:t>
      </w:r>
      <w:r w:rsidRPr="009150DC">
        <w:rPr>
          <w:rFonts w:eastAsia="Microsoft New Tai Lue"/>
          <w:lang w:val="en-AU"/>
        </w:rPr>
        <w:t xml:space="preserve">Government and its investment in the Australian ISR system has been the subject of numerous reviews </w:t>
      </w:r>
      <w:r w:rsidR="001169D6">
        <w:rPr>
          <w:rFonts w:eastAsia="Microsoft New Tai Lue"/>
          <w:lang w:val="en-AU"/>
        </w:rPr>
        <w:t>over</w:t>
      </w:r>
      <w:r w:rsidR="001169D6" w:rsidRPr="009150DC">
        <w:rPr>
          <w:rFonts w:eastAsia="Microsoft New Tai Lue"/>
          <w:lang w:val="en-AU"/>
        </w:rPr>
        <w:t xml:space="preserve"> </w:t>
      </w:r>
      <w:r w:rsidRPr="009150DC">
        <w:rPr>
          <w:rFonts w:eastAsia="Microsoft New Tai Lue"/>
          <w:lang w:val="en-AU"/>
        </w:rPr>
        <w:t>several decades, including Government</w:t>
      </w:r>
      <w:r w:rsidRPr="009150DC">
        <w:rPr>
          <w:rFonts w:eastAsia="Microsoft New Tai Lue"/>
          <w:lang w:val="en-AU"/>
        </w:rPr>
        <w:noBreakHyphen/>
        <w:t xml:space="preserve">commissioned reviews, </w:t>
      </w:r>
      <w:r w:rsidR="008B179B" w:rsidRPr="009150DC">
        <w:rPr>
          <w:rFonts w:eastAsia="Microsoft New Tai Lue"/>
          <w:lang w:val="en-AU"/>
        </w:rPr>
        <w:t>p</w:t>
      </w:r>
      <w:r w:rsidRPr="009150DC">
        <w:rPr>
          <w:rFonts w:eastAsia="Microsoft New Tai Lue"/>
          <w:lang w:val="en-AU"/>
        </w:rPr>
        <w:t xml:space="preserve">arliamentary inquiries, and independent assessments. Major strategic reviews have included the innovation and science mapping activities that led to </w:t>
      </w:r>
      <w:r w:rsidRPr="009150DC">
        <w:rPr>
          <w:rFonts w:eastAsia="Microsoft New Tai Lue"/>
          <w:i/>
          <w:lang w:val="en-AU"/>
        </w:rPr>
        <w:t>Backing Australia’s Ability</w:t>
      </w:r>
      <w:r w:rsidRPr="009150DC">
        <w:rPr>
          <w:rFonts w:eastAsia="Microsoft New Tai Lue"/>
          <w:lang w:val="en-AU"/>
        </w:rPr>
        <w:t xml:space="preserve"> </w:t>
      </w:r>
      <w:r w:rsidRPr="009150DC">
        <w:rPr>
          <w:rFonts w:eastAsia="Microsoft New Tai Lue"/>
          <w:i/>
          <w:lang w:val="en-AU"/>
        </w:rPr>
        <w:t>(1 &amp; 2)</w:t>
      </w:r>
      <w:r w:rsidRPr="009150DC">
        <w:rPr>
          <w:rStyle w:val="FootnoteReference"/>
          <w:rFonts w:eastAsia="Microsoft New Tai Lue"/>
          <w:i/>
          <w:lang w:val="en-AU"/>
        </w:rPr>
        <w:footnoteReference w:id="8"/>
      </w:r>
      <w:r w:rsidRPr="009150DC">
        <w:rPr>
          <w:rFonts w:eastAsia="Microsoft New Tai Lue"/>
          <w:i/>
          <w:lang w:val="en-AU"/>
        </w:rPr>
        <w:t xml:space="preserve"> </w:t>
      </w:r>
      <w:r w:rsidRPr="009150DC">
        <w:rPr>
          <w:rFonts w:eastAsia="Microsoft New Tai Lue"/>
          <w:lang w:val="en-AU"/>
        </w:rPr>
        <w:t>and independent reviews such as</w:t>
      </w:r>
      <w:r w:rsidRPr="009150DC">
        <w:rPr>
          <w:rFonts w:eastAsia="Microsoft New Tai Lue"/>
          <w:i/>
          <w:lang w:val="en-AU"/>
        </w:rPr>
        <w:t xml:space="preserve"> Venturous Australia</w:t>
      </w:r>
      <w:r w:rsidR="00435077" w:rsidRPr="009150DC">
        <w:rPr>
          <w:rFonts w:eastAsia="Microsoft New Tai Lue"/>
          <w:i/>
          <w:lang w:val="en-AU"/>
        </w:rPr>
        <w:t>,</w:t>
      </w:r>
      <w:r w:rsidRPr="009150DC">
        <w:rPr>
          <w:rStyle w:val="FootnoteReference"/>
          <w:rFonts w:eastAsia="Microsoft New Tai Lue"/>
          <w:i/>
          <w:lang w:val="en-AU"/>
        </w:rPr>
        <w:footnoteReference w:id="9"/>
      </w:r>
      <w:r w:rsidRPr="009150DC">
        <w:rPr>
          <w:rFonts w:eastAsia="Microsoft New Tai Lue"/>
          <w:lang w:val="en-AU"/>
        </w:rPr>
        <w:t xml:space="preserve"> and </w:t>
      </w:r>
      <w:r w:rsidR="00F46484" w:rsidRPr="009150DC">
        <w:rPr>
          <w:rFonts w:eastAsia="Microsoft New Tai Lue"/>
          <w:lang w:val="en-AU"/>
        </w:rPr>
        <w:t>Innovation and Science Australia’s (</w:t>
      </w:r>
      <w:r w:rsidRPr="009150DC">
        <w:rPr>
          <w:rFonts w:eastAsia="Microsoft New Tai Lue"/>
          <w:lang w:val="en-AU"/>
        </w:rPr>
        <w:t>ISA’s</w:t>
      </w:r>
      <w:r w:rsidR="00F46484" w:rsidRPr="009150DC">
        <w:rPr>
          <w:rFonts w:eastAsia="Microsoft New Tai Lue"/>
          <w:lang w:val="en-AU"/>
        </w:rPr>
        <w:t>)</w:t>
      </w:r>
      <w:r w:rsidRPr="009150DC">
        <w:rPr>
          <w:rFonts w:eastAsia="Microsoft New Tai Lue"/>
          <w:lang w:val="en-AU"/>
        </w:rPr>
        <w:t xml:space="preserve"> </w:t>
      </w:r>
      <w:r w:rsidRPr="009150DC">
        <w:rPr>
          <w:rFonts w:eastAsia="Microsoft New Tai Lue"/>
          <w:i/>
          <w:lang w:val="en-AU"/>
        </w:rPr>
        <w:t>Australia 2030: Prosperity through Innovation</w:t>
      </w:r>
      <w:r w:rsidR="00435077" w:rsidRPr="009150DC">
        <w:rPr>
          <w:rFonts w:eastAsia="Microsoft New Tai Lue"/>
          <w:lang w:val="en-AU"/>
        </w:rPr>
        <w:t>.</w:t>
      </w:r>
      <w:r w:rsidRPr="009150DC">
        <w:rPr>
          <w:rStyle w:val="FootnoteReference"/>
          <w:rFonts w:eastAsia="Microsoft New Tai Lue"/>
          <w:lang w:val="en-AU"/>
        </w:rPr>
        <w:footnoteReference w:id="10"/>
      </w:r>
      <w:r w:rsidRPr="009150DC">
        <w:rPr>
          <w:rFonts w:eastAsia="Microsoft New Tai Lue"/>
          <w:lang w:val="en-AU"/>
        </w:rPr>
        <w:t xml:space="preserve"> More recent reviews </w:t>
      </w:r>
      <w:r w:rsidR="007D57BE">
        <w:rPr>
          <w:rFonts w:eastAsia="Microsoft New Tai Lue"/>
          <w:lang w:val="en-AU"/>
        </w:rPr>
        <w:t xml:space="preserve">were </w:t>
      </w:r>
      <w:r w:rsidRPr="009150DC">
        <w:rPr>
          <w:rFonts w:eastAsia="Microsoft New Tai Lue"/>
          <w:lang w:val="en-AU"/>
        </w:rPr>
        <w:t xml:space="preserve">commissioned to focus on particular components of the system </w:t>
      </w:r>
      <w:r w:rsidR="00864B79">
        <w:rPr>
          <w:rFonts w:eastAsia="Microsoft New Tai Lue"/>
          <w:lang w:val="en-AU"/>
        </w:rPr>
        <w:t>includ</w:t>
      </w:r>
      <w:r w:rsidR="0031338D">
        <w:rPr>
          <w:rFonts w:eastAsia="Microsoft New Tai Lue"/>
          <w:lang w:val="en-AU"/>
        </w:rPr>
        <w:t>ing</w:t>
      </w:r>
      <w:r w:rsidRPr="009150DC">
        <w:rPr>
          <w:rFonts w:eastAsia="Microsoft New Tai Lue"/>
          <w:lang w:val="en-AU"/>
        </w:rPr>
        <w:t xml:space="preserve"> higher education research funding (Watt Review), health and medical research funding (the structural review of the National Health and Medical Research Council’s</w:t>
      </w:r>
      <w:r w:rsidR="00397B9E" w:rsidRPr="009150DC">
        <w:rPr>
          <w:rFonts w:eastAsia="Microsoft New Tai Lue"/>
          <w:lang w:val="en-AU"/>
        </w:rPr>
        <w:t xml:space="preserve"> (NHMRC) </w:t>
      </w:r>
      <w:r w:rsidRPr="009150DC">
        <w:rPr>
          <w:rFonts w:eastAsia="Microsoft New Tai Lue"/>
          <w:lang w:val="en-AU"/>
        </w:rPr>
        <w:t xml:space="preserve">grant programs), the Cooperative Research Centres </w:t>
      </w:r>
      <w:r w:rsidR="00397B9E" w:rsidRPr="009150DC">
        <w:rPr>
          <w:rFonts w:eastAsia="Microsoft New Tai Lue"/>
          <w:lang w:val="en-AU"/>
        </w:rPr>
        <w:t xml:space="preserve">(CRC) </w:t>
      </w:r>
      <w:r w:rsidRPr="009150DC">
        <w:rPr>
          <w:rFonts w:eastAsia="Microsoft New Tai Lue"/>
          <w:lang w:val="en-AU"/>
        </w:rPr>
        <w:t xml:space="preserve">program and the </w:t>
      </w:r>
      <w:r w:rsidR="00397B9E" w:rsidRPr="009150DC">
        <w:rPr>
          <w:rFonts w:eastAsia="Microsoft New Tai Lue"/>
          <w:lang w:val="en-AU"/>
        </w:rPr>
        <w:t>R</w:t>
      </w:r>
      <w:r w:rsidR="00B973FF" w:rsidRPr="009150DC">
        <w:rPr>
          <w:rFonts w:eastAsia="Microsoft New Tai Lue"/>
          <w:lang w:val="en-AU"/>
        </w:rPr>
        <w:t>esearch and Development Tax Incentive (R</w:t>
      </w:r>
      <w:r w:rsidR="00397B9E" w:rsidRPr="009150DC">
        <w:rPr>
          <w:rFonts w:eastAsia="Microsoft New Tai Lue"/>
          <w:lang w:val="en-AU"/>
        </w:rPr>
        <w:t>&amp;DTI</w:t>
      </w:r>
      <w:r w:rsidR="00B973FF" w:rsidRPr="009150DC">
        <w:rPr>
          <w:rFonts w:eastAsia="Microsoft New Tai Lue"/>
          <w:lang w:val="en-AU"/>
        </w:rPr>
        <w:t>)</w:t>
      </w:r>
      <w:r w:rsidRPr="009150DC">
        <w:rPr>
          <w:rFonts w:eastAsia="Microsoft New Tai Lue"/>
          <w:lang w:val="en-AU"/>
        </w:rPr>
        <w:t>. Each of these reviews has been considered by Government.</w:t>
      </w:r>
    </w:p>
    <w:p w14:paraId="03155E0B" w14:textId="6D48F55D" w:rsidR="00AA7C68" w:rsidRPr="009150DC" w:rsidRDefault="00C85AD5" w:rsidP="00EF1C1A">
      <w:pPr>
        <w:rPr>
          <w:rFonts w:eastAsia="Microsoft New Tai Lue"/>
          <w:lang w:val="en-AU"/>
        </w:rPr>
      </w:pPr>
      <w:r w:rsidRPr="009150DC">
        <w:rPr>
          <w:rFonts w:eastAsia="Microsoft New Tai Lue"/>
          <w:lang w:val="en-AU"/>
        </w:rPr>
        <w:t>T</w:t>
      </w:r>
      <w:r w:rsidR="007A1959" w:rsidRPr="009150DC">
        <w:rPr>
          <w:rFonts w:eastAsia="Microsoft New Tai Lue"/>
          <w:lang w:val="en-AU"/>
        </w:rPr>
        <w:t>he 2017 O</w:t>
      </w:r>
      <w:r w:rsidR="0074091B" w:rsidRPr="009150DC">
        <w:rPr>
          <w:rFonts w:eastAsia="Microsoft New Tai Lue"/>
          <w:lang w:val="en-AU"/>
        </w:rPr>
        <w:t xml:space="preserve">rganisation for </w:t>
      </w:r>
      <w:r w:rsidR="007A1959" w:rsidRPr="009150DC">
        <w:rPr>
          <w:rFonts w:eastAsia="Microsoft New Tai Lue"/>
          <w:lang w:val="en-AU"/>
        </w:rPr>
        <w:t>E</w:t>
      </w:r>
      <w:r w:rsidR="0074091B" w:rsidRPr="009150DC">
        <w:rPr>
          <w:rFonts w:eastAsia="Microsoft New Tai Lue"/>
          <w:lang w:val="en-AU"/>
        </w:rPr>
        <w:t xml:space="preserve">conomic </w:t>
      </w:r>
      <w:r w:rsidR="007A1959" w:rsidRPr="009150DC">
        <w:rPr>
          <w:rFonts w:eastAsia="Microsoft New Tai Lue"/>
          <w:lang w:val="en-AU"/>
        </w:rPr>
        <w:t>C</w:t>
      </w:r>
      <w:r w:rsidR="0074091B" w:rsidRPr="009150DC">
        <w:rPr>
          <w:rFonts w:eastAsia="Microsoft New Tai Lue"/>
          <w:lang w:val="en-AU"/>
        </w:rPr>
        <w:t>ooperation and Development (</w:t>
      </w:r>
      <w:r w:rsidR="007A1959" w:rsidRPr="009150DC">
        <w:rPr>
          <w:rFonts w:eastAsia="Microsoft New Tai Lue"/>
          <w:lang w:val="en-AU"/>
        </w:rPr>
        <w:t>OECD</w:t>
      </w:r>
      <w:r w:rsidR="0074091B" w:rsidRPr="009150DC">
        <w:rPr>
          <w:rFonts w:eastAsia="Microsoft New Tai Lue"/>
          <w:lang w:val="en-AU"/>
        </w:rPr>
        <w:t>)</w:t>
      </w:r>
      <w:r w:rsidR="007A1959" w:rsidRPr="009150DC">
        <w:rPr>
          <w:rFonts w:eastAsia="Microsoft New Tai Lue"/>
          <w:lang w:val="en-AU"/>
        </w:rPr>
        <w:t xml:space="preserve"> review of the Australian economy noted th</w:t>
      </w:r>
      <w:r w:rsidR="001873AF" w:rsidRPr="009150DC">
        <w:rPr>
          <w:rFonts w:eastAsia="Microsoft New Tai Lue"/>
          <w:lang w:val="en-AU"/>
        </w:rPr>
        <w:t>e complexity of</w:t>
      </w:r>
      <w:r w:rsidR="007A1959" w:rsidRPr="009150DC">
        <w:rPr>
          <w:rFonts w:eastAsia="Microsoft New Tai Lue"/>
          <w:lang w:val="en-AU"/>
        </w:rPr>
        <w:t xml:space="preserve"> Australia’s ISR</w:t>
      </w:r>
      <w:r w:rsidR="001873AF" w:rsidRPr="009150DC">
        <w:rPr>
          <w:rFonts w:eastAsia="Microsoft New Tai Lue"/>
          <w:lang w:val="en-AU"/>
        </w:rPr>
        <w:t xml:space="preserve"> system,</w:t>
      </w:r>
      <w:r w:rsidR="007A1959" w:rsidRPr="009150DC">
        <w:rPr>
          <w:rFonts w:eastAsia="Microsoft New Tai Lue"/>
          <w:lang w:val="en-AU"/>
        </w:rPr>
        <w:t xml:space="preserve"> with the involvement of several federal government departments and numerous councils, committees and boards.</w:t>
      </w:r>
      <w:r w:rsidR="00615108" w:rsidRPr="009150DC">
        <w:rPr>
          <w:rFonts w:eastAsia="Microsoft New Tai Lue"/>
          <w:lang w:val="en-AU"/>
        </w:rPr>
        <w:t xml:space="preserve"> The</w:t>
      </w:r>
      <w:r w:rsidR="007A1959" w:rsidRPr="009150DC">
        <w:rPr>
          <w:rFonts w:eastAsia="Microsoft New Tai Lue"/>
          <w:lang w:val="en-AU"/>
        </w:rPr>
        <w:t xml:space="preserve"> re</w:t>
      </w:r>
      <w:r w:rsidR="00530118" w:rsidRPr="009150DC">
        <w:rPr>
          <w:rFonts w:eastAsia="Microsoft New Tai Lue"/>
          <w:lang w:val="en-AU"/>
        </w:rPr>
        <w:t>port recommend</w:t>
      </w:r>
      <w:r w:rsidR="00615108" w:rsidRPr="009150DC">
        <w:rPr>
          <w:rFonts w:eastAsia="Microsoft New Tai Lue"/>
          <w:lang w:val="en-AU"/>
        </w:rPr>
        <w:t xml:space="preserve">s </w:t>
      </w:r>
      <w:r w:rsidR="007A1959" w:rsidRPr="009150DC">
        <w:rPr>
          <w:rFonts w:eastAsia="Microsoft New Tai Lue"/>
          <w:lang w:val="en-AU"/>
        </w:rPr>
        <w:t>a more integrated ‘whole-of-government’ approach to science, research and innovation</w:t>
      </w:r>
      <w:r w:rsidR="007D57BE">
        <w:rPr>
          <w:rFonts w:eastAsia="Microsoft New Tai Lue"/>
          <w:lang w:val="en-AU"/>
        </w:rPr>
        <w:t>,</w:t>
      </w:r>
      <w:r w:rsidR="007A1959" w:rsidRPr="009150DC">
        <w:rPr>
          <w:rFonts w:eastAsia="Microsoft New Tai Lue"/>
          <w:lang w:val="en-AU"/>
        </w:rPr>
        <w:t xml:space="preserve"> and consolidat</w:t>
      </w:r>
      <w:r w:rsidR="00615108" w:rsidRPr="009150DC">
        <w:rPr>
          <w:rFonts w:eastAsia="Microsoft New Tai Lue"/>
          <w:lang w:val="en-AU"/>
        </w:rPr>
        <w:t>ion of</w:t>
      </w:r>
      <w:r w:rsidR="007A1959" w:rsidRPr="009150DC">
        <w:rPr>
          <w:rFonts w:eastAsia="Microsoft New Tai Lue"/>
          <w:lang w:val="en-AU"/>
        </w:rPr>
        <w:t xml:space="preserve"> innovation support programs.</w:t>
      </w:r>
      <w:r w:rsidRPr="009150DC">
        <w:rPr>
          <w:rStyle w:val="FootnoteReference"/>
          <w:rFonts w:eastAsia="Microsoft New Tai Lue"/>
          <w:lang w:val="en-AU"/>
        </w:rPr>
        <w:footnoteReference w:id="11"/>
      </w:r>
      <w:r w:rsidR="00615108" w:rsidRPr="009150DC">
        <w:rPr>
          <w:rFonts w:eastAsia="Microsoft New Tai Lue"/>
          <w:lang w:val="en-AU"/>
        </w:rPr>
        <w:t xml:space="preserve"> </w:t>
      </w:r>
    </w:p>
    <w:p w14:paraId="37A60881" w14:textId="373FB7C0" w:rsidR="00136158" w:rsidRPr="009150DC" w:rsidRDefault="008949D7" w:rsidP="00EF1C1A">
      <w:pPr>
        <w:rPr>
          <w:rFonts w:eastAsia="Microsoft New Tai Lue"/>
          <w:lang w:val="en-AU"/>
        </w:rPr>
      </w:pPr>
      <w:r w:rsidRPr="009150DC">
        <w:rPr>
          <w:rFonts w:eastAsia="Microsoft New Tai Lue"/>
          <w:lang w:val="en-AU"/>
        </w:rPr>
        <w:t>Other studies of the Australian ISR system have contemplated b</w:t>
      </w:r>
      <w:r w:rsidR="00A462A1" w:rsidRPr="009150DC">
        <w:rPr>
          <w:rFonts w:eastAsia="Microsoft New Tai Lue"/>
          <w:lang w:val="en-AU"/>
        </w:rPr>
        <w:t>roader reforms to the overarching research investment coordination framework and whole</w:t>
      </w:r>
      <w:r w:rsidR="0031338D">
        <w:rPr>
          <w:rFonts w:eastAsia="Microsoft New Tai Lue"/>
          <w:lang w:val="en-AU"/>
        </w:rPr>
        <w:noBreakHyphen/>
      </w:r>
      <w:r w:rsidR="00A462A1" w:rsidRPr="009150DC">
        <w:rPr>
          <w:rFonts w:eastAsia="Microsoft New Tai Lue"/>
          <w:lang w:val="en-AU"/>
        </w:rPr>
        <w:t>of</w:t>
      </w:r>
      <w:r w:rsidR="0031338D">
        <w:rPr>
          <w:rFonts w:eastAsia="Microsoft New Tai Lue"/>
          <w:lang w:val="en-AU"/>
        </w:rPr>
        <w:noBreakHyphen/>
      </w:r>
      <w:r w:rsidR="00EF3069" w:rsidRPr="009150DC">
        <w:rPr>
          <w:rFonts w:eastAsia="Microsoft New Tai Lue"/>
          <w:lang w:val="en-AU"/>
        </w:rPr>
        <w:t>government evaluation processes</w:t>
      </w:r>
      <w:r w:rsidR="00A462A1" w:rsidRPr="009150DC">
        <w:rPr>
          <w:rFonts w:eastAsia="Microsoft New Tai Lue"/>
          <w:lang w:val="en-AU"/>
        </w:rPr>
        <w:t>.</w:t>
      </w:r>
      <w:r w:rsidR="0007186E" w:rsidRPr="009150DC">
        <w:rPr>
          <w:rFonts w:eastAsia="Microsoft New Tai Lue"/>
          <w:lang w:val="en-AU"/>
        </w:rPr>
        <w:t xml:space="preserve"> </w:t>
      </w:r>
      <w:r w:rsidR="00615108" w:rsidRPr="009150DC">
        <w:rPr>
          <w:rFonts w:eastAsia="Microsoft New Tai Lue"/>
          <w:lang w:val="en-AU"/>
        </w:rPr>
        <w:t>A</w:t>
      </w:r>
      <w:r w:rsidR="007F0EE2" w:rsidRPr="009150DC">
        <w:rPr>
          <w:rFonts w:eastAsia="Microsoft New Tai Lue"/>
          <w:lang w:val="en-AU"/>
        </w:rPr>
        <w:t xml:space="preserve"> </w:t>
      </w:r>
      <w:r w:rsidR="0007186E" w:rsidRPr="009150DC">
        <w:rPr>
          <w:rFonts w:eastAsia="Microsoft New Tai Lue"/>
          <w:lang w:val="en-AU"/>
        </w:rPr>
        <w:t>2018</w:t>
      </w:r>
      <w:r w:rsidR="007F0EE2" w:rsidRPr="009150DC">
        <w:rPr>
          <w:rFonts w:eastAsia="Microsoft New Tai Lue"/>
          <w:lang w:val="en-AU"/>
        </w:rPr>
        <w:t xml:space="preserve"> House of Representatives Inquiry </w:t>
      </w:r>
      <w:r w:rsidR="001873AF" w:rsidRPr="009150DC">
        <w:rPr>
          <w:rFonts w:eastAsia="Microsoft New Tai Lue"/>
          <w:lang w:val="en-AU"/>
        </w:rPr>
        <w:t xml:space="preserve">called for </w:t>
      </w:r>
      <w:r w:rsidR="0007186E" w:rsidRPr="009150DC">
        <w:rPr>
          <w:rFonts w:eastAsia="Microsoft New Tai Lue"/>
          <w:lang w:val="en-AU"/>
        </w:rPr>
        <w:t>greater oversight and coordination of Australia’s research investment, including</w:t>
      </w:r>
      <w:r w:rsidR="007D57BE">
        <w:rPr>
          <w:rFonts w:eastAsia="Microsoft New Tai Lue"/>
          <w:lang w:val="en-AU"/>
        </w:rPr>
        <w:t xml:space="preserve"> a</w:t>
      </w:r>
      <w:r w:rsidR="0007186E" w:rsidRPr="009150DC">
        <w:rPr>
          <w:rFonts w:eastAsia="Microsoft New Tai Lue"/>
          <w:lang w:val="en-AU"/>
        </w:rPr>
        <w:t xml:space="preserve"> </w:t>
      </w:r>
      <w:r w:rsidR="00C93F64" w:rsidRPr="009150DC">
        <w:rPr>
          <w:rFonts w:eastAsia="Microsoft New Tai Lue"/>
          <w:lang w:val="en-AU"/>
        </w:rPr>
        <w:t>strategic review of investment</w:t>
      </w:r>
      <w:r w:rsidR="007D57BE">
        <w:rPr>
          <w:rFonts w:eastAsia="Microsoft New Tai Lue"/>
          <w:lang w:val="en-AU"/>
        </w:rPr>
        <w:t>s</w:t>
      </w:r>
      <w:r w:rsidR="00C93F64" w:rsidRPr="009150DC">
        <w:rPr>
          <w:rFonts w:eastAsia="Microsoft New Tai Lue"/>
          <w:lang w:val="en-AU"/>
        </w:rPr>
        <w:t xml:space="preserve"> to identify research priorities, </w:t>
      </w:r>
      <w:r w:rsidR="0007186E" w:rsidRPr="009150DC">
        <w:rPr>
          <w:rFonts w:eastAsia="Microsoft New Tai Lue"/>
          <w:lang w:val="en-AU"/>
        </w:rPr>
        <w:t>better coordinat</w:t>
      </w:r>
      <w:r w:rsidR="0051678E">
        <w:rPr>
          <w:rFonts w:eastAsia="Microsoft New Tai Lue"/>
          <w:lang w:val="en-AU"/>
        </w:rPr>
        <w:t>ion of</w:t>
      </w:r>
      <w:r w:rsidR="0007186E" w:rsidRPr="009150DC">
        <w:rPr>
          <w:rFonts w:eastAsia="Microsoft New Tai Lue"/>
          <w:lang w:val="en-AU"/>
        </w:rPr>
        <w:t xml:space="preserve"> national and international research effort</w:t>
      </w:r>
      <w:r w:rsidR="0051678E">
        <w:rPr>
          <w:rFonts w:eastAsia="Microsoft New Tai Lue"/>
          <w:lang w:val="en-AU"/>
        </w:rPr>
        <w:t>s</w:t>
      </w:r>
      <w:r w:rsidR="00C93F64" w:rsidRPr="009150DC">
        <w:rPr>
          <w:rFonts w:eastAsia="Microsoft New Tai Lue"/>
          <w:lang w:val="en-AU"/>
        </w:rPr>
        <w:t>, and ensur</w:t>
      </w:r>
      <w:r w:rsidR="0051678E">
        <w:rPr>
          <w:rFonts w:eastAsia="Microsoft New Tai Lue"/>
          <w:lang w:val="en-AU"/>
        </w:rPr>
        <w:t>ing there is</w:t>
      </w:r>
      <w:r w:rsidR="00C93F64" w:rsidRPr="009150DC">
        <w:rPr>
          <w:rFonts w:eastAsia="Microsoft New Tai Lue"/>
          <w:lang w:val="en-AU"/>
        </w:rPr>
        <w:t xml:space="preserve"> adequate research across the research pipeline</w:t>
      </w:r>
      <w:r w:rsidR="0007186E" w:rsidRPr="009150DC">
        <w:rPr>
          <w:rFonts w:eastAsia="Microsoft New Tai Lue"/>
          <w:lang w:val="en-AU"/>
        </w:rPr>
        <w:t>.</w:t>
      </w:r>
      <w:r w:rsidR="0007186E" w:rsidRPr="009150DC">
        <w:rPr>
          <w:rStyle w:val="FootnoteReference"/>
          <w:rFonts w:eastAsia="Microsoft New Tai Lue"/>
          <w:lang w:val="en-AU"/>
        </w:rPr>
        <w:footnoteReference w:id="12"/>
      </w:r>
      <w:r w:rsidR="00D74CDA" w:rsidRPr="009150DC">
        <w:rPr>
          <w:rFonts w:eastAsia="Microsoft New Tai Lue"/>
          <w:lang w:val="en-AU"/>
        </w:rPr>
        <w:t xml:space="preserve"> </w:t>
      </w:r>
    </w:p>
    <w:p w14:paraId="6A9D0A7F" w14:textId="1C2F6AD9" w:rsidR="00F35E4B" w:rsidRPr="009150DC" w:rsidRDefault="00F35E4B" w:rsidP="00EF1C1A">
      <w:pPr>
        <w:rPr>
          <w:rFonts w:eastAsia="Microsoft New Tai Lue"/>
          <w:lang w:val="en-AU"/>
        </w:rPr>
      </w:pPr>
      <w:r w:rsidRPr="009150DC">
        <w:rPr>
          <w:rFonts w:eastAsia="Microsoft New Tai Lue"/>
          <w:lang w:val="en-AU"/>
        </w:rPr>
        <w:t xml:space="preserve">Australian ISR system </w:t>
      </w:r>
      <w:r w:rsidR="00C8735C">
        <w:rPr>
          <w:rFonts w:eastAsia="Microsoft New Tai Lue"/>
          <w:lang w:val="en-AU"/>
        </w:rPr>
        <w:t xml:space="preserve">investigations </w:t>
      </w:r>
      <w:r w:rsidRPr="009150DC">
        <w:rPr>
          <w:rFonts w:eastAsia="Microsoft New Tai Lue"/>
          <w:lang w:val="en-AU"/>
        </w:rPr>
        <w:t>have also focused on the degree and type of Government support</w:t>
      </w:r>
      <w:r w:rsidR="00C8735C">
        <w:rPr>
          <w:rFonts w:eastAsia="Microsoft New Tai Lue"/>
          <w:lang w:val="en-AU"/>
        </w:rPr>
        <w:t>,</w:t>
      </w:r>
      <w:r w:rsidRPr="009150DC">
        <w:rPr>
          <w:rFonts w:eastAsia="Microsoft New Tai Lue"/>
          <w:lang w:val="en-AU"/>
        </w:rPr>
        <w:t xml:space="preserve"> and </w:t>
      </w:r>
      <w:r w:rsidR="00C8735C">
        <w:rPr>
          <w:rFonts w:eastAsia="Microsoft New Tai Lue"/>
          <w:lang w:val="en-AU"/>
        </w:rPr>
        <w:t xml:space="preserve">the </w:t>
      </w:r>
      <w:r w:rsidRPr="009150DC">
        <w:rPr>
          <w:rFonts w:eastAsia="Microsoft New Tai Lue"/>
          <w:lang w:val="en-AU"/>
        </w:rPr>
        <w:t xml:space="preserve">delivery </w:t>
      </w:r>
      <w:r w:rsidR="00C8735C">
        <w:rPr>
          <w:rFonts w:eastAsia="Microsoft New Tai Lue"/>
          <w:lang w:val="en-AU"/>
        </w:rPr>
        <w:t xml:space="preserve">method </w:t>
      </w:r>
      <w:r w:rsidRPr="009150DC">
        <w:rPr>
          <w:rFonts w:eastAsia="Microsoft New Tai Lue"/>
          <w:lang w:val="en-AU"/>
        </w:rPr>
        <w:t>best suited to stimulat</w:t>
      </w:r>
      <w:r w:rsidR="00222230">
        <w:rPr>
          <w:rFonts w:eastAsia="Microsoft New Tai Lue"/>
          <w:lang w:val="en-AU"/>
        </w:rPr>
        <w:t>ing</w:t>
      </w:r>
      <w:r w:rsidRPr="009150DC">
        <w:rPr>
          <w:rFonts w:eastAsia="Microsoft New Tai Lue"/>
          <w:lang w:val="en-AU"/>
        </w:rPr>
        <w:t xml:space="preserve"> additional business </w:t>
      </w:r>
      <w:r w:rsidR="00EE69B1">
        <w:rPr>
          <w:rFonts w:eastAsia="Microsoft New Tai Lue"/>
          <w:lang w:val="en-AU"/>
        </w:rPr>
        <w:t>ISR</w:t>
      </w:r>
      <w:r w:rsidRPr="009150DC">
        <w:rPr>
          <w:rFonts w:eastAsia="Microsoft New Tai Lue"/>
          <w:lang w:val="en-AU"/>
        </w:rPr>
        <w:t>.</w:t>
      </w:r>
      <w:r w:rsidR="00EC76E5" w:rsidRPr="009150DC">
        <w:rPr>
          <w:rFonts w:eastAsia="Microsoft New Tai Lue"/>
          <w:lang w:val="en-AU"/>
        </w:rPr>
        <w:t xml:space="preserve"> Among a range of support measures, more recent investigations have focused on </w:t>
      </w:r>
      <w:r w:rsidR="00C8735C">
        <w:rPr>
          <w:rFonts w:eastAsia="Microsoft New Tai Lue"/>
          <w:lang w:val="en-AU"/>
        </w:rPr>
        <w:t>the</w:t>
      </w:r>
      <w:r w:rsidR="00EE69B1">
        <w:rPr>
          <w:rFonts w:eastAsia="Microsoft New Tai Lue"/>
          <w:lang w:val="en-AU"/>
        </w:rPr>
        <w:t xml:space="preserve"> </w:t>
      </w:r>
      <w:r w:rsidR="00EC76E5" w:rsidRPr="009150DC">
        <w:rPr>
          <w:rFonts w:eastAsia="Microsoft New Tai Lue"/>
          <w:lang w:val="en-AU"/>
        </w:rPr>
        <w:t>R</w:t>
      </w:r>
      <w:r w:rsidR="008D1A71" w:rsidRPr="009150DC">
        <w:rPr>
          <w:rFonts w:eastAsia="Microsoft New Tai Lue"/>
          <w:lang w:val="en-AU"/>
        </w:rPr>
        <w:t>&amp;</w:t>
      </w:r>
      <w:r w:rsidR="00D306AA">
        <w:rPr>
          <w:rFonts w:eastAsia="Microsoft New Tai Lue"/>
          <w:lang w:val="en-AU"/>
        </w:rPr>
        <w:t>DTI</w:t>
      </w:r>
      <w:r w:rsidR="00EE69B1">
        <w:rPr>
          <w:rFonts w:eastAsia="Microsoft New Tai Lue"/>
          <w:lang w:val="en-AU"/>
        </w:rPr>
        <w:t>,</w:t>
      </w:r>
      <w:r w:rsidR="00EC76E5" w:rsidRPr="009150DC">
        <w:rPr>
          <w:rFonts w:eastAsia="Microsoft New Tai Lue"/>
          <w:lang w:val="en-AU"/>
        </w:rPr>
        <w:t xml:space="preserve"> which is the Government’s largest single investment to support businesses undertaking</w:t>
      </w:r>
      <w:r w:rsidR="00EE69B1">
        <w:rPr>
          <w:rFonts w:eastAsia="Microsoft New Tai Lue"/>
          <w:lang w:val="en-AU"/>
        </w:rPr>
        <w:t xml:space="preserve"> Research and Development</w:t>
      </w:r>
      <w:r w:rsidR="00EC76E5" w:rsidRPr="009150DC">
        <w:rPr>
          <w:rFonts w:eastAsia="Microsoft New Tai Lue"/>
          <w:lang w:val="en-AU"/>
        </w:rPr>
        <w:t xml:space="preserve"> </w:t>
      </w:r>
      <w:r w:rsidR="00EE69B1">
        <w:rPr>
          <w:rFonts w:eastAsia="Microsoft New Tai Lue"/>
          <w:lang w:val="en-AU"/>
        </w:rPr>
        <w:t>(</w:t>
      </w:r>
      <w:r w:rsidR="00EC76E5" w:rsidRPr="009150DC">
        <w:rPr>
          <w:rFonts w:eastAsia="Microsoft New Tai Lue"/>
          <w:lang w:val="en-AU"/>
        </w:rPr>
        <w:t>R&amp;D</w:t>
      </w:r>
      <w:r w:rsidR="00EE69B1">
        <w:rPr>
          <w:rFonts w:eastAsia="Microsoft New Tai Lue"/>
          <w:lang w:val="en-AU"/>
        </w:rPr>
        <w:t>)</w:t>
      </w:r>
      <w:r w:rsidR="00EC76E5" w:rsidRPr="009150DC">
        <w:rPr>
          <w:rFonts w:eastAsia="Microsoft New Tai Lue"/>
          <w:lang w:val="en-AU"/>
        </w:rPr>
        <w:t xml:space="preserve">. </w:t>
      </w:r>
      <w:r w:rsidR="008D1A71" w:rsidRPr="009150DC">
        <w:rPr>
          <w:rFonts w:eastAsia="Microsoft New Tai Lue"/>
          <w:lang w:val="en-AU"/>
        </w:rPr>
        <w:t>A</w:t>
      </w:r>
      <w:r w:rsidR="00D01334" w:rsidRPr="009150DC">
        <w:rPr>
          <w:rFonts w:eastAsia="Microsoft New Tai Lue"/>
          <w:lang w:val="en-AU"/>
        </w:rPr>
        <w:t xml:space="preserve"> 2016</w:t>
      </w:r>
      <w:r w:rsidR="004B38AB" w:rsidRPr="009150DC">
        <w:rPr>
          <w:rFonts w:eastAsia="Microsoft New Tai Lue"/>
          <w:lang w:val="en-AU"/>
        </w:rPr>
        <w:t xml:space="preserve"> </w:t>
      </w:r>
      <w:r w:rsidR="008D1A71" w:rsidRPr="009150DC">
        <w:rPr>
          <w:rFonts w:eastAsia="Microsoft New Tai Lue"/>
          <w:lang w:val="en-AU"/>
        </w:rPr>
        <w:t xml:space="preserve">Review of the R&amp;DTI </w:t>
      </w:r>
      <w:r w:rsidR="004B38AB" w:rsidRPr="009150DC">
        <w:rPr>
          <w:rFonts w:eastAsia="Microsoft New Tai Lue"/>
          <w:lang w:val="en-AU"/>
        </w:rPr>
        <w:t xml:space="preserve">made a number of recommendations to </w:t>
      </w:r>
      <w:r w:rsidR="004B38AB" w:rsidRPr="009150DC">
        <w:rPr>
          <w:rFonts w:eastAsia="Microsoft New Tai Lue"/>
          <w:lang w:val="en-AU"/>
        </w:rPr>
        <w:lastRenderedPageBreak/>
        <w:t>improve the effectiveness, integrity and collaboration impact of the incentive</w:t>
      </w:r>
      <w:r w:rsidR="0074143E" w:rsidRPr="009150DC">
        <w:rPr>
          <w:rFonts w:eastAsia="Microsoft New Tai Lue"/>
          <w:lang w:val="en-AU"/>
        </w:rPr>
        <w:t>,</w:t>
      </w:r>
      <w:r w:rsidR="004B38AB" w:rsidRPr="009150DC">
        <w:rPr>
          <w:rStyle w:val="FootnoteReference"/>
          <w:rFonts w:eastAsia="Microsoft New Tai Lue"/>
          <w:lang w:val="en-AU"/>
        </w:rPr>
        <w:footnoteReference w:id="13"/>
      </w:r>
      <w:r w:rsidR="003439D0" w:rsidRPr="009150DC">
        <w:rPr>
          <w:rFonts w:eastAsia="Microsoft New Tai Lue"/>
          <w:lang w:val="en-AU"/>
        </w:rPr>
        <w:t xml:space="preserve"> </w:t>
      </w:r>
      <w:r w:rsidR="0074143E" w:rsidRPr="009150DC">
        <w:rPr>
          <w:rFonts w:eastAsia="Microsoft New Tai Lue"/>
          <w:lang w:val="en-AU"/>
        </w:rPr>
        <w:t xml:space="preserve">which were further refined in </w:t>
      </w:r>
      <w:r w:rsidR="00EC76E5" w:rsidRPr="009150DC">
        <w:rPr>
          <w:rFonts w:eastAsia="Microsoft New Tai Lue"/>
          <w:lang w:val="en-AU"/>
        </w:rPr>
        <w:t>ISA</w:t>
      </w:r>
      <w:r w:rsidR="003439D0" w:rsidRPr="009150DC">
        <w:rPr>
          <w:rFonts w:eastAsia="Microsoft New Tai Lue"/>
          <w:lang w:val="en-AU"/>
        </w:rPr>
        <w:t>’s</w:t>
      </w:r>
      <w:r w:rsidR="00EC76E5" w:rsidRPr="009150DC">
        <w:rPr>
          <w:rFonts w:eastAsia="Microsoft New Tai Lue"/>
          <w:lang w:val="en-AU"/>
        </w:rPr>
        <w:t xml:space="preserve"> 2030 </w:t>
      </w:r>
      <w:r w:rsidR="003439D0" w:rsidRPr="009150DC">
        <w:rPr>
          <w:rFonts w:eastAsia="Microsoft New Tai Lue"/>
          <w:lang w:val="en-AU"/>
        </w:rPr>
        <w:t>Plan</w:t>
      </w:r>
      <w:r w:rsidR="00C8735C">
        <w:rPr>
          <w:rFonts w:eastAsia="Microsoft New Tai Lue"/>
          <w:lang w:val="en-AU"/>
        </w:rPr>
        <w:t xml:space="preserve"> recommendations</w:t>
      </w:r>
      <w:r w:rsidR="003439D0" w:rsidRPr="009150DC">
        <w:rPr>
          <w:rFonts w:eastAsia="Microsoft New Tai Lue"/>
          <w:lang w:val="en-AU"/>
        </w:rPr>
        <w:t>.</w:t>
      </w:r>
      <w:r w:rsidR="003439D0" w:rsidRPr="009150DC">
        <w:rPr>
          <w:rStyle w:val="FootnoteReference"/>
          <w:rFonts w:eastAsia="Microsoft New Tai Lue"/>
          <w:lang w:val="en-AU"/>
        </w:rPr>
        <w:footnoteReference w:id="14"/>
      </w:r>
    </w:p>
    <w:p w14:paraId="3E73DE6E" w14:textId="7456AAC1" w:rsidR="00EA077E" w:rsidRPr="009150DC" w:rsidRDefault="00EF1C1A" w:rsidP="00DF0AC6">
      <w:pPr>
        <w:rPr>
          <w:lang w:val="en-AU"/>
        </w:rPr>
      </w:pPr>
      <w:r w:rsidRPr="009150DC">
        <w:rPr>
          <w:lang w:val="en-AU"/>
        </w:rPr>
        <w:t xml:space="preserve">Notwithstanding the many reviews and investigations into the </w:t>
      </w:r>
      <w:r w:rsidR="003E51DA">
        <w:rPr>
          <w:lang w:val="en-AU"/>
        </w:rPr>
        <w:t>Commonwealth</w:t>
      </w:r>
      <w:r w:rsidRPr="009150DC">
        <w:rPr>
          <w:lang w:val="en-AU"/>
        </w:rPr>
        <w:t xml:space="preserve"> Government’</w:t>
      </w:r>
      <w:r w:rsidR="00DD24FB">
        <w:rPr>
          <w:lang w:val="en-AU"/>
        </w:rPr>
        <w:t>s</w:t>
      </w:r>
      <w:r w:rsidRPr="009150DC">
        <w:rPr>
          <w:lang w:val="en-AU"/>
        </w:rPr>
        <w:t xml:space="preserve"> support of the ISR system, </w:t>
      </w:r>
      <w:r w:rsidR="00222230">
        <w:rPr>
          <w:lang w:val="en-AU"/>
        </w:rPr>
        <w:t xml:space="preserve">in 2017 </w:t>
      </w:r>
      <w:r w:rsidRPr="009150DC">
        <w:rPr>
          <w:lang w:val="en-AU"/>
        </w:rPr>
        <w:t xml:space="preserve">the Productivity Commission observed </w:t>
      </w:r>
      <w:r w:rsidR="00222230">
        <w:rPr>
          <w:lang w:val="en-AU"/>
        </w:rPr>
        <w:t xml:space="preserve">that </w:t>
      </w:r>
      <w:r w:rsidRPr="009150DC">
        <w:rPr>
          <w:lang w:val="en-AU"/>
        </w:rPr>
        <w:t>there were widespread and important economic, social and environmental benefits generated by Australia’s public</w:t>
      </w:r>
      <w:r w:rsidR="00C8735C">
        <w:rPr>
          <w:lang w:val="en-AU"/>
        </w:rPr>
        <w:t>ly</w:t>
      </w:r>
      <w:r w:rsidRPr="009150DC">
        <w:rPr>
          <w:lang w:val="en-AU"/>
        </w:rPr>
        <w:t xml:space="preserve"> fund</w:t>
      </w:r>
      <w:r w:rsidR="00C8735C">
        <w:rPr>
          <w:lang w:val="en-AU"/>
        </w:rPr>
        <w:t>ed</w:t>
      </w:r>
      <w:r w:rsidRPr="009150DC">
        <w:rPr>
          <w:lang w:val="en-AU"/>
        </w:rPr>
        <w:t xml:space="preserve"> science and innovation.</w:t>
      </w:r>
      <w:r w:rsidR="00DF0AC6" w:rsidRPr="009150DC">
        <w:rPr>
          <w:rStyle w:val="FootnoteReference"/>
          <w:lang w:val="en-AU"/>
        </w:rPr>
        <w:footnoteReference w:id="15"/>
      </w:r>
      <w:r w:rsidRPr="009150DC">
        <w:rPr>
          <w:lang w:val="en-AU"/>
        </w:rPr>
        <w:t xml:space="preserve"> The Commission noted that, on the basis of multiple strands of evidence, the benefits of public spending are likely to exceed the costs. The Commission was, however, not able to give a rigorous quantitative estimate of the returns noting that, given a host of measurement and methodological issues, it is not possible to provide anything other than broad estimates of the overall return </w:t>
      </w:r>
      <w:r w:rsidR="00222230">
        <w:rPr>
          <w:lang w:val="en-AU"/>
        </w:rPr>
        <w:t>on</w:t>
      </w:r>
      <w:r w:rsidRPr="009150DC">
        <w:rPr>
          <w:lang w:val="en-AU"/>
        </w:rPr>
        <w:t xml:space="preserve"> government contributions </w:t>
      </w:r>
      <w:r w:rsidR="00222230">
        <w:rPr>
          <w:lang w:val="en-AU"/>
        </w:rPr>
        <w:t>to</w:t>
      </w:r>
      <w:r w:rsidRPr="009150DC">
        <w:rPr>
          <w:lang w:val="en-AU"/>
        </w:rPr>
        <w:t xml:space="preserve"> ISR.</w:t>
      </w:r>
      <w:r w:rsidRPr="009150DC">
        <w:rPr>
          <w:rStyle w:val="FootnoteReference"/>
          <w:lang w:val="en-AU"/>
        </w:rPr>
        <w:footnoteReference w:id="16"/>
      </w:r>
    </w:p>
    <w:p w14:paraId="522101A7" w14:textId="0850DB1E" w:rsidR="00E93522" w:rsidRPr="009150DC" w:rsidRDefault="00C40516" w:rsidP="00E93522">
      <w:pPr>
        <w:pStyle w:val="Heading3"/>
        <w:rPr>
          <w:lang w:val="en-AU"/>
        </w:rPr>
      </w:pPr>
      <w:bookmarkStart w:id="98" w:name="_Toc34989515"/>
      <w:bookmarkStart w:id="99" w:name="_Toc35006799"/>
      <w:bookmarkStart w:id="100" w:name="_Toc35011734"/>
      <w:bookmarkStart w:id="101" w:name="_Toc35015761"/>
      <w:bookmarkStart w:id="102" w:name="_Toc35356372"/>
      <w:bookmarkStart w:id="103" w:name="_Toc42868659"/>
      <w:bookmarkStart w:id="104" w:name="_Toc42872679"/>
      <w:bookmarkStart w:id="105" w:name="_Toc43996690"/>
      <w:bookmarkStart w:id="106" w:name="_Toc43999066"/>
      <w:r w:rsidRPr="009150DC">
        <w:rPr>
          <w:lang w:val="en-AU"/>
        </w:rPr>
        <w:t>Who invests and performs R&amp;D in Australia</w:t>
      </w:r>
    </w:p>
    <w:p w14:paraId="574937D0" w14:textId="20838313" w:rsidR="00E93522" w:rsidRPr="009150DC" w:rsidRDefault="00222230" w:rsidP="00E93522">
      <w:pPr>
        <w:rPr>
          <w:lang w:val="en-AU"/>
        </w:rPr>
      </w:pPr>
      <w:r>
        <w:rPr>
          <w:lang w:val="en-AU"/>
        </w:rPr>
        <w:t>Based on</w:t>
      </w:r>
      <w:r w:rsidR="00E93522" w:rsidRPr="009150DC">
        <w:rPr>
          <w:lang w:val="en-AU"/>
        </w:rPr>
        <w:t xml:space="preserve"> A</w:t>
      </w:r>
      <w:r w:rsidR="00287E2A" w:rsidRPr="009150DC">
        <w:rPr>
          <w:lang w:val="en-AU"/>
        </w:rPr>
        <w:t xml:space="preserve">ustralian </w:t>
      </w:r>
      <w:r w:rsidR="00E93522" w:rsidRPr="009150DC">
        <w:rPr>
          <w:lang w:val="en-AU"/>
        </w:rPr>
        <w:t>B</w:t>
      </w:r>
      <w:r w:rsidR="00281903" w:rsidRPr="009150DC">
        <w:rPr>
          <w:lang w:val="en-AU"/>
        </w:rPr>
        <w:t>ureau</w:t>
      </w:r>
      <w:r w:rsidR="00287E2A" w:rsidRPr="009150DC">
        <w:rPr>
          <w:lang w:val="en-AU"/>
        </w:rPr>
        <w:t xml:space="preserve"> of </w:t>
      </w:r>
      <w:r w:rsidR="00E93522" w:rsidRPr="009150DC">
        <w:rPr>
          <w:lang w:val="en-AU"/>
        </w:rPr>
        <w:t>S</w:t>
      </w:r>
      <w:r w:rsidR="00287E2A" w:rsidRPr="009150DC">
        <w:rPr>
          <w:lang w:val="en-AU"/>
        </w:rPr>
        <w:t>tatistics (ABS)</w:t>
      </w:r>
      <w:r w:rsidR="00E93522" w:rsidRPr="009150DC">
        <w:rPr>
          <w:lang w:val="en-AU"/>
        </w:rPr>
        <w:t xml:space="preserve"> </w:t>
      </w:r>
      <w:r w:rsidR="00231B4E">
        <w:rPr>
          <w:lang w:val="en-AU"/>
        </w:rPr>
        <w:t>data</w:t>
      </w:r>
      <w:r>
        <w:rPr>
          <w:lang w:val="en-AU"/>
        </w:rPr>
        <w:t>,</w:t>
      </w:r>
      <w:r w:rsidR="00231B4E">
        <w:rPr>
          <w:lang w:val="en-AU"/>
        </w:rPr>
        <w:t xml:space="preserve"> I</w:t>
      </w:r>
      <w:r w:rsidR="00D33BEF">
        <w:rPr>
          <w:lang w:val="en-AU"/>
        </w:rPr>
        <w:t>I</w:t>
      </w:r>
      <w:r w:rsidR="00231B4E">
        <w:rPr>
          <w:lang w:val="en-AU"/>
        </w:rPr>
        <w:t xml:space="preserve">SA </w:t>
      </w:r>
      <w:r w:rsidR="00E93522" w:rsidRPr="009150DC">
        <w:rPr>
          <w:lang w:val="en-AU"/>
        </w:rPr>
        <w:t>estimates that R&amp;D exp</w:t>
      </w:r>
      <w:r w:rsidR="00231B4E">
        <w:rPr>
          <w:lang w:val="en-AU"/>
        </w:rPr>
        <w:t>enditure in Australia was $32.6 </w:t>
      </w:r>
      <w:r w:rsidR="00E93522" w:rsidRPr="009150DC">
        <w:rPr>
          <w:lang w:val="en-AU"/>
        </w:rPr>
        <w:t>billion in 2016–17</w:t>
      </w:r>
      <w:r w:rsidR="00CD4F0C">
        <w:rPr>
          <w:rStyle w:val="FootnoteReference"/>
          <w:lang w:val="en-AU"/>
        </w:rPr>
        <w:footnoteReference w:id="17"/>
      </w:r>
      <w:r w:rsidR="00E93522" w:rsidRPr="009150DC">
        <w:rPr>
          <w:lang w:val="en-AU"/>
        </w:rPr>
        <w:t>.</w:t>
      </w:r>
      <w:r w:rsidR="00914C90">
        <w:rPr>
          <w:lang w:val="en-AU"/>
        </w:rPr>
        <w:t xml:space="preserve"> </w:t>
      </w:r>
      <w:r w:rsidR="007B6964" w:rsidRPr="009150DC">
        <w:rPr>
          <w:lang w:val="en-AU"/>
        </w:rPr>
        <w:fldChar w:fldCharType="begin"/>
      </w:r>
      <w:r w:rsidR="007B6964" w:rsidRPr="009150DC">
        <w:rPr>
          <w:lang w:val="en-AU"/>
        </w:rPr>
        <w:instrText xml:space="preserve"> REF _Ref44312639 \h </w:instrText>
      </w:r>
      <w:r w:rsidR="007B6964" w:rsidRPr="009150DC">
        <w:rPr>
          <w:lang w:val="en-AU"/>
        </w:rPr>
      </w:r>
      <w:r w:rsidR="007B6964" w:rsidRPr="009150DC">
        <w:rPr>
          <w:lang w:val="en-AU"/>
        </w:rPr>
        <w:fldChar w:fldCharType="separate"/>
      </w:r>
      <w:r w:rsidR="000A3AE7" w:rsidRPr="009150DC">
        <w:rPr>
          <w:lang w:val="en-AU"/>
        </w:rPr>
        <w:t xml:space="preserve">Figure </w:t>
      </w:r>
      <w:r w:rsidR="000A3AE7">
        <w:rPr>
          <w:noProof/>
          <w:lang w:val="en-AU"/>
        </w:rPr>
        <w:t>1</w:t>
      </w:r>
      <w:r w:rsidR="007B6964" w:rsidRPr="009150DC">
        <w:rPr>
          <w:lang w:val="en-AU"/>
        </w:rPr>
        <w:fldChar w:fldCharType="end"/>
      </w:r>
      <w:r w:rsidR="007B6964" w:rsidRPr="009150DC">
        <w:rPr>
          <w:lang w:val="en-AU"/>
        </w:rPr>
        <w:t xml:space="preserve"> </w:t>
      </w:r>
      <w:r w:rsidR="00E93522" w:rsidRPr="009150DC">
        <w:rPr>
          <w:lang w:val="en-AU"/>
        </w:rPr>
        <w:t>shows the breakdown of this $32.6 billion by performer and funder across key</w:t>
      </w:r>
      <w:r w:rsidR="00C8735C">
        <w:rPr>
          <w:lang w:val="en-AU"/>
        </w:rPr>
        <w:t xml:space="preserve"> Australian</w:t>
      </w:r>
      <w:r w:rsidR="00E93522" w:rsidRPr="009150DC">
        <w:rPr>
          <w:lang w:val="en-AU"/>
        </w:rPr>
        <w:t xml:space="preserve"> R&amp;D entities. Note that this estimate </w:t>
      </w:r>
      <w:r w:rsidR="003E51DA">
        <w:rPr>
          <w:lang w:val="en-AU"/>
        </w:rPr>
        <w:t xml:space="preserve">solely </w:t>
      </w:r>
      <w:r w:rsidR="00E93522" w:rsidRPr="009150DC">
        <w:rPr>
          <w:lang w:val="en-AU"/>
        </w:rPr>
        <w:t>i</w:t>
      </w:r>
      <w:r>
        <w:rPr>
          <w:lang w:val="en-AU"/>
        </w:rPr>
        <w:t>ncludes</w:t>
      </w:r>
      <w:r w:rsidR="00D42522" w:rsidRPr="009150DC">
        <w:rPr>
          <w:lang w:val="en-AU"/>
        </w:rPr>
        <w:t xml:space="preserve"> R&amp;D</w:t>
      </w:r>
      <w:r w:rsidR="00E93522" w:rsidRPr="009150DC">
        <w:rPr>
          <w:lang w:val="en-AU"/>
        </w:rPr>
        <w:t>, and does not include non-R&amp;D innovation</w:t>
      </w:r>
      <w:r>
        <w:rPr>
          <w:lang w:val="en-AU"/>
        </w:rPr>
        <w:t xml:space="preserve"> expenditure</w:t>
      </w:r>
      <w:r w:rsidR="00E93522" w:rsidRPr="009150DC">
        <w:rPr>
          <w:lang w:val="en-AU"/>
        </w:rPr>
        <w:t>, which was estimated to be $15–19 billion in business alone</w:t>
      </w:r>
      <w:r w:rsidR="00D42522" w:rsidRPr="009150DC">
        <w:rPr>
          <w:lang w:val="en-AU"/>
        </w:rPr>
        <w:t xml:space="preserve"> in 2016–17</w:t>
      </w:r>
      <w:r w:rsidR="00E93522" w:rsidRPr="009150DC">
        <w:rPr>
          <w:lang w:val="en-AU"/>
        </w:rPr>
        <w:t>.</w:t>
      </w:r>
      <w:r w:rsidR="00E93522" w:rsidRPr="009150DC">
        <w:rPr>
          <w:rStyle w:val="FootnoteReference"/>
          <w:lang w:val="en-AU"/>
        </w:rPr>
        <w:footnoteReference w:id="18"/>
      </w:r>
      <w:r w:rsidR="00E93522" w:rsidRPr="009150DC">
        <w:rPr>
          <w:lang w:val="en-AU"/>
        </w:rPr>
        <w:t xml:space="preserve"> From </w:t>
      </w:r>
      <w:r w:rsidR="00C8735C">
        <w:rPr>
          <w:lang w:val="en-AU"/>
        </w:rPr>
        <w:t>these estimates</w:t>
      </w:r>
      <w:r>
        <w:rPr>
          <w:lang w:val="en-AU"/>
        </w:rPr>
        <w:t>,</w:t>
      </w:r>
      <w:r w:rsidR="00E93522" w:rsidRPr="009150DC">
        <w:rPr>
          <w:lang w:val="en-AU"/>
        </w:rPr>
        <w:t xml:space="preserve"> it can be seen that </w:t>
      </w:r>
      <w:r w:rsidR="00C8735C">
        <w:rPr>
          <w:lang w:val="en-AU"/>
        </w:rPr>
        <w:t xml:space="preserve">the </w:t>
      </w:r>
      <w:r w:rsidR="00E93522" w:rsidRPr="009150DC">
        <w:rPr>
          <w:lang w:val="en-AU"/>
        </w:rPr>
        <w:t xml:space="preserve">business and higher education </w:t>
      </w:r>
      <w:r w:rsidR="00C8735C">
        <w:rPr>
          <w:lang w:val="en-AU"/>
        </w:rPr>
        <w:t xml:space="preserve">sectors </w:t>
      </w:r>
      <w:r w:rsidR="00E93522" w:rsidRPr="009150DC">
        <w:rPr>
          <w:lang w:val="en-AU"/>
        </w:rPr>
        <w:t>perform most of the R&amp;D within Australia, w</w:t>
      </w:r>
      <w:r w:rsidR="00C8735C">
        <w:rPr>
          <w:lang w:val="en-AU"/>
        </w:rPr>
        <w:t>hile</w:t>
      </w:r>
      <w:r w:rsidR="00E93522" w:rsidRPr="009150DC">
        <w:rPr>
          <w:lang w:val="en-AU"/>
        </w:rPr>
        <w:t xml:space="preserve"> business </w:t>
      </w:r>
      <w:r w:rsidR="00C8735C">
        <w:rPr>
          <w:lang w:val="en-AU"/>
        </w:rPr>
        <w:t>are</w:t>
      </w:r>
      <w:r w:rsidR="00E93522" w:rsidRPr="009150DC">
        <w:rPr>
          <w:lang w:val="en-AU"/>
        </w:rPr>
        <w:t xml:space="preserve"> the primary funder</w:t>
      </w:r>
      <w:r w:rsidR="00FF7FC2" w:rsidRPr="009150DC">
        <w:rPr>
          <w:lang w:val="en-AU"/>
        </w:rPr>
        <w:t>, followed by the Commonwealth and general university funds</w:t>
      </w:r>
      <w:r w:rsidR="00E93522" w:rsidRPr="009150DC">
        <w:rPr>
          <w:lang w:val="en-AU"/>
        </w:rPr>
        <w:t>.</w:t>
      </w:r>
      <w:r w:rsidR="00FF7FC2" w:rsidRPr="009150DC">
        <w:rPr>
          <w:rStyle w:val="FootnoteReference"/>
          <w:lang w:val="en-AU"/>
        </w:rPr>
        <w:footnoteReference w:id="19"/>
      </w:r>
      <w:r w:rsidR="00E93522" w:rsidRPr="009150DC">
        <w:rPr>
          <w:lang w:val="en-AU"/>
        </w:rPr>
        <w:t xml:space="preserve"> Overlaying these data shows the majority </w:t>
      </w:r>
      <w:r w:rsidR="00C8735C">
        <w:rPr>
          <w:lang w:val="en-AU"/>
        </w:rPr>
        <w:t xml:space="preserve">of </w:t>
      </w:r>
      <w:r w:rsidR="00E93522" w:rsidRPr="009150DC">
        <w:rPr>
          <w:lang w:val="en-AU"/>
        </w:rPr>
        <w:t>R&amp;D performed by bu</w:t>
      </w:r>
      <w:r w:rsidR="00DF0AC6" w:rsidRPr="009150DC">
        <w:rPr>
          <w:lang w:val="en-AU"/>
        </w:rPr>
        <w:t>siness, the Commonwealth (i.e. publicly</w:t>
      </w:r>
      <w:r w:rsidR="00CF7DC6">
        <w:rPr>
          <w:lang w:val="en-AU"/>
        </w:rPr>
        <w:noBreakHyphen/>
      </w:r>
      <w:r w:rsidR="00DF0AC6" w:rsidRPr="009150DC">
        <w:rPr>
          <w:lang w:val="en-AU"/>
        </w:rPr>
        <w:t>funded research agencies; PFR</w:t>
      </w:r>
      <w:r w:rsidR="00E93522" w:rsidRPr="009150DC">
        <w:rPr>
          <w:lang w:val="en-AU"/>
        </w:rPr>
        <w:t xml:space="preserve">As) and the states and territories is funded by those respective sectors, with the Commonwealth also a substantial funder of higher education R&amp;D. </w:t>
      </w:r>
      <w:r w:rsidR="003E51DA">
        <w:rPr>
          <w:lang w:val="en-AU"/>
        </w:rPr>
        <w:t>W</w:t>
      </w:r>
      <w:r w:rsidR="00E93522" w:rsidRPr="009150DC">
        <w:rPr>
          <w:lang w:val="en-AU"/>
        </w:rPr>
        <w:t xml:space="preserve">hile the Commonwealth is a </w:t>
      </w:r>
      <w:r w:rsidR="00B71C9B" w:rsidRPr="009150DC">
        <w:rPr>
          <w:lang w:val="en-AU"/>
        </w:rPr>
        <w:t>substantial</w:t>
      </w:r>
      <w:r w:rsidR="00E93522" w:rsidRPr="009150DC">
        <w:rPr>
          <w:lang w:val="en-AU"/>
        </w:rPr>
        <w:t xml:space="preserve"> funder of R&amp;D in Australia (</w:t>
      </w:r>
      <w:r w:rsidR="00B71C9B" w:rsidRPr="009150DC">
        <w:rPr>
          <w:lang w:val="en-AU"/>
        </w:rPr>
        <w:t>19</w:t>
      </w:r>
      <w:r w:rsidR="00E93522" w:rsidRPr="009150DC">
        <w:rPr>
          <w:lang w:val="en-AU"/>
        </w:rPr>
        <w:t xml:space="preserve"> per cent), it is not a significant performer (7 per cent). </w:t>
      </w:r>
    </w:p>
    <w:p w14:paraId="2EEEFFBB" w14:textId="64BC259D" w:rsidR="00E93522" w:rsidRPr="009150DC" w:rsidRDefault="00590B0D" w:rsidP="00D42522">
      <w:pPr>
        <w:spacing w:after="0"/>
        <w:jc w:val="center"/>
        <w:rPr>
          <w:lang w:val="en-AU"/>
        </w:rPr>
      </w:pPr>
      <w:r w:rsidRPr="009150DC">
        <w:rPr>
          <w:noProof/>
          <w:lang w:val="en-AU" w:eastAsia="en-AU"/>
        </w:rPr>
        <w:lastRenderedPageBreak/>
        <w:drawing>
          <wp:inline distT="0" distB="0" distL="0" distR="0" wp14:anchorId="1679FEBF" wp14:editId="668CE1F0">
            <wp:extent cx="4950460" cy="5810250"/>
            <wp:effectExtent l="0" t="0" r="2540" b="0"/>
            <wp:docPr id="18" name="Picture 18" descr="In 2016-17 R&amp;D expenditure (exclusive of non-R&amp;D innovation) in Australia was estimated at $32.6 billion. Figure 1 breaks this expenditure down by performer and funder. Business and higher education sectors perform most of the R&amp;D within Australia, while business are the primary funder, followed by the Commonwealth and general university funds. The majority of R&amp;D is performed by business, the Commonwealth and the states and territories is funded by those respective sectors, with the Commonwealth also being a substantial funder of higher education R&amp;D." title="Figure 1 R&amp;D expenditure in Australia by performer and funder across sector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0460" cy="5810250"/>
                    </a:xfrm>
                    <a:prstGeom prst="rect">
                      <a:avLst/>
                    </a:prstGeom>
                    <a:noFill/>
                  </pic:spPr>
                </pic:pic>
              </a:graphicData>
            </a:graphic>
          </wp:inline>
        </w:drawing>
      </w:r>
    </w:p>
    <w:p w14:paraId="158617E6" w14:textId="3063BBA1" w:rsidR="00D42522" w:rsidRPr="009150DC" w:rsidRDefault="00E93522" w:rsidP="00087294">
      <w:pPr>
        <w:pStyle w:val="Caption"/>
        <w:keepNext w:val="0"/>
        <w:keepLines/>
        <w:spacing w:before="240" w:after="120"/>
        <w:rPr>
          <w:sz w:val="21"/>
          <w:lang w:val="en-AU"/>
        </w:rPr>
      </w:pPr>
      <w:r w:rsidRPr="009150DC">
        <w:rPr>
          <w:lang w:val="en-AU"/>
        </w:rPr>
        <w:t xml:space="preserve"> </w:t>
      </w:r>
      <w:bookmarkStart w:id="107" w:name="_Ref44312639"/>
      <w:r w:rsidRPr="009150DC">
        <w:rPr>
          <w:sz w:val="21"/>
          <w:lang w:val="en-AU"/>
        </w:rPr>
        <w:t xml:space="preserve">Figure </w:t>
      </w:r>
      <w:r w:rsidRPr="009150DC">
        <w:rPr>
          <w:sz w:val="21"/>
          <w:lang w:val="en-AU"/>
        </w:rPr>
        <w:fldChar w:fldCharType="begin"/>
      </w:r>
      <w:r w:rsidRPr="009150DC">
        <w:rPr>
          <w:sz w:val="21"/>
          <w:lang w:val="en-AU"/>
        </w:rPr>
        <w:instrText xml:space="preserve"> SEQ Figure \* ARABIC </w:instrText>
      </w:r>
      <w:r w:rsidRPr="009150DC">
        <w:rPr>
          <w:sz w:val="21"/>
          <w:lang w:val="en-AU"/>
        </w:rPr>
        <w:fldChar w:fldCharType="separate"/>
      </w:r>
      <w:r w:rsidR="000A3AE7">
        <w:rPr>
          <w:noProof/>
          <w:sz w:val="21"/>
          <w:lang w:val="en-AU"/>
        </w:rPr>
        <w:t>1</w:t>
      </w:r>
      <w:r w:rsidRPr="009150DC">
        <w:rPr>
          <w:sz w:val="21"/>
          <w:lang w:val="en-AU"/>
        </w:rPr>
        <w:fldChar w:fldCharType="end"/>
      </w:r>
      <w:bookmarkEnd w:id="107"/>
      <w:r w:rsidRPr="009150DC">
        <w:rPr>
          <w:sz w:val="21"/>
          <w:lang w:val="en-AU"/>
        </w:rPr>
        <w:t xml:space="preserve"> </w:t>
      </w:r>
      <w:r w:rsidR="00D42522" w:rsidRPr="009150DC">
        <w:rPr>
          <w:sz w:val="21"/>
          <w:lang w:val="en-AU"/>
        </w:rPr>
        <w:t>R&amp;D expenditure</w:t>
      </w:r>
      <w:r w:rsidRPr="009150DC">
        <w:rPr>
          <w:sz w:val="21"/>
          <w:lang w:val="en-AU"/>
        </w:rPr>
        <w:t xml:space="preserve"> in Australia by performer and funder across sectors, 2016</w:t>
      </w:r>
      <w:r w:rsidR="00D42522" w:rsidRPr="009150DC">
        <w:rPr>
          <w:sz w:val="21"/>
          <w:lang w:val="en-AU"/>
        </w:rPr>
        <w:t>–</w:t>
      </w:r>
      <w:r w:rsidRPr="009150DC">
        <w:rPr>
          <w:sz w:val="21"/>
          <w:lang w:val="en-AU"/>
        </w:rPr>
        <w:t>17</w:t>
      </w:r>
      <w:bookmarkStart w:id="108" w:name="_Ref56008799"/>
      <w:r w:rsidRPr="009150DC">
        <w:rPr>
          <w:rStyle w:val="FootnoteReference"/>
          <w:lang w:val="en-AU"/>
        </w:rPr>
        <w:footnoteReference w:id="20"/>
      </w:r>
      <w:bookmarkEnd w:id="108"/>
    </w:p>
    <w:p w14:paraId="24153D17" w14:textId="10EC53AE" w:rsidR="00E13DC9" w:rsidRPr="009150DC" w:rsidRDefault="00E13DC9" w:rsidP="00E13DC9">
      <w:pPr>
        <w:rPr>
          <w:lang w:val="en-AU"/>
        </w:rPr>
      </w:pPr>
      <w:r w:rsidRPr="009150DC">
        <w:rPr>
          <w:lang w:val="en-AU"/>
        </w:rPr>
        <w:t>State</w:t>
      </w:r>
      <w:r w:rsidR="007B6964" w:rsidRPr="009150DC">
        <w:rPr>
          <w:lang w:val="en-AU"/>
        </w:rPr>
        <w:t xml:space="preserve"> and territory governments </w:t>
      </w:r>
      <w:r w:rsidRPr="009150DC">
        <w:rPr>
          <w:lang w:val="en-AU"/>
        </w:rPr>
        <w:t xml:space="preserve">control a number of </w:t>
      </w:r>
      <w:r w:rsidR="00222230">
        <w:rPr>
          <w:lang w:val="en-AU"/>
        </w:rPr>
        <w:t xml:space="preserve">R&amp;D </w:t>
      </w:r>
      <w:r w:rsidRPr="009150DC">
        <w:rPr>
          <w:lang w:val="en-AU"/>
        </w:rPr>
        <w:t xml:space="preserve">policy levers to which the Commonwealth has limited access. </w:t>
      </w:r>
      <w:r w:rsidR="003E51DA">
        <w:rPr>
          <w:lang w:val="en-AU"/>
        </w:rPr>
        <w:t>S</w:t>
      </w:r>
      <w:r w:rsidRPr="009150DC">
        <w:rPr>
          <w:lang w:val="en-AU"/>
        </w:rPr>
        <w:t xml:space="preserve">tate and territory governments can provide valuable testing grounds for innovations in policy and practice that can be piloted in one jurisdiction and </w:t>
      </w:r>
      <w:r w:rsidR="00E10409">
        <w:rPr>
          <w:lang w:val="en-AU"/>
        </w:rPr>
        <w:lastRenderedPageBreak/>
        <w:t>subsequently</w:t>
      </w:r>
      <w:r w:rsidRPr="009150DC">
        <w:rPr>
          <w:lang w:val="en-AU"/>
        </w:rPr>
        <w:t xml:space="preserve"> rolled out more broadly</w:t>
      </w:r>
      <w:r w:rsidR="003E51DA">
        <w:rPr>
          <w:lang w:val="en-AU"/>
        </w:rPr>
        <w:t>,</w:t>
      </w:r>
      <w:r w:rsidRPr="009150DC">
        <w:rPr>
          <w:lang w:val="en-AU"/>
        </w:rPr>
        <w:t xml:space="preserve"> </w:t>
      </w:r>
      <w:r w:rsidR="00E10409">
        <w:rPr>
          <w:lang w:val="en-AU"/>
        </w:rPr>
        <w:t>if successful</w:t>
      </w:r>
      <w:r w:rsidRPr="009150DC">
        <w:rPr>
          <w:lang w:val="en-AU"/>
        </w:rPr>
        <w:t xml:space="preserve">. </w:t>
      </w:r>
      <w:r w:rsidR="00E10409">
        <w:rPr>
          <w:lang w:val="en-AU"/>
        </w:rPr>
        <w:t>They</w:t>
      </w:r>
      <w:r w:rsidRPr="009150DC">
        <w:rPr>
          <w:lang w:val="en-AU"/>
        </w:rPr>
        <w:t xml:space="preserve"> can also generate healthy competitive tensions that push strong performers to aim even higher. </w:t>
      </w:r>
    </w:p>
    <w:p w14:paraId="3E3ACA48" w14:textId="73FF0CCB" w:rsidR="00AF228D" w:rsidRPr="009150DC" w:rsidRDefault="007B6964" w:rsidP="00AF228D">
      <w:pPr>
        <w:rPr>
          <w:lang w:val="en-AU"/>
        </w:rPr>
      </w:pPr>
      <w:r w:rsidRPr="009150DC">
        <w:rPr>
          <w:lang w:val="en-AU"/>
        </w:rPr>
        <w:fldChar w:fldCharType="begin"/>
      </w:r>
      <w:r w:rsidRPr="009150DC">
        <w:rPr>
          <w:lang w:val="en-AU"/>
        </w:rPr>
        <w:instrText xml:space="preserve"> REF _Ref44312654 \h </w:instrText>
      </w:r>
      <w:r w:rsidRPr="009150DC">
        <w:rPr>
          <w:lang w:val="en-AU"/>
        </w:rPr>
      </w:r>
      <w:r w:rsidRPr="009150DC">
        <w:rPr>
          <w:lang w:val="en-AU"/>
        </w:rPr>
        <w:fldChar w:fldCharType="separate"/>
      </w:r>
      <w:r w:rsidR="000A3AE7" w:rsidRPr="009150DC">
        <w:rPr>
          <w:lang w:val="en-AU"/>
        </w:rPr>
        <w:t xml:space="preserve">Figure </w:t>
      </w:r>
      <w:r w:rsidR="000A3AE7">
        <w:rPr>
          <w:noProof/>
          <w:lang w:val="en-AU"/>
        </w:rPr>
        <w:t>2</w:t>
      </w:r>
      <w:r w:rsidRPr="009150DC">
        <w:rPr>
          <w:lang w:val="en-AU"/>
        </w:rPr>
        <w:fldChar w:fldCharType="end"/>
      </w:r>
      <w:r w:rsidRPr="009150DC">
        <w:rPr>
          <w:lang w:val="en-AU"/>
        </w:rPr>
        <w:t xml:space="preserve"> </w:t>
      </w:r>
      <w:r w:rsidR="00E13DC9" w:rsidRPr="009150DC">
        <w:rPr>
          <w:lang w:val="en-AU"/>
        </w:rPr>
        <w:t xml:space="preserve">shows the proportion of total R&amp;D expenditure in each jurisdiction (states and territories, and overseas) by various sectors. New South Wales and Victoria </w:t>
      </w:r>
      <w:r w:rsidR="00322D82">
        <w:rPr>
          <w:lang w:val="en-AU"/>
        </w:rPr>
        <w:t>have the highest</w:t>
      </w:r>
      <w:r w:rsidR="00E13DC9" w:rsidRPr="009150DC">
        <w:rPr>
          <w:lang w:val="en-AU"/>
        </w:rPr>
        <w:t xml:space="preserve"> overall R&amp;D expenditure, followed by Queensland and Western Australia. The business sector is driving a significant proportion of this R&amp;D, followed by the higher education sector. Most </w:t>
      </w:r>
      <w:r w:rsidR="00322D82">
        <w:rPr>
          <w:lang w:val="en-AU"/>
        </w:rPr>
        <w:t>p</w:t>
      </w:r>
      <w:r w:rsidR="00E13DC9" w:rsidRPr="009150DC">
        <w:rPr>
          <w:lang w:val="en-AU"/>
        </w:rPr>
        <w:t xml:space="preserve">rivate </w:t>
      </w:r>
      <w:r w:rsidR="00322D82">
        <w:rPr>
          <w:lang w:val="en-AU"/>
        </w:rPr>
        <w:t>n</w:t>
      </w:r>
      <w:r w:rsidR="00E13DC9" w:rsidRPr="009150DC">
        <w:rPr>
          <w:lang w:val="en-AU"/>
        </w:rPr>
        <w:t>ot</w:t>
      </w:r>
      <w:r w:rsidR="00322D82">
        <w:rPr>
          <w:lang w:val="en-AU"/>
        </w:rPr>
        <w:noBreakHyphen/>
      </w:r>
      <w:r w:rsidR="00E13DC9" w:rsidRPr="009150DC">
        <w:rPr>
          <w:lang w:val="en-AU"/>
        </w:rPr>
        <w:t>for</w:t>
      </w:r>
      <w:r w:rsidR="00322D82">
        <w:rPr>
          <w:lang w:val="en-AU"/>
        </w:rPr>
        <w:noBreakHyphen/>
        <w:t>p</w:t>
      </w:r>
      <w:r w:rsidR="00E13DC9" w:rsidRPr="009150DC">
        <w:rPr>
          <w:lang w:val="en-AU"/>
        </w:rPr>
        <w:t>rofit R&amp;D expenditure occurs in Victoria and New South Wales.</w:t>
      </w:r>
    </w:p>
    <w:p w14:paraId="764A1354" w14:textId="5D793563" w:rsidR="00AF228D" w:rsidRPr="009150DC" w:rsidRDefault="00730F61" w:rsidP="00AF228D">
      <w:pPr>
        <w:jc w:val="center"/>
        <w:rPr>
          <w:lang w:val="en-AU"/>
        </w:rPr>
      </w:pPr>
      <w:r w:rsidRPr="009150DC">
        <w:rPr>
          <w:noProof/>
          <w:lang w:val="en-AU" w:eastAsia="en-AU"/>
        </w:rPr>
        <w:drawing>
          <wp:inline distT="0" distB="0" distL="0" distR="0" wp14:anchorId="5C20CCB4" wp14:editId="79295058">
            <wp:extent cx="5545847" cy="3191773"/>
            <wp:effectExtent l="0" t="0" r="0" b="8890"/>
            <wp:docPr id="20" name="Picture 20" descr="Figure 2 shows the proportion of total R&amp;D expenditure in each jurisdiction (states and territories, and overseas) by various sectors. New South Wales and Victoria have the highest overall R&amp;D expenditure, followed by Queensland and Western Australia. The business sector is driving a significant proportion of R&amp;D across all states and territories, followed by the higher education sector. &#10;The most R&amp;D expenditure occurs in NSW and Victoria, followed by Queensland and Western Australia.&#10;Most private not for profit R&amp;D expenditure occurs in Victoria and New South Wales." title="Figure 2 R&amp;D expenditure by location and sector,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916" t="12936" r="1032" b="13403"/>
                    <a:stretch/>
                  </pic:blipFill>
                  <pic:spPr bwMode="auto">
                    <a:xfrm>
                      <a:off x="0" y="0"/>
                      <a:ext cx="5547696" cy="3192837"/>
                    </a:xfrm>
                    <a:prstGeom prst="rect">
                      <a:avLst/>
                    </a:prstGeom>
                    <a:noFill/>
                    <a:ln>
                      <a:noFill/>
                    </a:ln>
                    <a:extLst>
                      <a:ext uri="{53640926-AAD7-44D8-BBD7-CCE9431645EC}">
                        <a14:shadowObscured xmlns:a14="http://schemas.microsoft.com/office/drawing/2010/main"/>
                      </a:ext>
                    </a:extLst>
                  </pic:spPr>
                </pic:pic>
              </a:graphicData>
            </a:graphic>
          </wp:inline>
        </w:drawing>
      </w:r>
    </w:p>
    <w:p w14:paraId="36549E34" w14:textId="1945946D" w:rsidR="00E93522" w:rsidRPr="009150DC" w:rsidRDefault="00E93522" w:rsidP="00E93522">
      <w:pPr>
        <w:pStyle w:val="Caption"/>
        <w:rPr>
          <w:lang w:val="en-AU"/>
        </w:rPr>
      </w:pPr>
      <w:bookmarkStart w:id="109" w:name="_Ref44312654"/>
      <w:r w:rsidRPr="009150DC">
        <w:rPr>
          <w:lang w:val="en-AU"/>
        </w:rPr>
        <w:t xml:space="preserve">Figure </w:t>
      </w:r>
      <w:r w:rsidRPr="009150DC">
        <w:rPr>
          <w:lang w:val="en-AU"/>
        </w:rPr>
        <w:fldChar w:fldCharType="begin"/>
      </w:r>
      <w:r w:rsidRPr="009150DC">
        <w:rPr>
          <w:lang w:val="en-AU"/>
        </w:rPr>
        <w:instrText xml:space="preserve"> SEQ Figure \* ARABIC </w:instrText>
      </w:r>
      <w:r w:rsidRPr="009150DC">
        <w:rPr>
          <w:lang w:val="en-AU"/>
        </w:rPr>
        <w:fldChar w:fldCharType="separate"/>
      </w:r>
      <w:r w:rsidR="000A3AE7">
        <w:rPr>
          <w:noProof/>
          <w:lang w:val="en-AU"/>
        </w:rPr>
        <w:t>2</w:t>
      </w:r>
      <w:r w:rsidRPr="009150DC">
        <w:rPr>
          <w:lang w:val="en-AU"/>
        </w:rPr>
        <w:fldChar w:fldCharType="end"/>
      </w:r>
      <w:bookmarkEnd w:id="109"/>
      <w:r w:rsidRPr="009150DC">
        <w:rPr>
          <w:lang w:val="en-AU"/>
        </w:rPr>
        <w:t xml:space="preserve"> R&amp;D expenditure by location and sector, 2016</w:t>
      </w:r>
      <w:r w:rsidR="00F66606" w:rsidRPr="009150DC">
        <w:rPr>
          <w:lang w:val="en-AU"/>
        </w:rPr>
        <w:t>–</w:t>
      </w:r>
      <w:r w:rsidRPr="009150DC">
        <w:rPr>
          <w:lang w:val="en-AU"/>
        </w:rPr>
        <w:t>17</w:t>
      </w:r>
      <w:r w:rsidRPr="009150DC">
        <w:rPr>
          <w:rStyle w:val="FootnoteReference"/>
          <w:lang w:val="en-AU"/>
        </w:rPr>
        <w:footnoteReference w:id="21"/>
      </w:r>
    </w:p>
    <w:p w14:paraId="636736AC" w14:textId="2A996B95" w:rsidR="002A2296" w:rsidRPr="009150DC" w:rsidRDefault="007B6964" w:rsidP="00E93522">
      <w:pPr>
        <w:rPr>
          <w:lang w:val="en-AU"/>
        </w:rPr>
      </w:pPr>
      <w:r w:rsidRPr="009150DC">
        <w:rPr>
          <w:lang w:val="en-AU"/>
        </w:rPr>
        <w:fldChar w:fldCharType="begin"/>
      </w:r>
      <w:r w:rsidRPr="009150DC">
        <w:rPr>
          <w:lang w:val="en-AU"/>
        </w:rPr>
        <w:instrText xml:space="preserve"> REF _Ref44312654 \h </w:instrText>
      </w:r>
      <w:r w:rsidRPr="009150DC">
        <w:rPr>
          <w:lang w:val="en-AU"/>
        </w:rPr>
      </w:r>
      <w:r w:rsidRPr="009150DC">
        <w:rPr>
          <w:lang w:val="en-AU"/>
        </w:rPr>
        <w:fldChar w:fldCharType="separate"/>
      </w:r>
      <w:r w:rsidR="000A3AE7" w:rsidRPr="009150DC">
        <w:rPr>
          <w:lang w:val="en-AU"/>
        </w:rPr>
        <w:t xml:space="preserve">Figure </w:t>
      </w:r>
      <w:r w:rsidR="000A3AE7">
        <w:rPr>
          <w:noProof/>
          <w:lang w:val="en-AU"/>
        </w:rPr>
        <w:t>2</w:t>
      </w:r>
      <w:r w:rsidRPr="009150DC">
        <w:rPr>
          <w:lang w:val="en-AU"/>
        </w:rPr>
        <w:fldChar w:fldCharType="end"/>
      </w:r>
      <w:r w:rsidRPr="009150DC">
        <w:rPr>
          <w:lang w:val="en-AU"/>
        </w:rPr>
        <w:t xml:space="preserve"> </w:t>
      </w:r>
      <w:r w:rsidR="000C4DA8" w:rsidRPr="009150DC">
        <w:rPr>
          <w:lang w:val="en-AU"/>
        </w:rPr>
        <w:t>provides insight into total government R&amp;D expenditure (Commonwealth and state and territory governments combined) by jurisdiction. Victoria, New South Wales and Queensland record</w:t>
      </w:r>
      <w:r w:rsidR="003E51DA">
        <w:rPr>
          <w:lang w:val="en-AU"/>
        </w:rPr>
        <w:t>ed</w:t>
      </w:r>
      <w:r w:rsidR="000C4DA8" w:rsidRPr="009150DC">
        <w:rPr>
          <w:lang w:val="en-AU"/>
        </w:rPr>
        <w:t xml:space="preserve"> the largest total government R&amp;D expenditure. </w:t>
      </w:r>
      <w:r w:rsidR="00F1091E" w:rsidRPr="009150DC">
        <w:rPr>
          <w:lang w:val="en-AU"/>
        </w:rPr>
        <w:t>Total government R&amp;D expenditure in Tasmania, Australian Capital Territory and South Australia is</w:t>
      </w:r>
      <w:r w:rsidR="005776F5" w:rsidRPr="009150DC">
        <w:rPr>
          <w:lang w:val="en-AU"/>
        </w:rPr>
        <w:t xml:space="preserve"> </w:t>
      </w:r>
      <w:r w:rsidR="00F1091E" w:rsidRPr="009150DC">
        <w:rPr>
          <w:lang w:val="en-AU"/>
        </w:rPr>
        <w:t xml:space="preserve">primarily </w:t>
      </w:r>
      <w:r w:rsidR="002A2296" w:rsidRPr="009150DC">
        <w:rPr>
          <w:lang w:val="en-AU"/>
        </w:rPr>
        <w:t>through the</w:t>
      </w:r>
      <w:r w:rsidR="00F1091E" w:rsidRPr="009150DC">
        <w:rPr>
          <w:lang w:val="en-AU"/>
        </w:rPr>
        <w:t xml:space="preserve"> Commonwealth Government (98 per cent, 96 per cent and 75 per cent, respectively), while </w:t>
      </w:r>
      <w:r w:rsidR="002A2296" w:rsidRPr="009150DC">
        <w:rPr>
          <w:lang w:val="en-AU"/>
        </w:rPr>
        <w:t>Queensland, Western Australia and the Northern Territory have the lowest proportion</w:t>
      </w:r>
      <w:r w:rsidR="005776F5" w:rsidRPr="009150DC">
        <w:rPr>
          <w:lang w:val="en-AU"/>
        </w:rPr>
        <w:t>s</w:t>
      </w:r>
      <w:r w:rsidR="002A2296" w:rsidRPr="009150DC">
        <w:rPr>
          <w:lang w:val="en-AU"/>
        </w:rPr>
        <w:t xml:space="preserve"> of Commonwealth Government funding (all approximately 45 per cent).</w:t>
      </w:r>
    </w:p>
    <w:p w14:paraId="45EAB059" w14:textId="0439605D" w:rsidR="00E93522" w:rsidRPr="009150DC" w:rsidRDefault="007B6964" w:rsidP="0036143C">
      <w:pPr>
        <w:rPr>
          <w:lang w:val="en-AU"/>
        </w:rPr>
      </w:pPr>
      <w:r w:rsidRPr="009150DC">
        <w:rPr>
          <w:lang w:val="en-AU"/>
        </w:rPr>
        <w:fldChar w:fldCharType="begin"/>
      </w:r>
      <w:r w:rsidRPr="009150DC">
        <w:rPr>
          <w:lang w:val="en-AU"/>
        </w:rPr>
        <w:instrText xml:space="preserve"> REF _Ref44312681 \h </w:instrText>
      </w:r>
      <w:r w:rsidRPr="009150DC">
        <w:rPr>
          <w:lang w:val="en-AU"/>
        </w:rPr>
      </w:r>
      <w:r w:rsidRPr="009150DC">
        <w:rPr>
          <w:lang w:val="en-AU"/>
        </w:rPr>
        <w:fldChar w:fldCharType="separate"/>
      </w:r>
      <w:r w:rsidR="000A3AE7" w:rsidRPr="009150DC">
        <w:rPr>
          <w:lang w:val="en-AU"/>
        </w:rPr>
        <w:t xml:space="preserve">Figure </w:t>
      </w:r>
      <w:r w:rsidR="000A3AE7">
        <w:rPr>
          <w:noProof/>
          <w:lang w:val="en-AU"/>
        </w:rPr>
        <w:t>3</w:t>
      </w:r>
      <w:r w:rsidRPr="009150DC">
        <w:rPr>
          <w:lang w:val="en-AU"/>
        </w:rPr>
        <w:fldChar w:fldCharType="end"/>
      </w:r>
      <w:r w:rsidRPr="009150DC">
        <w:rPr>
          <w:lang w:val="en-AU"/>
        </w:rPr>
        <w:t xml:space="preserve"> </w:t>
      </w:r>
      <w:r w:rsidR="00E93522" w:rsidRPr="009150DC">
        <w:rPr>
          <w:lang w:val="en-AU"/>
        </w:rPr>
        <w:t>shows the total R&amp;D expenditure in Australia</w:t>
      </w:r>
      <w:r w:rsidRPr="009150DC">
        <w:rPr>
          <w:lang w:val="en-AU"/>
        </w:rPr>
        <w:t>, with</w:t>
      </w:r>
      <w:r w:rsidR="00E93522" w:rsidRPr="009150DC">
        <w:rPr>
          <w:lang w:val="en-AU"/>
        </w:rPr>
        <w:t xml:space="preserve"> respect to </w:t>
      </w:r>
      <w:r w:rsidR="00322D82">
        <w:rPr>
          <w:lang w:val="en-AU"/>
        </w:rPr>
        <w:t>f</w:t>
      </w:r>
      <w:r w:rsidR="00E93522" w:rsidRPr="009150DC">
        <w:rPr>
          <w:lang w:val="en-AU"/>
        </w:rPr>
        <w:t xml:space="preserve">ield of </w:t>
      </w:r>
      <w:r w:rsidR="00322D82">
        <w:rPr>
          <w:lang w:val="en-AU"/>
        </w:rPr>
        <w:t>r</w:t>
      </w:r>
      <w:r w:rsidR="00E93522" w:rsidRPr="009150DC">
        <w:rPr>
          <w:lang w:val="en-AU"/>
        </w:rPr>
        <w:t>esearch (FOR)</w:t>
      </w:r>
      <w:r w:rsidR="00E93522" w:rsidRPr="009150DC">
        <w:rPr>
          <w:rStyle w:val="FootnoteReference"/>
          <w:lang w:val="en-AU"/>
        </w:rPr>
        <w:footnoteReference w:id="22"/>
      </w:r>
      <w:r w:rsidR="00E93522" w:rsidRPr="009150DC">
        <w:rPr>
          <w:lang w:val="en-AU"/>
        </w:rPr>
        <w:t xml:space="preserve"> and performing se</w:t>
      </w:r>
      <w:r w:rsidR="005B49B8" w:rsidRPr="009150DC">
        <w:rPr>
          <w:lang w:val="en-AU"/>
        </w:rPr>
        <w:t xml:space="preserve">ctor. </w:t>
      </w:r>
      <w:r w:rsidR="0003741E">
        <w:rPr>
          <w:lang w:val="en-AU"/>
        </w:rPr>
        <w:t>The fields of research which received the greatest proportion of</w:t>
      </w:r>
      <w:r w:rsidR="005B49B8" w:rsidRPr="009150DC">
        <w:rPr>
          <w:lang w:val="en-AU"/>
        </w:rPr>
        <w:t xml:space="preserve"> the $32</w:t>
      </w:r>
      <w:r w:rsidR="00562E5D">
        <w:rPr>
          <w:lang w:val="en-AU"/>
        </w:rPr>
        <w:t>.6</w:t>
      </w:r>
      <w:r w:rsidR="00322D82">
        <w:rPr>
          <w:lang w:val="en-AU"/>
        </w:rPr>
        <w:t> </w:t>
      </w:r>
      <w:r w:rsidR="005B49B8" w:rsidRPr="009150DC">
        <w:rPr>
          <w:lang w:val="en-AU"/>
        </w:rPr>
        <w:t>billion in R&amp;D</w:t>
      </w:r>
      <w:r w:rsidR="00E93522" w:rsidRPr="009150DC">
        <w:rPr>
          <w:lang w:val="en-AU"/>
        </w:rPr>
        <w:t xml:space="preserve"> expenditure in 2016</w:t>
      </w:r>
      <w:r w:rsidR="005B49B8" w:rsidRPr="009150DC">
        <w:rPr>
          <w:lang w:val="en-AU"/>
        </w:rPr>
        <w:t>–</w:t>
      </w:r>
      <w:r w:rsidR="00E93522" w:rsidRPr="009150DC">
        <w:rPr>
          <w:lang w:val="en-AU"/>
        </w:rPr>
        <w:t>17</w:t>
      </w:r>
      <w:r w:rsidR="0003741E">
        <w:rPr>
          <w:lang w:val="en-AU"/>
        </w:rPr>
        <w:t xml:space="preserve"> were</w:t>
      </w:r>
      <w:r w:rsidR="00E93522" w:rsidRPr="009150DC">
        <w:rPr>
          <w:lang w:val="en-AU"/>
        </w:rPr>
        <w:t xml:space="preserve"> information and computing sciences (</w:t>
      </w:r>
      <w:r w:rsidR="008E6B2A" w:rsidRPr="009150DC">
        <w:rPr>
          <w:lang w:val="en-AU"/>
        </w:rPr>
        <w:t>23</w:t>
      </w:r>
      <w:r w:rsidR="0003741E">
        <w:rPr>
          <w:lang w:val="en-AU"/>
        </w:rPr>
        <w:t> </w:t>
      </w:r>
      <w:r w:rsidR="008E6B2A" w:rsidRPr="009150DC">
        <w:rPr>
          <w:lang w:val="en-AU"/>
        </w:rPr>
        <w:t>per</w:t>
      </w:r>
      <w:r w:rsidR="0003741E">
        <w:rPr>
          <w:lang w:val="en-AU"/>
        </w:rPr>
        <w:t> </w:t>
      </w:r>
      <w:r w:rsidR="008E6B2A" w:rsidRPr="009150DC">
        <w:rPr>
          <w:lang w:val="en-AU"/>
        </w:rPr>
        <w:t>cent</w:t>
      </w:r>
      <w:r w:rsidR="00E93522" w:rsidRPr="009150DC">
        <w:rPr>
          <w:lang w:val="en-AU"/>
        </w:rPr>
        <w:t>), engineering (</w:t>
      </w:r>
      <w:r w:rsidR="008E6B2A" w:rsidRPr="009150DC">
        <w:rPr>
          <w:lang w:val="en-AU"/>
        </w:rPr>
        <w:t>19</w:t>
      </w:r>
      <w:r w:rsidR="00322D82">
        <w:rPr>
          <w:lang w:val="en-AU"/>
        </w:rPr>
        <w:t> </w:t>
      </w:r>
      <w:r w:rsidR="008E6B2A" w:rsidRPr="009150DC">
        <w:rPr>
          <w:lang w:val="en-AU"/>
        </w:rPr>
        <w:t>per</w:t>
      </w:r>
      <w:r w:rsidR="00322D82">
        <w:rPr>
          <w:lang w:val="en-AU"/>
        </w:rPr>
        <w:t> </w:t>
      </w:r>
      <w:r w:rsidR="008E6B2A" w:rsidRPr="009150DC">
        <w:rPr>
          <w:lang w:val="en-AU"/>
        </w:rPr>
        <w:t>cent</w:t>
      </w:r>
      <w:r w:rsidR="00E93522" w:rsidRPr="009150DC">
        <w:rPr>
          <w:lang w:val="en-AU"/>
        </w:rPr>
        <w:t>), medical and health sciences (</w:t>
      </w:r>
      <w:r w:rsidR="008E6B2A" w:rsidRPr="009150DC">
        <w:rPr>
          <w:lang w:val="en-AU"/>
        </w:rPr>
        <w:t>10</w:t>
      </w:r>
      <w:r w:rsidR="00322D82">
        <w:rPr>
          <w:lang w:val="en-AU"/>
        </w:rPr>
        <w:t> </w:t>
      </w:r>
      <w:r w:rsidR="008E6B2A" w:rsidRPr="009150DC">
        <w:rPr>
          <w:lang w:val="en-AU"/>
        </w:rPr>
        <w:t>per</w:t>
      </w:r>
      <w:r w:rsidR="00322D82">
        <w:rPr>
          <w:lang w:val="en-AU"/>
        </w:rPr>
        <w:t> </w:t>
      </w:r>
      <w:r w:rsidR="008E6B2A" w:rsidRPr="009150DC">
        <w:rPr>
          <w:lang w:val="en-AU"/>
        </w:rPr>
        <w:t>cent</w:t>
      </w:r>
      <w:r w:rsidR="00E93522" w:rsidRPr="009150DC">
        <w:rPr>
          <w:lang w:val="en-AU"/>
        </w:rPr>
        <w:t xml:space="preserve">), mathematical </w:t>
      </w:r>
      <w:r w:rsidR="00322D82">
        <w:rPr>
          <w:lang w:val="en-AU"/>
        </w:rPr>
        <w:t>s</w:t>
      </w:r>
      <w:r w:rsidR="00E93522" w:rsidRPr="009150DC">
        <w:rPr>
          <w:lang w:val="en-AU"/>
        </w:rPr>
        <w:t>ciences (</w:t>
      </w:r>
      <w:r w:rsidR="008E6B2A" w:rsidRPr="009150DC">
        <w:rPr>
          <w:lang w:val="en-AU"/>
        </w:rPr>
        <w:t>10 per cent</w:t>
      </w:r>
      <w:r w:rsidR="00E93522" w:rsidRPr="009150DC">
        <w:rPr>
          <w:lang w:val="en-AU"/>
        </w:rPr>
        <w:t>) and technology (</w:t>
      </w:r>
      <w:r w:rsidR="008E6B2A" w:rsidRPr="009150DC">
        <w:rPr>
          <w:lang w:val="en-AU"/>
        </w:rPr>
        <w:t>six per cent</w:t>
      </w:r>
      <w:r w:rsidR="00E93522" w:rsidRPr="009150DC">
        <w:rPr>
          <w:lang w:val="en-AU"/>
        </w:rPr>
        <w:t>).</w:t>
      </w:r>
    </w:p>
    <w:p w14:paraId="4E9EEFD8" w14:textId="20ED0DAF" w:rsidR="009D7515" w:rsidRPr="009150DC" w:rsidRDefault="009D7515" w:rsidP="00E93522">
      <w:pPr>
        <w:pStyle w:val="ListBullet"/>
        <w:ind w:firstLine="0"/>
        <w:rPr>
          <w:lang w:val="en-AU"/>
        </w:rPr>
      </w:pPr>
      <w:r w:rsidRPr="009150DC">
        <w:rPr>
          <w:noProof/>
          <w:lang w:val="en-AU" w:eastAsia="en-AU"/>
        </w:rPr>
        <w:lastRenderedPageBreak/>
        <w:drawing>
          <wp:inline distT="0" distB="0" distL="0" distR="0" wp14:anchorId="050DBED2" wp14:editId="5C61A54B">
            <wp:extent cx="5753594" cy="4500083"/>
            <wp:effectExtent l="0" t="0" r="0" b="0"/>
            <wp:docPr id="11" name="Picture 11" descr="Figure 3 shows the total R&amp;D expenditure in 2016-17 in Australia by field of research (FOR) and performing sector. The information and computing sciences (23 per cent), engineering (19 per cent), medical and health sciences (10 per cent), mathematical sciences (10 per cent) and technology (six per cent) fields of research received the most expenditure. Sectors vary in their FOR focus with respect to their priorities." title="Figure 3 Total R&amp;D expenditure: by field of research and performing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682" t="5787" r="581" b="14314"/>
                    <a:stretch/>
                  </pic:blipFill>
                  <pic:spPr bwMode="auto">
                    <a:xfrm>
                      <a:off x="0" y="0"/>
                      <a:ext cx="5754467" cy="4500766"/>
                    </a:xfrm>
                    <a:prstGeom prst="rect">
                      <a:avLst/>
                    </a:prstGeom>
                    <a:noFill/>
                    <a:ln>
                      <a:noFill/>
                    </a:ln>
                    <a:extLst>
                      <a:ext uri="{53640926-AAD7-44D8-BBD7-CCE9431645EC}">
                        <a14:shadowObscured xmlns:a14="http://schemas.microsoft.com/office/drawing/2010/main"/>
                      </a:ext>
                    </a:extLst>
                  </pic:spPr>
                </pic:pic>
              </a:graphicData>
            </a:graphic>
          </wp:inline>
        </w:drawing>
      </w:r>
    </w:p>
    <w:p w14:paraId="50E51E67" w14:textId="4D96A222" w:rsidR="00E93522" w:rsidRPr="009150DC" w:rsidRDefault="00E93522" w:rsidP="00E93522">
      <w:pPr>
        <w:pStyle w:val="Caption"/>
        <w:rPr>
          <w:lang w:val="en-AU"/>
        </w:rPr>
      </w:pPr>
      <w:bookmarkStart w:id="110" w:name="_Ref44312681"/>
      <w:r w:rsidRPr="009150DC">
        <w:rPr>
          <w:lang w:val="en-AU"/>
        </w:rPr>
        <w:t xml:space="preserve">Figure </w:t>
      </w:r>
      <w:r w:rsidRPr="009150DC">
        <w:rPr>
          <w:lang w:val="en-AU"/>
        </w:rPr>
        <w:fldChar w:fldCharType="begin"/>
      </w:r>
      <w:r w:rsidRPr="009150DC">
        <w:rPr>
          <w:lang w:val="en-AU"/>
        </w:rPr>
        <w:instrText xml:space="preserve"> SEQ Figure \* ARABIC </w:instrText>
      </w:r>
      <w:r w:rsidRPr="009150DC">
        <w:rPr>
          <w:lang w:val="en-AU"/>
        </w:rPr>
        <w:fldChar w:fldCharType="separate"/>
      </w:r>
      <w:r w:rsidR="000A3AE7">
        <w:rPr>
          <w:noProof/>
          <w:lang w:val="en-AU"/>
        </w:rPr>
        <w:t>3</w:t>
      </w:r>
      <w:r w:rsidRPr="009150DC">
        <w:rPr>
          <w:lang w:val="en-AU"/>
        </w:rPr>
        <w:fldChar w:fldCharType="end"/>
      </w:r>
      <w:bookmarkEnd w:id="110"/>
      <w:r w:rsidRPr="009150DC">
        <w:rPr>
          <w:lang w:val="en-AU"/>
        </w:rPr>
        <w:t xml:space="preserve"> Total R&amp;D expenditure: by </w:t>
      </w:r>
      <w:r w:rsidR="00516158" w:rsidRPr="009150DC">
        <w:rPr>
          <w:lang w:val="en-AU"/>
        </w:rPr>
        <w:t>field of research</w:t>
      </w:r>
      <w:r w:rsidRPr="009150DC">
        <w:rPr>
          <w:lang w:val="en-AU"/>
        </w:rPr>
        <w:t xml:space="preserve"> and performing sector</w:t>
      </w:r>
      <w:r w:rsidRPr="009150DC">
        <w:rPr>
          <w:rStyle w:val="FootnoteReference"/>
          <w:lang w:val="en-AU"/>
        </w:rPr>
        <w:footnoteReference w:id="23"/>
      </w:r>
    </w:p>
    <w:p w14:paraId="68B5D4B3" w14:textId="4FFB5CF1" w:rsidR="007B6964" w:rsidRPr="009150DC" w:rsidRDefault="00CD4F0C" w:rsidP="007B6964">
      <w:pPr>
        <w:rPr>
          <w:lang w:val="en-AU"/>
        </w:rPr>
      </w:pPr>
      <w:r>
        <w:rPr>
          <w:lang w:val="en-AU"/>
        </w:rPr>
        <w:fldChar w:fldCharType="begin"/>
      </w:r>
      <w:r>
        <w:rPr>
          <w:lang w:val="en-AU"/>
        </w:rPr>
        <w:instrText xml:space="preserve"> REF _Ref44312681 \h </w:instrText>
      </w:r>
      <w:r>
        <w:rPr>
          <w:lang w:val="en-AU"/>
        </w:rPr>
      </w:r>
      <w:r>
        <w:rPr>
          <w:lang w:val="en-AU"/>
        </w:rPr>
        <w:fldChar w:fldCharType="separate"/>
      </w:r>
      <w:r w:rsidR="000A3AE7" w:rsidRPr="009150DC">
        <w:rPr>
          <w:lang w:val="en-AU"/>
        </w:rPr>
        <w:t xml:space="preserve">Figure </w:t>
      </w:r>
      <w:r w:rsidR="000A3AE7">
        <w:rPr>
          <w:noProof/>
          <w:lang w:val="en-AU"/>
        </w:rPr>
        <w:t>3</w:t>
      </w:r>
      <w:r>
        <w:rPr>
          <w:lang w:val="en-AU"/>
        </w:rPr>
        <w:fldChar w:fldCharType="end"/>
      </w:r>
      <w:r>
        <w:rPr>
          <w:lang w:val="en-AU"/>
        </w:rPr>
        <w:t xml:space="preserve"> </w:t>
      </w:r>
      <w:r w:rsidR="007B6964" w:rsidRPr="009150DC">
        <w:rPr>
          <w:lang w:val="en-AU"/>
        </w:rPr>
        <w:t xml:space="preserve">illustrates </w:t>
      </w:r>
      <w:r w:rsidR="00C45747" w:rsidRPr="009150DC">
        <w:rPr>
          <w:lang w:val="en-AU"/>
        </w:rPr>
        <w:t>how</w:t>
      </w:r>
      <w:r w:rsidR="00072539" w:rsidRPr="009150DC">
        <w:rPr>
          <w:lang w:val="en-AU"/>
        </w:rPr>
        <w:t xml:space="preserve"> sectors vary</w:t>
      </w:r>
      <w:r w:rsidR="007B6964" w:rsidRPr="009150DC">
        <w:rPr>
          <w:lang w:val="en-AU"/>
        </w:rPr>
        <w:t xml:space="preserve"> in </w:t>
      </w:r>
      <w:r w:rsidR="00072539" w:rsidRPr="009150DC">
        <w:rPr>
          <w:lang w:val="en-AU"/>
        </w:rPr>
        <w:t xml:space="preserve">their </w:t>
      </w:r>
      <w:r w:rsidR="007B6964" w:rsidRPr="009150DC">
        <w:rPr>
          <w:lang w:val="en-AU"/>
        </w:rPr>
        <w:t xml:space="preserve">FOR focus with </w:t>
      </w:r>
      <w:r w:rsidR="00C45747" w:rsidRPr="009150DC">
        <w:rPr>
          <w:lang w:val="en-AU"/>
        </w:rPr>
        <w:t>respect to</w:t>
      </w:r>
      <w:r w:rsidR="007B6964" w:rsidRPr="009150DC">
        <w:rPr>
          <w:lang w:val="en-AU"/>
        </w:rPr>
        <w:t xml:space="preserve"> their priorities, </w:t>
      </w:r>
      <w:r w:rsidR="00C45747" w:rsidRPr="009150DC">
        <w:rPr>
          <w:lang w:val="en-AU"/>
        </w:rPr>
        <w:t>with</w:t>
      </w:r>
      <w:r w:rsidR="007B6964" w:rsidRPr="009150DC">
        <w:rPr>
          <w:lang w:val="en-AU"/>
        </w:rPr>
        <w:t xml:space="preserve"> higher education </w:t>
      </w:r>
      <w:r w:rsidR="00C45747" w:rsidRPr="009150DC">
        <w:rPr>
          <w:lang w:val="en-AU"/>
        </w:rPr>
        <w:t>being</w:t>
      </w:r>
      <w:r w:rsidR="007B6964" w:rsidRPr="009150DC">
        <w:rPr>
          <w:lang w:val="en-AU"/>
        </w:rPr>
        <w:t xml:space="preserve"> the only sector performing </w:t>
      </w:r>
      <w:r w:rsidR="00ED5048">
        <w:rPr>
          <w:lang w:val="en-AU"/>
        </w:rPr>
        <w:t>significant</w:t>
      </w:r>
      <w:r w:rsidR="007B6964" w:rsidRPr="009150DC">
        <w:rPr>
          <w:lang w:val="en-AU"/>
        </w:rPr>
        <w:t xml:space="preserve"> R&amp;D across all FORs. The business sector focus</w:t>
      </w:r>
      <w:r>
        <w:rPr>
          <w:lang w:val="en-AU"/>
        </w:rPr>
        <w:t>e</w:t>
      </w:r>
      <w:r w:rsidR="003E51DA">
        <w:rPr>
          <w:lang w:val="en-AU"/>
        </w:rPr>
        <w:t>d</w:t>
      </w:r>
      <w:r>
        <w:rPr>
          <w:lang w:val="en-AU"/>
        </w:rPr>
        <w:t xml:space="preserve"> </w:t>
      </w:r>
      <w:r w:rsidR="00322D82">
        <w:rPr>
          <w:lang w:val="en-AU"/>
        </w:rPr>
        <w:t>primarily</w:t>
      </w:r>
      <w:r w:rsidR="007B6964" w:rsidRPr="009150DC">
        <w:rPr>
          <w:lang w:val="en-AU"/>
        </w:rPr>
        <w:t xml:space="preserve"> on information and computing sciences (performing 91 per cent of all R&amp;D in this field), engineering (84 per cent), technology (79 per cent) and medical and health sciences (53 per cent). Conversely, the higher education sector </w:t>
      </w:r>
      <w:r w:rsidR="003E51DA">
        <w:rPr>
          <w:lang w:val="en-AU"/>
        </w:rPr>
        <w:t>wa</w:t>
      </w:r>
      <w:r w:rsidR="007B6964" w:rsidRPr="009150DC">
        <w:rPr>
          <w:lang w:val="en-AU"/>
        </w:rPr>
        <w:t xml:space="preserve">s the dominant </w:t>
      </w:r>
      <w:r w:rsidR="00322D82">
        <w:rPr>
          <w:lang w:val="en-AU"/>
        </w:rPr>
        <w:t>(</w:t>
      </w:r>
      <w:r w:rsidR="00322D82" w:rsidRPr="009150DC">
        <w:rPr>
          <w:lang w:val="en-AU"/>
        </w:rPr>
        <w:t>95 per cent</w:t>
      </w:r>
      <w:r w:rsidR="00322D82">
        <w:rPr>
          <w:lang w:val="en-AU"/>
        </w:rPr>
        <w:t xml:space="preserve">) </w:t>
      </w:r>
      <w:r w:rsidR="007B6964" w:rsidRPr="009150DC">
        <w:rPr>
          <w:lang w:val="en-AU"/>
        </w:rPr>
        <w:t>R&amp;D performer in mathematical sciences. A range of sectors contribute to medical and health sciences R&amp;D expenditure, with this area attracting the most private non-profit R&amp;D expenditure.</w:t>
      </w:r>
    </w:p>
    <w:p w14:paraId="22ADC6F9" w14:textId="5DA4908D" w:rsidR="007B6964" w:rsidRPr="009150DC" w:rsidRDefault="007B6964" w:rsidP="007B6964">
      <w:pPr>
        <w:rPr>
          <w:lang w:val="en-AU"/>
        </w:rPr>
      </w:pPr>
      <w:r w:rsidRPr="009150DC">
        <w:rPr>
          <w:lang w:val="en-AU"/>
        </w:rPr>
        <w:t>The FORs that attract the most Commonwealth R&amp;D expenditure are engineering (22 per cent of total Commonwealth expenditure), information and computing sciences (12 per cent), biological sciences (11 per cent), earth sciences (</w:t>
      </w:r>
      <w:r w:rsidR="002E7733" w:rsidRPr="009150DC">
        <w:rPr>
          <w:lang w:val="en-AU"/>
        </w:rPr>
        <w:t>nine</w:t>
      </w:r>
      <w:r w:rsidRPr="009150DC">
        <w:rPr>
          <w:lang w:val="en-AU"/>
        </w:rPr>
        <w:t> per cent), and agricultural and veterinary sciences (</w:t>
      </w:r>
      <w:r w:rsidR="002E7733" w:rsidRPr="009150DC">
        <w:rPr>
          <w:lang w:val="en-AU"/>
        </w:rPr>
        <w:t>eight</w:t>
      </w:r>
      <w:r w:rsidRPr="009150DC">
        <w:rPr>
          <w:lang w:val="en-AU"/>
        </w:rPr>
        <w:t xml:space="preserve"> per cent). </w:t>
      </w:r>
    </w:p>
    <w:p w14:paraId="00CC47EA" w14:textId="5E18BD0C" w:rsidR="00E93522" w:rsidRPr="009150DC" w:rsidRDefault="00E93522" w:rsidP="00E93522">
      <w:pPr>
        <w:pStyle w:val="Heading3"/>
        <w:rPr>
          <w:lang w:val="en-AU"/>
        </w:rPr>
      </w:pPr>
      <w:r w:rsidRPr="009150DC">
        <w:rPr>
          <w:lang w:val="en-AU"/>
        </w:rPr>
        <w:lastRenderedPageBreak/>
        <w:t xml:space="preserve">What is the </w:t>
      </w:r>
      <w:r w:rsidR="003E51DA">
        <w:rPr>
          <w:lang w:val="en-AU"/>
        </w:rPr>
        <w:t>Commonwealth</w:t>
      </w:r>
      <w:r w:rsidRPr="009150DC">
        <w:rPr>
          <w:lang w:val="en-AU"/>
        </w:rPr>
        <w:t xml:space="preserve"> Government’s investment in the ISR system?</w:t>
      </w:r>
    </w:p>
    <w:p w14:paraId="37EF7E1A" w14:textId="4EF8758D" w:rsidR="00E93522" w:rsidRPr="009150DC" w:rsidRDefault="00E93522" w:rsidP="00D7293B">
      <w:pPr>
        <w:spacing w:after="180"/>
        <w:rPr>
          <w:lang w:val="en-AU"/>
        </w:rPr>
      </w:pPr>
      <w:r w:rsidRPr="009150DC">
        <w:rPr>
          <w:lang w:val="en-AU"/>
        </w:rPr>
        <w:t>The Science, Resear</w:t>
      </w:r>
      <w:r w:rsidR="00BF6417" w:rsidRPr="009150DC">
        <w:rPr>
          <w:lang w:val="en-AU"/>
        </w:rPr>
        <w:t>ch and Innovation (SRI) Budget T</w:t>
      </w:r>
      <w:r w:rsidRPr="009150DC">
        <w:rPr>
          <w:lang w:val="en-AU"/>
        </w:rPr>
        <w:t>ables report the Government’s investment in R&amp;D, science and innovation. They provide time series data on the government’s investment in ISR and inform</w:t>
      </w:r>
      <w:r w:rsidR="00322D82">
        <w:rPr>
          <w:lang w:val="en-AU"/>
        </w:rPr>
        <w:t>ation</w:t>
      </w:r>
      <w:r w:rsidRPr="009150DC">
        <w:rPr>
          <w:lang w:val="en-AU"/>
        </w:rPr>
        <w:t xml:space="preserve"> on R&amp;D, science and innovation activities for government organisations. In 2019</w:t>
      </w:r>
      <w:r w:rsidR="00322D82">
        <w:rPr>
          <w:lang w:val="en-AU"/>
        </w:rPr>
        <w:t>–</w:t>
      </w:r>
      <w:r w:rsidRPr="009150DC">
        <w:rPr>
          <w:lang w:val="en-AU"/>
        </w:rPr>
        <w:t>20, the Government’s total investment in R&amp;D and innovation programs and activities is estimated to be $10.1</w:t>
      </w:r>
      <w:r w:rsidR="00322D82">
        <w:rPr>
          <w:lang w:val="en-AU"/>
        </w:rPr>
        <w:t> </w:t>
      </w:r>
      <w:r w:rsidRPr="009150DC">
        <w:rPr>
          <w:lang w:val="en-AU"/>
        </w:rPr>
        <w:t>billion.</w:t>
      </w:r>
      <w:r w:rsidRPr="009150DC">
        <w:rPr>
          <w:rStyle w:val="FootnoteReference"/>
          <w:lang w:val="en-AU"/>
        </w:rPr>
        <w:footnoteReference w:id="24"/>
      </w:r>
    </w:p>
    <w:p w14:paraId="278ED611" w14:textId="2C7A97C8" w:rsidR="00E93522" w:rsidRPr="009150DC" w:rsidRDefault="007B6964" w:rsidP="00D7293B">
      <w:pPr>
        <w:spacing w:after="180"/>
        <w:rPr>
          <w:lang w:val="en-AU"/>
        </w:rPr>
      </w:pPr>
      <w:r w:rsidRPr="009150DC">
        <w:rPr>
          <w:lang w:val="en-AU"/>
        </w:rPr>
        <w:fldChar w:fldCharType="begin"/>
      </w:r>
      <w:r w:rsidRPr="009150DC">
        <w:rPr>
          <w:lang w:val="en-AU"/>
        </w:rPr>
        <w:instrText xml:space="preserve"> REF _Ref44312743 \h </w:instrText>
      </w:r>
      <w:r w:rsidRPr="009150DC">
        <w:rPr>
          <w:lang w:val="en-AU"/>
        </w:rPr>
      </w:r>
      <w:r w:rsidRPr="009150DC">
        <w:rPr>
          <w:lang w:val="en-AU"/>
        </w:rPr>
        <w:fldChar w:fldCharType="separate"/>
      </w:r>
      <w:r w:rsidR="000A3AE7" w:rsidRPr="009150DC">
        <w:rPr>
          <w:lang w:val="en-AU"/>
        </w:rPr>
        <w:t xml:space="preserve">Figure </w:t>
      </w:r>
      <w:r w:rsidR="000A3AE7">
        <w:rPr>
          <w:noProof/>
          <w:lang w:val="en-AU"/>
        </w:rPr>
        <w:t>4</w:t>
      </w:r>
      <w:r w:rsidRPr="009150DC">
        <w:rPr>
          <w:lang w:val="en-AU"/>
        </w:rPr>
        <w:fldChar w:fldCharType="end"/>
      </w:r>
      <w:r w:rsidRPr="009150DC">
        <w:rPr>
          <w:lang w:val="en-AU"/>
        </w:rPr>
        <w:t xml:space="preserve"> </w:t>
      </w:r>
      <w:r w:rsidR="00E93522" w:rsidRPr="009150DC">
        <w:rPr>
          <w:lang w:val="en-AU"/>
        </w:rPr>
        <w:t>provides a high</w:t>
      </w:r>
      <w:r w:rsidR="007012D8">
        <w:rPr>
          <w:lang w:val="en-AU"/>
        </w:rPr>
        <w:noBreakHyphen/>
      </w:r>
      <w:r w:rsidR="00E93522" w:rsidRPr="009150DC">
        <w:rPr>
          <w:lang w:val="en-AU"/>
        </w:rPr>
        <w:t xml:space="preserve">level snapshot of the </w:t>
      </w:r>
      <w:r w:rsidR="003E51DA">
        <w:rPr>
          <w:lang w:val="en-AU"/>
        </w:rPr>
        <w:t>Commonwealth</w:t>
      </w:r>
      <w:r w:rsidR="00E93522" w:rsidRPr="009150DC">
        <w:rPr>
          <w:lang w:val="en-AU"/>
        </w:rPr>
        <w:t xml:space="preserve"> Government’s total ISR investment by program</w:t>
      </w:r>
      <w:r w:rsidR="00667E09" w:rsidRPr="009150DC">
        <w:rPr>
          <w:lang w:val="en-AU"/>
        </w:rPr>
        <w:t xml:space="preserve"> </w:t>
      </w:r>
      <w:r w:rsidR="007012D8">
        <w:rPr>
          <w:lang w:val="en-AU"/>
        </w:rPr>
        <w:t xml:space="preserve">and </w:t>
      </w:r>
      <w:r w:rsidR="00D04CC4" w:rsidRPr="009150DC">
        <w:rPr>
          <w:lang w:val="en-AU"/>
        </w:rPr>
        <w:t xml:space="preserve">the </w:t>
      </w:r>
      <w:r w:rsidR="00E93522" w:rsidRPr="009150DC">
        <w:rPr>
          <w:lang w:val="en-AU"/>
        </w:rPr>
        <w:t>socioeconomic objective</w:t>
      </w:r>
      <w:r w:rsidR="007012D8">
        <w:rPr>
          <w:lang w:val="en-AU"/>
        </w:rPr>
        <w:t>(</w:t>
      </w:r>
      <w:r w:rsidR="00D04CC4" w:rsidRPr="009150DC">
        <w:rPr>
          <w:lang w:val="en-AU"/>
        </w:rPr>
        <w:t>s</w:t>
      </w:r>
      <w:r w:rsidR="007012D8">
        <w:rPr>
          <w:lang w:val="en-AU"/>
        </w:rPr>
        <w:t>)</w:t>
      </w:r>
      <w:r w:rsidR="00D04CC4" w:rsidRPr="009150DC">
        <w:rPr>
          <w:lang w:val="en-AU"/>
        </w:rPr>
        <w:t xml:space="preserve"> each program delivers</w:t>
      </w:r>
      <w:r w:rsidR="00E93522" w:rsidRPr="009150DC">
        <w:rPr>
          <w:lang w:val="en-AU"/>
        </w:rPr>
        <w:t xml:space="preserve"> against.</w:t>
      </w:r>
      <w:r w:rsidR="00E93522" w:rsidRPr="009150DC">
        <w:rPr>
          <w:rStyle w:val="FootnoteReference"/>
          <w:lang w:val="en-AU"/>
        </w:rPr>
        <w:footnoteReference w:id="25"/>
      </w:r>
      <w:r w:rsidR="00667E09" w:rsidRPr="009150DC">
        <w:rPr>
          <w:lang w:val="en-AU"/>
        </w:rPr>
        <w:t xml:space="preserve"> </w:t>
      </w:r>
      <w:r w:rsidR="00D04CC4" w:rsidRPr="009150DC">
        <w:rPr>
          <w:lang w:val="en-AU"/>
        </w:rPr>
        <w:t>T</w:t>
      </w:r>
      <w:r w:rsidR="00E93522" w:rsidRPr="009150DC">
        <w:rPr>
          <w:lang w:val="en-AU"/>
        </w:rPr>
        <w:t xml:space="preserve">he Department of Industry, </w:t>
      </w:r>
      <w:r w:rsidR="00CC776E" w:rsidRPr="009150DC">
        <w:rPr>
          <w:lang w:val="en-AU"/>
        </w:rPr>
        <w:t xml:space="preserve">Science, Energy and Resources </w:t>
      </w:r>
      <w:r w:rsidR="00E93522" w:rsidRPr="009150DC">
        <w:rPr>
          <w:lang w:val="en-AU"/>
        </w:rPr>
        <w:t>(DI</w:t>
      </w:r>
      <w:r w:rsidR="00CC776E" w:rsidRPr="009150DC">
        <w:rPr>
          <w:lang w:val="en-AU"/>
        </w:rPr>
        <w:t>SER</w:t>
      </w:r>
      <w:r w:rsidR="00E93522" w:rsidRPr="009150DC">
        <w:rPr>
          <w:lang w:val="en-AU"/>
        </w:rPr>
        <w:t>) administers the largest proportion (</w:t>
      </w:r>
      <w:r w:rsidR="00930FDD" w:rsidRPr="009150DC">
        <w:rPr>
          <w:lang w:val="en-AU"/>
        </w:rPr>
        <w:t>40</w:t>
      </w:r>
      <w:r w:rsidR="00E93522" w:rsidRPr="009150DC">
        <w:rPr>
          <w:lang w:val="en-AU"/>
        </w:rPr>
        <w:t> per cent) of the Government’s total ISR investment. Th</w:t>
      </w:r>
      <w:r w:rsidR="00D04CC4" w:rsidRPr="009150DC">
        <w:rPr>
          <w:lang w:val="en-AU"/>
        </w:rPr>
        <w:t>is</w:t>
      </w:r>
      <w:r w:rsidR="00E93522" w:rsidRPr="009150DC">
        <w:rPr>
          <w:lang w:val="en-AU"/>
        </w:rPr>
        <w:t xml:space="preserve"> portfolio includes investment in programs relating to the </w:t>
      </w:r>
      <w:r w:rsidR="007012D8">
        <w:rPr>
          <w:lang w:val="en-AU"/>
        </w:rPr>
        <w:t>R&amp;DTI</w:t>
      </w:r>
      <w:r w:rsidR="00E93522" w:rsidRPr="009150DC">
        <w:rPr>
          <w:lang w:val="en-AU"/>
        </w:rPr>
        <w:t xml:space="preserve"> (refundable and non-refundable components), </w:t>
      </w:r>
      <w:r w:rsidR="00815727" w:rsidRPr="009150DC">
        <w:rPr>
          <w:lang w:val="en-AU"/>
        </w:rPr>
        <w:t>the CRC Program</w:t>
      </w:r>
      <w:r w:rsidR="00E93522" w:rsidRPr="009150DC">
        <w:rPr>
          <w:lang w:val="en-AU"/>
        </w:rPr>
        <w:t xml:space="preserve">, </w:t>
      </w:r>
      <w:r w:rsidR="009017A7">
        <w:rPr>
          <w:lang w:val="en-AU"/>
        </w:rPr>
        <w:t>and</w:t>
      </w:r>
      <w:r w:rsidR="00E93522" w:rsidRPr="009150DC">
        <w:rPr>
          <w:lang w:val="en-AU"/>
        </w:rPr>
        <w:t xml:space="preserve"> activities in </w:t>
      </w:r>
      <w:r w:rsidR="007012D8">
        <w:rPr>
          <w:lang w:val="en-AU"/>
        </w:rPr>
        <w:t xml:space="preserve">the </w:t>
      </w:r>
      <w:r w:rsidR="00E93522" w:rsidRPr="009150DC">
        <w:rPr>
          <w:lang w:val="en-AU"/>
        </w:rPr>
        <w:t>C</w:t>
      </w:r>
      <w:r w:rsidR="00EE1863" w:rsidRPr="009150DC">
        <w:rPr>
          <w:lang w:val="en-AU"/>
        </w:rPr>
        <w:t xml:space="preserve">ommonwealth </w:t>
      </w:r>
      <w:r w:rsidR="00E93522" w:rsidRPr="009150DC">
        <w:rPr>
          <w:lang w:val="en-AU"/>
        </w:rPr>
        <w:t>S</w:t>
      </w:r>
      <w:r w:rsidR="00EE1863" w:rsidRPr="009150DC">
        <w:rPr>
          <w:lang w:val="en-AU"/>
        </w:rPr>
        <w:t xml:space="preserve">cientific and Industrial Research </w:t>
      </w:r>
      <w:r w:rsidR="00E93522" w:rsidRPr="009150DC">
        <w:rPr>
          <w:lang w:val="en-AU"/>
        </w:rPr>
        <w:t>O</w:t>
      </w:r>
      <w:r w:rsidR="00EE1863" w:rsidRPr="009150DC">
        <w:rPr>
          <w:lang w:val="en-AU"/>
        </w:rPr>
        <w:t>rganisation (</w:t>
      </w:r>
      <w:r w:rsidR="00E93522" w:rsidRPr="009150DC">
        <w:rPr>
          <w:lang w:val="en-AU"/>
        </w:rPr>
        <w:t>CSIRO</w:t>
      </w:r>
      <w:r w:rsidR="00EE1863" w:rsidRPr="009150DC">
        <w:rPr>
          <w:lang w:val="en-AU"/>
        </w:rPr>
        <w:t>)</w:t>
      </w:r>
      <w:r w:rsidR="00E93522" w:rsidRPr="009150DC">
        <w:rPr>
          <w:lang w:val="en-AU"/>
        </w:rPr>
        <w:t>, A</w:t>
      </w:r>
      <w:r w:rsidR="00EE1863" w:rsidRPr="009150DC">
        <w:rPr>
          <w:lang w:val="en-AU"/>
        </w:rPr>
        <w:t xml:space="preserve">ustralian </w:t>
      </w:r>
      <w:r w:rsidR="00E93522" w:rsidRPr="009150DC">
        <w:rPr>
          <w:lang w:val="en-AU"/>
        </w:rPr>
        <w:t>N</w:t>
      </w:r>
      <w:r w:rsidR="00EE1863" w:rsidRPr="009150DC">
        <w:rPr>
          <w:lang w:val="en-AU"/>
        </w:rPr>
        <w:t xml:space="preserve">uclear </w:t>
      </w:r>
      <w:r w:rsidR="00E93522" w:rsidRPr="009150DC">
        <w:rPr>
          <w:lang w:val="en-AU"/>
        </w:rPr>
        <w:t>S</w:t>
      </w:r>
      <w:r w:rsidR="00EE1863" w:rsidRPr="009150DC">
        <w:rPr>
          <w:lang w:val="en-AU"/>
        </w:rPr>
        <w:t xml:space="preserve">cience and </w:t>
      </w:r>
      <w:r w:rsidR="00E93522" w:rsidRPr="009150DC">
        <w:rPr>
          <w:lang w:val="en-AU"/>
        </w:rPr>
        <w:t>T</w:t>
      </w:r>
      <w:r w:rsidR="00EE1863" w:rsidRPr="009150DC">
        <w:rPr>
          <w:lang w:val="en-AU"/>
        </w:rPr>
        <w:t xml:space="preserve">echnology </w:t>
      </w:r>
      <w:r w:rsidR="00E93522" w:rsidRPr="009150DC">
        <w:rPr>
          <w:lang w:val="en-AU"/>
        </w:rPr>
        <w:t>O</w:t>
      </w:r>
      <w:r w:rsidR="00EE1863" w:rsidRPr="009150DC">
        <w:rPr>
          <w:lang w:val="en-AU"/>
        </w:rPr>
        <w:t>rganisation (</w:t>
      </w:r>
      <w:r w:rsidR="00E93522" w:rsidRPr="009150DC">
        <w:rPr>
          <w:lang w:val="en-AU"/>
        </w:rPr>
        <w:t>ANSTO</w:t>
      </w:r>
      <w:r w:rsidR="00EE1863" w:rsidRPr="009150DC">
        <w:rPr>
          <w:lang w:val="en-AU"/>
        </w:rPr>
        <w:t>)</w:t>
      </w:r>
      <w:r w:rsidR="00930FDD" w:rsidRPr="009150DC">
        <w:rPr>
          <w:lang w:val="en-AU"/>
        </w:rPr>
        <w:t xml:space="preserve">, </w:t>
      </w:r>
      <w:r w:rsidR="00E93522" w:rsidRPr="009150DC">
        <w:rPr>
          <w:lang w:val="en-AU"/>
        </w:rPr>
        <w:t>Geoscience Australia</w:t>
      </w:r>
      <w:r w:rsidR="00930FDD" w:rsidRPr="009150DC">
        <w:rPr>
          <w:lang w:val="en-AU"/>
        </w:rPr>
        <w:t xml:space="preserve"> </w:t>
      </w:r>
      <w:r w:rsidR="00EE1863" w:rsidRPr="009150DC">
        <w:rPr>
          <w:lang w:val="en-AU"/>
        </w:rPr>
        <w:t xml:space="preserve">(GA) </w:t>
      </w:r>
      <w:r w:rsidR="00930FDD" w:rsidRPr="009150DC">
        <w:rPr>
          <w:lang w:val="en-AU"/>
        </w:rPr>
        <w:t>and Australian Renewable Energy Agency (ARENA)</w:t>
      </w:r>
      <w:r w:rsidR="00E93522" w:rsidRPr="009150DC">
        <w:rPr>
          <w:lang w:val="en-AU"/>
        </w:rPr>
        <w:t xml:space="preserve">. </w:t>
      </w:r>
    </w:p>
    <w:p w14:paraId="3CA2FDC3" w14:textId="443685A7" w:rsidR="00342EB6" w:rsidRPr="009150DC" w:rsidRDefault="00342EB6" w:rsidP="00D7293B">
      <w:pPr>
        <w:spacing w:after="180"/>
        <w:rPr>
          <w:lang w:val="en-AU"/>
        </w:rPr>
      </w:pPr>
      <w:r w:rsidRPr="009150DC">
        <w:rPr>
          <w:lang w:val="en-AU"/>
        </w:rPr>
        <w:t>The Department of Education, Skills and Employment (DESE) portfolio administers the next largest proportion of the total ISR investment</w:t>
      </w:r>
      <w:r w:rsidR="000B66B6">
        <w:rPr>
          <w:lang w:val="en-AU"/>
        </w:rPr>
        <w:t xml:space="preserve"> (</w:t>
      </w:r>
      <w:r w:rsidR="007012D8" w:rsidRPr="009150DC">
        <w:rPr>
          <w:lang w:val="en-AU"/>
        </w:rPr>
        <w:t>31 per cent</w:t>
      </w:r>
      <w:r w:rsidR="000B66B6">
        <w:rPr>
          <w:lang w:val="en-AU"/>
        </w:rPr>
        <w:t>)</w:t>
      </w:r>
      <w:r w:rsidRPr="009150DC">
        <w:rPr>
          <w:lang w:val="en-AU"/>
        </w:rPr>
        <w:t>. DESE’s portfolio investment includes the Research Training Program</w:t>
      </w:r>
      <w:r w:rsidR="000B66B6">
        <w:rPr>
          <w:lang w:val="en-AU"/>
        </w:rPr>
        <w:t>,</w:t>
      </w:r>
      <w:r w:rsidR="007012D8">
        <w:rPr>
          <w:lang w:val="en-AU"/>
        </w:rPr>
        <w:t xml:space="preserve"> </w:t>
      </w:r>
      <w:r w:rsidRPr="009150DC">
        <w:rPr>
          <w:lang w:val="en-AU"/>
        </w:rPr>
        <w:t>Research Support Program</w:t>
      </w:r>
      <w:r w:rsidR="007012D8">
        <w:rPr>
          <w:lang w:val="en-AU"/>
        </w:rPr>
        <w:t>,</w:t>
      </w:r>
      <w:r w:rsidRPr="009150DC">
        <w:rPr>
          <w:lang w:val="en-AU"/>
        </w:rPr>
        <w:t xml:space="preserve"> and </w:t>
      </w:r>
      <w:r w:rsidR="007012D8">
        <w:rPr>
          <w:lang w:val="en-AU"/>
        </w:rPr>
        <w:t xml:space="preserve">the </w:t>
      </w:r>
      <w:r w:rsidRPr="009150DC">
        <w:rPr>
          <w:lang w:val="en-AU"/>
        </w:rPr>
        <w:t>National Collaborative Research Infrastructure Strategy</w:t>
      </w:r>
      <w:r w:rsidR="002811C6" w:rsidRPr="009150DC">
        <w:rPr>
          <w:lang w:val="en-AU"/>
        </w:rPr>
        <w:t xml:space="preserve"> (NCRIS)</w:t>
      </w:r>
      <w:r w:rsidRPr="009150DC">
        <w:rPr>
          <w:lang w:val="en-AU"/>
        </w:rPr>
        <w:t>.</w:t>
      </w:r>
    </w:p>
    <w:p w14:paraId="53EDFD7A" w14:textId="32A21D78" w:rsidR="00342EB6" w:rsidRPr="009150DC" w:rsidRDefault="00342EB6" w:rsidP="00D7293B">
      <w:pPr>
        <w:spacing w:after="180"/>
        <w:rPr>
          <w:lang w:val="en-AU"/>
        </w:rPr>
      </w:pPr>
      <w:r w:rsidRPr="009150DC">
        <w:rPr>
          <w:lang w:val="en-AU"/>
        </w:rPr>
        <w:t xml:space="preserve">The remaining ISR investments are spread across a number of portfolios such as </w:t>
      </w:r>
      <w:r w:rsidR="009017A7">
        <w:rPr>
          <w:lang w:val="en-AU"/>
        </w:rPr>
        <w:t>the Department of</w:t>
      </w:r>
      <w:r w:rsidRPr="009150DC">
        <w:rPr>
          <w:lang w:val="en-AU"/>
        </w:rPr>
        <w:t xml:space="preserve"> Health (14 per cent), </w:t>
      </w:r>
      <w:r w:rsidR="009017A7">
        <w:rPr>
          <w:lang w:val="en-AU"/>
        </w:rPr>
        <w:t xml:space="preserve">Department of </w:t>
      </w:r>
      <w:r w:rsidRPr="009150DC">
        <w:rPr>
          <w:lang w:val="en-AU"/>
        </w:rPr>
        <w:t xml:space="preserve">Defence (six per cent), </w:t>
      </w:r>
      <w:r w:rsidR="009017A7">
        <w:rPr>
          <w:lang w:val="en-AU"/>
        </w:rPr>
        <w:t xml:space="preserve">Department of </w:t>
      </w:r>
      <w:r w:rsidRPr="009150DC">
        <w:rPr>
          <w:lang w:val="en-AU"/>
        </w:rPr>
        <w:t xml:space="preserve">Agriculture, Water and the Environment (six per cent), </w:t>
      </w:r>
      <w:r w:rsidR="009017A7">
        <w:rPr>
          <w:lang w:val="en-AU"/>
        </w:rPr>
        <w:t xml:space="preserve">Department of </w:t>
      </w:r>
      <w:r w:rsidRPr="009150DC">
        <w:rPr>
          <w:lang w:val="en-AU"/>
        </w:rPr>
        <w:t>Social Services (one per cent) and Department of Foreign Affairs and Trade (one per cent).</w:t>
      </w:r>
    </w:p>
    <w:p w14:paraId="3661F867" w14:textId="233D0EAC" w:rsidR="00342EB6" w:rsidRDefault="00342EB6" w:rsidP="00D7293B">
      <w:pPr>
        <w:spacing w:after="0"/>
        <w:rPr>
          <w:lang w:val="en-AU"/>
        </w:rPr>
      </w:pPr>
      <w:r w:rsidRPr="009150DC">
        <w:rPr>
          <w:lang w:val="en-AU"/>
        </w:rPr>
        <w:fldChar w:fldCharType="begin"/>
      </w:r>
      <w:r w:rsidRPr="009150DC">
        <w:rPr>
          <w:lang w:val="en-AU"/>
        </w:rPr>
        <w:instrText xml:space="preserve"> REF _Ref44312772 \h </w:instrText>
      </w:r>
      <w:r w:rsidRPr="009150DC">
        <w:rPr>
          <w:lang w:val="en-AU"/>
        </w:rPr>
      </w:r>
      <w:r w:rsidRPr="009150DC">
        <w:rPr>
          <w:lang w:val="en-AU"/>
        </w:rPr>
        <w:fldChar w:fldCharType="separate"/>
      </w:r>
      <w:r w:rsidR="000A3AE7" w:rsidRPr="009150DC">
        <w:rPr>
          <w:lang w:val="en-AU"/>
        </w:rPr>
        <w:t xml:space="preserve">Figure </w:t>
      </w:r>
      <w:r w:rsidR="000A3AE7">
        <w:rPr>
          <w:noProof/>
          <w:lang w:val="en-AU"/>
        </w:rPr>
        <w:t>4</w:t>
      </w:r>
      <w:r w:rsidRPr="009150DC">
        <w:rPr>
          <w:lang w:val="en-AU"/>
        </w:rPr>
        <w:fldChar w:fldCharType="end"/>
      </w:r>
      <w:r w:rsidRPr="009150DC">
        <w:rPr>
          <w:lang w:val="en-AU"/>
        </w:rPr>
        <w:t xml:space="preserve"> also illustrates the relative size of ISR investment programs in the </w:t>
      </w:r>
      <w:r w:rsidR="007012D8">
        <w:rPr>
          <w:lang w:val="en-AU"/>
        </w:rPr>
        <w:t>context of the overall</w:t>
      </w:r>
      <w:r w:rsidRPr="009150DC">
        <w:rPr>
          <w:lang w:val="en-AU"/>
        </w:rPr>
        <w:t xml:space="preserve"> ISR investment. The R&amp;DTI is the largest ISR investment activity funded by the Government, representing almost 20 per cent of </w:t>
      </w:r>
      <w:r w:rsidR="000B66B6">
        <w:rPr>
          <w:lang w:val="en-AU"/>
        </w:rPr>
        <w:t xml:space="preserve">the </w:t>
      </w:r>
      <w:r w:rsidRPr="009150DC">
        <w:rPr>
          <w:lang w:val="en-AU"/>
        </w:rPr>
        <w:t>total ISR investment. The R&amp;DTI also accounts for the majority (90 per cent) of the Government</w:t>
      </w:r>
      <w:r w:rsidR="00814AE0">
        <w:rPr>
          <w:lang w:val="en-AU"/>
        </w:rPr>
        <w:t xml:space="preserve">’s </w:t>
      </w:r>
      <w:r w:rsidR="00814AE0" w:rsidRPr="009150DC">
        <w:rPr>
          <w:lang w:val="en-AU"/>
        </w:rPr>
        <w:t>total</w:t>
      </w:r>
      <w:r w:rsidRPr="009150DC">
        <w:rPr>
          <w:lang w:val="en-AU"/>
        </w:rPr>
        <w:t xml:space="preserve"> ISR investment directed towards business. The NHMRC and M</w:t>
      </w:r>
      <w:r w:rsidR="002811C6" w:rsidRPr="009150DC">
        <w:rPr>
          <w:lang w:val="en-AU"/>
        </w:rPr>
        <w:t xml:space="preserve">edical </w:t>
      </w:r>
      <w:r w:rsidRPr="009150DC">
        <w:rPr>
          <w:lang w:val="en-AU"/>
        </w:rPr>
        <w:t>R</w:t>
      </w:r>
      <w:r w:rsidR="002811C6" w:rsidRPr="009150DC">
        <w:rPr>
          <w:lang w:val="en-AU"/>
        </w:rPr>
        <w:t xml:space="preserve">esearch </w:t>
      </w:r>
      <w:r w:rsidR="009017A7" w:rsidRPr="009150DC">
        <w:rPr>
          <w:lang w:val="en-AU"/>
        </w:rPr>
        <w:t>Future Fund (MRFF) are the two primary</w:t>
      </w:r>
      <w:r w:rsidR="000B66B6">
        <w:rPr>
          <w:lang w:val="en-AU"/>
        </w:rPr>
        <w:t xml:space="preserve"> Government ISR investment </w:t>
      </w:r>
      <w:r w:rsidR="009017A7" w:rsidRPr="009150DC">
        <w:rPr>
          <w:lang w:val="en-AU"/>
        </w:rPr>
        <w:t>programs supporting health and medical research</w:t>
      </w:r>
      <w:r w:rsidR="000B66B6">
        <w:rPr>
          <w:lang w:val="en-AU"/>
        </w:rPr>
        <w:t>,</w:t>
      </w:r>
      <w:r w:rsidR="009017A7" w:rsidRPr="009150DC">
        <w:rPr>
          <w:lang w:val="en-AU"/>
        </w:rPr>
        <w:t xml:space="preserve"> </w:t>
      </w:r>
      <w:r w:rsidR="000B66B6">
        <w:rPr>
          <w:lang w:val="en-AU"/>
        </w:rPr>
        <w:t xml:space="preserve">and together </w:t>
      </w:r>
      <w:r w:rsidR="007012D8">
        <w:rPr>
          <w:lang w:val="en-AU"/>
        </w:rPr>
        <w:t>represent</w:t>
      </w:r>
      <w:r w:rsidR="009017A7" w:rsidRPr="009150DC">
        <w:rPr>
          <w:lang w:val="en-AU"/>
        </w:rPr>
        <w:t xml:space="preserve"> a</w:t>
      </w:r>
      <w:r w:rsidR="007012D8">
        <w:rPr>
          <w:lang w:val="en-AU"/>
        </w:rPr>
        <w:t>pproximately</w:t>
      </w:r>
      <w:r w:rsidR="009017A7" w:rsidRPr="009150DC">
        <w:rPr>
          <w:lang w:val="en-AU"/>
        </w:rPr>
        <w:t xml:space="preserve"> 13 per cent of the total </w:t>
      </w:r>
      <w:r w:rsidR="007012D8">
        <w:rPr>
          <w:lang w:val="en-AU"/>
        </w:rPr>
        <w:t>2019–20</w:t>
      </w:r>
      <w:r w:rsidR="009017A7" w:rsidRPr="009150DC">
        <w:rPr>
          <w:lang w:val="en-AU"/>
        </w:rPr>
        <w:t xml:space="preserve"> Governm</w:t>
      </w:r>
      <w:r w:rsidR="00D7293B">
        <w:rPr>
          <w:lang w:val="en-AU"/>
        </w:rPr>
        <w:t>ent ISR investment.</w:t>
      </w:r>
    </w:p>
    <w:p w14:paraId="0FCD45E0" w14:textId="77777777" w:rsidR="009017A7" w:rsidRPr="009150DC" w:rsidRDefault="009017A7" w:rsidP="00E93522">
      <w:pPr>
        <w:rPr>
          <w:lang w:val="en-AU"/>
        </w:rPr>
        <w:sectPr w:rsidR="009017A7" w:rsidRPr="009150DC" w:rsidSect="00BD7FEE">
          <w:footerReference w:type="even" r:id="rId22"/>
          <w:footerReference w:type="default" r:id="rId23"/>
          <w:pgSz w:w="11907" w:h="16839" w:code="9"/>
          <w:pgMar w:top="1701" w:right="1418" w:bottom="851" w:left="1418" w:header="850" w:footer="720" w:gutter="0"/>
          <w:cols w:space="720"/>
          <w:docGrid w:linePitch="360"/>
        </w:sectPr>
      </w:pPr>
    </w:p>
    <w:p w14:paraId="44092BD7" w14:textId="20FBEBE0" w:rsidR="00E93522" w:rsidRPr="009150DC" w:rsidRDefault="00124EDB" w:rsidP="008E3BCE">
      <w:pPr>
        <w:pStyle w:val="ListBullet"/>
        <w:keepNext/>
        <w:spacing w:after="120"/>
        <w:ind w:firstLine="0"/>
        <w:jc w:val="center"/>
        <w:rPr>
          <w:lang w:val="en-AU"/>
        </w:rPr>
      </w:pPr>
      <w:r w:rsidRPr="009150DC">
        <w:rPr>
          <w:noProof/>
          <w:lang w:val="en-AU" w:eastAsia="en-AU"/>
        </w:rPr>
        <w:lastRenderedPageBreak/>
        <w:drawing>
          <wp:inline distT="0" distB="0" distL="0" distR="0" wp14:anchorId="7467052A" wp14:editId="7DF12FDA">
            <wp:extent cx="8621156" cy="4932000"/>
            <wp:effectExtent l="0" t="0" r="0" b="2540"/>
            <wp:docPr id="17" name="Picture 17" descr="A high level snapshot of the Australian Government’s total ISR investment by program and the socioeconomic objective(s) each program delivers against, which can be singular or multiple. Figure 4 also illustrates the relative size of ISR investment programs in the context of the overall ISR investment. " title="Figure 4 Australian Government investment in IS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21156" cy="4932000"/>
                    </a:xfrm>
                    <a:prstGeom prst="rect">
                      <a:avLst/>
                    </a:prstGeom>
                    <a:noFill/>
                  </pic:spPr>
                </pic:pic>
              </a:graphicData>
            </a:graphic>
          </wp:inline>
        </w:drawing>
      </w:r>
    </w:p>
    <w:p w14:paraId="2EE3BDC2" w14:textId="16C5A771" w:rsidR="00E93522" w:rsidRPr="009150DC" w:rsidRDefault="00E93522" w:rsidP="006260B7">
      <w:pPr>
        <w:pStyle w:val="Caption"/>
        <w:spacing w:after="0"/>
        <w:rPr>
          <w:lang w:val="en-AU"/>
        </w:rPr>
      </w:pPr>
      <w:bookmarkStart w:id="111" w:name="_Ref44312743"/>
      <w:bookmarkStart w:id="112" w:name="_Ref44312772"/>
      <w:r w:rsidRPr="009150DC">
        <w:rPr>
          <w:lang w:val="en-AU"/>
        </w:rPr>
        <w:t xml:space="preserve">Figure </w:t>
      </w:r>
      <w:r w:rsidRPr="009150DC">
        <w:rPr>
          <w:lang w:val="en-AU"/>
        </w:rPr>
        <w:fldChar w:fldCharType="begin"/>
      </w:r>
      <w:r w:rsidRPr="009150DC">
        <w:rPr>
          <w:lang w:val="en-AU"/>
        </w:rPr>
        <w:instrText xml:space="preserve"> SEQ Figure \* ARABIC </w:instrText>
      </w:r>
      <w:r w:rsidRPr="009150DC">
        <w:rPr>
          <w:lang w:val="en-AU"/>
        </w:rPr>
        <w:fldChar w:fldCharType="separate"/>
      </w:r>
      <w:r w:rsidR="000A3AE7">
        <w:rPr>
          <w:noProof/>
          <w:lang w:val="en-AU"/>
        </w:rPr>
        <w:t>4</w:t>
      </w:r>
      <w:r w:rsidRPr="009150DC">
        <w:rPr>
          <w:lang w:val="en-AU"/>
        </w:rPr>
        <w:fldChar w:fldCharType="end"/>
      </w:r>
      <w:bookmarkEnd w:id="111"/>
      <w:bookmarkEnd w:id="112"/>
      <w:r w:rsidRPr="009150DC">
        <w:rPr>
          <w:lang w:val="en-AU"/>
        </w:rPr>
        <w:t xml:space="preserve"> </w:t>
      </w:r>
      <w:r w:rsidR="003E51DA">
        <w:rPr>
          <w:lang w:val="en-AU"/>
        </w:rPr>
        <w:t>Commonwealth</w:t>
      </w:r>
      <w:r w:rsidRPr="009150DC">
        <w:rPr>
          <w:lang w:val="en-AU"/>
        </w:rPr>
        <w:t xml:space="preserve"> Government investment in ISR (2019</w:t>
      </w:r>
      <w:r w:rsidR="00B973FF" w:rsidRPr="009150DC">
        <w:rPr>
          <w:lang w:val="en-AU"/>
        </w:rPr>
        <w:t>–</w:t>
      </w:r>
      <w:r w:rsidRPr="009150DC">
        <w:rPr>
          <w:lang w:val="en-AU"/>
        </w:rPr>
        <w:t>20 SRI Budget Tables)</w:t>
      </w:r>
      <w:r w:rsidRPr="009150DC">
        <w:rPr>
          <w:rStyle w:val="FootnoteReference"/>
          <w:lang w:val="en-AU"/>
        </w:rPr>
        <w:footnoteReference w:id="26"/>
      </w:r>
    </w:p>
    <w:p w14:paraId="71F38F78" w14:textId="77777777" w:rsidR="00E93522" w:rsidRPr="009150DC" w:rsidRDefault="00E93522" w:rsidP="00E93522">
      <w:pPr>
        <w:spacing w:after="0"/>
        <w:rPr>
          <w:lang w:val="en-AU"/>
        </w:rPr>
        <w:sectPr w:rsidR="00E93522" w:rsidRPr="009150DC" w:rsidSect="00D615A0">
          <w:pgSz w:w="16839" w:h="11907" w:orient="landscape" w:code="9"/>
          <w:pgMar w:top="1134" w:right="1134" w:bottom="1134" w:left="1134" w:header="851" w:footer="720" w:gutter="0"/>
          <w:cols w:space="720"/>
          <w:docGrid w:linePitch="360"/>
        </w:sectPr>
      </w:pPr>
    </w:p>
    <w:p w14:paraId="28094EDE" w14:textId="7E1D5F42" w:rsidR="001B22C0" w:rsidRPr="009150DC" w:rsidRDefault="003802E5" w:rsidP="001B22C0">
      <w:pPr>
        <w:pStyle w:val="Heading3"/>
        <w:rPr>
          <w:lang w:val="en-AU"/>
        </w:rPr>
      </w:pPr>
      <w:bookmarkStart w:id="113" w:name="_Toc44071636"/>
      <w:bookmarkStart w:id="114" w:name="_Toc44074719"/>
      <w:bookmarkStart w:id="115" w:name="_Toc44076145"/>
      <w:bookmarkStart w:id="116" w:name="_Toc44079128"/>
      <w:r>
        <w:rPr>
          <w:lang w:val="en-AU"/>
        </w:rPr>
        <w:lastRenderedPageBreak/>
        <w:t>Report a</w:t>
      </w:r>
      <w:r w:rsidR="001B22C0" w:rsidRPr="009150DC">
        <w:rPr>
          <w:lang w:val="en-AU"/>
        </w:rPr>
        <w:t>pproach</w:t>
      </w:r>
    </w:p>
    <w:bookmarkEnd w:id="98"/>
    <w:bookmarkEnd w:id="99"/>
    <w:bookmarkEnd w:id="100"/>
    <w:bookmarkEnd w:id="101"/>
    <w:bookmarkEnd w:id="102"/>
    <w:bookmarkEnd w:id="103"/>
    <w:bookmarkEnd w:id="104"/>
    <w:bookmarkEnd w:id="105"/>
    <w:bookmarkEnd w:id="106"/>
    <w:bookmarkEnd w:id="113"/>
    <w:bookmarkEnd w:id="114"/>
    <w:bookmarkEnd w:id="115"/>
    <w:bookmarkEnd w:id="116"/>
    <w:p w14:paraId="115B36B5" w14:textId="526111DC" w:rsidR="00446AFD" w:rsidRPr="009150DC" w:rsidRDefault="004666B9" w:rsidP="008575DA">
      <w:pPr>
        <w:rPr>
          <w:lang w:val="en-AU"/>
        </w:rPr>
      </w:pPr>
      <w:r w:rsidRPr="009150DC">
        <w:rPr>
          <w:lang w:val="en-AU"/>
        </w:rPr>
        <w:t xml:space="preserve">In light of </w:t>
      </w:r>
      <w:r w:rsidR="00D2108B" w:rsidRPr="009150DC">
        <w:rPr>
          <w:lang w:val="en-AU"/>
        </w:rPr>
        <w:t>findings from previous</w:t>
      </w:r>
      <w:r w:rsidRPr="009150DC">
        <w:rPr>
          <w:lang w:val="en-AU"/>
        </w:rPr>
        <w:t xml:space="preserve"> international and </w:t>
      </w:r>
      <w:r w:rsidR="00D2108B" w:rsidRPr="009150DC">
        <w:rPr>
          <w:lang w:val="en-AU"/>
        </w:rPr>
        <w:t>Australian reviews</w:t>
      </w:r>
      <w:r w:rsidRPr="009150DC">
        <w:rPr>
          <w:lang w:val="en-AU"/>
        </w:rPr>
        <w:t xml:space="preserve">, </w:t>
      </w:r>
      <w:r w:rsidR="00977B2F" w:rsidRPr="009150DC">
        <w:rPr>
          <w:lang w:val="en-AU"/>
        </w:rPr>
        <w:t>I</w:t>
      </w:r>
      <w:r w:rsidR="00D33BEF">
        <w:rPr>
          <w:lang w:val="en-AU"/>
        </w:rPr>
        <w:t>I</w:t>
      </w:r>
      <w:r w:rsidR="00977B2F" w:rsidRPr="009150DC">
        <w:rPr>
          <w:lang w:val="en-AU"/>
        </w:rPr>
        <w:t xml:space="preserve">SA </w:t>
      </w:r>
      <w:r w:rsidR="00503E40" w:rsidRPr="009150DC">
        <w:rPr>
          <w:lang w:val="en-AU"/>
        </w:rPr>
        <w:t xml:space="preserve">has </w:t>
      </w:r>
      <w:r w:rsidR="00974683" w:rsidRPr="009150DC">
        <w:rPr>
          <w:lang w:val="en-AU"/>
        </w:rPr>
        <w:t>taken</w:t>
      </w:r>
      <w:r w:rsidR="00503E40" w:rsidRPr="009150DC">
        <w:rPr>
          <w:lang w:val="en-AU"/>
        </w:rPr>
        <w:t xml:space="preserve"> a</w:t>
      </w:r>
      <w:r w:rsidR="00AD1454" w:rsidRPr="009150DC">
        <w:rPr>
          <w:lang w:val="en-AU"/>
        </w:rPr>
        <w:t xml:space="preserve"> whole</w:t>
      </w:r>
      <w:r w:rsidR="003802E5">
        <w:rPr>
          <w:lang w:val="en-AU"/>
        </w:rPr>
        <w:noBreakHyphen/>
      </w:r>
      <w:r w:rsidR="00AD1454" w:rsidRPr="009150DC">
        <w:rPr>
          <w:lang w:val="en-AU"/>
        </w:rPr>
        <w:t>of</w:t>
      </w:r>
      <w:r w:rsidR="003802E5">
        <w:rPr>
          <w:lang w:val="en-AU"/>
        </w:rPr>
        <w:noBreakHyphen/>
      </w:r>
      <w:r w:rsidR="00AD1454" w:rsidRPr="009150DC">
        <w:rPr>
          <w:lang w:val="en-AU"/>
        </w:rPr>
        <w:t>system</w:t>
      </w:r>
      <w:r w:rsidR="00D70786">
        <w:rPr>
          <w:lang w:val="en-AU"/>
        </w:rPr>
        <w:t xml:space="preserve"> analytical</w:t>
      </w:r>
      <w:r w:rsidR="00AD1454" w:rsidRPr="009150DC">
        <w:rPr>
          <w:lang w:val="en-AU"/>
        </w:rPr>
        <w:t xml:space="preserve"> </w:t>
      </w:r>
      <w:r w:rsidR="00D70786">
        <w:rPr>
          <w:lang w:val="en-AU"/>
        </w:rPr>
        <w:t>approach to assessing the effectiveness of Government investment in ISR</w:t>
      </w:r>
      <w:r w:rsidR="00AE43AD" w:rsidRPr="009150DC">
        <w:rPr>
          <w:lang w:val="en-AU"/>
        </w:rPr>
        <w:t>. I</w:t>
      </w:r>
      <w:r w:rsidR="00D33BEF">
        <w:rPr>
          <w:lang w:val="en-AU"/>
        </w:rPr>
        <w:t>I</w:t>
      </w:r>
      <w:r w:rsidR="00AE43AD" w:rsidRPr="009150DC">
        <w:rPr>
          <w:lang w:val="en-AU"/>
        </w:rPr>
        <w:t>SA has</w:t>
      </w:r>
      <w:r w:rsidR="00C32103" w:rsidRPr="009150DC">
        <w:rPr>
          <w:lang w:val="en-AU"/>
        </w:rPr>
        <w:t>:</w:t>
      </w:r>
    </w:p>
    <w:p w14:paraId="39054253" w14:textId="15770EBB" w:rsidR="009E6E64" w:rsidRPr="009150DC" w:rsidRDefault="00AE43AD" w:rsidP="002A61BC">
      <w:pPr>
        <w:pStyle w:val="ListParagraph"/>
        <w:numPr>
          <w:ilvl w:val="0"/>
          <w:numId w:val="21"/>
        </w:numPr>
        <w:ind w:left="426" w:hanging="426"/>
        <w:rPr>
          <w:lang w:val="en-AU"/>
        </w:rPr>
      </w:pPr>
      <w:r w:rsidRPr="009150DC">
        <w:rPr>
          <w:lang w:val="en-AU"/>
        </w:rPr>
        <w:t>F</w:t>
      </w:r>
      <w:r w:rsidR="009E6E64" w:rsidRPr="009150DC">
        <w:rPr>
          <w:lang w:val="en-AU"/>
        </w:rPr>
        <w:t xml:space="preserve">ocused on the </w:t>
      </w:r>
      <w:r w:rsidR="003E51DA">
        <w:rPr>
          <w:lang w:val="en-AU"/>
        </w:rPr>
        <w:t>Commonwealth</w:t>
      </w:r>
      <w:r w:rsidR="009E6E64" w:rsidRPr="009150DC">
        <w:rPr>
          <w:lang w:val="en-AU"/>
        </w:rPr>
        <w:t xml:space="preserve"> Government’s </w:t>
      </w:r>
      <w:r w:rsidR="009E6E64" w:rsidRPr="009150DC">
        <w:rPr>
          <w:i/>
          <w:lang w:val="en-AU"/>
        </w:rPr>
        <w:t>investment</w:t>
      </w:r>
      <w:r w:rsidR="009E6E64" w:rsidRPr="009150DC">
        <w:rPr>
          <w:lang w:val="en-AU"/>
        </w:rPr>
        <w:t xml:space="preserve"> in ISR</w:t>
      </w:r>
      <w:r w:rsidR="00B973FF" w:rsidRPr="009150DC">
        <w:rPr>
          <w:lang w:val="en-AU"/>
        </w:rPr>
        <w:t xml:space="preserve"> programs and activities</w:t>
      </w:r>
      <w:r w:rsidR="00974683" w:rsidRPr="009150DC">
        <w:rPr>
          <w:lang w:val="en-AU"/>
        </w:rPr>
        <w:t>,</w:t>
      </w:r>
      <w:r w:rsidR="009E6E64" w:rsidRPr="009150DC">
        <w:rPr>
          <w:lang w:val="en-AU"/>
        </w:rPr>
        <w:t xml:space="preserve"> which are resourced through a budgeta</w:t>
      </w:r>
      <w:r w:rsidR="00B973FF" w:rsidRPr="009150DC">
        <w:rPr>
          <w:lang w:val="en-AU"/>
        </w:rPr>
        <w:t>ry appropriation and deliver</w:t>
      </w:r>
      <w:r w:rsidR="009E6E64" w:rsidRPr="009150DC">
        <w:rPr>
          <w:lang w:val="en-AU"/>
        </w:rPr>
        <w:t xml:space="preserve"> an ISR policy outcome.</w:t>
      </w:r>
      <w:r w:rsidR="009E6E64" w:rsidRPr="009150DC" w:rsidDel="000D6835">
        <w:rPr>
          <w:lang w:val="en-AU"/>
        </w:rPr>
        <w:t xml:space="preserve"> </w:t>
      </w:r>
      <w:r w:rsidR="009E6E64" w:rsidRPr="009150DC">
        <w:rPr>
          <w:lang w:val="en-AU"/>
        </w:rPr>
        <w:t xml:space="preserve">This includes indirect support to businesses </w:t>
      </w:r>
      <w:r w:rsidR="007A1765" w:rsidRPr="009150DC">
        <w:rPr>
          <w:lang w:val="en-AU"/>
        </w:rPr>
        <w:t xml:space="preserve">provided </w:t>
      </w:r>
      <w:r w:rsidR="009E6E64" w:rsidRPr="009150DC">
        <w:rPr>
          <w:lang w:val="en-AU"/>
        </w:rPr>
        <w:t xml:space="preserve">through measures such as the </w:t>
      </w:r>
      <w:r w:rsidR="00B973FF" w:rsidRPr="009150DC">
        <w:rPr>
          <w:lang w:val="en-AU"/>
        </w:rPr>
        <w:t>R&amp;DTI</w:t>
      </w:r>
      <w:r w:rsidR="009E6E64" w:rsidRPr="009150DC">
        <w:rPr>
          <w:lang w:val="en-AU"/>
        </w:rPr>
        <w:t>.</w:t>
      </w:r>
    </w:p>
    <w:p w14:paraId="59BF2FB2" w14:textId="70F70FD8" w:rsidR="008E3BCE" w:rsidRPr="009150DC" w:rsidRDefault="00AE43AD" w:rsidP="002A61BC">
      <w:pPr>
        <w:pStyle w:val="ListParagraph"/>
        <w:numPr>
          <w:ilvl w:val="0"/>
          <w:numId w:val="21"/>
        </w:numPr>
        <w:ind w:left="426" w:hanging="426"/>
        <w:rPr>
          <w:lang w:val="en-AU"/>
        </w:rPr>
      </w:pPr>
      <w:r w:rsidRPr="009150DC">
        <w:rPr>
          <w:rFonts w:eastAsia="Microsoft New Tai Lue"/>
          <w:lang w:val="en-AU"/>
        </w:rPr>
        <w:t>E</w:t>
      </w:r>
      <w:r w:rsidR="00967A73" w:rsidRPr="009150DC">
        <w:rPr>
          <w:rFonts w:eastAsia="Microsoft New Tai Lue"/>
          <w:lang w:val="en-AU"/>
        </w:rPr>
        <w:t xml:space="preserve">xamined the overall effectiveness of </w:t>
      </w:r>
      <w:r w:rsidR="00BF6417" w:rsidRPr="009150DC">
        <w:rPr>
          <w:rFonts w:eastAsia="Microsoft New Tai Lue"/>
          <w:lang w:val="en-AU"/>
        </w:rPr>
        <w:t xml:space="preserve">the </w:t>
      </w:r>
      <w:r w:rsidR="00967A73" w:rsidRPr="009150DC">
        <w:rPr>
          <w:rFonts w:eastAsia="Microsoft New Tai Lue"/>
          <w:lang w:val="en-AU"/>
        </w:rPr>
        <w:t>Government</w:t>
      </w:r>
      <w:r w:rsidR="00974683" w:rsidRPr="009150DC">
        <w:rPr>
          <w:rFonts w:eastAsia="Microsoft New Tai Lue"/>
          <w:lang w:val="en-AU"/>
        </w:rPr>
        <w:t>’s</w:t>
      </w:r>
      <w:r w:rsidR="00967A73" w:rsidRPr="009150DC">
        <w:rPr>
          <w:rFonts w:eastAsia="Microsoft New Tai Lue"/>
          <w:lang w:val="en-AU"/>
        </w:rPr>
        <w:t xml:space="preserve"> investment in ISR by conducting a system-level analysis</w:t>
      </w:r>
      <w:r w:rsidR="00E97589" w:rsidRPr="009150DC">
        <w:rPr>
          <w:rFonts w:eastAsia="Microsoft New Tai Lue"/>
          <w:lang w:val="en-AU"/>
        </w:rPr>
        <w:t>. This is</w:t>
      </w:r>
      <w:r w:rsidR="00967A73" w:rsidRPr="009150DC">
        <w:rPr>
          <w:rFonts w:eastAsia="Microsoft New Tai Lue"/>
          <w:lang w:val="en-AU"/>
        </w:rPr>
        <w:t xml:space="preserve"> based on </w:t>
      </w:r>
      <w:r w:rsidR="00287E2A" w:rsidRPr="009150DC">
        <w:rPr>
          <w:rFonts w:eastAsia="Microsoft New Tai Lue"/>
          <w:lang w:val="en-AU"/>
        </w:rPr>
        <w:t>a qualita</w:t>
      </w:r>
      <w:r w:rsidR="00BD093B" w:rsidRPr="009150DC">
        <w:rPr>
          <w:rFonts w:eastAsia="Microsoft New Tai Lue"/>
          <w:lang w:val="en-AU"/>
        </w:rPr>
        <w:t>tive</w:t>
      </w:r>
      <w:r w:rsidR="00967A73" w:rsidRPr="009150DC">
        <w:rPr>
          <w:rFonts w:eastAsia="Microsoft New Tai Lue"/>
          <w:lang w:val="en-AU"/>
        </w:rPr>
        <w:t xml:space="preserve"> </w:t>
      </w:r>
      <w:r w:rsidR="00BD093B" w:rsidRPr="009150DC">
        <w:rPr>
          <w:rFonts w:eastAsia="Microsoft New Tai Lue"/>
          <w:lang w:val="en-AU"/>
        </w:rPr>
        <w:t>assessment</w:t>
      </w:r>
      <w:r w:rsidR="00967A73" w:rsidRPr="009150DC">
        <w:rPr>
          <w:rFonts w:eastAsia="Microsoft New Tai Lue"/>
          <w:lang w:val="en-AU"/>
        </w:rPr>
        <w:t xml:space="preserve"> of previous </w:t>
      </w:r>
      <w:r w:rsidR="007A1765">
        <w:rPr>
          <w:rFonts w:eastAsia="Microsoft New Tai Lue"/>
          <w:lang w:val="en-AU"/>
        </w:rPr>
        <w:t xml:space="preserve">Australian ISR system </w:t>
      </w:r>
      <w:r w:rsidR="00BD093B" w:rsidRPr="009150DC">
        <w:rPr>
          <w:rFonts w:eastAsia="Microsoft New Tai Lue"/>
          <w:lang w:val="en-AU"/>
        </w:rPr>
        <w:t>reviews (</w:t>
      </w:r>
      <w:r w:rsidR="00DC15A7" w:rsidRPr="009150DC">
        <w:rPr>
          <w:rFonts w:eastAsia="Microsoft New Tai Lue"/>
          <w:lang w:val="en-AU"/>
        </w:rPr>
        <w:t xml:space="preserve">each </w:t>
      </w:r>
      <w:r w:rsidR="00BD093B" w:rsidRPr="009150DC">
        <w:rPr>
          <w:rFonts w:eastAsia="Microsoft New Tai Lue"/>
          <w:lang w:val="en-AU"/>
        </w:rPr>
        <w:t xml:space="preserve">typically only </w:t>
      </w:r>
      <w:r w:rsidR="007A1765">
        <w:rPr>
          <w:rFonts w:eastAsia="Microsoft New Tai Lue"/>
          <w:lang w:val="en-AU"/>
        </w:rPr>
        <w:t xml:space="preserve">covering </w:t>
      </w:r>
      <w:r w:rsidR="00BD093B" w:rsidRPr="009150DC">
        <w:rPr>
          <w:rFonts w:eastAsia="Microsoft New Tai Lue"/>
          <w:lang w:val="en-AU"/>
        </w:rPr>
        <w:t xml:space="preserve">aspects of the ISR system), </w:t>
      </w:r>
      <w:r w:rsidR="00967A73" w:rsidRPr="009150DC">
        <w:rPr>
          <w:rFonts w:eastAsia="Microsoft New Tai Lue"/>
          <w:lang w:val="en-AU"/>
        </w:rPr>
        <w:t>international literature</w:t>
      </w:r>
      <w:r w:rsidR="00BD093B" w:rsidRPr="009150DC">
        <w:rPr>
          <w:rFonts w:eastAsia="Microsoft New Tai Lue"/>
          <w:lang w:val="en-AU"/>
        </w:rPr>
        <w:t>, and the perspectives gained through consultations with key stakeholders. In addition,</w:t>
      </w:r>
      <w:r w:rsidR="00967A73" w:rsidRPr="009150DC">
        <w:rPr>
          <w:rFonts w:eastAsia="Microsoft New Tai Lue"/>
          <w:lang w:val="en-AU"/>
        </w:rPr>
        <w:t xml:space="preserve"> </w:t>
      </w:r>
      <w:r w:rsidR="00BF6417" w:rsidRPr="009150DC">
        <w:rPr>
          <w:rFonts w:eastAsia="Microsoft New Tai Lue"/>
          <w:lang w:val="en-AU"/>
        </w:rPr>
        <w:t>data including the SRI Budget T</w:t>
      </w:r>
      <w:r w:rsidR="00967A73" w:rsidRPr="009150DC">
        <w:rPr>
          <w:rFonts w:eastAsia="Microsoft New Tai Lue"/>
          <w:lang w:val="en-AU"/>
        </w:rPr>
        <w:t xml:space="preserve">ables, </w:t>
      </w:r>
      <w:r w:rsidR="00AC2BE8" w:rsidRPr="009150DC">
        <w:rPr>
          <w:rFonts w:eastAsia="Microsoft New Tai Lue"/>
          <w:lang w:val="en-AU"/>
        </w:rPr>
        <w:t xml:space="preserve">and </w:t>
      </w:r>
      <w:r w:rsidR="00967A73" w:rsidRPr="009150DC">
        <w:rPr>
          <w:rFonts w:eastAsia="Microsoft New Tai Lue"/>
          <w:lang w:val="en-AU"/>
        </w:rPr>
        <w:t>ABS and OECD data</w:t>
      </w:r>
      <w:r w:rsidR="00BD093B" w:rsidRPr="009150DC">
        <w:rPr>
          <w:rFonts w:eastAsia="Microsoft New Tai Lue"/>
          <w:lang w:val="en-AU"/>
        </w:rPr>
        <w:t xml:space="preserve"> were used</w:t>
      </w:r>
      <w:r w:rsidR="00967A73" w:rsidRPr="009150DC">
        <w:rPr>
          <w:rFonts w:eastAsia="Microsoft New Tai Lue"/>
          <w:lang w:val="en-AU"/>
        </w:rPr>
        <w:t xml:space="preserve"> to </w:t>
      </w:r>
      <w:r w:rsidR="00BD093B" w:rsidRPr="009150DC">
        <w:rPr>
          <w:rFonts w:eastAsia="Microsoft New Tai Lue"/>
          <w:lang w:val="en-AU"/>
        </w:rPr>
        <w:t>inform quantitative analyses</w:t>
      </w:r>
      <w:r w:rsidR="00967A73" w:rsidRPr="009150DC">
        <w:rPr>
          <w:rFonts w:eastAsia="Microsoft New Tai Lue"/>
          <w:lang w:val="en-AU"/>
        </w:rPr>
        <w:t>.</w:t>
      </w:r>
      <w:r w:rsidR="00375C40" w:rsidRPr="009150DC">
        <w:rPr>
          <w:rFonts w:eastAsia="Microsoft New Tai Lue"/>
          <w:lang w:val="en-AU"/>
        </w:rPr>
        <w:t xml:space="preserve"> </w:t>
      </w:r>
      <w:r w:rsidR="00375C40" w:rsidRPr="009150DC">
        <w:rPr>
          <w:lang w:val="en-AU"/>
        </w:rPr>
        <w:t>The lack of consistent, granular and contemporary ISR investment and performance data</w:t>
      </w:r>
      <w:r w:rsidR="00375C40" w:rsidRPr="009150DC">
        <w:rPr>
          <w:rFonts w:eastAsia="Microsoft New Tai Lue"/>
          <w:lang w:val="en-AU"/>
        </w:rPr>
        <w:t xml:space="preserve"> to underpin</w:t>
      </w:r>
      <w:r w:rsidR="00066E5A">
        <w:rPr>
          <w:rFonts w:eastAsia="Microsoft New Tai Lue"/>
          <w:lang w:val="en-AU"/>
        </w:rPr>
        <w:t xml:space="preserve"> these analyses are discussed in Appendix G</w:t>
      </w:r>
      <w:r w:rsidR="00375C40" w:rsidRPr="009150DC">
        <w:rPr>
          <w:rFonts w:eastAsia="Microsoft New Tai Lue"/>
          <w:lang w:val="en-AU"/>
        </w:rPr>
        <w:t>.</w:t>
      </w:r>
      <w:r w:rsidR="00967A73" w:rsidRPr="009150DC">
        <w:rPr>
          <w:rFonts w:eastAsia="Microsoft New Tai Lue"/>
          <w:lang w:val="en-AU"/>
        </w:rPr>
        <w:t xml:space="preserve"> </w:t>
      </w:r>
      <w:r w:rsidR="00EB3D28" w:rsidRPr="009150DC">
        <w:rPr>
          <w:rFonts w:eastAsia="Microsoft New Tai Lue"/>
          <w:lang w:val="en-AU"/>
        </w:rPr>
        <w:t xml:space="preserve">While this </w:t>
      </w:r>
      <w:r w:rsidR="00933E2B" w:rsidRPr="009150DC">
        <w:rPr>
          <w:rFonts w:eastAsia="Microsoft New Tai Lue"/>
          <w:lang w:val="en-AU"/>
        </w:rPr>
        <w:t xml:space="preserve">examination has </w:t>
      </w:r>
      <w:r w:rsidR="00EB3D28" w:rsidRPr="009150DC">
        <w:rPr>
          <w:rFonts w:eastAsia="Microsoft New Tai Lue"/>
          <w:lang w:val="en-AU"/>
        </w:rPr>
        <w:t>highlighted</w:t>
      </w:r>
      <w:r w:rsidR="00967A73" w:rsidRPr="009150DC">
        <w:rPr>
          <w:rFonts w:eastAsia="Microsoft New Tai Lue"/>
          <w:lang w:val="en-AU"/>
        </w:rPr>
        <w:t xml:space="preserve"> </w:t>
      </w:r>
      <w:r w:rsidR="007A1765">
        <w:rPr>
          <w:rFonts w:eastAsia="Microsoft New Tai Lue"/>
          <w:lang w:val="en-AU"/>
        </w:rPr>
        <w:t>many</w:t>
      </w:r>
      <w:r w:rsidR="007A1765" w:rsidRPr="009150DC">
        <w:rPr>
          <w:rFonts w:eastAsia="Microsoft New Tai Lue"/>
          <w:lang w:val="en-AU"/>
        </w:rPr>
        <w:t xml:space="preserve"> </w:t>
      </w:r>
      <w:r w:rsidR="00967A73" w:rsidRPr="009150DC">
        <w:rPr>
          <w:rFonts w:eastAsia="Microsoft New Tai Lue"/>
          <w:lang w:val="en-AU"/>
        </w:rPr>
        <w:t xml:space="preserve">strategies </w:t>
      </w:r>
      <w:r w:rsidR="007A1765">
        <w:rPr>
          <w:rFonts w:eastAsia="Microsoft New Tai Lue"/>
          <w:lang w:val="en-AU"/>
        </w:rPr>
        <w:t>which could</w:t>
      </w:r>
      <w:r w:rsidR="00AB55AC" w:rsidRPr="009150DC">
        <w:rPr>
          <w:rFonts w:eastAsia="Microsoft New Tai Lue"/>
          <w:lang w:val="en-AU"/>
        </w:rPr>
        <w:t xml:space="preserve"> increase the</w:t>
      </w:r>
      <w:r w:rsidR="00967A73" w:rsidRPr="009150DC">
        <w:rPr>
          <w:rFonts w:eastAsia="Microsoft New Tai Lue"/>
          <w:lang w:val="en-AU"/>
        </w:rPr>
        <w:t xml:space="preserve"> effectiveness</w:t>
      </w:r>
      <w:r w:rsidR="00AB55AC" w:rsidRPr="009150DC">
        <w:rPr>
          <w:rFonts w:eastAsia="Microsoft New Tai Lue"/>
          <w:lang w:val="en-AU"/>
        </w:rPr>
        <w:t xml:space="preserve"> of the Australian </w:t>
      </w:r>
      <w:r w:rsidR="007A1765">
        <w:rPr>
          <w:rFonts w:eastAsia="Microsoft New Tai Lue"/>
          <w:lang w:val="en-AU"/>
        </w:rPr>
        <w:t xml:space="preserve">ISR </w:t>
      </w:r>
      <w:r w:rsidR="00AB55AC" w:rsidRPr="009150DC">
        <w:rPr>
          <w:rFonts w:eastAsia="Microsoft New Tai Lue"/>
          <w:lang w:val="en-AU"/>
        </w:rPr>
        <w:t>system</w:t>
      </w:r>
      <w:r w:rsidR="00967A73" w:rsidRPr="009150DC">
        <w:rPr>
          <w:rFonts w:eastAsia="Microsoft New Tai Lue"/>
          <w:lang w:val="en-AU"/>
        </w:rPr>
        <w:t xml:space="preserve">, </w:t>
      </w:r>
      <w:r w:rsidR="00EB3D28" w:rsidRPr="009150DC">
        <w:rPr>
          <w:rFonts w:eastAsia="Microsoft New Tai Lue"/>
          <w:lang w:val="en-AU"/>
        </w:rPr>
        <w:t>I</w:t>
      </w:r>
      <w:r w:rsidR="00D33BEF">
        <w:rPr>
          <w:rFonts w:eastAsia="Microsoft New Tai Lue"/>
          <w:lang w:val="en-AU"/>
        </w:rPr>
        <w:t>I</w:t>
      </w:r>
      <w:r w:rsidR="00EB3D28" w:rsidRPr="009150DC">
        <w:rPr>
          <w:rFonts w:eastAsia="Microsoft New Tai Lue"/>
          <w:lang w:val="en-AU"/>
        </w:rPr>
        <w:t xml:space="preserve">SA has focused on bringing forward </w:t>
      </w:r>
      <w:r w:rsidR="00967A73" w:rsidRPr="009150DC">
        <w:rPr>
          <w:rFonts w:eastAsia="Microsoft New Tai Lue"/>
          <w:lang w:val="en-AU"/>
        </w:rPr>
        <w:t>recommend</w:t>
      </w:r>
      <w:r w:rsidR="00D45D0A" w:rsidRPr="009150DC">
        <w:rPr>
          <w:rFonts w:eastAsia="Microsoft New Tai Lue"/>
          <w:lang w:val="en-AU"/>
        </w:rPr>
        <w:t>ed actions</w:t>
      </w:r>
      <w:r w:rsidR="00967A73" w:rsidRPr="009150DC">
        <w:rPr>
          <w:rFonts w:eastAsia="Microsoft New Tai Lue"/>
          <w:lang w:val="en-AU"/>
        </w:rPr>
        <w:t xml:space="preserve"> </w:t>
      </w:r>
      <w:r w:rsidR="007A1765">
        <w:rPr>
          <w:rFonts w:eastAsia="Microsoft New Tai Lue"/>
          <w:lang w:val="en-AU"/>
        </w:rPr>
        <w:t>which it believes</w:t>
      </w:r>
      <w:r w:rsidR="00EB3D28" w:rsidRPr="009150DC">
        <w:rPr>
          <w:rFonts w:eastAsia="Microsoft New Tai Lue"/>
          <w:lang w:val="en-AU"/>
        </w:rPr>
        <w:t xml:space="preserve"> will </w:t>
      </w:r>
      <w:r w:rsidR="00967A73" w:rsidRPr="009150DC">
        <w:rPr>
          <w:rFonts w:eastAsia="Microsoft New Tai Lue"/>
          <w:lang w:val="en-AU"/>
        </w:rPr>
        <w:t>achieve the greatest impact.</w:t>
      </w:r>
    </w:p>
    <w:p w14:paraId="1272B0A7" w14:textId="3F1B6D93" w:rsidR="00424886" w:rsidRPr="009150DC" w:rsidRDefault="008E3BCE" w:rsidP="002A61BC">
      <w:pPr>
        <w:pStyle w:val="ListParagraph"/>
        <w:numPr>
          <w:ilvl w:val="0"/>
          <w:numId w:val="21"/>
        </w:numPr>
        <w:ind w:left="426" w:hanging="426"/>
        <w:rPr>
          <w:lang w:val="en-AU"/>
        </w:rPr>
      </w:pPr>
      <w:r w:rsidRPr="009150DC">
        <w:rPr>
          <w:lang w:val="en-AU"/>
        </w:rPr>
        <w:t>Not included i</w:t>
      </w:r>
      <w:r w:rsidR="00424886" w:rsidRPr="009150DC">
        <w:rPr>
          <w:lang w:val="en-AU"/>
        </w:rPr>
        <w:t xml:space="preserve">ntramural </w:t>
      </w:r>
      <w:r w:rsidR="00424886" w:rsidRPr="009150DC" w:rsidDel="000D6835">
        <w:rPr>
          <w:lang w:val="en-AU"/>
        </w:rPr>
        <w:t>investment</w:t>
      </w:r>
      <w:r w:rsidR="00424886" w:rsidRPr="009150DC">
        <w:rPr>
          <w:lang w:val="en-AU"/>
        </w:rPr>
        <w:t>s</w:t>
      </w:r>
      <w:r w:rsidR="00424886" w:rsidRPr="009150DC" w:rsidDel="000D6835">
        <w:rPr>
          <w:lang w:val="en-AU"/>
        </w:rPr>
        <w:t xml:space="preserve"> in </w:t>
      </w:r>
      <w:r w:rsidR="00424886" w:rsidRPr="009150DC">
        <w:rPr>
          <w:lang w:val="en-AU"/>
        </w:rPr>
        <w:t>innovative practices within the</w:t>
      </w:r>
      <w:r w:rsidR="00424886" w:rsidRPr="009150DC" w:rsidDel="000D6835">
        <w:rPr>
          <w:lang w:val="en-AU"/>
        </w:rPr>
        <w:t xml:space="preserve"> public sector </w:t>
      </w:r>
      <w:r w:rsidR="00424886" w:rsidRPr="009150DC">
        <w:rPr>
          <w:lang w:val="en-AU"/>
        </w:rPr>
        <w:t xml:space="preserve">in this analysis. Intramural investments, targeted at delivering the Government’s own ISR needs and activities, are </w:t>
      </w:r>
      <w:r w:rsidR="00AC2BE8" w:rsidRPr="009150DC">
        <w:rPr>
          <w:lang w:val="en-AU"/>
        </w:rPr>
        <w:t xml:space="preserve">often resourced from within general departmental funding. As such, they </w:t>
      </w:r>
      <w:r w:rsidR="007F7C51" w:rsidRPr="009150DC">
        <w:rPr>
          <w:lang w:val="en-AU"/>
        </w:rPr>
        <w:t>are not itemised</w:t>
      </w:r>
      <w:r w:rsidR="00424886" w:rsidRPr="009150DC">
        <w:rPr>
          <w:lang w:val="en-AU"/>
        </w:rPr>
        <w:t xml:space="preserve"> in the </w:t>
      </w:r>
      <w:r w:rsidR="003E51DA">
        <w:rPr>
          <w:lang w:val="en-AU"/>
        </w:rPr>
        <w:t>Commonwealth</w:t>
      </w:r>
      <w:r w:rsidR="00424886" w:rsidRPr="009150DC">
        <w:rPr>
          <w:lang w:val="en-AU"/>
        </w:rPr>
        <w:t xml:space="preserve"> Government’s Portfolio Budget Statements</w:t>
      </w:r>
      <w:r w:rsidR="007F7C51" w:rsidRPr="009150DC">
        <w:rPr>
          <w:lang w:val="en-AU"/>
        </w:rPr>
        <w:t>,</w:t>
      </w:r>
      <w:r w:rsidR="00AB55AC" w:rsidRPr="009150DC">
        <w:rPr>
          <w:lang w:val="en-AU"/>
        </w:rPr>
        <w:t xml:space="preserve"> and are difficult to</w:t>
      </w:r>
      <w:r w:rsidR="007F7C51" w:rsidRPr="009150DC">
        <w:rPr>
          <w:lang w:val="en-AU"/>
        </w:rPr>
        <w:t xml:space="preserve"> comprehensively capture </w:t>
      </w:r>
      <w:r w:rsidR="00AB55AC" w:rsidRPr="009150DC">
        <w:rPr>
          <w:lang w:val="en-AU"/>
        </w:rPr>
        <w:t>for analysis</w:t>
      </w:r>
      <w:r w:rsidR="00424886" w:rsidRPr="009150DC">
        <w:rPr>
          <w:lang w:val="en-AU"/>
        </w:rPr>
        <w:t>.</w:t>
      </w:r>
      <w:r w:rsidR="00AC2BE8" w:rsidRPr="009150DC">
        <w:rPr>
          <w:rStyle w:val="FootnoteReference"/>
          <w:lang w:val="en-AU"/>
        </w:rPr>
        <w:footnoteReference w:id="27"/>
      </w:r>
    </w:p>
    <w:p w14:paraId="411DA55B" w14:textId="10BEBB62" w:rsidR="00424886" w:rsidRPr="009150DC" w:rsidRDefault="00AE43AD" w:rsidP="002A61BC">
      <w:pPr>
        <w:pStyle w:val="ListParagraph"/>
        <w:numPr>
          <w:ilvl w:val="0"/>
          <w:numId w:val="21"/>
        </w:numPr>
        <w:ind w:left="426" w:hanging="426"/>
        <w:rPr>
          <w:lang w:val="en-AU"/>
        </w:rPr>
      </w:pPr>
      <w:r w:rsidRPr="009150DC">
        <w:rPr>
          <w:rFonts w:eastAsia="Microsoft New Tai Lue"/>
          <w:lang w:val="en-AU"/>
        </w:rPr>
        <w:t>F</w:t>
      </w:r>
      <w:r w:rsidR="00424886" w:rsidRPr="009150DC">
        <w:rPr>
          <w:rFonts w:eastAsia="Microsoft New Tai Lue"/>
          <w:lang w:val="en-AU"/>
        </w:rPr>
        <w:t>ocused on t</w:t>
      </w:r>
      <w:r w:rsidR="00424886" w:rsidRPr="009150DC">
        <w:rPr>
          <w:lang w:val="en-AU"/>
        </w:rPr>
        <w:t xml:space="preserve">he </w:t>
      </w:r>
      <w:r w:rsidR="003E51DA">
        <w:rPr>
          <w:lang w:val="en-AU"/>
        </w:rPr>
        <w:t>Commonwealth</w:t>
      </w:r>
      <w:r w:rsidR="00424886" w:rsidRPr="009150DC">
        <w:rPr>
          <w:lang w:val="en-AU"/>
        </w:rPr>
        <w:t xml:space="preserve"> Government’s investment in ISR. While </w:t>
      </w:r>
      <w:r w:rsidR="004C13E5" w:rsidRPr="009150DC">
        <w:rPr>
          <w:lang w:val="en-AU"/>
        </w:rPr>
        <w:t>I</w:t>
      </w:r>
      <w:r w:rsidR="00D33BEF">
        <w:rPr>
          <w:lang w:val="en-AU"/>
        </w:rPr>
        <w:t>I</w:t>
      </w:r>
      <w:r w:rsidR="004C13E5" w:rsidRPr="009150DC">
        <w:rPr>
          <w:lang w:val="en-AU"/>
        </w:rPr>
        <w:t xml:space="preserve">SA recognises that </w:t>
      </w:r>
      <w:r w:rsidR="00424886" w:rsidRPr="009150DC">
        <w:rPr>
          <w:lang w:val="en-AU"/>
        </w:rPr>
        <w:t>state and territory governments are important contributors to the Australian ISR system</w:t>
      </w:r>
      <w:r w:rsidR="00D70786">
        <w:rPr>
          <w:lang w:val="en-AU"/>
        </w:rPr>
        <w:t xml:space="preserve">, </w:t>
      </w:r>
      <w:r w:rsidR="00424886" w:rsidRPr="009150DC">
        <w:rPr>
          <w:lang w:val="en-AU"/>
        </w:rPr>
        <w:t xml:space="preserve">given the relative scale of </w:t>
      </w:r>
      <w:r w:rsidR="007A1765">
        <w:rPr>
          <w:lang w:val="en-AU"/>
        </w:rPr>
        <w:t xml:space="preserve">their </w:t>
      </w:r>
      <w:r w:rsidR="00424886" w:rsidRPr="009150DC">
        <w:rPr>
          <w:lang w:val="en-AU"/>
        </w:rPr>
        <w:t>investment</w:t>
      </w:r>
      <w:r w:rsidR="00AB55AC" w:rsidRPr="009150DC">
        <w:rPr>
          <w:lang w:val="en-AU"/>
        </w:rPr>
        <w:t>,</w:t>
      </w:r>
      <w:r w:rsidR="00424886" w:rsidRPr="009150DC">
        <w:rPr>
          <w:lang w:val="en-AU"/>
        </w:rPr>
        <w:t xml:space="preserve"> as well as the significant complexity of cataloguing investment at the state and territory level</w:t>
      </w:r>
      <w:r w:rsidR="00D70786">
        <w:rPr>
          <w:lang w:val="en-AU"/>
        </w:rPr>
        <w:t xml:space="preserve">, </w:t>
      </w:r>
      <w:r w:rsidR="004C13E5" w:rsidRPr="009150DC">
        <w:rPr>
          <w:lang w:val="en-AU"/>
        </w:rPr>
        <w:t>they are not a focus of this analysis</w:t>
      </w:r>
      <w:r w:rsidR="00424886" w:rsidRPr="009150DC">
        <w:rPr>
          <w:lang w:val="en-AU"/>
        </w:rPr>
        <w:t>. State and territory activities and investments will be touched on</w:t>
      </w:r>
      <w:r w:rsidR="00F70491">
        <w:rPr>
          <w:lang w:val="en-AU"/>
        </w:rPr>
        <w:t>,</w:t>
      </w:r>
      <w:r w:rsidR="00424886" w:rsidRPr="009150DC">
        <w:rPr>
          <w:lang w:val="en-AU"/>
        </w:rPr>
        <w:t xml:space="preserve"> as appropriate</w:t>
      </w:r>
      <w:r w:rsidR="00F70491">
        <w:rPr>
          <w:lang w:val="en-AU"/>
        </w:rPr>
        <w:t>,</w:t>
      </w:r>
      <w:r w:rsidR="00424886" w:rsidRPr="009150DC">
        <w:rPr>
          <w:lang w:val="en-AU"/>
        </w:rPr>
        <w:t xml:space="preserve"> for comparative purposes.</w:t>
      </w:r>
    </w:p>
    <w:p w14:paraId="2840084D" w14:textId="40023442" w:rsidR="007A1765" w:rsidRPr="003532E0" w:rsidRDefault="00AE43AD" w:rsidP="002A61BC">
      <w:pPr>
        <w:pStyle w:val="ListParagraph"/>
        <w:numPr>
          <w:ilvl w:val="0"/>
          <w:numId w:val="21"/>
        </w:numPr>
        <w:ind w:left="426" w:hanging="426"/>
        <w:rPr>
          <w:rFonts w:eastAsia="Microsoft New Tai Lue"/>
          <w:lang w:val="en-AU"/>
        </w:rPr>
      </w:pPr>
      <w:r w:rsidRPr="009150DC">
        <w:rPr>
          <w:rFonts w:eastAsia="Microsoft New Tai Lue"/>
          <w:lang w:val="en-AU"/>
        </w:rPr>
        <w:t>U</w:t>
      </w:r>
      <w:r w:rsidR="000C035D" w:rsidRPr="009150DC">
        <w:rPr>
          <w:rFonts w:eastAsia="Microsoft New Tai Lue"/>
          <w:lang w:val="en-AU"/>
        </w:rPr>
        <w:t>ndertaken a</w:t>
      </w:r>
      <w:r w:rsidR="00BB53A4" w:rsidRPr="009150DC">
        <w:rPr>
          <w:rFonts w:eastAsia="Microsoft New Tai Lue"/>
          <w:lang w:val="en-AU"/>
        </w:rPr>
        <w:t>n in-depth analysis</w:t>
      </w:r>
      <w:r w:rsidR="000C035D" w:rsidRPr="009150DC">
        <w:rPr>
          <w:rFonts w:eastAsia="Microsoft New Tai Lue"/>
          <w:lang w:val="en-AU"/>
        </w:rPr>
        <w:t xml:space="preserve"> of </w:t>
      </w:r>
      <w:r w:rsidR="00D618A7" w:rsidRPr="009150DC">
        <w:rPr>
          <w:rFonts w:eastAsia="Microsoft New Tai Lue"/>
          <w:lang w:val="en-AU"/>
        </w:rPr>
        <w:t>a thematic sub</w:t>
      </w:r>
      <w:r w:rsidR="00D618A7" w:rsidRPr="009150DC">
        <w:rPr>
          <w:rFonts w:eastAsia="Microsoft New Tai Lue"/>
          <w:lang w:val="en-AU"/>
        </w:rPr>
        <w:noBreakHyphen/>
      </w:r>
      <w:r w:rsidR="000C035D" w:rsidRPr="009150DC">
        <w:rPr>
          <w:rFonts w:eastAsia="Microsoft New Tai Lue"/>
          <w:lang w:val="en-AU"/>
        </w:rPr>
        <w:t xml:space="preserve">sector </w:t>
      </w:r>
      <w:r w:rsidR="00D618A7" w:rsidRPr="009150DC">
        <w:rPr>
          <w:rFonts w:eastAsia="Microsoft New Tai Lue"/>
          <w:lang w:val="en-AU"/>
        </w:rPr>
        <w:t xml:space="preserve">of the government ISR system </w:t>
      </w:r>
      <w:r w:rsidR="00BB53A4" w:rsidRPr="009150DC">
        <w:rPr>
          <w:rFonts w:eastAsia="Microsoft New Tai Lue"/>
          <w:lang w:val="en-AU"/>
        </w:rPr>
        <w:t xml:space="preserve">to </w:t>
      </w:r>
      <w:r w:rsidR="00F64C16" w:rsidRPr="009150DC">
        <w:rPr>
          <w:rFonts w:eastAsia="Microsoft New Tai Lue"/>
          <w:lang w:val="en-AU"/>
        </w:rPr>
        <w:t>obtain</w:t>
      </w:r>
      <w:r w:rsidR="00BB53A4" w:rsidRPr="009150DC">
        <w:rPr>
          <w:lang w:val="en-AU"/>
        </w:rPr>
        <w:t xml:space="preserve"> detailed insights representative of the broader system</w:t>
      </w:r>
      <w:r w:rsidR="00D618A7" w:rsidRPr="009150DC">
        <w:rPr>
          <w:lang w:val="en-AU"/>
        </w:rPr>
        <w:t>. The ‘space’ sector was chosen for this purpose as it is</w:t>
      </w:r>
      <w:r w:rsidR="00BB53A4" w:rsidRPr="009150DC">
        <w:rPr>
          <w:lang w:val="en-AU"/>
        </w:rPr>
        <w:t xml:space="preserve"> an exemplar of an emergent government priority</w:t>
      </w:r>
      <w:r w:rsidR="000C035D" w:rsidRPr="009150DC">
        <w:rPr>
          <w:rFonts w:eastAsia="Microsoft New Tai Lue"/>
          <w:lang w:val="en-AU"/>
        </w:rPr>
        <w:t xml:space="preserve">. </w:t>
      </w:r>
      <w:r w:rsidR="00574246" w:rsidRPr="009150DC">
        <w:rPr>
          <w:rFonts w:eastAsia="Microsoft New Tai Lue"/>
          <w:lang w:val="en-AU"/>
        </w:rPr>
        <w:t xml:space="preserve">The collection of </w:t>
      </w:r>
      <w:r w:rsidR="00766456" w:rsidRPr="009150DC">
        <w:rPr>
          <w:rFonts w:eastAsia="Microsoft New Tai Lue"/>
          <w:lang w:val="en-AU"/>
        </w:rPr>
        <w:t>g</w:t>
      </w:r>
      <w:r w:rsidR="00574246" w:rsidRPr="009150DC">
        <w:rPr>
          <w:rFonts w:eastAsia="Microsoft New Tai Lue"/>
          <w:lang w:val="en-AU"/>
        </w:rPr>
        <w:t xml:space="preserve">overnment </w:t>
      </w:r>
      <w:r w:rsidR="00D618A7" w:rsidRPr="009150DC">
        <w:rPr>
          <w:rFonts w:eastAsia="Microsoft New Tai Lue"/>
          <w:lang w:val="en-AU"/>
        </w:rPr>
        <w:t xml:space="preserve">space ISR </w:t>
      </w:r>
      <w:r w:rsidR="00574246" w:rsidRPr="009150DC">
        <w:rPr>
          <w:rFonts w:eastAsia="Microsoft New Tai Lue"/>
          <w:lang w:val="en-AU"/>
        </w:rPr>
        <w:t xml:space="preserve">investment data </w:t>
      </w:r>
      <w:r w:rsidR="00D618A7" w:rsidRPr="009150DC">
        <w:rPr>
          <w:lang w:val="en-AU"/>
        </w:rPr>
        <w:t xml:space="preserve">has informed </w:t>
      </w:r>
      <w:r w:rsidR="00D618A7" w:rsidRPr="009150DC">
        <w:rPr>
          <w:rFonts w:eastAsia="Microsoft New Tai Lue"/>
          <w:lang w:val="en-AU"/>
        </w:rPr>
        <w:t xml:space="preserve">qualitative and quantitative analyses </w:t>
      </w:r>
      <w:r w:rsidR="00D618A7" w:rsidRPr="009150DC">
        <w:rPr>
          <w:lang w:val="en-AU"/>
        </w:rPr>
        <w:t>of</w:t>
      </w:r>
      <w:r w:rsidR="00BE27B8" w:rsidRPr="009150DC">
        <w:rPr>
          <w:lang w:val="en-AU"/>
        </w:rPr>
        <w:t xml:space="preserve"> the scale, distribution and nature of the government’s space investments</w:t>
      </w:r>
      <w:r w:rsidR="00D6345D" w:rsidRPr="009150DC">
        <w:rPr>
          <w:lang w:val="en-AU"/>
        </w:rPr>
        <w:t xml:space="preserve">. </w:t>
      </w:r>
      <w:r w:rsidR="00AB55AC" w:rsidRPr="009150DC">
        <w:rPr>
          <w:rFonts w:eastAsia="Microsoft New Tai Lue"/>
          <w:lang w:val="en-AU"/>
        </w:rPr>
        <w:t>C</w:t>
      </w:r>
      <w:r w:rsidR="00574246" w:rsidRPr="009150DC">
        <w:rPr>
          <w:rFonts w:eastAsia="Microsoft New Tai Lue"/>
          <w:lang w:val="en-AU"/>
        </w:rPr>
        <w:t>onsultations with Government space funders and performers, including granting b</w:t>
      </w:r>
      <w:r w:rsidR="00AB55AC" w:rsidRPr="009150DC">
        <w:rPr>
          <w:rFonts w:eastAsia="Microsoft New Tai Lue"/>
          <w:lang w:val="en-AU"/>
        </w:rPr>
        <w:t xml:space="preserve">odies, PFRAs, policy makers, </w:t>
      </w:r>
      <w:r w:rsidR="00574246" w:rsidRPr="009150DC">
        <w:rPr>
          <w:rFonts w:eastAsia="Microsoft New Tai Lue"/>
          <w:lang w:val="en-AU"/>
        </w:rPr>
        <w:t>program owners, and businesses</w:t>
      </w:r>
      <w:r w:rsidR="00D6345D" w:rsidRPr="009150DC">
        <w:rPr>
          <w:rFonts w:eastAsia="Microsoft New Tai Lue"/>
          <w:lang w:val="en-AU"/>
        </w:rPr>
        <w:t xml:space="preserve"> provided </w:t>
      </w:r>
      <w:r w:rsidR="00C66A1E" w:rsidRPr="009150DC">
        <w:rPr>
          <w:rFonts w:eastAsia="Microsoft New Tai Lue"/>
          <w:lang w:val="en-AU"/>
        </w:rPr>
        <w:t xml:space="preserve">further </w:t>
      </w:r>
      <w:r w:rsidR="00D6345D" w:rsidRPr="009150DC">
        <w:rPr>
          <w:rFonts w:eastAsia="Microsoft New Tai Lue"/>
          <w:lang w:val="en-AU"/>
        </w:rPr>
        <w:t>input to the qualitative analysis</w:t>
      </w:r>
      <w:r w:rsidR="00835ED2" w:rsidRPr="009150DC">
        <w:rPr>
          <w:rFonts w:eastAsia="Microsoft New Tai Lue"/>
          <w:lang w:val="en-AU"/>
        </w:rPr>
        <w:t>.</w:t>
      </w:r>
    </w:p>
    <w:p w14:paraId="68C0298E" w14:textId="77777777" w:rsidR="007A1765" w:rsidRPr="002A61BC" w:rsidRDefault="007A1765" w:rsidP="002A61BC">
      <w:pPr>
        <w:pStyle w:val="ListParagraph"/>
        <w:numPr>
          <w:ilvl w:val="0"/>
          <w:numId w:val="21"/>
        </w:numPr>
        <w:spacing w:before="40" w:after="160" w:line="288" w:lineRule="auto"/>
        <w:ind w:left="426" w:hanging="426"/>
        <w:rPr>
          <w:rFonts w:eastAsia="Microsoft New Tai Lue"/>
          <w:lang w:val="en-AU"/>
        </w:rPr>
      </w:pPr>
      <w:r w:rsidRPr="002A61BC">
        <w:rPr>
          <w:rFonts w:eastAsia="Microsoft New Tai Lue"/>
          <w:lang w:val="en-AU"/>
        </w:rPr>
        <w:br w:type="page"/>
      </w:r>
    </w:p>
    <w:p w14:paraId="4FDBC7A3" w14:textId="2A88FF07" w:rsidR="001B7A33" w:rsidRPr="00B27FA8" w:rsidRDefault="00AE43AD" w:rsidP="00B27FA8">
      <w:pPr>
        <w:pStyle w:val="ListParagraph"/>
        <w:numPr>
          <w:ilvl w:val="0"/>
          <w:numId w:val="33"/>
        </w:numPr>
        <w:ind w:left="426" w:hanging="426"/>
        <w:rPr>
          <w:rFonts w:eastAsia="Microsoft New Tai Lue"/>
          <w:lang w:val="en-AU"/>
        </w:rPr>
      </w:pPr>
      <w:r w:rsidRPr="009150DC">
        <w:rPr>
          <w:rFonts w:eastAsia="Microsoft New Tai Lue"/>
          <w:lang w:val="en-AU"/>
        </w:rPr>
        <w:lastRenderedPageBreak/>
        <w:t>U</w:t>
      </w:r>
      <w:r w:rsidR="00835ED2" w:rsidRPr="00B27FA8">
        <w:rPr>
          <w:rFonts w:eastAsia="Microsoft New Tai Lue"/>
          <w:lang w:val="en-AU"/>
        </w:rPr>
        <w:t>sed five</w:t>
      </w:r>
      <w:r w:rsidR="00A16F0C" w:rsidRPr="00B27FA8">
        <w:rPr>
          <w:rFonts w:eastAsia="Microsoft New Tai Lue"/>
          <w:lang w:val="en-AU"/>
        </w:rPr>
        <w:t xml:space="preserve"> I</w:t>
      </w:r>
      <w:r w:rsidR="00D33BEF" w:rsidRPr="00B27FA8">
        <w:rPr>
          <w:rFonts w:eastAsia="Microsoft New Tai Lue"/>
          <w:lang w:val="en-AU"/>
        </w:rPr>
        <w:t>I</w:t>
      </w:r>
      <w:r w:rsidR="00A16F0C" w:rsidRPr="00B27FA8">
        <w:rPr>
          <w:rFonts w:eastAsia="Microsoft New Tai Lue"/>
          <w:lang w:val="en-AU"/>
        </w:rPr>
        <w:t>SA</w:t>
      </w:r>
      <w:r w:rsidR="007A1765" w:rsidRPr="00B27FA8">
        <w:rPr>
          <w:rFonts w:eastAsia="Microsoft New Tai Lue"/>
          <w:lang w:val="en-AU"/>
        </w:rPr>
        <w:noBreakHyphen/>
      </w:r>
      <w:r w:rsidR="00A16F0C" w:rsidRPr="00B27FA8">
        <w:rPr>
          <w:rFonts w:eastAsia="Microsoft New Tai Lue"/>
          <w:lang w:val="en-AU"/>
        </w:rPr>
        <w:t>developed</w:t>
      </w:r>
      <w:r w:rsidR="00835ED2" w:rsidRPr="009150DC">
        <w:rPr>
          <w:rFonts w:eastAsia="Microsoft New Tai Lue"/>
          <w:lang w:val="en-AU"/>
        </w:rPr>
        <w:t xml:space="preserve"> best-practice principles</w:t>
      </w:r>
      <w:r w:rsidR="00D70786">
        <w:rPr>
          <w:rFonts w:eastAsia="Microsoft New Tai Lue"/>
          <w:lang w:val="en-AU"/>
        </w:rPr>
        <w:t xml:space="preserve"> </w:t>
      </w:r>
      <w:r w:rsidR="0059153B" w:rsidRPr="00B27FA8">
        <w:rPr>
          <w:rFonts w:eastAsia="Microsoft New Tai Lue"/>
          <w:lang w:val="en-AU"/>
        </w:rPr>
        <w:t>to frame our</w:t>
      </w:r>
      <w:r w:rsidR="00D70786" w:rsidRPr="00B27FA8">
        <w:rPr>
          <w:rFonts w:eastAsia="Microsoft New Tai Lue"/>
          <w:lang w:val="en-AU"/>
        </w:rPr>
        <w:t xml:space="preserve"> analyses and findings. The Australian and international literature </w:t>
      </w:r>
      <w:r w:rsidR="00835ED2" w:rsidRPr="00B27FA8">
        <w:rPr>
          <w:rFonts w:eastAsia="Microsoft New Tai Lue"/>
          <w:lang w:val="en-AU"/>
        </w:rPr>
        <w:t>broad</w:t>
      </w:r>
      <w:r w:rsidR="00D70786" w:rsidRPr="00B27FA8">
        <w:rPr>
          <w:rFonts w:eastAsia="Microsoft New Tai Lue"/>
          <w:lang w:val="en-AU"/>
        </w:rPr>
        <w:t>ly</w:t>
      </w:r>
      <w:r w:rsidR="00835ED2" w:rsidRPr="00B27FA8">
        <w:rPr>
          <w:rFonts w:eastAsia="Microsoft New Tai Lue"/>
          <w:lang w:val="en-AU"/>
        </w:rPr>
        <w:t xml:space="preserve"> agre</w:t>
      </w:r>
      <w:r w:rsidR="00D70786" w:rsidRPr="00B27FA8">
        <w:rPr>
          <w:rFonts w:eastAsia="Microsoft New Tai Lue"/>
          <w:lang w:val="en-AU"/>
        </w:rPr>
        <w:t>e that these principles</w:t>
      </w:r>
      <w:r w:rsidR="0004605A" w:rsidRPr="00B27FA8">
        <w:rPr>
          <w:rFonts w:eastAsia="Microsoft New Tai Lue"/>
          <w:lang w:val="en-AU"/>
        </w:rPr>
        <w:t xml:space="preserve"> </w:t>
      </w:r>
      <w:r w:rsidR="00A16F0C" w:rsidRPr="00B27FA8">
        <w:rPr>
          <w:rFonts w:eastAsia="Microsoft New Tai Lue"/>
          <w:lang w:val="en-AU"/>
        </w:rPr>
        <w:t>underpin</w:t>
      </w:r>
      <w:r w:rsidR="00835ED2" w:rsidRPr="00B27FA8" w:rsidDel="00053C4E">
        <w:rPr>
          <w:rFonts w:eastAsia="Microsoft New Tai Lue"/>
          <w:lang w:val="en-AU"/>
        </w:rPr>
        <w:t xml:space="preserve"> </w:t>
      </w:r>
      <w:r w:rsidR="00835ED2" w:rsidRPr="00B27FA8">
        <w:rPr>
          <w:rFonts w:eastAsia="Microsoft New Tai Lue"/>
          <w:lang w:val="en-AU"/>
        </w:rPr>
        <w:t>effective ISR investment</w:t>
      </w:r>
      <w:r w:rsidR="00A16F0C" w:rsidRPr="00B27FA8">
        <w:rPr>
          <w:rFonts w:eastAsia="Microsoft New Tai Lue"/>
          <w:lang w:val="en-AU"/>
        </w:rPr>
        <w:t xml:space="preserve"> design</w:t>
      </w:r>
      <w:r w:rsidR="00D70786" w:rsidRPr="00B27FA8">
        <w:rPr>
          <w:rFonts w:eastAsia="Microsoft New Tai Lue"/>
          <w:lang w:val="en-AU"/>
        </w:rPr>
        <w:t>.</w:t>
      </w:r>
      <w:r w:rsidR="00835ED2" w:rsidRPr="00B27FA8">
        <w:rPr>
          <w:rFonts w:eastAsia="Microsoft New Tai Lue"/>
        </w:rPr>
        <w:footnoteReference w:id="28"/>
      </w:r>
      <w:r w:rsidR="00835ED2" w:rsidRPr="00B27FA8">
        <w:rPr>
          <w:rFonts w:eastAsia="Microsoft New Tai Lue"/>
          <w:lang w:val="en-AU"/>
        </w:rPr>
        <w:t xml:space="preserve"> The</w:t>
      </w:r>
      <w:r w:rsidR="0059153B" w:rsidRPr="00B27FA8">
        <w:rPr>
          <w:rFonts w:eastAsia="Microsoft New Tai Lue"/>
          <w:lang w:val="en-AU"/>
        </w:rPr>
        <w:t xml:space="preserve"> principles</w:t>
      </w:r>
      <w:r w:rsidR="00835ED2" w:rsidRPr="00B27FA8">
        <w:rPr>
          <w:rFonts w:eastAsia="Microsoft New Tai Lue"/>
          <w:lang w:val="en-AU"/>
        </w:rPr>
        <w:t xml:space="preserve"> are:</w:t>
      </w:r>
    </w:p>
    <w:p w14:paraId="1398085E" w14:textId="54E72360" w:rsidR="001B7A33" w:rsidRPr="009150DC" w:rsidRDefault="007A1765" w:rsidP="00B27FA8">
      <w:pPr>
        <w:pStyle w:val="ListParagraph"/>
        <w:numPr>
          <w:ilvl w:val="1"/>
          <w:numId w:val="32"/>
        </w:numPr>
        <w:ind w:left="426" w:firstLine="0"/>
        <w:rPr>
          <w:lang w:val="en-AU"/>
        </w:rPr>
      </w:pPr>
      <w:r>
        <w:rPr>
          <w:rFonts w:eastAsia="Microsoft New Tai Lue"/>
          <w:lang w:val="en-AU"/>
        </w:rPr>
        <w:t>a</w:t>
      </w:r>
      <w:r w:rsidR="001B7A33" w:rsidRPr="009150DC">
        <w:rPr>
          <w:rFonts w:eastAsia="Microsoft New Tai Lue"/>
          <w:lang w:val="en-AU"/>
        </w:rPr>
        <w:t xml:space="preserve">ligned to </w:t>
      </w:r>
      <w:r w:rsidR="00055242">
        <w:rPr>
          <w:rFonts w:eastAsia="Microsoft New Tai Lue"/>
          <w:lang w:val="en-AU"/>
        </w:rPr>
        <w:t>priorities</w:t>
      </w:r>
      <w:r>
        <w:rPr>
          <w:rFonts w:eastAsia="Microsoft New Tai Lue"/>
          <w:lang w:val="en-AU"/>
        </w:rPr>
        <w:t>;</w:t>
      </w:r>
    </w:p>
    <w:p w14:paraId="0EDBA554" w14:textId="5D626202" w:rsidR="001B7A33" w:rsidRPr="009150DC" w:rsidRDefault="007A1765" w:rsidP="00B27FA8">
      <w:pPr>
        <w:pStyle w:val="ListParagraph"/>
        <w:numPr>
          <w:ilvl w:val="1"/>
          <w:numId w:val="32"/>
        </w:numPr>
        <w:ind w:left="426" w:firstLine="0"/>
        <w:rPr>
          <w:lang w:val="en-AU"/>
        </w:rPr>
      </w:pPr>
      <w:r>
        <w:rPr>
          <w:rFonts w:eastAsia="Microsoft New Tai Lue"/>
          <w:lang w:val="en-AU"/>
        </w:rPr>
        <w:t>d</w:t>
      </w:r>
      <w:r w:rsidR="001B7A33" w:rsidRPr="009150DC">
        <w:rPr>
          <w:rFonts w:eastAsia="Microsoft New Tai Lue"/>
          <w:lang w:val="en-AU"/>
        </w:rPr>
        <w:t>elivers impact</w:t>
      </w:r>
      <w:r>
        <w:rPr>
          <w:rFonts w:eastAsia="Microsoft New Tai Lue"/>
          <w:lang w:val="en-AU"/>
        </w:rPr>
        <w:t>;</w:t>
      </w:r>
    </w:p>
    <w:p w14:paraId="44184C1C" w14:textId="7673BD58" w:rsidR="001B7A33" w:rsidRPr="009150DC" w:rsidRDefault="007A1765" w:rsidP="00B27FA8">
      <w:pPr>
        <w:pStyle w:val="ListParagraph"/>
        <w:numPr>
          <w:ilvl w:val="1"/>
          <w:numId w:val="32"/>
        </w:numPr>
        <w:ind w:left="426" w:firstLine="0"/>
        <w:rPr>
          <w:lang w:val="en-AU"/>
        </w:rPr>
      </w:pPr>
      <w:r>
        <w:rPr>
          <w:lang w:val="en-AU"/>
        </w:rPr>
        <w:t>s</w:t>
      </w:r>
      <w:r w:rsidR="001B7A33" w:rsidRPr="009150DC">
        <w:rPr>
          <w:lang w:val="en-AU"/>
        </w:rPr>
        <w:t>ustainable</w:t>
      </w:r>
      <w:r>
        <w:rPr>
          <w:lang w:val="en-AU"/>
        </w:rPr>
        <w:t>;</w:t>
      </w:r>
    </w:p>
    <w:p w14:paraId="07EA828E" w14:textId="4A679E07" w:rsidR="001B7A33" w:rsidRPr="009150DC" w:rsidRDefault="007A1765" w:rsidP="00B27FA8">
      <w:pPr>
        <w:pStyle w:val="ListParagraph"/>
        <w:numPr>
          <w:ilvl w:val="1"/>
          <w:numId w:val="32"/>
        </w:numPr>
        <w:ind w:left="426" w:firstLine="0"/>
        <w:rPr>
          <w:lang w:val="en-AU"/>
        </w:rPr>
      </w:pPr>
      <w:r>
        <w:rPr>
          <w:lang w:val="en-AU"/>
        </w:rPr>
        <w:t>c</w:t>
      </w:r>
      <w:r w:rsidR="001B7A33" w:rsidRPr="009150DC">
        <w:rPr>
          <w:lang w:val="en-AU"/>
        </w:rPr>
        <w:t>oordinated</w:t>
      </w:r>
      <w:r>
        <w:rPr>
          <w:lang w:val="en-AU"/>
        </w:rPr>
        <w:t>; and,</w:t>
      </w:r>
    </w:p>
    <w:p w14:paraId="08D6B2FC" w14:textId="042652C1" w:rsidR="001B7A33" w:rsidRPr="009150DC" w:rsidRDefault="007A1765" w:rsidP="00B27FA8">
      <w:pPr>
        <w:pStyle w:val="ListParagraph"/>
        <w:numPr>
          <w:ilvl w:val="1"/>
          <w:numId w:val="32"/>
        </w:numPr>
        <w:ind w:left="426" w:firstLine="0"/>
        <w:rPr>
          <w:lang w:val="en-AU"/>
        </w:rPr>
      </w:pPr>
      <w:r>
        <w:rPr>
          <w:lang w:val="en-AU"/>
        </w:rPr>
        <w:t>s</w:t>
      </w:r>
      <w:r w:rsidR="001B7A33" w:rsidRPr="009150DC">
        <w:rPr>
          <w:lang w:val="en-AU"/>
        </w:rPr>
        <w:t>trategically balanced (specifically, across phases and pipeline, scale, risk, investment mechanisms, and resourcing).</w:t>
      </w:r>
    </w:p>
    <w:p w14:paraId="51B9A81E" w14:textId="2ACB8DA5" w:rsidR="002D0234" w:rsidRPr="00864B79" w:rsidRDefault="00AE43AD" w:rsidP="00B27FA8">
      <w:pPr>
        <w:pStyle w:val="ListParagraph"/>
        <w:numPr>
          <w:ilvl w:val="0"/>
          <w:numId w:val="32"/>
        </w:numPr>
        <w:spacing w:after="160"/>
        <w:ind w:left="426" w:hanging="426"/>
        <w:rPr>
          <w:lang w:val="en-AU"/>
        </w:rPr>
      </w:pPr>
      <w:r w:rsidRPr="00864B79">
        <w:rPr>
          <w:rFonts w:eastAsia="Microsoft New Tai Lue"/>
          <w:lang w:val="en-AU"/>
        </w:rPr>
        <w:t>D</w:t>
      </w:r>
      <w:r w:rsidR="00E54A85" w:rsidRPr="00864B79">
        <w:rPr>
          <w:rFonts w:eastAsia="Microsoft New Tai Lue"/>
          <w:lang w:val="en-AU"/>
        </w:rPr>
        <w:t>raw</w:t>
      </w:r>
      <w:r w:rsidR="007A1765">
        <w:rPr>
          <w:rFonts w:eastAsia="Microsoft New Tai Lue"/>
          <w:lang w:val="en-AU"/>
        </w:rPr>
        <w:t>n</w:t>
      </w:r>
      <w:r w:rsidR="00E54A85" w:rsidRPr="00864B79">
        <w:rPr>
          <w:rFonts w:eastAsia="Microsoft New Tai Lue"/>
          <w:lang w:val="en-AU"/>
        </w:rPr>
        <w:t xml:space="preserve"> on </w:t>
      </w:r>
      <w:r w:rsidR="00864B79" w:rsidRPr="00864B79">
        <w:rPr>
          <w:rFonts w:eastAsia="Microsoft New Tai Lue"/>
          <w:lang w:val="en-AU"/>
        </w:rPr>
        <w:t xml:space="preserve">metrics considered important to measure </w:t>
      </w:r>
      <w:r w:rsidR="00AD62B7" w:rsidRPr="00864B79">
        <w:rPr>
          <w:rFonts w:eastAsia="Microsoft New Tai Lue"/>
          <w:lang w:val="en-AU"/>
        </w:rPr>
        <w:t>Australia’s ISR system performance</w:t>
      </w:r>
      <w:r w:rsidR="00864B79" w:rsidRPr="00864B79">
        <w:rPr>
          <w:rFonts w:eastAsia="Microsoft New Tai Lue"/>
          <w:lang w:val="en-AU"/>
        </w:rPr>
        <w:t xml:space="preserve">. These </w:t>
      </w:r>
      <w:r w:rsidR="00814AE0">
        <w:rPr>
          <w:rFonts w:eastAsia="Microsoft New Tai Lue"/>
          <w:lang w:val="en-AU"/>
        </w:rPr>
        <w:t xml:space="preserve">scorecard </w:t>
      </w:r>
      <w:r w:rsidR="00864B79" w:rsidRPr="00864B79">
        <w:rPr>
          <w:rFonts w:eastAsia="Microsoft New Tai Lue"/>
          <w:lang w:val="en-AU"/>
        </w:rPr>
        <w:t xml:space="preserve">metrics </w:t>
      </w:r>
      <w:r w:rsidR="00814AE0">
        <w:rPr>
          <w:rFonts w:eastAsia="Microsoft New Tai Lue"/>
          <w:lang w:val="en-AU"/>
        </w:rPr>
        <w:t xml:space="preserve">and a narrative </w:t>
      </w:r>
      <w:r w:rsidR="00864B79" w:rsidRPr="00864B79">
        <w:rPr>
          <w:rFonts w:eastAsia="Microsoft New Tai Lue"/>
          <w:lang w:val="en-AU"/>
        </w:rPr>
        <w:t xml:space="preserve">are presented </w:t>
      </w:r>
      <w:r w:rsidR="00814AE0">
        <w:rPr>
          <w:rFonts w:eastAsia="Microsoft New Tai Lue"/>
          <w:lang w:val="en-AU"/>
        </w:rPr>
        <w:t>in</w:t>
      </w:r>
      <w:r w:rsidR="00066E5A">
        <w:rPr>
          <w:rFonts w:eastAsia="Microsoft New Tai Lue"/>
          <w:lang w:val="en-AU"/>
        </w:rPr>
        <w:t xml:space="preserve"> Appendix H</w:t>
      </w:r>
      <w:r w:rsidR="00AD62B7" w:rsidRPr="00864B79">
        <w:rPr>
          <w:rFonts w:eastAsia="Microsoft New Tai Lue"/>
          <w:lang w:val="en-AU"/>
        </w:rPr>
        <w:t>.</w:t>
      </w:r>
    </w:p>
    <w:p w14:paraId="646BD391" w14:textId="4108E5B6" w:rsidR="00AB55AC" w:rsidRPr="009150DC" w:rsidRDefault="00835ED2" w:rsidP="00AB55AC">
      <w:pPr>
        <w:widowControl w:val="0"/>
        <w:spacing w:after="0"/>
        <w:rPr>
          <w:lang w:val="en-AU"/>
        </w:rPr>
      </w:pPr>
      <w:r w:rsidRPr="009150DC">
        <w:rPr>
          <w:lang w:val="en-AU"/>
        </w:rPr>
        <w:t>I</w:t>
      </w:r>
      <w:r w:rsidR="00D33BEF">
        <w:rPr>
          <w:lang w:val="en-AU"/>
        </w:rPr>
        <w:t>I</w:t>
      </w:r>
      <w:r w:rsidRPr="009150DC">
        <w:rPr>
          <w:lang w:val="en-AU"/>
        </w:rPr>
        <w:t xml:space="preserve">SA’s findings indicate that there is no </w:t>
      </w:r>
      <w:r w:rsidR="00375C40" w:rsidRPr="009150DC">
        <w:rPr>
          <w:lang w:val="en-AU"/>
        </w:rPr>
        <w:t>definitive source of ‘what good looks like’</w:t>
      </w:r>
      <w:r w:rsidRPr="009150DC">
        <w:rPr>
          <w:lang w:val="en-AU"/>
        </w:rPr>
        <w:t xml:space="preserve"> for the balance and mix </w:t>
      </w:r>
      <w:r w:rsidR="00375C40" w:rsidRPr="009150DC">
        <w:rPr>
          <w:lang w:val="en-AU"/>
        </w:rPr>
        <w:t>of government ISR investments—</w:t>
      </w:r>
      <w:r w:rsidRPr="009150DC">
        <w:rPr>
          <w:lang w:val="en-AU"/>
        </w:rPr>
        <w:t xml:space="preserve">national innovation systems are simply too diverse. For example, </w:t>
      </w:r>
      <w:r w:rsidR="007A1765">
        <w:rPr>
          <w:lang w:val="en-AU"/>
        </w:rPr>
        <w:t>t</w:t>
      </w:r>
      <w:r w:rsidRPr="009150DC">
        <w:rPr>
          <w:lang w:val="en-AU"/>
        </w:rPr>
        <w:t>he UK House of Commons</w:t>
      </w:r>
      <w:r w:rsidRPr="009150DC">
        <w:rPr>
          <w:vertAlign w:val="superscript"/>
          <w:lang w:val="en-AU"/>
        </w:rPr>
        <w:t xml:space="preserve"> </w:t>
      </w:r>
      <w:r w:rsidRPr="009150DC">
        <w:rPr>
          <w:lang w:val="en-AU"/>
        </w:rPr>
        <w:t>recently</w:t>
      </w:r>
      <w:r w:rsidRPr="009150DC">
        <w:rPr>
          <w:i/>
          <w:lang w:val="en-AU"/>
        </w:rPr>
        <w:t xml:space="preserve"> </w:t>
      </w:r>
      <w:r w:rsidR="00870EDE">
        <w:rPr>
          <w:lang w:val="en-AU"/>
        </w:rPr>
        <w:t>found that “</w:t>
      </w:r>
      <w:r w:rsidRPr="009150DC">
        <w:rPr>
          <w:lang w:val="en-AU"/>
        </w:rPr>
        <w:t>the appropriate balance will depend on the goals and objectives of research policy</w:t>
      </w:r>
      <w:r w:rsidR="00E63BFB" w:rsidRPr="009150DC">
        <w:rPr>
          <w:lang w:val="en-AU"/>
        </w:rPr>
        <w:t>.</w:t>
      </w:r>
      <w:r w:rsidRPr="009150DC">
        <w:rPr>
          <w:lang w:val="en-AU"/>
        </w:rPr>
        <w:t xml:space="preserve"> The complexity and uncertainty of the research system may mean that the optimal balance is unknowable.” </w:t>
      </w:r>
      <w:r w:rsidR="00AB55AC" w:rsidRPr="009150DC">
        <w:rPr>
          <w:lang w:val="en-AU"/>
        </w:rPr>
        <w:t xml:space="preserve">They </w:t>
      </w:r>
      <w:r w:rsidR="00421998">
        <w:rPr>
          <w:lang w:val="en-AU"/>
        </w:rPr>
        <w:t>also</w:t>
      </w:r>
      <w:r w:rsidR="00421998" w:rsidRPr="009150DC">
        <w:rPr>
          <w:lang w:val="en-AU"/>
        </w:rPr>
        <w:t xml:space="preserve"> </w:t>
      </w:r>
      <w:r w:rsidRPr="009150DC">
        <w:rPr>
          <w:lang w:val="en-AU"/>
        </w:rPr>
        <w:t>noted that there are many possible ‘balances’ or policy mixes, investment decisions are largely based on political choice</w:t>
      </w:r>
      <w:r w:rsidR="00421998">
        <w:rPr>
          <w:lang w:val="en-AU"/>
        </w:rPr>
        <w:t>, and</w:t>
      </w:r>
      <w:r w:rsidRPr="009150DC">
        <w:rPr>
          <w:lang w:val="en-AU"/>
        </w:rPr>
        <w:t xml:space="preserve"> that government ISR investment d</w:t>
      </w:r>
      <w:r w:rsidR="008D1A71" w:rsidRPr="009150DC">
        <w:rPr>
          <w:lang w:val="en-AU"/>
        </w:rPr>
        <w:t>ecisions should be transparent</w:t>
      </w:r>
      <w:r w:rsidR="00D44C55" w:rsidRPr="009150DC">
        <w:rPr>
          <w:lang w:val="en-AU"/>
        </w:rPr>
        <w:t xml:space="preserve"> and informed by best</w:t>
      </w:r>
      <w:r w:rsidR="00023D45">
        <w:rPr>
          <w:lang w:val="en-AU"/>
        </w:rPr>
        <w:noBreakHyphen/>
      </w:r>
      <w:r w:rsidR="00D44C55" w:rsidRPr="009150DC">
        <w:rPr>
          <w:lang w:val="en-AU"/>
        </w:rPr>
        <w:t>practice approaches.</w:t>
      </w:r>
      <w:r w:rsidR="00421998" w:rsidRPr="009150DC">
        <w:rPr>
          <w:vertAlign w:val="superscript"/>
          <w:lang w:val="en-AU"/>
        </w:rPr>
        <w:footnoteReference w:id="29"/>
      </w:r>
    </w:p>
    <w:p w14:paraId="789758DB" w14:textId="1AA9E9AD" w:rsidR="001370D6" w:rsidRPr="009150DC" w:rsidRDefault="00066E5A" w:rsidP="00066E5A">
      <w:pPr>
        <w:pStyle w:val="Heading1"/>
      </w:pPr>
      <w:bookmarkStart w:id="117" w:name="_Ref34912492"/>
      <w:bookmarkStart w:id="118" w:name="_Ref34913094"/>
      <w:bookmarkStart w:id="119" w:name="_Ref34913099"/>
      <w:bookmarkStart w:id="120" w:name="_Ref34913332"/>
      <w:bookmarkStart w:id="121" w:name="_Ref34913486"/>
      <w:bookmarkStart w:id="122" w:name="_Toc34919445"/>
      <w:bookmarkStart w:id="123" w:name="_Toc34921731"/>
      <w:bookmarkStart w:id="124" w:name="_Toc34924049"/>
      <w:bookmarkStart w:id="125" w:name="_Toc34925374"/>
      <w:bookmarkStart w:id="126" w:name="_Toc34989520"/>
      <w:bookmarkStart w:id="127" w:name="_Toc35006804"/>
      <w:bookmarkStart w:id="128" w:name="_Toc35011739"/>
      <w:bookmarkStart w:id="129" w:name="_Toc35015766"/>
      <w:bookmarkStart w:id="130" w:name="_Toc35356376"/>
      <w:bookmarkStart w:id="131" w:name="_Toc42868665"/>
      <w:bookmarkStart w:id="132" w:name="_Toc42872685"/>
      <w:bookmarkStart w:id="133" w:name="_Toc43996696"/>
      <w:bookmarkStart w:id="134" w:name="_Toc43999072"/>
      <w:bookmarkStart w:id="135" w:name="_Toc44071637"/>
      <w:bookmarkStart w:id="136" w:name="_Toc44074720"/>
      <w:bookmarkStart w:id="137" w:name="_Toc44076146"/>
      <w:bookmarkStart w:id="138" w:name="_Toc44079129"/>
      <w:bookmarkStart w:id="139" w:name="_Toc44317957"/>
      <w:bookmarkStart w:id="140" w:name="_Toc44312290"/>
      <w:bookmarkStart w:id="141" w:name="_Toc44320753"/>
      <w:bookmarkStart w:id="142" w:name="_Toc44322389"/>
      <w:bookmarkStart w:id="143" w:name="_Toc44322578"/>
      <w:bookmarkStart w:id="144" w:name="_Toc44323381"/>
      <w:bookmarkStart w:id="145" w:name="_Toc44323468"/>
      <w:bookmarkStart w:id="146" w:name="_Toc44324978"/>
      <w:bookmarkStart w:id="147" w:name="_Toc44326048"/>
      <w:bookmarkStart w:id="148" w:name="_Toc44330372"/>
      <w:bookmarkStart w:id="149" w:name="_Toc44331822"/>
      <w:bookmarkStart w:id="150" w:name="_Toc44331935"/>
      <w:bookmarkStart w:id="151" w:name="_Toc44339032"/>
      <w:bookmarkStart w:id="152" w:name="_Toc44340732"/>
      <w:bookmarkStart w:id="153" w:name="_Toc44419461"/>
      <w:bookmarkStart w:id="154" w:name="_Toc44420418"/>
      <w:bookmarkStart w:id="155" w:name="_Toc56073615"/>
      <w:bookmarkStart w:id="156" w:name="_Toc57113512"/>
      <w:bookmarkStart w:id="157" w:name="_Toc57113695"/>
      <w:bookmarkStart w:id="158" w:name="_Toc57641032"/>
      <w:bookmarkEnd w:id="88"/>
      <w:bookmarkEnd w:id="89"/>
      <w:bookmarkEnd w:id="90"/>
      <w:bookmarkEnd w:id="91"/>
      <w:bookmarkEnd w:id="92"/>
      <w:bookmarkEnd w:id="93"/>
      <w:r>
        <w:lastRenderedPageBreak/>
        <w:t xml:space="preserve">Appendix B: </w:t>
      </w:r>
      <w:r w:rsidR="00007155" w:rsidRPr="009150DC">
        <w:t>A</w:t>
      </w:r>
      <w:r w:rsidR="001370D6" w:rsidRPr="009150DC">
        <w:t>ligned to priorities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5D1C6BFE" w14:textId="2E72ABB0" w:rsidR="00401E30" w:rsidRPr="009150DC" w:rsidRDefault="008575DA" w:rsidP="001B22C0">
      <w:pPr>
        <w:rPr>
          <w:lang w:val="en-AU"/>
        </w:rPr>
      </w:pPr>
      <w:r w:rsidRPr="009150DC">
        <w:rPr>
          <w:lang w:val="en-AU"/>
        </w:rPr>
        <w:t>ISR investments</w:t>
      </w:r>
      <w:r w:rsidR="0034115C" w:rsidRPr="009150DC">
        <w:rPr>
          <w:lang w:val="en-AU"/>
        </w:rPr>
        <w:t>,</w:t>
      </w:r>
      <w:r w:rsidRPr="009150DC">
        <w:rPr>
          <w:lang w:val="en-AU"/>
        </w:rPr>
        <w:t xml:space="preserve"> at the system level</w:t>
      </w:r>
      <w:r w:rsidR="0034115C" w:rsidRPr="009150DC">
        <w:rPr>
          <w:lang w:val="en-AU"/>
        </w:rPr>
        <w:t>,</w:t>
      </w:r>
      <w:r w:rsidR="00AB798F" w:rsidRPr="009150DC">
        <w:rPr>
          <w:lang w:val="en-AU"/>
        </w:rPr>
        <w:t xml:space="preserve"> should</w:t>
      </w:r>
      <w:r w:rsidRPr="009150DC">
        <w:rPr>
          <w:lang w:val="en-AU"/>
        </w:rPr>
        <w:t xml:space="preserve"> clos</w:t>
      </w:r>
      <w:r w:rsidR="00CF18CB" w:rsidRPr="009150DC">
        <w:rPr>
          <w:lang w:val="en-AU"/>
        </w:rPr>
        <w:t>ely align</w:t>
      </w:r>
      <w:r w:rsidR="0034115C" w:rsidRPr="009150DC">
        <w:rPr>
          <w:lang w:val="en-AU"/>
        </w:rPr>
        <w:t xml:space="preserve"> </w:t>
      </w:r>
      <w:r w:rsidR="00A93518" w:rsidRPr="009150DC">
        <w:rPr>
          <w:lang w:val="en-AU"/>
        </w:rPr>
        <w:t>with</w:t>
      </w:r>
      <w:r w:rsidRPr="009150DC">
        <w:rPr>
          <w:lang w:val="en-AU"/>
        </w:rPr>
        <w:t xml:space="preserve"> government priorities</w:t>
      </w:r>
      <w:r w:rsidR="00A93518" w:rsidRPr="009150DC">
        <w:rPr>
          <w:lang w:val="en-AU"/>
        </w:rPr>
        <w:t xml:space="preserve"> to ensure the effectiveness of Government’s investment</w:t>
      </w:r>
      <w:r w:rsidR="004561A8" w:rsidRPr="009150DC">
        <w:rPr>
          <w:lang w:val="en-AU"/>
        </w:rPr>
        <w:t xml:space="preserve">. These priorities must be </w:t>
      </w:r>
      <w:r w:rsidRPr="009150DC">
        <w:rPr>
          <w:lang w:val="en-AU"/>
        </w:rPr>
        <w:t xml:space="preserve">flexible enough to </w:t>
      </w:r>
      <w:r w:rsidR="00687BC2" w:rsidRPr="009150DC">
        <w:rPr>
          <w:lang w:val="en-AU"/>
        </w:rPr>
        <w:t>remain relevant and respon</w:t>
      </w:r>
      <w:r w:rsidR="0059153B">
        <w:rPr>
          <w:lang w:val="en-AU"/>
        </w:rPr>
        <w:t>sive</w:t>
      </w:r>
      <w:r w:rsidR="00687BC2" w:rsidRPr="009150DC">
        <w:rPr>
          <w:lang w:val="en-AU"/>
        </w:rPr>
        <w:t xml:space="preserve"> to Government priorities</w:t>
      </w:r>
      <w:r w:rsidRPr="009150DC">
        <w:rPr>
          <w:lang w:val="en-AU"/>
        </w:rPr>
        <w:t xml:space="preserve">, but stable enough to </w:t>
      </w:r>
      <w:r w:rsidR="0059153B">
        <w:rPr>
          <w:lang w:val="en-AU"/>
        </w:rPr>
        <w:t>support</w:t>
      </w:r>
      <w:r w:rsidRPr="009150DC">
        <w:rPr>
          <w:lang w:val="en-AU"/>
        </w:rPr>
        <w:t xml:space="preserve"> long-term planning.</w:t>
      </w:r>
    </w:p>
    <w:p w14:paraId="3812C941" w14:textId="538986DD" w:rsidR="00265111" w:rsidRPr="009150DC" w:rsidRDefault="00265111" w:rsidP="00426B24">
      <w:pPr>
        <w:pStyle w:val="Heading3"/>
        <w:rPr>
          <w:lang w:val="en-AU"/>
        </w:rPr>
      </w:pPr>
      <w:r w:rsidRPr="009150DC">
        <w:rPr>
          <w:lang w:val="en-AU"/>
        </w:rPr>
        <w:t>Approaches to investment prioritisation</w:t>
      </w:r>
    </w:p>
    <w:p w14:paraId="7DE32C09" w14:textId="2CA6AA65" w:rsidR="009D2E88" w:rsidRPr="009150DC" w:rsidRDefault="009D2E88" w:rsidP="009D2E88">
      <w:pPr>
        <w:rPr>
          <w:lang w:val="en-AU"/>
        </w:rPr>
      </w:pPr>
      <w:r w:rsidRPr="009150DC">
        <w:rPr>
          <w:lang w:val="en-AU"/>
        </w:rPr>
        <w:t>Top-down approaches to ISR investment prioritisation and coordination identify priority sectors, outcomes, or technologies; address less well-establis</w:t>
      </w:r>
      <w:r w:rsidR="00CF18CB" w:rsidRPr="009150DC">
        <w:rPr>
          <w:lang w:val="en-AU"/>
        </w:rPr>
        <w:t>hed areas of interest with long</w:t>
      </w:r>
      <w:r w:rsidR="00CF18CB" w:rsidRPr="009150DC">
        <w:rPr>
          <w:lang w:val="en-AU"/>
        </w:rPr>
        <w:noBreakHyphen/>
      </w:r>
      <w:r w:rsidRPr="009150DC">
        <w:rPr>
          <w:lang w:val="en-AU"/>
        </w:rPr>
        <w:t>term horizons; and are more likely to lead to societal change. ISR investments are more likely to succeed if they are vertically aligned with national priorities early in the design process. Large</w:t>
      </w:r>
      <w:r w:rsidRPr="009150DC">
        <w:rPr>
          <w:lang w:val="en-AU"/>
        </w:rPr>
        <w:noBreakHyphen/>
        <w:t>scale priority ISR investments can serve as a focus for collaborative research and innovation, support universities or provide supporting ISR infrastructure.</w:t>
      </w:r>
      <w:r w:rsidRPr="009150DC">
        <w:rPr>
          <w:rStyle w:val="FootnoteReference"/>
          <w:lang w:val="en-AU"/>
        </w:rPr>
        <w:footnoteReference w:id="30"/>
      </w:r>
      <w:r w:rsidR="00CF18CB" w:rsidRPr="009150DC">
        <w:rPr>
          <w:lang w:val="en-AU"/>
        </w:rPr>
        <w:t xml:space="preserve"> Top</w:t>
      </w:r>
      <w:r w:rsidR="00CF18CB" w:rsidRPr="009150DC">
        <w:rPr>
          <w:lang w:val="en-AU"/>
        </w:rPr>
        <w:noBreakHyphen/>
      </w:r>
      <w:r w:rsidRPr="009150DC">
        <w:rPr>
          <w:lang w:val="en-AU"/>
        </w:rPr>
        <w:t>down ISR prioritisation can take many forms</w:t>
      </w:r>
      <w:r w:rsidR="00A84AA5">
        <w:rPr>
          <w:lang w:val="en-AU"/>
        </w:rPr>
        <w:t>, but</w:t>
      </w:r>
      <w:r w:rsidRPr="009150DC">
        <w:rPr>
          <w:lang w:val="en-AU"/>
        </w:rPr>
        <w:t xml:space="preserve"> often includes a variety of nested structural or governance approaches aligned with temporal or sectoral priorities.</w:t>
      </w:r>
    </w:p>
    <w:p w14:paraId="6D1CA1EA" w14:textId="0031546F" w:rsidR="009D2E88" w:rsidRPr="009150DC" w:rsidRDefault="009D2E88" w:rsidP="009D2E88">
      <w:pPr>
        <w:rPr>
          <w:lang w:val="en-AU"/>
        </w:rPr>
      </w:pPr>
      <w:r w:rsidRPr="009150DC">
        <w:rPr>
          <w:lang w:val="en-AU"/>
        </w:rPr>
        <w:t>Bottom-up approaches to ISR investment prioritisation and coordination, where peer review forms the basis for assessing funded research, are effective in constructing strategic innovation agendas and programs that are focused on the needs of IS</w:t>
      </w:r>
      <w:r w:rsidR="00CF18CB" w:rsidRPr="009150DC">
        <w:rPr>
          <w:lang w:val="en-AU"/>
        </w:rPr>
        <w:t>R stakeholders. However, bottom</w:t>
      </w:r>
      <w:r w:rsidR="00023D45">
        <w:rPr>
          <w:lang w:val="en-AU"/>
        </w:rPr>
        <w:noBreakHyphen/>
      </w:r>
      <w:r w:rsidRPr="009150DC">
        <w:rPr>
          <w:lang w:val="en-AU"/>
        </w:rPr>
        <w:t>up approaches are often conservative in scope (being typically limited to an individual research community, program or institution), and usually prioritise shorter-term outcomes.</w:t>
      </w:r>
    </w:p>
    <w:p w14:paraId="130F1BAC" w14:textId="7F80E376" w:rsidR="005B7AB2" w:rsidRPr="009150DC" w:rsidRDefault="005B7AB2" w:rsidP="005B7AB2">
      <w:pPr>
        <w:rPr>
          <w:lang w:val="en-AU"/>
        </w:rPr>
      </w:pPr>
      <w:r w:rsidRPr="009150DC">
        <w:rPr>
          <w:lang w:val="en-AU"/>
        </w:rPr>
        <w:t xml:space="preserve">In many cases, </w:t>
      </w:r>
      <w:r w:rsidR="00EB0609" w:rsidRPr="009150DC">
        <w:rPr>
          <w:lang w:val="en-AU"/>
        </w:rPr>
        <w:t>g</w:t>
      </w:r>
      <w:r w:rsidRPr="009150DC">
        <w:rPr>
          <w:lang w:val="en-AU"/>
        </w:rPr>
        <w:t>overnment</w:t>
      </w:r>
      <w:r w:rsidR="00EB0609" w:rsidRPr="009150DC">
        <w:rPr>
          <w:lang w:val="en-AU"/>
        </w:rPr>
        <w:t>s are</w:t>
      </w:r>
      <w:r w:rsidRPr="009150DC">
        <w:rPr>
          <w:lang w:val="en-AU"/>
        </w:rPr>
        <w:t xml:space="preserve"> well placed to identif</w:t>
      </w:r>
      <w:r w:rsidR="00CF18CB" w:rsidRPr="009150DC">
        <w:rPr>
          <w:lang w:val="en-AU"/>
        </w:rPr>
        <w:t>y current and emerging national</w:t>
      </w:r>
      <w:r w:rsidR="00CF18CB" w:rsidRPr="009150DC">
        <w:rPr>
          <w:lang w:val="en-AU"/>
        </w:rPr>
        <w:noBreakHyphen/>
      </w:r>
      <w:r w:rsidRPr="009150DC">
        <w:rPr>
          <w:lang w:val="en-AU"/>
        </w:rPr>
        <w:t xml:space="preserve">scale challenges, and researchers and industry need to consider </w:t>
      </w:r>
      <w:r w:rsidR="00A84AA5">
        <w:rPr>
          <w:lang w:val="en-AU"/>
        </w:rPr>
        <w:t>how</w:t>
      </w:r>
      <w:r w:rsidRPr="009150DC">
        <w:rPr>
          <w:lang w:val="en-AU"/>
        </w:rPr>
        <w:t xml:space="preserve"> their ISR activities can </w:t>
      </w:r>
      <w:r w:rsidR="00A84AA5">
        <w:rPr>
          <w:lang w:val="en-AU"/>
        </w:rPr>
        <w:t>help</w:t>
      </w:r>
      <w:r w:rsidRPr="009150DC">
        <w:rPr>
          <w:lang w:val="en-AU"/>
        </w:rPr>
        <w:t xml:space="preserve"> meet those challenges. Increasingly, the literature </w:t>
      </w:r>
      <w:r w:rsidR="00CF18CB" w:rsidRPr="009150DC">
        <w:rPr>
          <w:lang w:val="en-AU"/>
        </w:rPr>
        <w:t xml:space="preserve">has focused on combining </w:t>
      </w:r>
      <w:r w:rsidR="00263BD0" w:rsidRPr="009150DC">
        <w:rPr>
          <w:lang w:val="en-AU"/>
        </w:rPr>
        <w:t>bottom</w:t>
      </w:r>
      <w:r w:rsidR="00263BD0" w:rsidRPr="009150DC">
        <w:rPr>
          <w:lang w:val="en-AU"/>
        </w:rPr>
        <w:noBreakHyphen/>
        <w:t>up and</w:t>
      </w:r>
      <w:r w:rsidRPr="009150DC">
        <w:rPr>
          <w:lang w:val="en-AU"/>
        </w:rPr>
        <w:t xml:space="preserve"> top</w:t>
      </w:r>
      <w:r w:rsidR="00023D45">
        <w:rPr>
          <w:lang w:val="en-AU"/>
        </w:rPr>
        <w:noBreakHyphen/>
      </w:r>
      <w:r w:rsidRPr="009150DC">
        <w:rPr>
          <w:lang w:val="en-AU"/>
        </w:rPr>
        <w:t>down approaches</w:t>
      </w:r>
      <w:r w:rsidR="00A84AA5">
        <w:rPr>
          <w:lang w:val="en-AU"/>
        </w:rPr>
        <w:t xml:space="preserve"> when</w:t>
      </w:r>
      <w:r w:rsidRPr="009150DC">
        <w:rPr>
          <w:lang w:val="en-AU"/>
        </w:rPr>
        <w:t xml:space="preserve"> implementing ISR investment </w:t>
      </w:r>
      <w:r w:rsidR="00A84AA5">
        <w:rPr>
          <w:lang w:val="en-AU"/>
        </w:rPr>
        <w:t xml:space="preserve">priorities </w:t>
      </w:r>
      <w:r w:rsidRPr="009150DC">
        <w:rPr>
          <w:lang w:val="en-AU"/>
        </w:rPr>
        <w:t>in order to benefit from the strengths of, and interactions between, both approaches.</w:t>
      </w:r>
      <w:r w:rsidRPr="009150DC">
        <w:rPr>
          <w:rStyle w:val="FootnoteReference"/>
          <w:lang w:val="en-AU"/>
        </w:rPr>
        <w:footnoteReference w:id="31"/>
      </w:r>
    </w:p>
    <w:p w14:paraId="58953886" w14:textId="0EA32E77" w:rsidR="009155EC" w:rsidRPr="009150DC" w:rsidRDefault="009155EC" w:rsidP="003D521D">
      <w:pPr>
        <w:pStyle w:val="Heading3"/>
        <w:rPr>
          <w:lang w:val="en-AU"/>
        </w:rPr>
      </w:pPr>
      <w:r w:rsidRPr="009150DC">
        <w:rPr>
          <w:lang w:val="en-AU"/>
        </w:rPr>
        <w:t>International best</w:t>
      </w:r>
      <w:r w:rsidR="000C61FB">
        <w:rPr>
          <w:lang w:val="en-AU"/>
        </w:rPr>
        <w:t>-</w:t>
      </w:r>
      <w:r w:rsidRPr="009150DC">
        <w:rPr>
          <w:lang w:val="en-AU"/>
        </w:rPr>
        <w:t>practice</w:t>
      </w:r>
    </w:p>
    <w:p w14:paraId="3DEDFE26" w14:textId="253A5231" w:rsidR="009F028B" w:rsidRPr="009150DC" w:rsidRDefault="00B72408" w:rsidP="009F028B">
      <w:pPr>
        <w:rPr>
          <w:lang w:val="en-AU"/>
        </w:rPr>
      </w:pPr>
      <w:r w:rsidRPr="009150DC">
        <w:rPr>
          <w:lang w:val="en-AU"/>
        </w:rPr>
        <w:t>T</w:t>
      </w:r>
      <w:r w:rsidR="005B7AB2" w:rsidRPr="009150DC">
        <w:rPr>
          <w:lang w:val="en-AU"/>
        </w:rPr>
        <w:t xml:space="preserve">he majority of OECD countries employ a combination </w:t>
      </w:r>
      <w:r w:rsidRPr="009150DC">
        <w:rPr>
          <w:lang w:val="en-AU"/>
        </w:rPr>
        <w:t>of both top</w:t>
      </w:r>
      <w:r w:rsidR="00CF18CB" w:rsidRPr="009150DC">
        <w:rPr>
          <w:lang w:val="en-AU"/>
        </w:rPr>
        <w:noBreakHyphen/>
        <w:t>down and bottom</w:t>
      </w:r>
      <w:r w:rsidR="00CF18CB" w:rsidRPr="009150DC">
        <w:rPr>
          <w:lang w:val="en-AU"/>
        </w:rPr>
        <w:noBreakHyphen/>
      </w:r>
      <w:r w:rsidRPr="009150DC">
        <w:rPr>
          <w:lang w:val="en-AU"/>
        </w:rPr>
        <w:t xml:space="preserve">up </w:t>
      </w:r>
      <w:r w:rsidR="005B7AB2" w:rsidRPr="009150DC">
        <w:rPr>
          <w:lang w:val="en-AU"/>
        </w:rPr>
        <w:t>approach</w:t>
      </w:r>
      <w:r w:rsidRPr="009150DC">
        <w:rPr>
          <w:lang w:val="en-AU"/>
        </w:rPr>
        <w:t>es</w:t>
      </w:r>
      <w:r w:rsidR="005B7AB2" w:rsidRPr="009150DC">
        <w:rPr>
          <w:lang w:val="en-AU"/>
        </w:rPr>
        <w:t xml:space="preserve"> to ISR investment prioritisation and coordination</w:t>
      </w:r>
      <w:r w:rsidRPr="009150DC">
        <w:rPr>
          <w:lang w:val="en-AU"/>
        </w:rPr>
        <w:t>.</w:t>
      </w:r>
      <w:r w:rsidR="005B7AB2" w:rsidRPr="009150DC">
        <w:rPr>
          <w:rStyle w:val="FootnoteReference"/>
          <w:lang w:val="en-AU"/>
        </w:rPr>
        <w:footnoteReference w:id="32"/>
      </w:r>
      <w:r w:rsidR="009F028B" w:rsidRPr="009150DC">
        <w:rPr>
          <w:lang w:val="en-AU"/>
        </w:rPr>
        <w:t xml:space="preserve"> </w:t>
      </w:r>
      <w:r w:rsidR="009B1DB1" w:rsidRPr="009150DC">
        <w:rPr>
          <w:lang w:val="en-AU"/>
        </w:rPr>
        <w:t>Linking national ISR priorities with whole-of-government priorities (or even international goals e.g. the United Nations</w:t>
      </w:r>
      <w:r w:rsidR="00DF1586" w:rsidRPr="009150DC">
        <w:rPr>
          <w:lang w:val="en-AU"/>
        </w:rPr>
        <w:t>’</w:t>
      </w:r>
      <w:r w:rsidR="00BD4EED" w:rsidRPr="009150DC">
        <w:rPr>
          <w:lang w:val="en-AU"/>
        </w:rPr>
        <w:t xml:space="preserve"> (UN)</w:t>
      </w:r>
      <w:r w:rsidR="009B1DB1" w:rsidRPr="009150DC">
        <w:rPr>
          <w:lang w:val="en-AU"/>
        </w:rPr>
        <w:t xml:space="preserve"> Sustainable Development Goals</w:t>
      </w:r>
      <w:r w:rsidR="009B1DB1" w:rsidRPr="009150DC">
        <w:rPr>
          <w:rStyle w:val="FootnoteReference"/>
          <w:lang w:val="en-AU"/>
        </w:rPr>
        <w:footnoteReference w:id="33"/>
      </w:r>
      <w:r w:rsidR="009B1DB1" w:rsidRPr="009150DC">
        <w:rPr>
          <w:lang w:val="en-AU"/>
        </w:rPr>
        <w:t xml:space="preserve">) enable the ISR system to contribute </w:t>
      </w:r>
      <w:r w:rsidR="00532468" w:rsidRPr="009150DC">
        <w:rPr>
          <w:lang w:val="en-AU"/>
        </w:rPr>
        <w:t xml:space="preserve">effectively </w:t>
      </w:r>
      <w:r w:rsidR="00CF18CB" w:rsidRPr="009150DC">
        <w:rPr>
          <w:lang w:val="en-AU"/>
        </w:rPr>
        <w:t>to solving large</w:t>
      </w:r>
      <w:r w:rsidR="00CF18CB" w:rsidRPr="009150DC">
        <w:rPr>
          <w:lang w:val="en-AU"/>
        </w:rPr>
        <w:noBreakHyphen/>
      </w:r>
      <w:r w:rsidR="009B1DB1" w:rsidRPr="009150DC">
        <w:rPr>
          <w:lang w:val="en-AU"/>
        </w:rPr>
        <w:t>scale issues such as economic growth, sustainable cities or good health and well</w:t>
      </w:r>
      <w:r w:rsidR="00023D45">
        <w:rPr>
          <w:lang w:val="en-AU"/>
        </w:rPr>
        <w:noBreakHyphen/>
      </w:r>
      <w:r w:rsidR="009B1DB1" w:rsidRPr="009150DC">
        <w:rPr>
          <w:lang w:val="en-AU"/>
        </w:rPr>
        <w:t>being. In some instances, dedicated mechanisms are implemented to provide this link</w:t>
      </w:r>
      <w:r w:rsidR="006E7714">
        <w:rPr>
          <w:lang w:val="en-AU"/>
        </w:rPr>
        <w:t>,</w:t>
      </w:r>
      <w:r w:rsidR="009B1DB1" w:rsidRPr="009150DC">
        <w:rPr>
          <w:lang w:val="en-AU"/>
        </w:rPr>
        <w:t xml:space="preserve"> such as the U</w:t>
      </w:r>
      <w:r w:rsidR="007E050E" w:rsidRPr="009150DC">
        <w:rPr>
          <w:lang w:val="en-AU"/>
        </w:rPr>
        <w:t>N’s</w:t>
      </w:r>
      <w:r w:rsidR="009B1DB1" w:rsidRPr="009150DC">
        <w:rPr>
          <w:lang w:val="en-AU"/>
        </w:rPr>
        <w:t xml:space="preserve"> Nations’ </w:t>
      </w:r>
      <w:hyperlink r:id="rId25" w:history="1">
        <w:r w:rsidR="009B1DB1" w:rsidRPr="009150DC">
          <w:rPr>
            <w:lang w:val="en-AU"/>
          </w:rPr>
          <w:t>Technology Facilitation Mechanism</w:t>
        </w:r>
      </w:hyperlink>
      <w:r w:rsidR="009B1DB1" w:rsidRPr="009150DC">
        <w:rPr>
          <w:rStyle w:val="FootnoteReference"/>
          <w:lang w:val="en-AU"/>
        </w:rPr>
        <w:t xml:space="preserve"> </w:t>
      </w:r>
      <w:r w:rsidR="009B1DB1" w:rsidRPr="009150DC">
        <w:rPr>
          <w:lang w:val="en-AU"/>
        </w:rPr>
        <w:t>which seeks to harness ‘science, technology and innovation to achieve the Sustainable Development Goals’.</w:t>
      </w:r>
      <w:r w:rsidR="00E25CF7" w:rsidRPr="00E25CF7">
        <w:rPr>
          <w:rStyle w:val="FootnoteReference"/>
          <w:lang w:val="en-AU"/>
        </w:rPr>
        <w:t xml:space="preserve"> </w:t>
      </w:r>
      <w:r w:rsidR="00E25CF7" w:rsidRPr="009150DC">
        <w:rPr>
          <w:rStyle w:val="FootnoteReference"/>
          <w:lang w:val="en-AU"/>
        </w:rPr>
        <w:footnoteReference w:id="34"/>
      </w:r>
      <w:r w:rsidR="009F028B" w:rsidRPr="009150DC">
        <w:rPr>
          <w:lang w:val="en-AU"/>
        </w:rPr>
        <w:t xml:space="preserve"> The EU’s </w:t>
      </w:r>
      <w:r w:rsidR="00A84AA5">
        <w:rPr>
          <w:lang w:val="en-AU"/>
        </w:rPr>
        <w:t>€100 </w:t>
      </w:r>
      <w:r w:rsidR="00A84AA5" w:rsidRPr="009150DC">
        <w:rPr>
          <w:lang w:val="en-AU"/>
        </w:rPr>
        <w:t xml:space="preserve">billion </w:t>
      </w:r>
      <w:r w:rsidR="009F028B" w:rsidRPr="009150DC">
        <w:rPr>
          <w:lang w:val="en-AU"/>
        </w:rPr>
        <w:t xml:space="preserve">research and </w:t>
      </w:r>
      <w:r w:rsidR="009F028B" w:rsidRPr="009150DC">
        <w:rPr>
          <w:lang w:val="en-AU"/>
        </w:rPr>
        <w:lastRenderedPageBreak/>
        <w:t>innovation program</w:t>
      </w:r>
      <w:r w:rsidR="00A84AA5">
        <w:rPr>
          <w:lang w:val="en-AU"/>
        </w:rPr>
        <w:t>,</w:t>
      </w:r>
      <w:r w:rsidR="009F028B" w:rsidRPr="009150DC">
        <w:rPr>
          <w:lang w:val="en-AU"/>
        </w:rPr>
        <w:t xml:space="preserve"> Horizon Europe, has 16 proposed objectives that span strengthening excellent basic research, strengthening gender equality, accelerating industrial transformation and improving access to risk finance.</w:t>
      </w:r>
      <w:r w:rsidR="009F028B" w:rsidRPr="009150DC">
        <w:rPr>
          <w:rStyle w:val="FootnoteReference"/>
          <w:lang w:val="en-AU"/>
        </w:rPr>
        <w:footnoteReference w:id="35"/>
      </w:r>
    </w:p>
    <w:p w14:paraId="246FDA47" w14:textId="0013B15E" w:rsidR="00147B7E" w:rsidRPr="009150DC" w:rsidRDefault="003F480A" w:rsidP="003D521D">
      <w:pPr>
        <w:pStyle w:val="Heading4"/>
        <w:rPr>
          <w:lang w:val="en-AU"/>
        </w:rPr>
      </w:pPr>
      <w:r w:rsidRPr="009150DC">
        <w:rPr>
          <w:lang w:val="en-AU"/>
        </w:rPr>
        <w:t>Design</w:t>
      </w:r>
      <w:r w:rsidR="00147B7E" w:rsidRPr="009150DC">
        <w:rPr>
          <w:lang w:val="en-AU"/>
        </w:rPr>
        <w:t xml:space="preserve"> of </w:t>
      </w:r>
      <w:r w:rsidR="00924B57" w:rsidRPr="009150DC">
        <w:rPr>
          <w:lang w:val="en-AU"/>
        </w:rPr>
        <w:t>ISR strategies</w:t>
      </w:r>
    </w:p>
    <w:p w14:paraId="2EE21220" w14:textId="77A9DA77" w:rsidR="00F54D51" w:rsidRPr="009150DC" w:rsidRDefault="00AC1ED8" w:rsidP="00321C2C">
      <w:pPr>
        <w:rPr>
          <w:lang w:val="en-AU"/>
        </w:rPr>
      </w:pPr>
      <w:r w:rsidRPr="009150DC">
        <w:rPr>
          <w:lang w:val="en-AU"/>
        </w:rPr>
        <w:t xml:space="preserve">A recent OECD review of </w:t>
      </w:r>
      <w:r w:rsidR="00B72408" w:rsidRPr="009150DC">
        <w:rPr>
          <w:lang w:val="en-AU"/>
        </w:rPr>
        <w:t xml:space="preserve">the </w:t>
      </w:r>
      <w:r w:rsidRPr="009150DC">
        <w:rPr>
          <w:lang w:val="en-AU"/>
        </w:rPr>
        <w:t>national ISR initiatives of 1</w:t>
      </w:r>
      <w:r w:rsidR="009F028B" w:rsidRPr="009150DC">
        <w:rPr>
          <w:lang w:val="en-AU"/>
        </w:rPr>
        <w:t>2</w:t>
      </w:r>
      <w:r w:rsidRPr="009150DC">
        <w:rPr>
          <w:lang w:val="en-AU"/>
        </w:rPr>
        <w:t xml:space="preserve"> different countries</w:t>
      </w:r>
      <w:r w:rsidR="00B72408" w:rsidRPr="009150DC">
        <w:rPr>
          <w:lang w:val="en-AU"/>
        </w:rPr>
        <w:t xml:space="preserve"> found m</w:t>
      </w:r>
      <w:r w:rsidR="00CF18CB" w:rsidRPr="009150DC">
        <w:rPr>
          <w:lang w:val="en-AU"/>
        </w:rPr>
        <w:t>any successful long</w:t>
      </w:r>
      <w:r w:rsidR="00CF18CB" w:rsidRPr="009150DC">
        <w:rPr>
          <w:lang w:val="en-AU"/>
        </w:rPr>
        <w:noBreakHyphen/>
      </w:r>
      <w:r w:rsidR="00321C2C" w:rsidRPr="009150DC">
        <w:rPr>
          <w:lang w:val="en-AU"/>
        </w:rPr>
        <w:t>term or enduring ISR strategies are organised under overarching priorities, pillars or goals</w:t>
      </w:r>
      <w:r w:rsidR="00B72408" w:rsidRPr="009150DC">
        <w:rPr>
          <w:lang w:val="en-AU"/>
        </w:rPr>
        <w:t>.</w:t>
      </w:r>
      <w:r w:rsidR="00B72408" w:rsidRPr="009150DC">
        <w:rPr>
          <w:rStyle w:val="FootnoteReference"/>
          <w:lang w:val="en-AU"/>
        </w:rPr>
        <w:footnoteReference w:id="36"/>
      </w:r>
      <w:r w:rsidR="00B72408" w:rsidRPr="009150DC">
        <w:rPr>
          <w:lang w:val="en-AU"/>
        </w:rPr>
        <w:t xml:space="preserve"> They</w:t>
      </w:r>
      <w:r w:rsidR="00321C2C" w:rsidRPr="009150DC">
        <w:rPr>
          <w:lang w:val="en-AU"/>
        </w:rPr>
        <w:t xml:space="preserve"> combine traditional approaches (for example sectoral</w:t>
      </w:r>
      <w:r w:rsidR="003A199B">
        <w:rPr>
          <w:lang w:val="en-AU"/>
        </w:rPr>
        <w:t>-</w:t>
      </w:r>
      <w:r w:rsidR="00321C2C" w:rsidRPr="009150DC">
        <w:rPr>
          <w:lang w:val="en-AU"/>
        </w:rPr>
        <w:t>, technology- or national competitiveness</w:t>
      </w:r>
      <w:r w:rsidR="00023D45">
        <w:rPr>
          <w:lang w:val="en-AU"/>
        </w:rPr>
        <w:noBreakHyphen/>
      </w:r>
      <w:r w:rsidR="00321C2C" w:rsidRPr="009150DC">
        <w:rPr>
          <w:lang w:val="en-AU"/>
        </w:rPr>
        <w:t>based priorities) with</w:t>
      </w:r>
      <w:r w:rsidR="00E12AB1" w:rsidRPr="009150DC">
        <w:rPr>
          <w:lang w:val="en-AU"/>
        </w:rPr>
        <w:t xml:space="preserve"> cross-cutting ‘challenge-based</w:t>
      </w:r>
      <w:r w:rsidR="00321C2C" w:rsidRPr="009150DC">
        <w:rPr>
          <w:lang w:val="en-AU"/>
        </w:rPr>
        <w:t xml:space="preserve">’ approaches aimed at resolving longer-term societal challenges. </w:t>
      </w:r>
      <w:r w:rsidR="005116A7">
        <w:rPr>
          <w:lang w:val="en-AU"/>
        </w:rPr>
        <w:t>I</w:t>
      </w:r>
      <w:r w:rsidR="00D33BEF">
        <w:rPr>
          <w:lang w:val="en-AU"/>
        </w:rPr>
        <w:t>I</w:t>
      </w:r>
      <w:r w:rsidR="005116A7">
        <w:rPr>
          <w:lang w:val="en-AU"/>
        </w:rPr>
        <w:t>SA</w:t>
      </w:r>
      <w:r w:rsidR="001A77E7" w:rsidRPr="009150DC">
        <w:rPr>
          <w:lang w:val="en-AU"/>
        </w:rPr>
        <w:t xml:space="preserve"> observed </w:t>
      </w:r>
      <w:r w:rsidR="00F54D51" w:rsidRPr="009150DC">
        <w:rPr>
          <w:lang w:val="en-AU"/>
        </w:rPr>
        <w:t>th</w:t>
      </w:r>
      <w:r w:rsidRPr="009150DC">
        <w:rPr>
          <w:lang w:val="en-AU"/>
        </w:rPr>
        <w:t xml:space="preserve">ree broad themes </w:t>
      </w:r>
      <w:r w:rsidR="00F54D51" w:rsidRPr="009150DC">
        <w:rPr>
          <w:lang w:val="en-AU"/>
        </w:rPr>
        <w:t xml:space="preserve">in </w:t>
      </w:r>
      <w:r w:rsidRPr="009150DC">
        <w:rPr>
          <w:lang w:val="en-AU"/>
        </w:rPr>
        <w:t xml:space="preserve">the science and technology priorities </w:t>
      </w:r>
      <w:r w:rsidR="001A77E7" w:rsidRPr="009150DC">
        <w:rPr>
          <w:lang w:val="en-AU"/>
        </w:rPr>
        <w:t>specific to government-funded research</w:t>
      </w:r>
      <w:r w:rsidR="00F54D51" w:rsidRPr="009150DC">
        <w:rPr>
          <w:lang w:val="en-AU"/>
        </w:rPr>
        <w:t>:</w:t>
      </w:r>
    </w:p>
    <w:p w14:paraId="3638E663" w14:textId="665CCDE0" w:rsidR="00F54D51" w:rsidRPr="009150DC" w:rsidRDefault="00B267A3" w:rsidP="00A046AC">
      <w:pPr>
        <w:pStyle w:val="ListParagraph"/>
        <w:numPr>
          <w:ilvl w:val="0"/>
          <w:numId w:val="9"/>
        </w:numPr>
        <w:rPr>
          <w:lang w:val="en-AU"/>
        </w:rPr>
      </w:pPr>
      <w:r w:rsidRPr="009150DC">
        <w:rPr>
          <w:lang w:val="en-AU"/>
        </w:rPr>
        <w:t>S</w:t>
      </w:r>
      <w:r w:rsidR="00AC1ED8" w:rsidRPr="009150DC">
        <w:rPr>
          <w:lang w:val="en-AU"/>
        </w:rPr>
        <w:t>cientific excellence</w:t>
      </w:r>
      <w:r w:rsidR="00F54D51" w:rsidRPr="009150DC">
        <w:rPr>
          <w:lang w:val="en-AU"/>
        </w:rPr>
        <w:t xml:space="preserve"> and developing research communities of excellence</w:t>
      </w:r>
      <w:r w:rsidRPr="009150DC">
        <w:rPr>
          <w:lang w:val="en-AU"/>
        </w:rPr>
        <w:t>.</w:t>
      </w:r>
    </w:p>
    <w:p w14:paraId="52D1439D" w14:textId="5C5B1E79" w:rsidR="00F54D51" w:rsidRPr="009150DC" w:rsidRDefault="00B267A3" w:rsidP="00A046AC">
      <w:pPr>
        <w:pStyle w:val="ListParagraph"/>
        <w:numPr>
          <w:ilvl w:val="0"/>
          <w:numId w:val="9"/>
        </w:numPr>
        <w:rPr>
          <w:lang w:val="en-AU"/>
        </w:rPr>
      </w:pPr>
      <w:r w:rsidRPr="009150DC">
        <w:rPr>
          <w:lang w:val="en-AU"/>
        </w:rPr>
        <w:t>T</w:t>
      </w:r>
      <w:r w:rsidR="00F54D51" w:rsidRPr="009150DC">
        <w:rPr>
          <w:lang w:val="en-AU"/>
        </w:rPr>
        <w:t xml:space="preserve">he </w:t>
      </w:r>
      <w:r w:rsidR="00AC1ED8" w:rsidRPr="009150DC">
        <w:rPr>
          <w:lang w:val="en-AU"/>
        </w:rPr>
        <w:t>development of key technologies to support competitiveness</w:t>
      </w:r>
      <w:r w:rsidRPr="009150DC">
        <w:rPr>
          <w:lang w:val="en-AU"/>
        </w:rPr>
        <w:t>.</w:t>
      </w:r>
    </w:p>
    <w:p w14:paraId="3A4D72AA" w14:textId="6351B33B" w:rsidR="00147B7E" w:rsidRPr="009150DC" w:rsidRDefault="00B267A3" w:rsidP="00A046AC">
      <w:pPr>
        <w:pStyle w:val="ListParagraph"/>
        <w:numPr>
          <w:ilvl w:val="0"/>
          <w:numId w:val="9"/>
        </w:numPr>
        <w:rPr>
          <w:lang w:val="en-AU"/>
        </w:rPr>
      </w:pPr>
      <w:r w:rsidRPr="009150DC">
        <w:rPr>
          <w:lang w:val="en-AU"/>
        </w:rPr>
        <w:t>A</w:t>
      </w:r>
      <w:r w:rsidR="00F54D51" w:rsidRPr="009150DC">
        <w:rPr>
          <w:lang w:val="en-AU"/>
        </w:rPr>
        <w:t>ddressing societal challenges.</w:t>
      </w:r>
    </w:p>
    <w:p w14:paraId="500BDB70" w14:textId="58970F68" w:rsidR="00321C2C" w:rsidRPr="009150DC" w:rsidRDefault="00E12AB1" w:rsidP="00AF6113">
      <w:pPr>
        <w:rPr>
          <w:lang w:val="en-AU"/>
        </w:rPr>
      </w:pPr>
      <w:r w:rsidRPr="009150DC">
        <w:rPr>
          <w:lang w:val="en-AU"/>
        </w:rPr>
        <w:t>Challenge-based</w:t>
      </w:r>
      <w:r w:rsidR="00321C2C" w:rsidRPr="009150DC">
        <w:rPr>
          <w:lang w:val="en-AU"/>
        </w:rPr>
        <w:t xml:space="preserve"> approaches are increasingly used to complement more traditional national priorities</w:t>
      </w:r>
      <w:r w:rsidR="008B54A4" w:rsidRPr="009150DC">
        <w:rPr>
          <w:lang w:val="en-AU"/>
        </w:rPr>
        <w:t xml:space="preserve">. </w:t>
      </w:r>
      <w:r w:rsidR="00321C2C" w:rsidRPr="009150DC">
        <w:rPr>
          <w:lang w:val="en-AU"/>
        </w:rPr>
        <w:t>This helps governments achieve economic growth that is inclusive and sustainable in the context of majo</w:t>
      </w:r>
      <w:r w:rsidR="00CF18CB" w:rsidRPr="009150DC">
        <w:rPr>
          <w:lang w:val="en-AU"/>
        </w:rPr>
        <w:t>r societal challenges. As multi</w:t>
      </w:r>
      <w:r w:rsidR="00321C2C" w:rsidRPr="009150DC">
        <w:rPr>
          <w:lang w:val="en-AU"/>
        </w:rPr>
        <w:t xml:space="preserve">disciplinary </w:t>
      </w:r>
      <w:r w:rsidRPr="009150DC">
        <w:rPr>
          <w:lang w:val="en-AU"/>
        </w:rPr>
        <w:t>challenge-based</w:t>
      </w:r>
      <w:r w:rsidR="00321C2C" w:rsidRPr="009150DC">
        <w:rPr>
          <w:lang w:val="en-AU"/>
        </w:rPr>
        <w:t xml:space="preserve"> approaches centre on broad and often societal issues such as climate change, they need to be designed in collaboration with a broad range of stakeholders. </w:t>
      </w:r>
      <w:r w:rsidR="0059153B">
        <w:rPr>
          <w:lang w:val="en-AU"/>
        </w:rPr>
        <w:t>Articulating n</w:t>
      </w:r>
      <w:r w:rsidRPr="009150DC">
        <w:rPr>
          <w:lang w:val="en-AU"/>
        </w:rPr>
        <w:t>ational challenges</w:t>
      </w:r>
      <w:r w:rsidR="00321C2C" w:rsidRPr="009150DC">
        <w:rPr>
          <w:lang w:val="en-AU"/>
        </w:rPr>
        <w:t xml:space="preserve"> can enhance national innovation culture, accelerate innovation and encourage greater collaboration. </w:t>
      </w:r>
      <w:r w:rsidR="0079427B" w:rsidRPr="009150DC">
        <w:rPr>
          <w:lang w:val="en-AU"/>
        </w:rPr>
        <w:t xml:space="preserve">They are </w:t>
      </w:r>
      <w:r w:rsidR="00321C2C" w:rsidRPr="009150DC">
        <w:rPr>
          <w:lang w:val="en-AU"/>
        </w:rPr>
        <w:t>viewed as a powerful means to inspire innovators, develop solutions to big problems, and generate national passion and pride in innovation and science achievements.</w:t>
      </w:r>
      <w:r w:rsidR="00321C2C" w:rsidRPr="009150DC">
        <w:rPr>
          <w:rStyle w:val="FootnoteReference"/>
          <w:lang w:val="en-AU"/>
        </w:rPr>
        <w:footnoteReference w:id="37"/>
      </w:r>
    </w:p>
    <w:p w14:paraId="0ADBACF3" w14:textId="3F8F95B5" w:rsidR="00AF6113" w:rsidRPr="009150DC" w:rsidRDefault="00AF6113" w:rsidP="00AF6113">
      <w:pPr>
        <w:rPr>
          <w:lang w:val="en-AU"/>
        </w:rPr>
      </w:pPr>
      <w:r w:rsidRPr="009150DC">
        <w:rPr>
          <w:lang w:val="en-AU"/>
        </w:rPr>
        <w:t xml:space="preserve">Region or state-specific ISR priorities are a common cross-cutting adjunct to national ISR priorities. </w:t>
      </w:r>
      <w:r w:rsidR="00181CB3" w:rsidRPr="009150DC">
        <w:rPr>
          <w:lang w:val="en-AU"/>
        </w:rPr>
        <w:t>Seventy-two</w:t>
      </w:r>
      <w:r w:rsidR="006A2EF3" w:rsidRPr="009150DC">
        <w:rPr>
          <w:lang w:val="en-AU"/>
        </w:rPr>
        <w:t> per cent</w:t>
      </w:r>
      <w:r w:rsidRPr="009150DC">
        <w:rPr>
          <w:lang w:val="en-AU"/>
        </w:rPr>
        <w:t xml:space="preserve"> of OECD countries ha</w:t>
      </w:r>
      <w:r w:rsidR="00181CB3" w:rsidRPr="009150DC">
        <w:rPr>
          <w:lang w:val="en-AU"/>
        </w:rPr>
        <w:t>ve</w:t>
      </w:r>
      <w:r w:rsidRPr="009150DC">
        <w:rPr>
          <w:lang w:val="en-AU"/>
        </w:rPr>
        <w:t xml:space="preserve"> ISR strategies </w:t>
      </w:r>
      <w:r w:rsidR="004B5DC4" w:rsidRPr="009150DC">
        <w:rPr>
          <w:lang w:val="en-AU"/>
        </w:rPr>
        <w:t>that</w:t>
      </w:r>
      <w:r w:rsidRPr="009150DC">
        <w:rPr>
          <w:lang w:val="en-AU"/>
        </w:rPr>
        <w:t xml:space="preserve"> address priorities for specific states or regions</w:t>
      </w:r>
      <w:r w:rsidR="003A199B">
        <w:rPr>
          <w:lang w:val="en-AU"/>
        </w:rPr>
        <w:t>,</w:t>
      </w:r>
      <w:r w:rsidRPr="009150DC">
        <w:rPr>
          <w:lang w:val="en-AU"/>
        </w:rPr>
        <w:t xml:space="preserve"> and </w:t>
      </w:r>
      <w:r w:rsidR="003939AC" w:rsidRPr="009150DC">
        <w:rPr>
          <w:lang w:val="en-AU"/>
        </w:rPr>
        <w:t>seek</w:t>
      </w:r>
      <w:r w:rsidR="004B5DC4" w:rsidRPr="009150DC">
        <w:rPr>
          <w:lang w:val="en-AU"/>
        </w:rPr>
        <w:t xml:space="preserve"> </w:t>
      </w:r>
      <w:r w:rsidRPr="009150DC">
        <w:rPr>
          <w:lang w:val="en-AU"/>
        </w:rPr>
        <w:t xml:space="preserve">better coordination between </w:t>
      </w:r>
      <w:r w:rsidR="003939AC" w:rsidRPr="009150DC">
        <w:rPr>
          <w:lang w:val="en-AU"/>
        </w:rPr>
        <w:t xml:space="preserve">different </w:t>
      </w:r>
      <w:r w:rsidRPr="009150DC">
        <w:rPr>
          <w:lang w:val="en-AU"/>
        </w:rPr>
        <w:t>levels of government.</w:t>
      </w:r>
      <w:r w:rsidRPr="009150DC">
        <w:rPr>
          <w:rStyle w:val="FootnoteReference"/>
          <w:lang w:val="en-AU"/>
        </w:rPr>
        <w:footnoteReference w:id="38"/>
      </w:r>
    </w:p>
    <w:p w14:paraId="0EC17929" w14:textId="4418D04A" w:rsidR="00147B7E" w:rsidRPr="009150DC" w:rsidRDefault="000E57BA" w:rsidP="003D521D">
      <w:pPr>
        <w:pStyle w:val="Heading4"/>
        <w:rPr>
          <w:lang w:val="en-AU"/>
        </w:rPr>
      </w:pPr>
      <w:r w:rsidRPr="009150DC">
        <w:rPr>
          <w:lang w:val="en-AU"/>
        </w:rPr>
        <w:t>National and subsidiary ISR priorities to provide stability and flexibility</w:t>
      </w:r>
    </w:p>
    <w:p w14:paraId="5FD8BEEA" w14:textId="77D11BAE" w:rsidR="005723D3" w:rsidRPr="009150DC" w:rsidRDefault="00514ADF" w:rsidP="00AF6113">
      <w:pPr>
        <w:rPr>
          <w:lang w:val="en-AU"/>
        </w:rPr>
      </w:pPr>
      <w:r w:rsidRPr="009150DC">
        <w:rPr>
          <w:lang w:val="en-AU"/>
        </w:rPr>
        <w:t xml:space="preserve">To </w:t>
      </w:r>
      <w:r w:rsidR="00971047" w:rsidRPr="009150DC">
        <w:rPr>
          <w:lang w:val="en-AU"/>
        </w:rPr>
        <w:t>ensure</w:t>
      </w:r>
      <w:r w:rsidRPr="009150DC">
        <w:rPr>
          <w:lang w:val="en-AU"/>
        </w:rPr>
        <w:t xml:space="preserve"> national ISR p</w:t>
      </w:r>
      <w:r w:rsidRPr="00E623D9">
        <w:rPr>
          <w:lang w:val="en-AU"/>
        </w:rPr>
        <w:t xml:space="preserve">riorities </w:t>
      </w:r>
      <w:r w:rsidR="00971047" w:rsidRPr="00E623D9">
        <w:rPr>
          <w:lang w:val="en-AU"/>
        </w:rPr>
        <w:t xml:space="preserve">are </w:t>
      </w:r>
      <w:r w:rsidR="00CF18CB" w:rsidRPr="00E623D9">
        <w:rPr>
          <w:lang w:val="en-AU"/>
        </w:rPr>
        <w:t>stable enough to foster long</w:t>
      </w:r>
      <w:r w:rsidR="00CF18CB" w:rsidRPr="00E623D9">
        <w:rPr>
          <w:lang w:val="en-AU"/>
        </w:rPr>
        <w:noBreakHyphen/>
      </w:r>
      <w:r w:rsidR="00971047" w:rsidRPr="00E623D9">
        <w:rPr>
          <w:lang w:val="en-AU"/>
        </w:rPr>
        <w:t xml:space="preserve">term planning but </w:t>
      </w:r>
      <w:r w:rsidRPr="00E623D9">
        <w:rPr>
          <w:lang w:val="en-AU"/>
        </w:rPr>
        <w:t>flexible enough to remain relevant</w:t>
      </w:r>
      <w:r w:rsidR="00971047" w:rsidRPr="00E623D9">
        <w:rPr>
          <w:lang w:val="en-AU"/>
        </w:rPr>
        <w:t xml:space="preserve">, many countries </w:t>
      </w:r>
      <w:r w:rsidR="00D045C8" w:rsidRPr="00E623D9">
        <w:rPr>
          <w:lang w:val="en-AU"/>
        </w:rPr>
        <w:t>have</w:t>
      </w:r>
      <w:r w:rsidR="00971047" w:rsidRPr="00E623D9">
        <w:rPr>
          <w:lang w:val="en-AU"/>
        </w:rPr>
        <w:t xml:space="preserve"> </w:t>
      </w:r>
      <w:r w:rsidR="00D045C8" w:rsidRPr="009150DC">
        <w:rPr>
          <w:lang w:val="en-AU"/>
        </w:rPr>
        <w:t xml:space="preserve">enduring national ISR priorities supported by more specific, </w:t>
      </w:r>
      <w:r w:rsidR="00047A18" w:rsidRPr="009150DC">
        <w:rPr>
          <w:lang w:val="en-AU"/>
        </w:rPr>
        <w:t xml:space="preserve">flexible, </w:t>
      </w:r>
      <w:r w:rsidR="00D045C8" w:rsidRPr="009150DC">
        <w:rPr>
          <w:lang w:val="en-AU"/>
        </w:rPr>
        <w:t>subsidiary priorities. The national ISR priorities provide a clear ISR strategy with well-defined long-term goals that are periodically revised, such as with each new government.</w:t>
      </w:r>
      <w:r w:rsidR="00EC7AAF" w:rsidRPr="009150DC">
        <w:rPr>
          <w:rStyle w:val="FootnoteReference"/>
          <w:lang w:val="en-AU"/>
        </w:rPr>
        <w:footnoteReference w:id="39"/>
      </w:r>
      <w:r w:rsidR="00047A18" w:rsidRPr="009150DC">
        <w:rPr>
          <w:lang w:val="en-AU"/>
        </w:rPr>
        <w:t xml:space="preserve"> </w:t>
      </w:r>
      <w:r w:rsidR="00C433C2">
        <w:rPr>
          <w:lang w:val="en-AU"/>
        </w:rPr>
        <w:t>In contrast,</w:t>
      </w:r>
      <w:r w:rsidR="00047A18" w:rsidRPr="009150DC">
        <w:rPr>
          <w:lang w:val="en-AU"/>
        </w:rPr>
        <w:t xml:space="preserve"> subsidiary priorities enable </w:t>
      </w:r>
      <w:r w:rsidR="00532BAE" w:rsidRPr="009150DC">
        <w:rPr>
          <w:lang w:val="en-AU"/>
        </w:rPr>
        <w:t>G</w:t>
      </w:r>
      <w:r w:rsidR="005D6B60" w:rsidRPr="009150DC">
        <w:rPr>
          <w:lang w:val="en-AU"/>
        </w:rPr>
        <w:t>overnment</w:t>
      </w:r>
      <w:r w:rsidR="00C433C2">
        <w:rPr>
          <w:lang w:val="en-AU"/>
        </w:rPr>
        <w:t xml:space="preserve">’s </w:t>
      </w:r>
      <w:r w:rsidR="00C433C2" w:rsidRPr="009150DC">
        <w:rPr>
          <w:lang w:val="en-AU"/>
        </w:rPr>
        <w:t>ISR</w:t>
      </w:r>
      <w:r w:rsidR="005D6B60" w:rsidRPr="009150DC">
        <w:rPr>
          <w:lang w:val="en-AU"/>
        </w:rPr>
        <w:t xml:space="preserve"> investments to</w:t>
      </w:r>
      <w:r w:rsidR="00A31235" w:rsidRPr="009150DC">
        <w:rPr>
          <w:lang w:val="en-AU"/>
        </w:rPr>
        <w:t xml:space="preserve"> be</w:t>
      </w:r>
      <w:r w:rsidR="005D6B60" w:rsidRPr="009150DC">
        <w:rPr>
          <w:lang w:val="en-AU"/>
        </w:rPr>
        <w:t xml:space="preserve"> </w:t>
      </w:r>
      <w:r w:rsidR="00A31235" w:rsidRPr="009150DC">
        <w:rPr>
          <w:lang w:val="en-AU"/>
        </w:rPr>
        <w:t xml:space="preserve">flexible </w:t>
      </w:r>
      <w:r w:rsidR="00C433C2">
        <w:rPr>
          <w:lang w:val="en-AU"/>
        </w:rPr>
        <w:t>and</w:t>
      </w:r>
      <w:r w:rsidR="00A31235" w:rsidRPr="009150DC">
        <w:rPr>
          <w:lang w:val="en-AU"/>
        </w:rPr>
        <w:t xml:space="preserve"> </w:t>
      </w:r>
      <w:r w:rsidR="005D6B60" w:rsidRPr="009150DC">
        <w:rPr>
          <w:lang w:val="en-AU"/>
        </w:rPr>
        <w:t xml:space="preserve">remain relevant in the context of an ever-increasing rate of technological and societal </w:t>
      </w:r>
      <w:r w:rsidR="001D674D">
        <w:rPr>
          <w:lang w:val="en-AU"/>
        </w:rPr>
        <w:t>advancement</w:t>
      </w:r>
      <w:r w:rsidR="005D6B60" w:rsidRPr="009150DC">
        <w:rPr>
          <w:lang w:val="en-AU"/>
        </w:rPr>
        <w:t xml:space="preserve">. </w:t>
      </w:r>
      <w:r w:rsidR="000F0213" w:rsidRPr="009150DC">
        <w:rPr>
          <w:lang w:val="en-AU"/>
        </w:rPr>
        <w:t>To ensure governments can react quickly to contextual situation</w:t>
      </w:r>
      <w:r w:rsidR="005723D3" w:rsidRPr="009150DC">
        <w:rPr>
          <w:lang w:val="en-AU"/>
        </w:rPr>
        <w:t>s</w:t>
      </w:r>
      <w:r w:rsidR="000F0213" w:rsidRPr="009150DC">
        <w:rPr>
          <w:lang w:val="en-AU"/>
        </w:rPr>
        <w:t xml:space="preserve"> and </w:t>
      </w:r>
      <w:r w:rsidR="005723D3" w:rsidRPr="009150DC">
        <w:rPr>
          <w:lang w:val="en-AU"/>
        </w:rPr>
        <w:t>the</w:t>
      </w:r>
      <w:r w:rsidR="000F0213" w:rsidRPr="009150DC">
        <w:rPr>
          <w:lang w:val="en-AU"/>
        </w:rPr>
        <w:t xml:space="preserve"> </w:t>
      </w:r>
      <w:r w:rsidR="00DB338C" w:rsidRPr="009150DC">
        <w:rPr>
          <w:lang w:val="en-AU"/>
        </w:rPr>
        <w:lastRenderedPageBreak/>
        <w:t xml:space="preserve">subsidiary </w:t>
      </w:r>
      <w:r w:rsidR="000F0213" w:rsidRPr="009150DC">
        <w:rPr>
          <w:lang w:val="en-AU"/>
        </w:rPr>
        <w:t>priorities remain relevant</w:t>
      </w:r>
      <w:r w:rsidR="005723D3" w:rsidRPr="009150DC">
        <w:rPr>
          <w:lang w:val="en-AU"/>
        </w:rPr>
        <w:t xml:space="preserve">, most countries revise these </w:t>
      </w:r>
      <w:r w:rsidR="00C433C2">
        <w:rPr>
          <w:lang w:val="en-AU"/>
        </w:rPr>
        <w:t xml:space="preserve">subsidiary priorities </w:t>
      </w:r>
      <w:r w:rsidR="005723D3" w:rsidRPr="009150DC">
        <w:rPr>
          <w:lang w:val="en-AU"/>
        </w:rPr>
        <w:t>more frequently, such as annually or mid</w:t>
      </w:r>
      <w:r w:rsidR="00A31235" w:rsidRPr="009150DC">
        <w:rPr>
          <w:lang w:val="en-AU"/>
        </w:rPr>
        <w:t>-term.</w:t>
      </w:r>
      <w:r w:rsidR="005D6B60" w:rsidRPr="009150DC">
        <w:rPr>
          <w:rStyle w:val="FootnoteReference"/>
          <w:lang w:val="en-AU"/>
        </w:rPr>
        <w:footnoteReference w:id="40"/>
      </w:r>
      <w:r w:rsidR="005D6B60" w:rsidRPr="009150DC">
        <w:rPr>
          <w:lang w:val="en-AU"/>
        </w:rPr>
        <w:t xml:space="preserve"> </w:t>
      </w:r>
    </w:p>
    <w:p w14:paraId="4643000D" w14:textId="77777777" w:rsidR="001D674D" w:rsidRDefault="003F480A" w:rsidP="00147B7E">
      <w:pPr>
        <w:rPr>
          <w:lang w:val="en-AU"/>
        </w:rPr>
      </w:pPr>
      <w:r w:rsidRPr="009150DC">
        <w:rPr>
          <w:lang w:val="en-AU"/>
        </w:rPr>
        <w:t>International</w:t>
      </w:r>
      <w:r w:rsidR="001379F9" w:rsidRPr="009150DC">
        <w:rPr>
          <w:lang w:val="en-AU"/>
        </w:rPr>
        <w:t xml:space="preserve"> examples of flexibility in ISR priority setting include</w:t>
      </w:r>
      <w:r w:rsidR="001D674D">
        <w:rPr>
          <w:lang w:val="en-AU"/>
        </w:rPr>
        <w:t>:</w:t>
      </w:r>
    </w:p>
    <w:p w14:paraId="75D6C299" w14:textId="4D17DBEA" w:rsidR="001D674D" w:rsidRDefault="001D674D" w:rsidP="006A5EBF">
      <w:pPr>
        <w:pStyle w:val="ListParagraph"/>
        <w:numPr>
          <w:ilvl w:val="0"/>
          <w:numId w:val="20"/>
        </w:numPr>
        <w:rPr>
          <w:lang w:val="en-AU"/>
        </w:rPr>
      </w:pPr>
      <w:r>
        <w:rPr>
          <w:lang w:val="en-AU"/>
        </w:rPr>
        <w:t>T</w:t>
      </w:r>
      <w:r w:rsidR="005D6B60" w:rsidRPr="001D674D">
        <w:rPr>
          <w:lang w:val="en-AU"/>
        </w:rPr>
        <w:t>he United States’ National Science and Technology Council (NSTC)</w:t>
      </w:r>
      <w:r w:rsidR="001379F9" w:rsidRPr="001D674D">
        <w:rPr>
          <w:lang w:val="en-AU"/>
        </w:rPr>
        <w:t>, which</w:t>
      </w:r>
      <w:r w:rsidR="005D6B60" w:rsidRPr="001D674D">
        <w:rPr>
          <w:lang w:val="en-AU"/>
        </w:rPr>
        <w:t xml:space="preserve"> ca</w:t>
      </w:r>
      <w:r w:rsidR="00A31235" w:rsidRPr="001D674D">
        <w:rPr>
          <w:lang w:val="en-AU"/>
        </w:rPr>
        <w:t>n create working groups in crise</w:t>
      </w:r>
      <w:r w:rsidR="005D6B60" w:rsidRPr="001D674D">
        <w:rPr>
          <w:lang w:val="en-AU"/>
        </w:rPr>
        <w:t>s</w:t>
      </w:r>
      <w:r w:rsidR="00C433C2">
        <w:rPr>
          <w:lang w:val="en-AU"/>
        </w:rPr>
        <w:t>.</w:t>
      </w:r>
      <w:r w:rsidR="005D6B60" w:rsidRPr="001D674D">
        <w:rPr>
          <w:lang w:val="en-AU"/>
        </w:rPr>
        <w:t xml:space="preserve"> </w:t>
      </w:r>
    </w:p>
    <w:p w14:paraId="52621C5A" w14:textId="5E352E91" w:rsidR="001D674D" w:rsidRDefault="005D6B60" w:rsidP="006A5EBF">
      <w:pPr>
        <w:pStyle w:val="ListParagraph"/>
        <w:numPr>
          <w:ilvl w:val="0"/>
          <w:numId w:val="20"/>
        </w:numPr>
        <w:rPr>
          <w:lang w:val="en-AU"/>
        </w:rPr>
      </w:pPr>
      <w:r w:rsidRPr="001D674D">
        <w:rPr>
          <w:lang w:val="en-AU"/>
        </w:rPr>
        <w:t>Singapore’s Research, Innovation and Enterprise Plan</w:t>
      </w:r>
      <w:r w:rsidR="001D674D" w:rsidRPr="001D674D">
        <w:rPr>
          <w:lang w:val="en-AU"/>
        </w:rPr>
        <w:t>, which allows the Singapore</w:t>
      </w:r>
      <w:r w:rsidR="00C433C2">
        <w:rPr>
          <w:lang w:val="en-AU"/>
        </w:rPr>
        <w:t>an</w:t>
      </w:r>
      <w:r w:rsidR="001D674D" w:rsidRPr="001D674D">
        <w:rPr>
          <w:lang w:val="en-AU"/>
        </w:rPr>
        <w:t xml:space="preserve"> Government</w:t>
      </w:r>
      <w:r w:rsidR="001379F9" w:rsidRPr="001D674D">
        <w:rPr>
          <w:lang w:val="en-AU"/>
        </w:rPr>
        <w:t xml:space="preserve"> to </w:t>
      </w:r>
      <w:r w:rsidR="006A5EBF">
        <w:rPr>
          <w:lang w:val="en-AU"/>
        </w:rPr>
        <w:t xml:space="preserve">flexibly </w:t>
      </w:r>
      <w:r w:rsidRPr="001D674D">
        <w:rPr>
          <w:lang w:val="en-AU"/>
        </w:rPr>
        <w:t>reorient its sectoral priorities</w:t>
      </w:r>
      <w:r w:rsidR="00C433C2">
        <w:rPr>
          <w:lang w:val="en-AU"/>
        </w:rPr>
        <w:t>.</w:t>
      </w:r>
    </w:p>
    <w:p w14:paraId="7D2C3C43" w14:textId="3948566E" w:rsidR="001D674D" w:rsidRDefault="00E7301F" w:rsidP="006A5EBF">
      <w:pPr>
        <w:pStyle w:val="ListParagraph"/>
        <w:numPr>
          <w:ilvl w:val="0"/>
          <w:numId w:val="20"/>
        </w:numPr>
        <w:rPr>
          <w:lang w:val="en-AU"/>
        </w:rPr>
      </w:pPr>
      <w:r w:rsidRPr="001D674D">
        <w:rPr>
          <w:lang w:val="en-AU"/>
        </w:rPr>
        <w:t xml:space="preserve">Ireland’s Research Prioritisation process </w:t>
      </w:r>
      <w:r w:rsidR="000D6A36" w:rsidRPr="001D674D">
        <w:rPr>
          <w:lang w:val="en-AU"/>
        </w:rPr>
        <w:t>w</w:t>
      </w:r>
      <w:r w:rsidR="00C433C2">
        <w:rPr>
          <w:lang w:val="en-AU"/>
        </w:rPr>
        <w:t>hich has</w:t>
      </w:r>
      <w:r w:rsidR="000D6A36" w:rsidRPr="001D674D">
        <w:rPr>
          <w:lang w:val="en-AU"/>
        </w:rPr>
        <w:t xml:space="preserve"> an </w:t>
      </w:r>
      <w:r w:rsidRPr="001D674D">
        <w:rPr>
          <w:lang w:val="en-AU"/>
        </w:rPr>
        <w:t>in</w:t>
      </w:r>
      <w:r w:rsidRPr="001D674D">
        <w:rPr>
          <w:lang w:val="en-AU"/>
        </w:rPr>
        <w:noBreakHyphen/>
        <w:t>built review process to amend</w:t>
      </w:r>
      <w:r w:rsidR="000D6A36" w:rsidRPr="001D674D">
        <w:rPr>
          <w:lang w:val="en-AU"/>
        </w:rPr>
        <w:t xml:space="preserve"> subsidiary priorities </w:t>
      </w:r>
      <w:r w:rsidRPr="001D674D">
        <w:rPr>
          <w:lang w:val="en-AU"/>
        </w:rPr>
        <w:t xml:space="preserve">while maintaining </w:t>
      </w:r>
      <w:r w:rsidR="000D6A36" w:rsidRPr="001D674D">
        <w:rPr>
          <w:lang w:val="en-AU"/>
        </w:rPr>
        <w:t xml:space="preserve">its </w:t>
      </w:r>
      <w:r w:rsidRPr="001D674D">
        <w:rPr>
          <w:lang w:val="en-AU"/>
        </w:rPr>
        <w:t xml:space="preserve">overarching </w:t>
      </w:r>
      <w:r w:rsidR="00A83978" w:rsidRPr="001D674D">
        <w:rPr>
          <w:lang w:val="en-AU"/>
        </w:rPr>
        <w:t xml:space="preserve">key </w:t>
      </w:r>
      <w:r w:rsidRPr="001D674D">
        <w:rPr>
          <w:lang w:val="en-AU"/>
        </w:rPr>
        <w:t xml:space="preserve">themes. </w:t>
      </w:r>
    </w:p>
    <w:p w14:paraId="61AF392C" w14:textId="628D16BC" w:rsidR="008B54A4" w:rsidRPr="001D674D" w:rsidRDefault="00411B58" w:rsidP="001D674D">
      <w:pPr>
        <w:rPr>
          <w:lang w:val="en-AU"/>
        </w:rPr>
      </w:pPr>
      <w:r w:rsidRPr="001D674D">
        <w:rPr>
          <w:lang w:val="en-AU"/>
        </w:rPr>
        <w:t xml:space="preserve">Conversely, </w:t>
      </w:r>
      <w:r w:rsidR="00A31235" w:rsidRPr="001D674D">
        <w:rPr>
          <w:lang w:val="en-AU"/>
        </w:rPr>
        <w:t xml:space="preserve">a criticism of </w:t>
      </w:r>
      <w:r w:rsidRPr="001D674D">
        <w:rPr>
          <w:lang w:val="en-AU"/>
        </w:rPr>
        <w:t>t</w:t>
      </w:r>
      <w:r w:rsidR="005D6B60" w:rsidRPr="00356D19">
        <w:rPr>
          <w:lang w:val="en-AU"/>
        </w:rPr>
        <w:t xml:space="preserve">he European Horizon 2020 program </w:t>
      </w:r>
      <w:r w:rsidR="00A31235" w:rsidRPr="009150DC">
        <w:rPr>
          <w:lang w:val="en-AU"/>
        </w:rPr>
        <w:t xml:space="preserve">is </w:t>
      </w:r>
      <w:r w:rsidR="00DF01D5" w:rsidRPr="009150DC">
        <w:rPr>
          <w:lang w:val="en-AU"/>
        </w:rPr>
        <w:t xml:space="preserve">its lack of flexibility, which </w:t>
      </w:r>
      <w:r w:rsidR="005D6B60" w:rsidRPr="009150DC">
        <w:rPr>
          <w:lang w:val="en-AU"/>
        </w:rPr>
        <w:t xml:space="preserve">has </w:t>
      </w:r>
      <w:r w:rsidR="00A31235" w:rsidRPr="009150DC">
        <w:rPr>
          <w:lang w:val="en-AU"/>
        </w:rPr>
        <w:t>resulted in</w:t>
      </w:r>
      <w:r w:rsidR="00DF01D5" w:rsidRPr="009150DC">
        <w:rPr>
          <w:lang w:val="en-AU"/>
        </w:rPr>
        <w:t xml:space="preserve"> considerable </w:t>
      </w:r>
      <w:r w:rsidR="0059153B">
        <w:rPr>
          <w:lang w:val="en-AU"/>
        </w:rPr>
        <w:t xml:space="preserve">policy </w:t>
      </w:r>
      <w:r w:rsidR="005D6B60" w:rsidRPr="009150DC">
        <w:rPr>
          <w:lang w:val="en-AU"/>
        </w:rPr>
        <w:t xml:space="preserve">lag </w:t>
      </w:r>
      <w:r w:rsidR="0059153B">
        <w:rPr>
          <w:lang w:val="en-AU"/>
        </w:rPr>
        <w:t>with regard to</w:t>
      </w:r>
      <w:r w:rsidR="005D6B60" w:rsidRPr="009150DC">
        <w:rPr>
          <w:lang w:val="en-AU"/>
        </w:rPr>
        <w:t xml:space="preserve"> some</w:t>
      </w:r>
      <w:r w:rsidR="0059153B">
        <w:rPr>
          <w:lang w:val="en-AU"/>
        </w:rPr>
        <w:t xml:space="preserve"> emerging</w:t>
      </w:r>
      <w:r w:rsidR="005D6B60" w:rsidRPr="009150DC">
        <w:rPr>
          <w:lang w:val="en-AU"/>
        </w:rPr>
        <w:t xml:space="preserve"> technologies. </w:t>
      </w:r>
      <w:r w:rsidR="00A31235" w:rsidRPr="009150DC">
        <w:rPr>
          <w:lang w:val="en-AU"/>
        </w:rPr>
        <w:t xml:space="preserve">Its successor, </w:t>
      </w:r>
      <w:r w:rsidR="005D6B60" w:rsidRPr="009150DC">
        <w:rPr>
          <w:lang w:val="en-AU"/>
        </w:rPr>
        <w:t>Horizon Europe</w:t>
      </w:r>
      <w:r w:rsidR="00FC25D6" w:rsidRPr="009150DC">
        <w:rPr>
          <w:lang w:val="en-AU"/>
        </w:rPr>
        <w:t xml:space="preserve">, </w:t>
      </w:r>
      <w:r w:rsidR="00A31235" w:rsidRPr="009150DC">
        <w:rPr>
          <w:lang w:val="en-AU"/>
        </w:rPr>
        <w:t xml:space="preserve">which </w:t>
      </w:r>
      <w:r w:rsidRPr="009150DC">
        <w:rPr>
          <w:lang w:val="en-AU"/>
        </w:rPr>
        <w:t>commenc</w:t>
      </w:r>
      <w:r w:rsidR="00A31235" w:rsidRPr="009150DC">
        <w:rPr>
          <w:lang w:val="en-AU"/>
        </w:rPr>
        <w:t>es</w:t>
      </w:r>
      <w:r w:rsidR="005D6B60" w:rsidRPr="009150DC">
        <w:rPr>
          <w:lang w:val="en-AU"/>
        </w:rPr>
        <w:t xml:space="preserve"> in 2021, </w:t>
      </w:r>
      <w:r w:rsidR="00086CB8" w:rsidRPr="009150DC">
        <w:rPr>
          <w:lang w:val="en-AU"/>
        </w:rPr>
        <w:t>is</w:t>
      </w:r>
      <w:r w:rsidR="005D6B60" w:rsidRPr="009150DC">
        <w:rPr>
          <w:lang w:val="en-AU"/>
        </w:rPr>
        <w:t xml:space="preserve"> designed to</w:t>
      </w:r>
      <w:r w:rsidR="00FC25D6" w:rsidRPr="009150DC">
        <w:rPr>
          <w:lang w:val="en-AU"/>
        </w:rPr>
        <w:t xml:space="preserve"> address these limitations</w:t>
      </w:r>
      <w:r w:rsidR="005D6B60" w:rsidRPr="009150DC">
        <w:rPr>
          <w:lang w:val="en-AU"/>
        </w:rPr>
        <w:t>.</w:t>
      </w:r>
    </w:p>
    <w:p w14:paraId="7CE316A9" w14:textId="152E9851" w:rsidR="00147B7E" w:rsidRPr="009150DC" w:rsidRDefault="000A5114" w:rsidP="003D521D">
      <w:pPr>
        <w:pStyle w:val="Heading4"/>
        <w:rPr>
          <w:lang w:val="en-AU"/>
        </w:rPr>
      </w:pPr>
      <w:r w:rsidRPr="009150DC">
        <w:rPr>
          <w:lang w:val="en-AU"/>
        </w:rPr>
        <w:t>ISR priorities should inclu</w:t>
      </w:r>
      <w:r w:rsidR="00147B7E" w:rsidRPr="009150DC">
        <w:rPr>
          <w:lang w:val="en-AU"/>
        </w:rPr>
        <w:t>de a clear financial commitment</w:t>
      </w:r>
    </w:p>
    <w:p w14:paraId="142584B5" w14:textId="58D24721" w:rsidR="00DB338C" w:rsidRPr="009150DC" w:rsidRDefault="008B54A4" w:rsidP="00445BC4">
      <w:pPr>
        <w:rPr>
          <w:lang w:val="en-AU"/>
        </w:rPr>
      </w:pPr>
      <w:r w:rsidRPr="009150DC">
        <w:rPr>
          <w:lang w:val="en-AU"/>
        </w:rPr>
        <w:t xml:space="preserve">International best-practice has shown </w:t>
      </w:r>
      <w:r w:rsidR="00C433C2">
        <w:rPr>
          <w:lang w:val="en-AU"/>
        </w:rPr>
        <w:t xml:space="preserve">that </w:t>
      </w:r>
      <w:r w:rsidR="009A5BE3" w:rsidRPr="009150DC">
        <w:rPr>
          <w:lang w:val="en-AU"/>
        </w:rPr>
        <w:t xml:space="preserve">both the national </w:t>
      </w:r>
      <w:r w:rsidR="006A5EBF">
        <w:rPr>
          <w:lang w:val="en-AU"/>
        </w:rPr>
        <w:t xml:space="preserve">and subsidiary </w:t>
      </w:r>
      <w:r w:rsidR="004B5DC4" w:rsidRPr="009150DC">
        <w:rPr>
          <w:lang w:val="en-AU"/>
        </w:rPr>
        <w:t xml:space="preserve">ISR </w:t>
      </w:r>
      <w:r w:rsidR="009A5BE3" w:rsidRPr="009150DC">
        <w:rPr>
          <w:lang w:val="en-AU"/>
        </w:rPr>
        <w:t>priorities</w:t>
      </w:r>
      <w:r w:rsidRPr="009150DC">
        <w:rPr>
          <w:lang w:val="en-AU"/>
        </w:rPr>
        <w:t xml:space="preserve"> should include a specific financial commitment</w:t>
      </w:r>
      <w:r w:rsidR="001B71C4" w:rsidRPr="009150DC">
        <w:rPr>
          <w:lang w:val="en-AU"/>
        </w:rPr>
        <w:t>.</w:t>
      </w:r>
      <w:r w:rsidR="001B71C4" w:rsidRPr="009150DC">
        <w:rPr>
          <w:rStyle w:val="FootnoteReference"/>
          <w:lang w:val="en-AU"/>
        </w:rPr>
        <w:footnoteReference w:id="41"/>
      </w:r>
      <w:r w:rsidR="000A5114" w:rsidRPr="009150DC">
        <w:rPr>
          <w:lang w:val="en-AU"/>
        </w:rPr>
        <w:t xml:space="preserve"> The </w:t>
      </w:r>
      <w:r w:rsidR="009C2AFC">
        <w:rPr>
          <w:lang w:val="en-AU"/>
        </w:rPr>
        <w:t>UK’s</w:t>
      </w:r>
      <w:r w:rsidR="000A5114" w:rsidRPr="009150DC">
        <w:rPr>
          <w:lang w:val="en-AU"/>
        </w:rPr>
        <w:t xml:space="preserve"> Industrial Strategy includes a series of cross</w:t>
      </w:r>
      <w:r w:rsidR="00C433C2">
        <w:rPr>
          <w:lang w:val="en-AU"/>
        </w:rPr>
        <w:noBreakHyphen/>
      </w:r>
      <w:r w:rsidR="000A5114" w:rsidRPr="009150DC">
        <w:rPr>
          <w:lang w:val="en-AU"/>
        </w:rPr>
        <w:t>cutting Grand Challenges designed to put the UK at the forefront of the industries of the future</w:t>
      </w:r>
      <w:r w:rsidR="00957C8E" w:rsidRPr="009150DC">
        <w:rPr>
          <w:lang w:val="en-AU"/>
        </w:rPr>
        <w:t>. Smaller</w:t>
      </w:r>
      <w:r w:rsidR="00957C8E" w:rsidRPr="009150DC">
        <w:rPr>
          <w:lang w:val="en-AU"/>
        </w:rPr>
        <w:noBreakHyphen/>
      </w:r>
      <w:r w:rsidR="000A5114" w:rsidRPr="009150DC">
        <w:rPr>
          <w:lang w:val="en-AU"/>
        </w:rPr>
        <w:t>scale activities contribute to each Grand Challenge</w:t>
      </w:r>
      <w:r w:rsidR="004B5DC4" w:rsidRPr="009150DC">
        <w:rPr>
          <w:lang w:val="en-AU"/>
        </w:rPr>
        <w:t xml:space="preserve">, </w:t>
      </w:r>
      <w:r w:rsidR="000A5114" w:rsidRPr="009150DC">
        <w:rPr>
          <w:lang w:val="en-AU"/>
        </w:rPr>
        <w:t>supported by a significant Industrial Strategy Challenge Fund.</w:t>
      </w:r>
      <w:r w:rsidR="000A5114" w:rsidRPr="009150DC">
        <w:rPr>
          <w:rStyle w:val="FootnoteReference"/>
          <w:lang w:val="en-AU"/>
        </w:rPr>
        <w:footnoteReference w:id="42"/>
      </w:r>
      <w:r w:rsidR="000A5114" w:rsidRPr="009150DC">
        <w:rPr>
          <w:lang w:val="en-AU"/>
        </w:rPr>
        <w:t xml:space="preserve"> </w:t>
      </w:r>
      <w:r w:rsidR="004B5DC4" w:rsidRPr="009150DC">
        <w:rPr>
          <w:lang w:val="en-AU"/>
        </w:rPr>
        <w:t>T</w:t>
      </w:r>
      <w:r w:rsidR="000A5114" w:rsidRPr="009150DC">
        <w:rPr>
          <w:lang w:val="en-AU"/>
        </w:rPr>
        <w:t>he first two waves of funding</w:t>
      </w:r>
      <w:r w:rsidR="004B5DC4" w:rsidRPr="009150DC">
        <w:rPr>
          <w:lang w:val="en-AU"/>
        </w:rPr>
        <w:t xml:space="preserve"> secured</w:t>
      </w:r>
      <w:r w:rsidR="000A5114" w:rsidRPr="009150DC">
        <w:rPr>
          <w:lang w:val="en-AU"/>
        </w:rPr>
        <w:t xml:space="preserve"> £986 million </w:t>
      </w:r>
      <w:r w:rsidR="00F27BDF">
        <w:rPr>
          <w:lang w:val="en-AU"/>
        </w:rPr>
        <w:t xml:space="preserve">in </w:t>
      </w:r>
      <w:r w:rsidR="000A5114" w:rsidRPr="009150DC">
        <w:rPr>
          <w:lang w:val="en-AU"/>
        </w:rPr>
        <w:t xml:space="preserve">government investment </w:t>
      </w:r>
      <w:r w:rsidR="00940DF1" w:rsidRPr="009150DC">
        <w:rPr>
          <w:lang w:val="en-AU"/>
        </w:rPr>
        <w:t>i</w:t>
      </w:r>
      <w:r w:rsidR="000A5114" w:rsidRPr="009150DC">
        <w:rPr>
          <w:lang w:val="en-AU"/>
        </w:rPr>
        <w:t xml:space="preserve">n addition to almost £488 million of underpinning investment. In contrast, Norway’s Long-Term Plan has been criticised for its failure to provide clear financial commitment across all </w:t>
      </w:r>
      <w:r w:rsidR="00C433C2">
        <w:rPr>
          <w:lang w:val="en-AU"/>
        </w:rPr>
        <w:t xml:space="preserve">of its </w:t>
      </w:r>
      <w:r w:rsidR="000A5114" w:rsidRPr="009150DC">
        <w:rPr>
          <w:lang w:val="en-AU"/>
        </w:rPr>
        <w:t>ISR priorities.</w:t>
      </w:r>
      <w:r w:rsidR="000A5114" w:rsidRPr="009150DC">
        <w:rPr>
          <w:rStyle w:val="FootnoteReference"/>
          <w:lang w:val="en-AU"/>
        </w:rPr>
        <w:footnoteReference w:id="43"/>
      </w:r>
      <w:bookmarkStart w:id="159" w:name="_Ref36804320"/>
      <w:bookmarkStart w:id="160" w:name="_Toc36806807"/>
      <w:bookmarkEnd w:id="159"/>
    </w:p>
    <w:p w14:paraId="3F4E1250" w14:textId="38DD462D" w:rsidR="0015345B" w:rsidRPr="009150DC" w:rsidRDefault="00066E5A" w:rsidP="00066E5A">
      <w:pPr>
        <w:pStyle w:val="Heading1"/>
      </w:pPr>
      <w:bookmarkStart w:id="161" w:name="_Ref36644388"/>
      <w:bookmarkStart w:id="162" w:name="_Toc42868670"/>
      <w:bookmarkStart w:id="163" w:name="_Toc42872690"/>
      <w:bookmarkStart w:id="164" w:name="_Toc43996699"/>
      <w:bookmarkStart w:id="165" w:name="_Toc43999075"/>
      <w:bookmarkStart w:id="166" w:name="_Toc44071638"/>
      <w:bookmarkStart w:id="167" w:name="_Toc44074721"/>
      <w:bookmarkStart w:id="168" w:name="_Toc44076147"/>
      <w:bookmarkStart w:id="169" w:name="_Toc44079130"/>
      <w:bookmarkStart w:id="170" w:name="_Toc44317958"/>
      <w:bookmarkStart w:id="171" w:name="_Toc44312291"/>
      <w:bookmarkStart w:id="172" w:name="_Toc44320754"/>
      <w:bookmarkStart w:id="173" w:name="_Toc44322390"/>
      <w:bookmarkStart w:id="174" w:name="_Toc44322579"/>
      <w:bookmarkStart w:id="175" w:name="_Toc44323382"/>
      <w:bookmarkStart w:id="176" w:name="_Toc44323469"/>
      <w:bookmarkStart w:id="177" w:name="_Toc44324979"/>
      <w:bookmarkStart w:id="178" w:name="_Toc44326049"/>
      <w:bookmarkStart w:id="179" w:name="_Toc44330373"/>
      <w:bookmarkStart w:id="180" w:name="_Toc44331823"/>
      <w:bookmarkStart w:id="181" w:name="_Toc44331936"/>
      <w:bookmarkStart w:id="182" w:name="_Toc44339033"/>
      <w:bookmarkStart w:id="183" w:name="_Toc44340733"/>
      <w:bookmarkStart w:id="184" w:name="_Toc44419462"/>
      <w:bookmarkStart w:id="185" w:name="_Toc44420419"/>
      <w:bookmarkStart w:id="186" w:name="_Toc56073616"/>
      <w:bookmarkStart w:id="187" w:name="_Toc57113513"/>
      <w:bookmarkStart w:id="188" w:name="_Toc57113696"/>
      <w:bookmarkStart w:id="189" w:name="_Toc57641033"/>
      <w:bookmarkStart w:id="190" w:name="_Ref34913497"/>
      <w:bookmarkStart w:id="191" w:name="_Toc34919448"/>
      <w:bookmarkStart w:id="192" w:name="_Toc34921734"/>
      <w:bookmarkStart w:id="193" w:name="_Toc34924052"/>
      <w:bookmarkStart w:id="194" w:name="_Toc34925377"/>
      <w:bookmarkStart w:id="195" w:name="_Toc34989523"/>
      <w:bookmarkStart w:id="196" w:name="_Toc35006807"/>
      <w:bookmarkStart w:id="197" w:name="_Toc35011742"/>
      <w:bookmarkStart w:id="198" w:name="_Toc35015769"/>
      <w:bookmarkStart w:id="199" w:name="_Toc35356379"/>
      <w:bookmarkEnd w:id="160"/>
      <w:r>
        <w:lastRenderedPageBreak/>
        <w:t xml:space="preserve">Appendix C: </w:t>
      </w:r>
      <w:r w:rsidR="00742B6A" w:rsidRPr="009150DC">
        <w:t>Delivering i</w:t>
      </w:r>
      <w:r w:rsidR="0015345B" w:rsidRPr="009150DC">
        <w:t>mpact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67A39A31" w14:textId="51E88D35" w:rsidR="0015345B" w:rsidRPr="009150DC" w:rsidRDefault="0015345B" w:rsidP="0015345B">
      <w:pPr>
        <w:rPr>
          <w:lang w:val="en-AU"/>
        </w:rPr>
      </w:pPr>
      <w:r w:rsidRPr="009150DC">
        <w:rPr>
          <w:lang w:val="en-AU"/>
        </w:rPr>
        <w:t xml:space="preserve">Effective ISR investments demonstrably achieve their intended outcomes. ISR investments should be designed with </w:t>
      </w:r>
      <w:r w:rsidR="00F27BDF">
        <w:rPr>
          <w:lang w:val="en-AU"/>
        </w:rPr>
        <w:t xml:space="preserve">transparency, have </w:t>
      </w:r>
      <w:r w:rsidRPr="009150DC">
        <w:rPr>
          <w:lang w:val="en-AU"/>
        </w:rPr>
        <w:t xml:space="preserve">clarity </w:t>
      </w:r>
      <w:r w:rsidR="00F27BDF">
        <w:rPr>
          <w:lang w:val="en-AU"/>
        </w:rPr>
        <w:t xml:space="preserve">of </w:t>
      </w:r>
      <w:r w:rsidRPr="009150DC">
        <w:rPr>
          <w:lang w:val="en-AU"/>
        </w:rPr>
        <w:t>purpose, expected outcome</w:t>
      </w:r>
      <w:r w:rsidR="00F27BDF">
        <w:rPr>
          <w:lang w:val="en-AU"/>
        </w:rPr>
        <w:t>s</w:t>
      </w:r>
      <w:r w:rsidRPr="009150DC">
        <w:rPr>
          <w:lang w:val="en-AU"/>
        </w:rPr>
        <w:t>, key performance indicators, evaluation processes, return</w:t>
      </w:r>
      <w:r w:rsidR="00A32805">
        <w:rPr>
          <w:lang w:val="en-AU"/>
        </w:rPr>
        <w:t>s</w:t>
      </w:r>
      <w:r w:rsidRPr="009150DC">
        <w:rPr>
          <w:lang w:val="en-AU"/>
        </w:rPr>
        <w:t xml:space="preserve"> on investment (financial, economic or social)</w:t>
      </w:r>
      <w:r w:rsidR="00246855">
        <w:rPr>
          <w:lang w:val="en-AU"/>
        </w:rPr>
        <w:t>,</w:t>
      </w:r>
      <w:r w:rsidR="00563CC2">
        <w:rPr>
          <w:lang w:val="en-AU"/>
        </w:rPr>
        <w:t xml:space="preserve"> and</w:t>
      </w:r>
      <w:r w:rsidRPr="009150DC">
        <w:rPr>
          <w:lang w:val="en-AU"/>
        </w:rPr>
        <w:t xml:space="preserve"> user/target</w:t>
      </w:r>
      <w:r w:rsidR="00563CC2">
        <w:rPr>
          <w:lang w:val="en-AU"/>
        </w:rPr>
        <w:t>. They should also</w:t>
      </w:r>
      <w:r w:rsidRPr="009150DC">
        <w:rPr>
          <w:lang w:val="en-AU"/>
        </w:rPr>
        <w:t xml:space="preserve"> be subject to regular and rigorous monitoring and evaluation at all levels of the system by a</w:t>
      </w:r>
      <w:r w:rsidR="00A32805">
        <w:rPr>
          <w:lang w:val="en-AU"/>
        </w:rPr>
        <w:t>n</w:t>
      </w:r>
      <w:r w:rsidRPr="009150DC">
        <w:rPr>
          <w:lang w:val="en-AU"/>
        </w:rPr>
        <w:t xml:space="preserve"> independent evaluator.</w:t>
      </w:r>
    </w:p>
    <w:p w14:paraId="1F442C81" w14:textId="242F9F31" w:rsidR="00234517" w:rsidRPr="009150DC" w:rsidRDefault="00404E21" w:rsidP="00DF27A6">
      <w:pPr>
        <w:pStyle w:val="Heading3"/>
        <w:rPr>
          <w:lang w:val="en-AU"/>
        </w:rPr>
      </w:pPr>
      <w:r w:rsidRPr="009150DC">
        <w:rPr>
          <w:lang w:val="en-AU"/>
        </w:rPr>
        <w:t>P</w:t>
      </w:r>
      <w:r w:rsidR="009A5280" w:rsidRPr="009150DC">
        <w:rPr>
          <w:lang w:val="en-AU"/>
        </w:rPr>
        <w:t>erformance of publicly-funded ISR</w:t>
      </w:r>
    </w:p>
    <w:p w14:paraId="35515A4B" w14:textId="3F3AF95C" w:rsidR="00103325" w:rsidRPr="009150DC" w:rsidRDefault="00103325" w:rsidP="00004381">
      <w:pPr>
        <w:rPr>
          <w:lang w:val="en-AU"/>
        </w:rPr>
      </w:pPr>
      <w:r w:rsidRPr="009150DC">
        <w:rPr>
          <w:lang w:val="en-AU"/>
        </w:rPr>
        <w:t xml:space="preserve">The Government’s investment in ISR has led to numerous high-impact innovations and outcomes, </w:t>
      </w:r>
      <w:r w:rsidR="00F27BDF">
        <w:rPr>
          <w:lang w:val="en-AU"/>
        </w:rPr>
        <w:t xml:space="preserve">including </w:t>
      </w:r>
      <w:r w:rsidRPr="009150DC">
        <w:rPr>
          <w:lang w:val="en-AU"/>
        </w:rPr>
        <w:t>the Jameson flotation cell,</w:t>
      </w:r>
      <w:r w:rsidRPr="009150DC">
        <w:rPr>
          <w:rStyle w:val="FootnoteReference"/>
          <w:lang w:val="en-AU"/>
        </w:rPr>
        <w:footnoteReference w:id="44"/>
      </w:r>
      <w:r w:rsidRPr="009150DC">
        <w:rPr>
          <w:lang w:val="en-AU"/>
        </w:rPr>
        <w:t xml:space="preserve"> sliver cell technology,</w:t>
      </w:r>
      <w:r w:rsidRPr="009150DC">
        <w:rPr>
          <w:rStyle w:val="FootnoteReference"/>
          <w:lang w:val="en-AU"/>
        </w:rPr>
        <w:footnoteReference w:id="45"/>
      </w:r>
      <w:r w:rsidRPr="009150DC">
        <w:rPr>
          <w:lang w:val="en-AU"/>
        </w:rPr>
        <w:t xml:space="preserve"> Hexima’s ag</w:t>
      </w:r>
      <w:r w:rsidRPr="009150DC">
        <w:rPr>
          <w:lang w:val="en-AU"/>
        </w:rPr>
        <w:noBreakHyphen/>
        <w:t>biotech,</w:t>
      </w:r>
      <w:r w:rsidRPr="009150DC">
        <w:rPr>
          <w:rStyle w:val="FootnoteReference"/>
          <w:lang w:val="en-AU"/>
        </w:rPr>
        <w:footnoteReference w:id="46"/>
      </w:r>
      <w:r w:rsidRPr="009150DC">
        <w:rPr>
          <w:lang w:val="en-AU"/>
        </w:rPr>
        <w:t xml:space="preserve"> </w:t>
      </w:r>
      <w:r w:rsidR="00F27BDF">
        <w:rPr>
          <w:lang w:val="en-AU"/>
        </w:rPr>
        <w:t xml:space="preserve">and </w:t>
      </w:r>
      <w:r w:rsidRPr="009150DC">
        <w:rPr>
          <w:lang w:val="en-AU"/>
        </w:rPr>
        <w:t>the cervical cancer vaccine Gardasil. Australia’s research</w:t>
      </w:r>
      <w:r w:rsidR="00F27BDF">
        <w:rPr>
          <w:lang w:val="en-AU"/>
        </w:rPr>
        <w:t xml:space="preserve"> system</w:t>
      </w:r>
      <w:r w:rsidRPr="009150DC">
        <w:rPr>
          <w:lang w:val="en-AU"/>
        </w:rPr>
        <w:t xml:space="preserve"> performs well globally</w:t>
      </w:r>
      <w:r w:rsidR="00263BD0" w:rsidRPr="009150DC">
        <w:rPr>
          <w:lang w:val="en-AU"/>
        </w:rPr>
        <w:t xml:space="preserve">. </w:t>
      </w:r>
      <w:r w:rsidR="00F27BDF">
        <w:rPr>
          <w:lang w:val="en-AU"/>
        </w:rPr>
        <w:t>With j</w:t>
      </w:r>
      <w:r w:rsidRPr="009150DC">
        <w:rPr>
          <w:lang w:val="en-AU"/>
        </w:rPr>
        <w:t>ust 0.3</w:t>
      </w:r>
      <w:r w:rsidR="006A2EF3" w:rsidRPr="009150DC">
        <w:rPr>
          <w:lang w:val="en-AU"/>
        </w:rPr>
        <w:t> per cent</w:t>
      </w:r>
      <w:r w:rsidRPr="009150DC">
        <w:rPr>
          <w:lang w:val="en-AU"/>
        </w:rPr>
        <w:t xml:space="preserve"> of the world’s population, Australia contributed over four</w:t>
      </w:r>
      <w:r w:rsidR="006A2EF3" w:rsidRPr="009150DC">
        <w:rPr>
          <w:lang w:val="en-AU"/>
        </w:rPr>
        <w:t> per cent</w:t>
      </w:r>
      <w:r w:rsidRPr="009150DC">
        <w:rPr>
          <w:lang w:val="en-AU"/>
        </w:rPr>
        <w:t xml:space="preserve"> of world research publications in 2017. Our individual scientists and researchers also perform well</w:t>
      </w:r>
      <w:r w:rsidR="00A32805">
        <w:rPr>
          <w:rFonts w:ascii="Calibri" w:hAnsi="Calibri" w:cs="Calibri"/>
          <w:lang w:val="en-AU"/>
        </w:rPr>
        <w:t xml:space="preserve">, with the </w:t>
      </w:r>
      <w:r w:rsidRPr="009150DC">
        <w:rPr>
          <w:lang w:val="en-AU"/>
        </w:rPr>
        <w:t>Australia</w:t>
      </w:r>
      <w:r w:rsidR="00A32805">
        <w:rPr>
          <w:lang w:val="en-AU"/>
        </w:rPr>
        <w:t>n ISR</w:t>
      </w:r>
      <w:r w:rsidRPr="009150DC">
        <w:rPr>
          <w:lang w:val="en-AU"/>
        </w:rPr>
        <w:t xml:space="preserve"> system produc</w:t>
      </w:r>
      <w:r w:rsidR="00A32805">
        <w:rPr>
          <w:lang w:val="en-AU"/>
        </w:rPr>
        <w:t>ing</w:t>
      </w:r>
      <w:r w:rsidRPr="009150DC">
        <w:rPr>
          <w:lang w:val="en-AU"/>
        </w:rPr>
        <w:t xml:space="preserve"> 16 Nobel Prize </w:t>
      </w:r>
      <w:r w:rsidR="00F27BDF">
        <w:rPr>
          <w:lang w:val="en-AU"/>
        </w:rPr>
        <w:t xml:space="preserve">recipients </w:t>
      </w:r>
      <w:r w:rsidRPr="009150DC">
        <w:rPr>
          <w:lang w:val="en-AU"/>
        </w:rPr>
        <w:t>since 1915.</w:t>
      </w:r>
      <w:r w:rsidRPr="009150DC">
        <w:rPr>
          <w:rStyle w:val="FootnoteReference"/>
          <w:lang w:val="en-AU"/>
        </w:rPr>
        <w:footnoteReference w:id="47"/>
      </w:r>
      <w:r w:rsidRPr="009150DC">
        <w:rPr>
          <w:lang w:val="en-AU"/>
        </w:rPr>
        <w:t xml:space="preserve"> Today, Australia ranks tenth, globally, in terms of the overall quality and quantity of its scientific publications.</w:t>
      </w:r>
      <w:r w:rsidRPr="009150DC">
        <w:rPr>
          <w:rStyle w:val="FootnoteReference"/>
          <w:lang w:val="en-AU"/>
        </w:rPr>
        <w:footnoteReference w:id="48"/>
      </w:r>
    </w:p>
    <w:p w14:paraId="1C5118FB" w14:textId="59AE179E" w:rsidR="008A3B3C" w:rsidRPr="009150DC" w:rsidRDefault="00E90F05" w:rsidP="008A3B3C">
      <w:pPr>
        <w:rPr>
          <w:color w:val="FFFFFF" w:themeColor="background1"/>
          <w:lang w:val="en-AU"/>
        </w:rPr>
      </w:pPr>
      <w:r w:rsidRPr="009150DC">
        <w:rPr>
          <w:lang w:val="en-AU"/>
        </w:rPr>
        <w:t xml:space="preserve">Despite some high-impact </w:t>
      </w:r>
      <w:r w:rsidR="00A32805">
        <w:rPr>
          <w:lang w:val="en-AU"/>
        </w:rPr>
        <w:t xml:space="preserve">ISR system </w:t>
      </w:r>
      <w:r w:rsidRPr="009150DC">
        <w:rPr>
          <w:lang w:val="en-AU"/>
        </w:rPr>
        <w:t xml:space="preserve">outcomes, </w:t>
      </w:r>
      <w:r w:rsidR="00A741B9" w:rsidRPr="009150DC">
        <w:rPr>
          <w:lang w:val="en-AU"/>
        </w:rPr>
        <w:t>t</w:t>
      </w:r>
      <w:r w:rsidR="00103325" w:rsidRPr="009150DC">
        <w:rPr>
          <w:lang w:val="en-AU"/>
        </w:rPr>
        <w:t xml:space="preserve">he 2015 Watt Review observed there has been little focus on the performance of </w:t>
      </w:r>
      <w:r w:rsidR="001B5F56">
        <w:rPr>
          <w:lang w:val="en-AU"/>
        </w:rPr>
        <w:t>Australia’s</w:t>
      </w:r>
      <w:r w:rsidR="00103325" w:rsidRPr="009150DC">
        <w:rPr>
          <w:lang w:val="en-AU"/>
        </w:rPr>
        <w:t xml:space="preserve"> publicly</w:t>
      </w:r>
      <w:r w:rsidR="00103325" w:rsidRPr="009150DC">
        <w:rPr>
          <w:lang w:val="en-AU"/>
        </w:rPr>
        <w:noBreakHyphen/>
        <w:t xml:space="preserve">funded </w:t>
      </w:r>
      <w:r w:rsidR="001B5F56">
        <w:rPr>
          <w:lang w:val="en-AU"/>
        </w:rPr>
        <w:t xml:space="preserve">ISR </w:t>
      </w:r>
      <w:r w:rsidR="00103325" w:rsidRPr="009150DC">
        <w:rPr>
          <w:lang w:val="en-AU"/>
        </w:rPr>
        <w:t>system as a whole, given there is no single Minister with overall responsibility for the research sector.</w:t>
      </w:r>
      <w:r w:rsidR="00103325" w:rsidRPr="009150DC">
        <w:rPr>
          <w:rStyle w:val="FootnoteReference"/>
          <w:lang w:val="en-AU"/>
        </w:rPr>
        <w:footnoteReference w:id="49"/>
      </w:r>
      <w:r w:rsidR="00103325" w:rsidRPr="009150DC">
        <w:rPr>
          <w:lang w:val="en-AU"/>
        </w:rPr>
        <w:t xml:space="preserve"> </w:t>
      </w:r>
      <w:r w:rsidR="008A3B3C" w:rsidRPr="009150DC">
        <w:rPr>
          <w:color w:val="000000" w:themeColor="text1"/>
          <w:lang w:val="en-AU"/>
        </w:rPr>
        <w:t>Additionally, recent parliamentary inquiries on aspects of the ISR system observe that evaluations, when they have been conducted, are often performed under political or fiscal threat of termination.</w:t>
      </w:r>
      <w:r w:rsidR="008A3B3C" w:rsidRPr="009150DC">
        <w:rPr>
          <w:color w:val="000000" w:themeColor="text1"/>
          <w:vertAlign w:val="superscript"/>
          <w:lang w:val="en-AU"/>
        </w:rPr>
        <w:footnoteReference w:id="50"/>
      </w:r>
    </w:p>
    <w:p w14:paraId="1AC45212" w14:textId="587E1F49" w:rsidR="00D4395B" w:rsidRPr="009150DC" w:rsidRDefault="00D4395B" w:rsidP="007A6592">
      <w:pPr>
        <w:spacing w:after="180"/>
        <w:rPr>
          <w:lang w:val="en-AU"/>
        </w:rPr>
      </w:pPr>
      <w:r w:rsidRPr="009150DC">
        <w:rPr>
          <w:lang w:val="en-AU"/>
        </w:rPr>
        <w:t xml:space="preserve">Models for whole-of-government investment performance monitoring and evaluation are </w:t>
      </w:r>
      <w:r w:rsidR="00A32805">
        <w:rPr>
          <w:lang w:val="en-AU"/>
        </w:rPr>
        <w:t xml:space="preserve">valuable reference points when </w:t>
      </w:r>
      <w:r w:rsidRPr="009150DC">
        <w:rPr>
          <w:lang w:val="en-AU"/>
        </w:rPr>
        <w:t>design</w:t>
      </w:r>
      <w:r w:rsidR="00A32805">
        <w:rPr>
          <w:lang w:val="en-AU"/>
        </w:rPr>
        <w:t>ing</w:t>
      </w:r>
      <w:r w:rsidRPr="009150DC">
        <w:rPr>
          <w:lang w:val="en-AU"/>
        </w:rPr>
        <w:t xml:space="preserve"> optimal evaluation frameworks in the ISR domain. </w:t>
      </w:r>
      <w:r w:rsidR="004632CD" w:rsidRPr="009150DC">
        <w:rPr>
          <w:lang w:val="en-AU"/>
        </w:rPr>
        <w:t>In the Republic of Korea, a national institute performs a centralised</w:t>
      </w:r>
      <w:r w:rsidR="00A32805">
        <w:rPr>
          <w:lang w:val="en-AU"/>
        </w:rPr>
        <w:t xml:space="preserve"> and</w:t>
      </w:r>
      <w:r w:rsidR="004632CD" w:rsidRPr="009150DC">
        <w:rPr>
          <w:lang w:val="en-AU"/>
        </w:rPr>
        <w:t xml:space="preserve"> legislated ISR performance evaluation function</w:t>
      </w:r>
      <w:r w:rsidR="00CB4D60">
        <w:rPr>
          <w:lang w:val="en-AU"/>
        </w:rPr>
        <w:t>.</w:t>
      </w:r>
      <w:r w:rsidR="004632CD" w:rsidRPr="009150DC">
        <w:rPr>
          <w:rStyle w:val="FootnoteReference"/>
          <w:lang w:val="en-AU"/>
        </w:rPr>
        <w:footnoteReference w:id="51"/>
      </w:r>
      <w:r w:rsidR="004632CD" w:rsidRPr="009150DC">
        <w:rPr>
          <w:lang w:val="en-AU"/>
        </w:rPr>
        <w:t xml:space="preserve"> While some elements of this approach may not directly translate to </w:t>
      </w:r>
      <w:r w:rsidR="00A32805">
        <w:rPr>
          <w:lang w:val="en-AU"/>
        </w:rPr>
        <w:t>the</w:t>
      </w:r>
      <w:r w:rsidR="004632CD" w:rsidRPr="009150DC">
        <w:rPr>
          <w:lang w:val="en-AU"/>
        </w:rPr>
        <w:t xml:space="preserve"> Australian context, the breadth of the institute’s function, from collecting internationally comparable national ISR data and evaluating national R&amp;D programs and science agencies, through to diffusing best</w:t>
      </w:r>
      <w:r w:rsidR="00A32805">
        <w:rPr>
          <w:lang w:val="en-AU"/>
        </w:rPr>
        <w:noBreakHyphen/>
      </w:r>
      <w:r w:rsidR="004632CD" w:rsidRPr="009150DC">
        <w:rPr>
          <w:lang w:val="en-AU"/>
        </w:rPr>
        <w:t xml:space="preserve">practice performance measurement, could inform Australia’s approach. </w:t>
      </w:r>
      <w:r w:rsidR="00F47B3A" w:rsidRPr="009150DC">
        <w:rPr>
          <w:lang w:val="en-AU"/>
        </w:rPr>
        <w:t>The Canadian Policy and Directive on Results legislation</w:t>
      </w:r>
      <w:r w:rsidR="00CB4D60">
        <w:rPr>
          <w:lang w:val="en-AU"/>
        </w:rPr>
        <w:t>,</w:t>
      </w:r>
      <w:r w:rsidR="00F47B3A" w:rsidRPr="009150DC">
        <w:rPr>
          <w:lang w:val="en-AU"/>
        </w:rPr>
        <w:t xml:space="preserve"> administered by the Treasury</w:t>
      </w:r>
      <w:r w:rsidR="00CB4D60">
        <w:rPr>
          <w:lang w:val="en-AU"/>
        </w:rPr>
        <w:t>,</w:t>
      </w:r>
      <w:r w:rsidR="00F47B3A" w:rsidRPr="009150DC">
        <w:rPr>
          <w:lang w:val="en-AU"/>
        </w:rPr>
        <w:t xml:space="preserve"> implements consistent evaluation processes across government</w:t>
      </w:r>
      <w:r w:rsidR="00CB4D60">
        <w:rPr>
          <w:lang w:val="en-AU"/>
        </w:rPr>
        <w:t>. The</w:t>
      </w:r>
      <w:r w:rsidR="00E32A6B">
        <w:rPr>
          <w:lang w:val="en-AU"/>
        </w:rPr>
        <w:t xml:space="preserve"> Treasury</w:t>
      </w:r>
      <w:r w:rsidR="00CB4D60">
        <w:rPr>
          <w:lang w:val="en-AU"/>
        </w:rPr>
        <w:t xml:space="preserve"> also</w:t>
      </w:r>
      <w:r w:rsidR="00F47B3A" w:rsidRPr="009150DC">
        <w:rPr>
          <w:lang w:val="en-AU"/>
        </w:rPr>
        <w:t xml:space="preserve"> publicly report</w:t>
      </w:r>
      <w:r w:rsidR="00F47B3A" w:rsidRPr="009150DC" w:rsidDel="00CB4D60">
        <w:rPr>
          <w:lang w:val="en-AU"/>
        </w:rPr>
        <w:t>s</w:t>
      </w:r>
      <w:r w:rsidR="00F47B3A" w:rsidRPr="009150DC">
        <w:rPr>
          <w:lang w:val="en-AU"/>
        </w:rPr>
        <w:t xml:space="preserve"> evaluation results, enabling system-wide investment optimisation and ensuring accountability</w:t>
      </w:r>
      <w:r w:rsidR="00114740" w:rsidRPr="009150DC">
        <w:rPr>
          <w:lang w:val="en-AU"/>
        </w:rPr>
        <w:t>.</w:t>
      </w:r>
      <w:r w:rsidR="00F47B3A" w:rsidRPr="009150DC">
        <w:rPr>
          <w:rStyle w:val="FootnoteReference"/>
          <w:lang w:val="en-AU"/>
        </w:rPr>
        <w:footnoteReference w:id="52"/>
      </w:r>
      <w:r w:rsidR="00F47B3A" w:rsidRPr="009150DC">
        <w:rPr>
          <w:lang w:val="en-AU"/>
        </w:rPr>
        <w:t xml:space="preserve"> </w:t>
      </w:r>
      <w:r w:rsidR="004632CD" w:rsidRPr="009150DC">
        <w:rPr>
          <w:lang w:val="en-AU"/>
        </w:rPr>
        <w:t>I</w:t>
      </w:r>
      <w:r w:rsidRPr="009150DC">
        <w:rPr>
          <w:lang w:val="en-AU"/>
        </w:rPr>
        <w:t>n</w:t>
      </w:r>
      <w:r w:rsidR="00F47B3A" w:rsidRPr="009150DC">
        <w:rPr>
          <w:lang w:val="en-AU"/>
        </w:rPr>
        <w:t xml:space="preserve"> Australia</w:t>
      </w:r>
      <w:r w:rsidR="001B5F56">
        <w:rPr>
          <w:lang w:val="en-AU"/>
        </w:rPr>
        <w:t>,</w:t>
      </w:r>
      <w:r w:rsidR="00F47B3A" w:rsidRPr="009150DC">
        <w:rPr>
          <w:lang w:val="en-AU"/>
        </w:rPr>
        <w:t xml:space="preserve"> t</w:t>
      </w:r>
      <w:r w:rsidRPr="009150DC">
        <w:rPr>
          <w:lang w:val="en-AU"/>
        </w:rPr>
        <w:t xml:space="preserve">he </w:t>
      </w:r>
      <w:r w:rsidR="008A041B" w:rsidRPr="009150DC">
        <w:rPr>
          <w:lang w:val="en-AU"/>
        </w:rPr>
        <w:t>New South Wales (</w:t>
      </w:r>
      <w:r w:rsidRPr="009150DC">
        <w:rPr>
          <w:lang w:val="en-AU"/>
        </w:rPr>
        <w:t>NSW</w:t>
      </w:r>
      <w:r w:rsidR="008A041B">
        <w:rPr>
          <w:lang w:val="en-AU"/>
        </w:rPr>
        <w:t>)</w:t>
      </w:r>
      <w:r w:rsidRPr="009150DC">
        <w:rPr>
          <w:lang w:val="en-AU"/>
        </w:rPr>
        <w:t xml:space="preserve"> Government </w:t>
      </w:r>
      <w:r w:rsidR="00F47B3A" w:rsidRPr="009150DC">
        <w:rPr>
          <w:lang w:val="en-AU"/>
        </w:rPr>
        <w:t>has</w:t>
      </w:r>
      <w:r w:rsidRPr="009150DC">
        <w:rPr>
          <w:lang w:val="en-AU"/>
        </w:rPr>
        <w:t xml:space="preserve"> moved to a legislated </w:t>
      </w:r>
      <w:r w:rsidRPr="009150DC">
        <w:rPr>
          <w:lang w:val="en-AU"/>
        </w:rPr>
        <w:lastRenderedPageBreak/>
        <w:t>approach to Outcome Budgeting.</w:t>
      </w:r>
      <w:r w:rsidRPr="009150DC">
        <w:rPr>
          <w:rStyle w:val="FootnoteReference"/>
          <w:lang w:val="en-AU"/>
        </w:rPr>
        <w:footnoteReference w:id="53"/>
      </w:r>
      <w:r w:rsidRPr="009150DC">
        <w:rPr>
          <w:lang w:val="en-AU"/>
        </w:rPr>
        <w:t xml:space="preserve"> This approach facilitates performance-focused investment decision-making and promotes transparency </w:t>
      </w:r>
      <w:r w:rsidR="00F27BDF">
        <w:rPr>
          <w:lang w:val="en-AU"/>
        </w:rPr>
        <w:t>in</w:t>
      </w:r>
      <w:r w:rsidR="00F27BDF" w:rsidRPr="009150DC">
        <w:rPr>
          <w:lang w:val="en-AU"/>
        </w:rPr>
        <w:t xml:space="preserve"> </w:t>
      </w:r>
      <w:r w:rsidRPr="009150DC">
        <w:rPr>
          <w:lang w:val="en-AU"/>
        </w:rPr>
        <w:t xml:space="preserve">reporting on the performance of NSW Government agencies. The NSW Government has progressively refined the framework, </w:t>
      </w:r>
      <w:r w:rsidR="00A32805">
        <w:rPr>
          <w:lang w:val="en-AU"/>
        </w:rPr>
        <w:t xml:space="preserve">and has </w:t>
      </w:r>
      <w:r w:rsidRPr="009150DC">
        <w:rPr>
          <w:lang w:val="en-AU"/>
        </w:rPr>
        <w:t>observ</w:t>
      </w:r>
      <w:r w:rsidR="00A32805">
        <w:rPr>
          <w:lang w:val="en-AU"/>
        </w:rPr>
        <w:t>ed</w:t>
      </w:r>
      <w:r w:rsidRPr="009150DC">
        <w:rPr>
          <w:lang w:val="en-AU"/>
        </w:rPr>
        <w:t xml:space="preserve"> challenges in achieving the shift</w:t>
      </w:r>
      <w:r w:rsidR="00F27BDF">
        <w:rPr>
          <w:lang w:val="en-AU"/>
        </w:rPr>
        <w:t>,</w:t>
      </w:r>
      <w:r w:rsidRPr="009150DC">
        <w:rPr>
          <w:lang w:val="en-AU"/>
        </w:rPr>
        <w:t xml:space="preserve"> which requires a long-term </w:t>
      </w:r>
      <w:r w:rsidR="00971C73">
        <w:rPr>
          <w:lang w:val="en-AU"/>
        </w:rPr>
        <w:t xml:space="preserve">cross-government </w:t>
      </w:r>
      <w:r w:rsidRPr="009150DC">
        <w:rPr>
          <w:lang w:val="en-AU"/>
        </w:rPr>
        <w:t>cultur</w:t>
      </w:r>
      <w:r w:rsidR="00971C73">
        <w:rPr>
          <w:lang w:val="en-AU"/>
        </w:rPr>
        <w:t>al</w:t>
      </w:r>
      <w:r w:rsidRPr="009150DC">
        <w:rPr>
          <w:lang w:val="en-AU"/>
        </w:rPr>
        <w:t xml:space="preserve"> change towards an outcomes</w:t>
      </w:r>
      <w:r w:rsidR="00971C73">
        <w:rPr>
          <w:lang w:val="en-AU"/>
        </w:rPr>
        <w:noBreakHyphen/>
      </w:r>
      <w:r w:rsidRPr="009150DC">
        <w:rPr>
          <w:lang w:val="en-AU"/>
        </w:rPr>
        <w:t>focus, from policy design through to evaluation.</w:t>
      </w:r>
      <w:r w:rsidRPr="009150DC">
        <w:rPr>
          <w:rStyle w:val="FootnoteReference"/>
          <w:lang w:val="en-AU"/>
        </w:rPr>
        <w:footnoteReference w:id="54"/>
      </w:r>
      <w:r w:rsidRPr="009150DC">
        <w:rPr>
          <w:lang w:val="en-AU"/>
        </w:rPr>
        <w:t xml:space="preserve"> </w:t>
      </w:r>
    </w:p>
    <w:p w14:paraId="7A8630F6" w14:textId="01F27675" w:rsidR="00234517" w:rsidRPr="009150DC" w:rsidRDefault="00404E21" w:rsidP="007A6592">
      <w:pPr>
        <w:pStyle w:val="Heading3"/>
        <w:spacing w:after="180"/>
        <w:rPr>
          <w:lang w:val="en-AU"/>
        </w:rPr>
      </w:pPr>
      <w:r w:rsidRPr="009150DC">
        <w:rPr>
          <w:lang w:val="en-AU"/>
        </w:rPr>
        <w:t xml:space="preserve">Challenges </w:t>
      </w:r>
      <w:r w:rsidR="00900BEC" w:rsidRPr="009150DC">
        <w:rPr>
          <w:lang w:val="en-AU"/>
        </w:rPr>
        <w:t xml:space="preserve">of measuring </w:t>
      </w:r>
      <w:r w:rsidR="00543D5C" w:rsidRPr="009150DC">
        <w:rPr>
          <w:lang w:val="en-AU"/>
        </w:rPr>
        <w:t>return on public investment</w:t>
      </w:r>
    </w:p>
    <w:p w14:paraId="037BE77D" w14:textId="0DF89DC1" w:rsidR="0015345B" w:rsidRPr="009150DC" w:rsidRDefault="00627C1F" w:rsidP="007A6592">
      <w:pPr>
        <w:spacing w:after="180"/>
        <w:rPr>
          <w:lang w:val="en-AU"/>
        </w:rPr>
      </w:pPr>
      <w:r>
        <w:rPr>
          <w:lang w:val="en-AU"/>
        </w:rPr>
        <w:t>O</w:t>
      </w:r>
      <w:r w:rsidRPr="009150DC">
        <w:rPr>
          <w:lang w:val="en-AU"/>
        </w:rPr>
        <w:t>ver the past decade</w:t>
      </w:r>
      <w:r>
        <w:rPr>
          <w:lang w:val="en-AU"/>
        </w:rPr>
        <w:t>,</w:t>
      </w:r>
      <w:r w:rsidRPr="009150DC">
        <w:rPr>
          <w:lang w:val="en-AU"/>
        </w:rPr>
        <w:t xml:space="preserve"> </w:t>
      </w:r>
      <w:r>
        <w:rPr>
          <w:lang w:val="en-AU"/>
        </w:rPr>
        <w:t>m</w:t>
      </w:r>
      <w:r w:rsidR="00032153" w:rsidRPr="009150DC">
        <w:rPr>
          <w:lang w:val="en-AU"/>
        </w:rPr>
        <w:t xml:space="preserve">any important innovations have </w:t>
      </w:r>
      <w:r>
        <w:rPr>
          <w:lang w:val="en-AU"/>
        </w:rPr>
        <w:t xml:space="preserve">had </w:t>
      </w:r>
      <w:r w:rsidR="00032153" w:rsidRPr="009150DC">
        <w:rPr>
          <w:lang w:val="en-AU"/>
        </w:rPr>
        <w:t>their roots in public research,</w:t>
      </w:r>
      <w:r>
        <w:rPr>
          <w:lang w:val="en-AU"/>
        </w:rPr>
        <w:t xml:space="preserve"> for example,</w:t>
      </w:r>
      <w:r w:rsidR="00032153" w:rsidRPr="009150DC">
        <w:rPr>
          <w:lang w:val="en-AU"/>
        </w:rPr>
        <w:t xml:space="preserve"> the internet and genomic technologies. </w:t>
      </w:r>
      <w:r w:rsidR="00032153">
        <w:rPr>
          <w:lang w:val="en-AU"/>
        </w:rPr>
        <w:t>However, t</w:t>
      </w:r>
      <w:r w:rsidR="0015345B" w:rsidRPr="009150DC">
        <w:rPr>
          <w:lang w:val="en-AU"/>
        </w:rPr>
        <w:t>he OECD</w:t>
      </w:r>
      <w:r w:rsidR="0015345B" w:rsidRPr="009150DC">
        <w:rPr>
          <w:rStyle w:val="FootnoteReference"/>
          <w:lang w:val="en-AU"/>
        </w:rPr>
        <w:footnoteReference w:id="55"/>
      </w:r>
      <w:r w:rsidR="0015345B" w:rsidRPr="009150DC">
        <w:rPr>
          <w:lang w:val="en-AU"/>
        </w:rPr>
        <w:t xml:space="preserve"> noted that the immediate economic returns from academic research </w:t>
      </w:r>
      <w:r>
        <w:rPr>
          <w:lang w:val="en-AU"/>
        </w:rPr>
        <w:t xml:space="preserve">investment </w:t>
      </w:r>
      <w:r w:rsidR="0015345B" w:rsidRPr="009150DC">
        <w:rPr>
          <w:lang w:val="en-AU"/>
        </w:rPr>
        <w:t xml:space="preserve">have </w:t>
      </w:r>
      <w:r w:rsidR="00032153">
        <w:rPr>
          <w:lang w:val="en-AU"/>
        </w:rPr>
        <w:t>been difficult</w:t>
      </w:r>
      <w:r w:rsidR="0015345B" w:rsidRPr="009150DC">
        <w:rPr>
          <w:lang w:val="en-AU"/>
        </w:rPr>
        <w:t xml:space="preserve"> to demonstrate. A detailed review of this field could occupy a report all on its own. As one European commentator observed: </w:t>
      </w:r>
    </w:p>
    <w:p w14:paraId="436C6008" w14:textId="03F40F44" w:rsidR="0015345B" w:rsidRPr="007A6592" w:rsidRDefault="00627C1F" w:rsidP="0015345B">
      <w:pPr>
        <w:ind w:left="567"/>
        <w:rPr>
          <w:i/>
          <w:sz w:val="20"/>
          <w:szCs w:val="20"/>
          <w:lang w:val="en-AU"/>
        </w:rPr>
      </w:pPr>
      <w:r>
        <w:rPr>
          <w:i/>
          <w:sz w:val="20"/>
          <w:szCs w:val="20"/>
          <w:lang w:val="en-AU"/>
        </w:rPr>
        <w:t>“</w:t>
      </w:r>
      <w:r w:rsidR="0015345B" w:rsidRPr="007A6592">
        <w:rPr>
          <w:i/>
          <w:sz w:val="20"/>
          <w:szCs w:val="20"/>
          <w:lang w:val="en-AU"/>
        </w:rPr>
        <w:t>The many economic measurements of returns on investment to publicly funded [research and innovation] R&amp;I vary wildly in range, but seem to cluster at around a 20</w:t>
      </w:r>
      <w:r w:rsidR="006A2EF3" w:rsidRPr="007A6592">
        <w:rPr>
          <w:i/>
          <w:sz w:val="20"/>
          <w:szCs w:val="20"/>
          <w:lang w:val="en-AU"/>
        </w:rPr>
        <w:t> per cent</w:t>
      </w:r>
      <w:r w:rsidR="0015345B" w:rsidRPr="007A6592">
        <w:rPr>
          <w:i/>
          <w:sz w:val="20"/>
          <w:szCs w:val="20"/>
          <w:lang w:val="en-AU"/>
        </w:rPr>
        <w:t xml:space="preserve"> annual return on investment. This can be compared to 6.8</w:t>
      </w:r>
      <w:r w:rsidR="006A2EF3" w:rsidRPr="007A6592">
        <w:rPr>
          <w:i/>
          <w:sz w:val="20"/>
          <w:szCs w:val="20"/>
          <w:lang w:val="en-AU"/>
        </w:rPr>
        <w:t> per cent</w:t>
      </w:r>
      <w:r w:rsidR="0015345B" w:rsidRPr="007A6592">
        <w:rPr>
          <w:i/>
          <w:sz w:val="20"/>
          <w:szCs w:val="20"/>
          <w:lang w:val="en-AU"/>
        </w:rPr>
        <w:t xml:space="preserve"> for the past 10 years of the U</w:t>
      </w:r>
      <w:r w:rsidR="00272BE9" w:rsidRPr="007A6592">
        <w:rPr>
          <w:i/>
          <w:sz w:val="20"/>
          <w:szCs w:val="20"/>
          <w:lang w:val="en-AU"/>
        </w:rPr>
        <w:t>nited States</w:t>
      </w:r>
      <w:r w:rsidR="0015345B" w:rsidRPr="007A6592">
        <w:rPr>
          <w:i/>
          <w:sz w:val="20"/>
          <w:szCs w:val="20"/>
          <w:lang w:val="en-AU"/>
        </w:rPr>
        <w:t xml:space="preserve"> stock market (S&amp;P 500) or the 3.1</w:t>
      </w:r>
      <w:r w:rsidR="006A2EF3" w:rsidRPr="007A6592">
        <w:rPr>
          <w:i/>
          <w:sz w:val="20"/>
          <w:szCs w:val="20"/>
          <w:lang w:val="en-AU"/>
        </w:rPr>
        <w:t> per cent</w:t>
      </w:r>
      <w:r w:rsidR="0015345B" w:rsidRPr="007A6592">
        <w:rPr>
          <w:i/>
          <w:sz w:val="20"/>
          <w:szCs w:val="20"/>
          <w:lang w:val="en-AU"/>
        </w:rPr>
        <w:t xml:space="preserve"> for 10</w:t>
      </w:r>
      <w:r w:rsidR="0015345B" w:rsidRPr="007A6592">
        <w:rPr>
          <w:i/>
          <w:sz w:val="20"/>
          <w:szCs w:val="20"/>
          <w:lang w:val="en-AU"/>
        </w:rPr>
        <w:noBreakHyphen/>
        <w:t>year Euro Area (19 countries) Government Bonds. In short, publicly funded R&amp;I is a good investment.</w:t>
      </w:r>
      <w:r>
        <w:rPr>
          <w:i/>
          <w:sz w:val="20"/>
          <w:szCs w:val="20"/>
          <w:lang w:val="en-AU"/>
        </w:rPr>
        <w:t>”</w:t>
      </w:r>
      <w:r w:rsidR="0015345B" w:rsidRPr="007A6592">
        <w:rPr>
          <w:rStyle w:val="FootnoteReference"/>
          <w:i/>
          <w:sz w:val="20"/>
          <w:szCs w:val="20"/>
          <w:lang w:val="en-AU"/>
        </w:rPr>
        <w:footnoteReference w:id="56"/>
      </w:r>
    </w:p>
    <w:p w14:paraId="2FACE089" w14:textId="09C60F66" w:rsidR="0015345B" w:rsidRPr="009150DC" w:rsidRDefault="0015345B" w:rsidP="007A6592">
      <w:pPr>
        <w:spacing w:after="180"/>
        <w:rPr>
          <w:lang w:val="en-AU"/>
        </w:rPr>
      </w:pPr>
      <w:r w:rsidRPr="009150DC">
        <w:rPr>
          <w:lang w:val="en-AU"/>
        </w:rPr>
        <w:t xml:space="preserve">Importantly, the quantum of Government investment is not the only determinant of success. </w:t>
      </w:r>
      <w:r w:rsidR="009C2AFC">
        <w:rPr>
          <w:lang w:val="en-AU"/>
        </w:rPr>
        <w:t xml:space="preserve">The </w:t>
      </w:r>
      <w:r w:rsidRPr="009150DC">
        <w:rPr>
          <w:lang w:val="en-AU"/>
        </w:rPr>
        <w:t>UK</w:t>
      </w:r>
      <w:r w:rsidR="009C2AFC">
        <w:rPr>
          <w:lang w:val="en-AU"/>
        </w:rPr>
        <w:t>’s</w:t>
      </w:r>
      <w:r w:rsidRPr="009150DC">
        <w:rPr>
          <w:lang w:val="en-AU"/>
        </w:rPr>
        <w:t xml:space="preserve"> innovation think-tank Nesta has highlighted that while the level of Government ISR investment is important, a well-functioning, efficient and effective innovation system is </w:t>
      </w:r>
      <w:r w:rsidR="00627C1F">
        <w:rPr>
          <w:lang w:val="en-AU"/>
        </w:rPr>
        <w:t xml:space="preserve">also </w:t>
      </w:r>
      <w:r w:rsidRPr="009150DC">
        <w:rPr>
          <w:lang w:val="en-AU"/>
        </w:rPr>
        <w:t>needed to maximise the return on investment. Nesta noted that:</w:t>
      </w:r>
    </w:p>
    <w:p w14:paraId="162EA224" w14:textId="58126861" w:rsidR="0015345B" w:rsidRPr="007A6592" w:rsidRDefault="00627C1F" w:rsidP="0015345B">
      <w:pPr>
        <w:ind w:left="567"/>
        <w:rPr>
          <w:i/>
          <w:sz w:val="20"/>
          <w:szCs w:val="20"/>
          <w:lang w:val="en-AU"/>
        </w:rPr>
      </w:pPr>
      <w:r>
        <w:rPr>
          <w:i/>
          <w:sz w:val="20"/>
          <w:szCs w:val="20"/>
          <w:lang w:val="en-AU"/>
        </w:rPr>
        <w:t>“</w:t>
      </w:r>
      <w:r w:rsidR="0015345B" w:rsidRPr="007A6592">
        <w:rPr>
          <w:i/>
          <w:sz w:val="20"/>
          <w:szCs w:val="20"/>
          <w:lang w:val="en-AU"/>
        </w:rPr>
        <w:t xml:space="preserve">Government must also remember that fuel alone is not enough. It needs to be pumped into a working engine that performs efficiently and effectively. R&amp;D investment will only fuel economic and </w:t>
      </w:r>
      <w:r w:rsidR="00CF18CB" w:rsidRPr="007A6592">
        <w:rPr>
          <w:i/>
          <w:sz w:val="20"/>
          <w:szCs w:val="20"/>
          <w:lang w:val="en-AU"/>
        </w:rPr>
        <w:t>societal benefits if the engine—the broader innovation system—</w:t>
      </w:r>
      <w:r w:rsidR="0015345B" w:rsidRPr="007A6592">
        <w:rPr>
          <w:i/>
          <w:sz w:val="20"/>
          <w:szCs w:val="20"/>
          <w:lang w:val="en-AU"/>
        </w:rPr>
        <w:t>is fully functioning. Only that way can we bring bold ideas to life.</w:t>
      </w:r>
      <w:r>
        <w:rPr>
          <w:i/>
          <w:sz w:val="20"/>
          <w:szCs w:val="20"/>
          <w:lang w:val="en-AU"/>
        </w:rPr>
        <w:t>”</w:t>
      </w:r>
      <w:r w:rsidR="0015345B" w:rsidRPr="007A6592">
        <w:rPr>
          <w:rStyle w:val="FootnoteReference"/>
          <w:sz w:val="20"/>
          <w:szCs w:val="20"/>
          <w:lang w:val="en-AU"/>
        </w:rPr>
        <w:footnoteReference w:id="57"/>
      </w:r>
    </w:p>
    <w:p w14:paraId="762999CC" w14:textId="79832675" w:rsidR="001B0F69" w:rsidRPr="009150DC" w:rsidRDefault="00066E5A" w:rsidP="00066E5A">
      <w:pPr>
        <w:pStyle w:val="Heading1"/>
      </w:pPr>
      <w:bookmarkStart w:id="200" w:name="_Ref34913523"/>
      <w:bookmarkStart w:id="201" w:name="_Ref34913556"/>
      <w:bookmarkStart w:id="202" w:name="_Toc34919463"/>
      <w:bookmarkStart w:id="203" w:name="_Toc34921749"/>
      <w:bookmarkStart w:id="204" w:name="_Toc34924067"/>
      <w:bookmarkStart w:id="205" w:name="_Toc34925391"/>
      <w:bookmarkStart w:id="206" w:name="_Toc34989538"/>
      <w:bookmarkStart w:id="207" w:name="_Toc35006822"/>
      <w:bookmarkStart w:id="208" w:name="_Toc35011757"/>
      <w:bookmarkStart w:id="209" w:name="_Toc35015784"/>
      <w:bookmarkStart w:id="210" w:name="_Toc35356394"/>
      <w:bookmarkStart w:id="211" w:name="_Toc42868676"/>
      <w:bookmarkStart w:id="212" w:name="_Toc42872696"/>
      <w:bookmarkStart w:id="213" w:name="_Toc43996702"/>
      <w:bookmarkStart w:id="214" w:name="_Toc43999078"/>
      <w:bookmarkStart w:id="215" w:name="_Toc44071639"/>
      <w:bookmarkStart w:id="216" w:name="_Toc44074722"/>
      <w:bookmarkStart w:id="217" w:name="_Toc44076148"/>
      <w:bookmarkStart w:id="218" w:name="_Toc44079131"/>
      <w:bookmarkStart w:id="219" w:name="_Toc44317959"/>
      <w:bookmarkStart w:id="220" w:name="_Toc44312292"/>
      <w:bookmarkStart w:id="221" w:name="_Toc44320755"/>
      <w:bookmarkStart w:id="222" w:name="_Toc44322391"/>
      <w:bookmarkStart w:id="223" w:name="_Toc44322580"/>
      <w:bookmarkStart w:id="224" w:name="_Toc44323383"/>
      <w:bookmarkStart w:id="225" w:name="_Toc44323470"/>
      <w:bookmarkStart w:id="226" w:name="_Toc44324980"/>
      <w:bookmarkStart w:id="227" w:name="_Toc44326050"/>
      <w:bookmarkStart w:id="228" w:name="_Toc44330374"/>
      <w:bookmarkStart w:id="229" w:name="_Toc44331824"/>
      <w:bookmarkStart w:id="230" w:name="_Toc44331937"/>
      <w:bookmarkStart w:id="231" w:name="_Toc44339034"/>
      <w:bookmarkStart w:id="232" w:name="_Toc44340734"/>
      <w:bookmarkStart w:id="233" w:name="_Toc44419463"/>
      <w:bookmarkStart w:id="234" w:name="_Toc44420420"/>
      <w:bookmarkStart w:id="235" w:name="_Toc56073617"/>
      <w:bookmarkStart w:id="236" w:name="_Toc57113514"/>
      <w:bookmarkStart w:id="237" w:name="_Toc57113697"/>
      <w:bookmarkStart w:id="238" w:name="_Toc57641034"/>
      <w:r>
        <w:lastRenderedPageBreak/>
        <w:t xml:space="preserve">Appendix D: </w:t>
      </w:r>
      <w:r w:rsidR="001B0F69" w:rsidRPr="009150DC">
        <w:t>Sustainable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53CD7BA" w14:textId="513CF4E5" w:rsidR="00704CC6" w:rsidRPr="009150DC" w:rsidRDefault="00704CC6" w:rsidP="00006259">
      <w:pPr>
        <w:rPr>
          <w:lang w:val="en-AU"/>
        </w:rPr>
      </w:pPr>
      <w:r w:rsidRPr="009150DC">
        <w:rPr>
          <w:lang w:val="en-AU"/>
        </w:rPr>
        <w:t xml:space="preserve">ISR investments should be ongoing and predictable, unless rigorous evaluation proves they are </w:t>
      </w:r>
      <w:r w:rsidR="000E228A">
        <w:rPr>
          <w:lang w:val="en-AU"/>
        </w:rPr>
        <w:t>in</w:t>
      </w:r>
      <w:r w:rsidRPr="009150DC">
        <w:rPr>
          <w:lang w:val="en-AU"/>
        </w:rPr>
        <w:t>effective, or when short</w:t>
      </w:r>
      <w:r w:rsidR="000E228A">
        <w:rPr>
          <w:lang w:val="en-AU"/>
        </w:rPr>
        <w:noBreakHyphen/>
      </w:r>
      <w:r w:rsidRPr="009150DC">
        <w:rPr>
          <w:lang w:val="en-AU"/>
        </w:rPr>
        <w:t>term programs are demonstrably required (e.g. pilot programs). The system should be funded and stable enough to develop long-term ISR strengths and outcomes.</w:t>
      </w:r>
    </w:p>
    <w:p w14:paraId="13C4EEC6" w14:textId="125D41B7" w:rsidR="00006259" w:rsidRPr="009150DC" w:rsidRDefault="00006259" w:rsidP="00006259">
      <w:pPr>
        <w:rPr>
          <w:lang w:val="en-AU"/>
        </w:rPr>
      </w:pPr>
      <w:r w:rsidRPr="009150DC">
        <w:rPr>
          <w:lang w:val="en-AU"/>
        </w:rPr>
        <w:t>Australia’s system features few long-term and truly transformative ISR programs</w:t>
      </w:r>
      <w:r w:rsidR="00DA3208" w:rsidRPr="009150DC">
        <w:rPr>
          <w:lang w:val="en-AU"/>
        </w:rPr>
        <w:t>.</w:t>
      </w:r>
      <w:r w:rsidRPr="009150DC">
        <w:rPr>
          <w:lang w:val="en-AU"/>
        </w:rPr>
        <w:t xml:space="preserve"> The high turnover of Government investment measures has led to uncertainty in the business and research community.</w:t>
      </w:r>
      <w:r w:rsidRPr="009150DC">
        <w:rPr>
          <w:rStyle w:val="FootnoteReference"/>
          <w:lang w:val="en-AU"/>
        </w:rPr>
        <w:footnoteReference w:id="58"/>
      </w:r>
      <w:r w:rsidRPr="009150DC">
        <w:rPr>
          <w:lang w:val="en-AU"/>
        </w:rPr>
        <w:t xml:space="preserve"> Lengthy funding approval processes, disproportionate funding </w:t>
      </w:r>
      <w:r w:rsidR="00971C73">
        <w:rPr>
          <w:lang w:val="en-AU"/>
        </w:rPr>
        <w:t xml:space="preserve">of </w:t>
      </w:r>
      <w:r w:rsidRPr="009150DC">
        <w:rPr>
          <w:lang w:val="en-AU"/>
        </w:rPr>
        <w:t>short</w:t>
      </w:r>
      <w:r w:rsidR="000E228A">
        <w:rPr>
          <w:lang w:val="en-AU"/>
        </w:rPr>
        <w:noBreakHyphen/>
      </w:r>
      <w:r w:rsidRPr="009150DC">
        <w:rPr>
          <w:lang w:val="en-AU"/>
        </w:rPr>
        <w:t>term measures and funding uncertainty can lead to suboptimal outcomes such as missed opportunities, wasted resources, reduced ability to attract and retain talent, and obstructed career pathways for early and mid</w:t>
      </w:r>
      <w:r w:rsidRPr="009150DC">
        <w:rPr>
          <w:lang w:val="en-AU"/>
        </w:rPr>
        <w:noBreakHyphen/>
        <w:t>career scientists.</w:t>
      </w:r>
      <w:r w:rsidRPr="009150DC">
        <w:rPr>
          <w:rStyle w:val="FootnoteReference"/>
          <w:lang w:val="en-AU"/>
        </w:rPr>
        <w:footnoteReference w:id="59"/>
      </w:r>
    </w:p>
    <w:p w14:paraId="7679400B" w14:textId="3F323B0C" w:rsidR="00E62F62" w:rsidRPr="009150DC" w:rsidRDefault="00032153" w:rsidP="003F480A">
      <w:pPr>
        <w:rPr>
          <w:lang w:val="en-AU"/>
        </w:rPr>
      </w:pPr>
      <w:r>
        <w:rPr>
          <w:lang w:val="en-AU"/>
        </w:rPr>
        <w:t>Internationally, s</w:t>
      </w:r>
      <w:r w:rsidR="001B0F69" w:rsidRPr="009150DC">
        <w:rPr>
          <w:lang w:val="en-AU"/>
        </w:rPr>
        <w:t>ustainable ISR investment is driven through stable and sustainable ISR strategies.</w:t>
      </w:r>
      <w:r w:rsidR="006D46F7" w:rsidRPr="009150DC">
        <w:rPr>
          <w:rStyle w:val="FootnoteReference"/>
          <w:lang w:val="en-AU"/>
        </w:rPr>
        <w:footnoteReference w:id="60"/>
      </w:r>
      <w:r w:rsidR="001B0F69" w:rsidRPr="009150DC">
        <w:rPr>
          <w:lang w:val="en-AU"/>
        </w:rPr>
        <w:t xml:space="preserve"> </w:t>
      </w:r>
      <w:r w:rsidR="00971C73">
        <w:rPr>
          <w:lang w:val="en-AU"/>
        </w:rPr>
        <w:t>C</w:t>
      </w:r>
      <w:r w:rsidR="001B0F69" w:rsidRPr="009150DC">
        <w:rPr>
          <w:lang w:val="en-AU"/>
        </w:rPr>
        <w:t>ountries, such as Germany, Japan, Korea, Norway, Singapore and Sweden have long-term, rolling ISR strategies in place</w:t>
      </w:r>
      <w:r w:rsidR="003F480A" w:rsidRPr="009150DC">
        <w:rPr>
          <w:lang w:val="en-AU"/>
        </w:rPr>
        <w:t>,</w:t>
      </w:r>
      <w:r w:rsidR="001B0F69" w:rsidRPr="009150DC">
        <w:rPr>
          <w:lang w:val="en-AU"/>
        </w:rPr>
        <w:t xml:space="preserve"> </w:t>
      </w:r>
      <w:r w:rsidR="003F480A" w:rsidRPr="009150DC">
        <w:rPr>
          <w:lang w:val="en-AU"/>
        </w:rPr>
        <w:t xml:space="preserve">ranging </w:t>
      </w:r>
      <w:r w:rsidR="0011053B">
        <w:rPr>
          <w:lang w:val="en-AU"/>
        </w:rPr>
        <w:t>up to</w:t>
      </w:r>
      <w:r w:rsidR="003F480A" w:rsidRPr="009150DC">
        <w:rPr>
          <w:lang w:val="en-AU"/>
        </w:rPr>
        <w:t xml:space="preserve"> 20 years in duration, which</w:t>
      </w:r>
      <w:r w:rsidR="001B0F69" w:rsidRPr="009150DC">
        <w:rPr>
          <w:lang w:val="en-AU"/>
        </w:rPr>
        <w:t xml:space="preserve"> are </w:t>
      </w:r>
      <w:r w:rsidR="003F480A" w:rsidRPr="009150DC">
        <w:rPr>
          <w:lang w:val="en-AU"/>
        </w:rPr>
        <w:t>periodically</w:t>
      </w:r>
      <w:r w:rsidR="001B0F69" w:rsidRPr="009150DC">
        <w:rPr>
          <w:lang w:val="en-AU"/>
        </w:rPr>
        <w:t xml:space="preserve"> revised.</w:t>
      </w:r>
      <w:r w:rsidR="001B0F69" w:rsidRPr="009150DC">
        <w:rPr>
          <w:rStyle w:val="FootnoteReference"/>
          <w:lang w:val="en-AU"/>
        </w:rPr>
        <w:footnoteReference w:id="61"/>
      </w:r>
      <w:r w:rsidR="001B0F69" w:rsidRPr="009150DC">
        <w:rPr>
          <w:lang w:val="en-AU"/>
        </w:rPr>
        <w:t xml:space="preserve"> </w:t>
      </w:r>
      <w:r w:rsidR="003F480A" w:rsidRPr="009150DC">
        <w:rPr>
          <w:lang w:val="en-AU"/>
        </w:rPr>
        <w:t>Korea for example, revises its Basic Plan annually while Norway evaluates and revises its Long</w:t>
      </w:r>
      <w:r w:rsidR="003F480A" w:rsidRPr="009150DC">
        <w:rPr>
          <w:lang w:val="en-AU"/>
        </w:rPr>
        <w:noBreakHyphen/>
        <w:t xml:space="preserve">Term Plan every four years. </w:t>
      </w:r>
      <w:r w:rsidR="001B0F69" w:rsidRPr="009150DC">
        <w:rPr>
          <w:lang w:val="en-AU"/>
        </w:rPr>
        <w:t>These strategies often put forward quantitative targets primarily linked to total expenditure on R&amp;D, such as a target of 3.5</w:t>
      </w:r>
      <w:r w:rsidR="006A2EF3" w:rsidRPr="009150DC">
        <w:rPr>
          <w:lang w:val="en-AU"/>
        </w:rPr>
        <w:t> per cent</w:t>
      </w:r>
      <w:r w:rsidR="001B0F69" w:rsidRPr="009150DC">
        <w:rPr>
          <w:lang w:val="en-AU"/>
        </w:rPr>
        <w:t xml:space="preserve"> of GDP for Germany’s High-Tech Strategy.</w:t>
      </w:r>
    </w:p>
    <w:p w14:paraId="16C1CDF2" w14:textId="3458CB69" w:rsidR="00EE1317" w:rsidRPr="009150DC" w:rsidRDefault="001B0F69" w:rsidP="003F480A">
      <w:pPr>
        <w:pStyle w:val="ListParagraph"/>
        <w:ind w:left="0"/>
        <w:contextualSpacing w:val="0"/>
        <w:rPr>
          <w:lang w:val="en-AU"/>
        </w:rPr>
      </w:pPr>
      <w:r w:rsidRPr="009150DC">
        <w:rPr>
          <w:lang w:val="en-AU"/>
        </w:rPr>
        <w:t>These rolling ISR strategies provide continuity to business and research sectors</w:t>
      </w:r>
      <w:r w:rsidR="000E228A">
        <w:rPr>
          <w:lang w:val="en-AU"/>
        </w:rPr>
        <w:t>,</w:t>
      </w:r>
      <w:r w:rsidRPr="009150DC">
        <w:rPr>
          <w:lang w:val="en-AU"/>
        </w:rPr>
        <w:t xml:space="preserve"> and support coordination and efficiency within government through a consistent structure. </w:t>
      </w:r>
      <w:r w:rsidR="00C930A4" w:rsidRPr="009150DC">
        <w:rPr>
          <w:lang w:val="en-AU"/>
        </w:rPr>
        <w:t>They a</w:t>
      </w:r>
      <w:r w:rsidRPr="009150DC">
        <w:rPr>
          <w:lang w:val="en-AU"/>
        </w:rPr>
        <w:t>lso limit the turnover of investment measures unless rigorous evaluation proves they are ineffective. Within this construct</w:t>
      </w:r>
      <w:r w:rsidR="00032153">
        <w:rPr>
          <w:lang w:val="en-AU"/>
        </w:rPr>
        <w:t>,</w:t>
      </w:r>
      <w:r w:rsidRPr="009150DC">
        <w:rPr>
          <w:lang w:val="en-AU"/>
        </w:rPr>
        <w:t xml:space="preserve"> shorter-term investments are often pilot initiatives </w:t>
      </w:r>
      <w:r w:rsidR="00971C73">
        <w:rPr>
          <w:lang w:val="en-AU"/>
        </w:rPr>
        <w:t xml:space="preserve">that </w:t>
      </w:r>
      <w:r w:rsidRPr="009150DC">
        <w:rPr>
          <w:lang w:val="en-AU"/>
        </w:rPr>
        <w:t>may be transitioned into longer-term programs</w:t>
      </w:r>
      <w:r w:rsidR="000E228A">
        <w:rPr>
          <w:lang w:val="en-AU"/>
        </w:rPr>
        <w:t xml:space="preserve"> </w:t>
      </w:r>
      <w:r w:rsidR="000E228A" w:rsidRPr="009150DC">
        <w:rPr>
          <w:lang w:val="en-AU"/>
        </w:rPr>
        <w:t>if effective</w:t>
      </w:r>
      <w:r w:rsidRPr="009150DC">
        <w:rPr>
          <w:lang w:val="en-AU"/>
        </w:rPr>
        <w:t>, or, if evaluation</w:t>
      </w:r>
      <w:r w:rsidR="000E228A">
        <w:rPr>
          <w:lang w:val="en-AU"/>
        </w:rPr>
        <w:t xml:space="preserve"> proves</w:t>
      </w:r>
      <w:r w:rsidRPr="009150DC">
        <w:rPr>
          <w:lang w:val="en-AU"/>
        </w:rPr>
        <w:t xml:space="preserve"> they </w:t>
      </w:r>
      <w:r w:rsidR="000E228A">
        <w:rPr>
          <w:lang w:val="en-AU"/>
        </w:rPr>
        <w:t xml:space="preserve">are </w:t>
      </w:r>
      <w:r w:rsidRPr="009150DC">
        <w:rPr>
          <w:lang w:val="en-AU"/>
        </w:rPr>
        <w:t>ineffective,</w:t>
      </w:r>
      <w:r w:rsidR="004F4ABA">
        <w:rPr>
          <w:lang w:val="en-AU"/>
        </w:rPr>
        <w:t xml:space="preserve"> they are</w:t>
      </w:r>
      <w:r w:rsidRPr="009150DC">
        <w:rPr>
          <w:lang w:val="en-AU"/>
        </w:rPr>
        <w:t xml:space="preserve"> ceased.</w:t>
      </w:r>
      <w:r w:rsidRPr="009150DC">
        <w:rPr>
          <w:rStyle w:val="FootnoteReference"/>
          <w:lang w:val="en-AU"/>
        </w:rPr>
        <w:footnoteReference w:id="62"/>
      </w:r>
      <w:r w:rsidR="00C930A4" w:rsidRPr="009150DC">
        <w:rPr>
          <w:lang w:val="en-AU"/>
        </w:rPr>
        <w:t xml:space="preserve"> </w:t>
      </w:r>
    </w:p>
    <w:p w14:paraId="60EF41AD" w14:textId="5DFDF28E" w:rsidR="00742B6A" w:rsidRPr="009150DC" w:rsidRDefault="007064B6" w:rsidP="00805824">
      <w:pPr>
        <w:pStyle w:val="ListParagraph"/>
        <w:spacing w:after="0"/>
        <w:ind w:left="0"/>
        <w:contextualSpacing w:val="0"/>
        <w:rPr>
          <w:lang w:val="en-AU"/>
        </w:rPr>
      </w:pPr>
      <w:r w:rsidRPr="009150DC">
        <w:rPr>
          <w:lang w:val="en-AU"/>
        </w:rPr>
        <w:t>Internationally</w:t>
      </w:r>
      <w:r w:rsidR="00263BD0" w:rsidRPr="009150DC">
        <w:rPr>
          <w:lang w:val="en-AU"/>
        </w:rPr>
        <w:t>,</w:t>
      </w:r>
      <w:r w:rsidRPr="009150DC">
        <w:rPr>
          <w:lang w:val="en-AU"/>
        </w:rPr>
        <w:t xml:space="preserve"> long</w:t>
      </w:r>
      <w:r w:rsidR="000E228A">
        <w:rPr>
          <w:lang w:val="en-AU"/>
        </w:rPr>
        <w:noBreakHyphen/>
      </w:r>
      <w:r w:rsidRPr="009150DC">
        <w:rPr>
          <w:lang w:val="en-AU"/>
        </w:rPr>
        <w:t>term funding is supporting breakthrough innovation which addresses societal challenges, allowing countries to perform ambitious and complex research agendas.</w:t>
      </w:r>
      <w:r w:rsidRPr="009150DC">
        <w:rPr>
          <w:vertAlign w:val="superscript"/>
          <w:lang w:val="en-AU"/>
        </w:rPr>
        <w:footnoteReference w:id="63"/>
      </w:r>
      <w:r w:rsidRPr="009150DC">
        <w:rPr>
          <w:rStyle w:val="CommentReference"/>
          <w:lang w:val="en-AU"/>
        </w:rPr>
        <w:t xml:space="preserve"> </w:t>
      </w:r>
      <w:r w:rsidRPr="009150DC">
        <w:rPr>
          <w:lang w:val="en-AU"/>
        </w:rPr>
        <w:t>The OECD</w:t>
      </w:r>
      <w:r w:rsidR="00542E12" w:rsidRPr="009150DC">
        <w:rPr>
          <w:rStyle w:val="FootnoteReference"/>
          <w:lang w:val="en-AU"/>
        </w:rPr>
        <w:footnoteReference w:id="64"/>
      </w:r>
      <w:r w:rsidRPr="009150DC">
        <w:rPr>
          <w:lang w:val="en-AU"/>
        </w:rPr>
        <w:t xml:space="preserve"> noted that universities and public research institutions often undertake longer</w:t>
      </w:r>
      <w:r w:rsidRPr="009150DC">
        <w:rPr>
          <w:lang w:val="en-AU"/>
        </w:rPr>
        <w:noBreakHyphen/>
        <w:t>term, higher</w:t>
      </w:r>
      <w:r w:rsidRPr="009150DC">
        <w:rPr>
          <w:lang w:val="en-AU"/>
        </w:rPr>
        <w:noBreakHyphen/>
        <w:t xml:space="preserve">risk research that complements </w:t>
      </w:r>
      <w:r w:rsidR="000E228A" w:rsidRPr="009150DC">
        <w:rPr>
          <w:lang w:val="en-AU"/>
        </w:rPr>
        <w:t xml:space="preserve">private sector </w:t>
      </w:r>
      <w:r w:rsidRPr="009150DC">
        <w:rPr>
          <w:lang w:val="en-AU"/>
        </w:rPr>
        <w:t>research activities.</w:t>
      </w:r>
    </w:p>
    <w:p w14:paraId="0A98C932" w14:textId="07D53B8A" w:rsidR="00742B6A" w:rsidRPr="009150DC" w:rsidRDefault="00066E5A" w:rsidP="00066E5A">
      <w:pPr>
        <w:pStyle w:val="Heading1"/>
      </w:pPr>
      <w:bookmarkStart w:id="239" w:name="_Toc43996705"/>
      <w:bookmarkStart w:id="240" w:name="_Toc43999081"/>
      <w:bookmarkStart w:id="241" w:name="_Toc44071640"/>
      <w:bookmarkStart w:id="242" w:name="_Toc44074723"/>
      <w:bookmarkStart w:id="243" w:name="_Toc44076149"/>
      <w:bookmarkStart w:id="244" w:name="_Toc44079132"/>
      <w:bookmarkStart w:id="245" w:name="_Toc44317960"/>
      <w:bookmarkStart w:id="246" w:name="_Toc44312293"/>
      <w:bookmarkStart w:id="247" w:name="_Toc44320756"/>
      <w:bookmarkStart w:id="248" w:name="_Toc44322392"/>
      <w:bookmarkStart w:id="249" w:name="_Toc44322581"/>
      <w:bookmarkStart w:id="250" w:name="_Toc44323384"/>
      <w:bookmarkStart w:id="251" w:name="_Toc44323471"/>
      <w:bookmarkStart w:id="252" w:name="_Toc44324981"/>
      <w:bookmarkStart w:id="253" w:name="_Toc44326051"/>
      <w:bookmarkStart w:id="254" w:name="_Toc44330375"/>
      <w:bookmarkStart w:id="255" w:name="_Toc44331825"/>
      <w:bookmarkStart w:id="256" w:name="_Toc44331938"/>
      <w:bookmarkStart w:id="257" w:name="_Toc44339035"/>
      <w:bookmarkStart w:id="258" w:name="_Toc44340735"/>
      <w:bookmarkStart w:id="259" w:name="_Toc44419464"/>
      <w:bookmarkStart w:id="260" w:name="_Toc44420421"/>
      <w:bookmarkStart w:id="261" w:name="_Toc56073618"/>
      <w:bookmarkStart w:id="262" w:name="_Toc57113515"/>
      <w:bookmarkStart w:id="263" w:name="_Toc57113698"/>
      <w:bookmarkStart w:id="264" w:name="_Toc57641035"/>
      <w:r>
        <w:lastRenderedPageBreak/>
        <w:t xml:space="preserve">Appendix E: </w:t>
      </w:r>
      <w:r w:rsidR="00742B6A" w:rsidRPr="009150DC">
        <w:t>Coordinated</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bookmarkEnd w:id="190"/>
    <w:bookmarkEnd w:id="191"/>
    <w:bookmarkEnd w:id="192"/>
    <w:bookmarkEnd w:id="193"/>
    <w:bookmarkEnd w:id="194"/>
    <w:bookmarkEnd w:id="195"/>
    <w:bookmarkEnd w:id="196"/>
    <w:bookmarkEnd w:id="197"/>
    <w:bookmarkEnd w:id="198"/>
    <w:bookmarkEnd w:id="199"/>
    <w:p w14:paraId="1845228A" w14:textId="7C99A2CC" w:rsidR="00A42EBA" w:rsidRPr="009150DC" w:rsidRDefault="00A42EBA" w:rsidP="00A42EBA">
      <w:pPr>
        <w:rPr>
          <w:lang w:val="en-AU"/>
        </w:rPr>
      </w:pPr>
      <w:r w:rsidRPr="009150DC">
        <w:rPr>
          <w:lang w:val="en-AU"/>
        </w:rPr>
        <w:t>Government’s ISR investments</w:t>
      </w:r>
      <w:r w:rsidR="000E228A">
        <w:rPr>
          <w:lang w:val="en-AU"/>
        </w:rPr>
        <w:t xml:space="preserve">, </w:t>
      </w:r>
      <w:r w:rsidR="000E228A" w:rsidRPr="009150DC">
        <w:rPr>
          <w:lang w:val="en-AU"/>
        </w:rPr>
        <w:t>including Defence and National Security</w:t>
      </w:r>
      <w:r w:rsidR="000E228A">
        <w:rPr>
          <w:lang w:val="en-AU"/>
        </w:rPr>
        <w:t xml:space="preserve">, </w:t>
      </w:r>
      <w:r w:rsidRPr="009150DC">
        <w:rPr>
          <w:lang w:val="en-AU"/>
        </w:rPr>
        <w:t xml:space="preserve">should be coordinated at </w:t>
      </w:r>
      <w:r w:rsidR="000E228A">
        <w:rPr>
          <w:lang w:val="en-AU"/>
        </w:rPr>
        <w:t>the</w:t>
      </w:r>
      <w:r w:rsidR="00574FA6" w:rsidRPr="009150DC">
        <w:rPr>
          <w:lang w:val="en-AU"/>
        </w:rPr>
        <w:t xml:space="preserve"> whole-of-government</w:t>
      </w:r>
      <w:r w:rsidR="000E228A">
        <w:rPr>
          <w:lang w:val="en-AU"/>
        </w:rPr>
        <w:t xml:space="preserve"> </w:t>
      </w:r>
      <w:r w:rsidRPr="009150DC">
        <w:rPr>
          <w:lang w:val="en-AU"/>
        </w:rPr>
        <w:t>level.</w:t>
      </w:r>
      <w:r w:rsidR="00574FA6" w:rsidRPr="009150DC">
        <w:rPr>
          <w:lang w:val="en-AU"/>
        </w:rPr>
        <w:t xml:space="preserve"> </w:t>
      </w:r>
      <w:r w:rsidRPr="009150DC">
        <w:rPr>
          <w:lang w:val="en-AU"/>
        </w:rPr>
        <w:t xml:space="preserve">This coordination should not </w:t>
      </w:r>
      <w:r w:rsidR="000E228A">
        <w:rPr>
          <w:lang w:val="en-AU"/>
        </w:rPr>
        <w:t>impose</w:t>
      </w:r>
      <w:r w:rsidRPr="009150DC">
        <w:rPr>
          <w:lang w:val="en-AU"/>
        </w:rPr>
        <w:t xml:space="preserve"> undue administrative burdens</w:t>
      </w:r>
      <w:r w:rsidR="000E228A">
        <w:rPr>
          <w:lang w:val="en-AU"/>
        </w:rPr>
        <w:t>,</w:t>
      </w:r>
      <w:r w:rsidR="00231D4B" w:rsidRPr="009150DC">
        <w:rPr>
          <w:lang w:val="en-AU"/>
        </w:rPr>
        <w:t xml:space="preserve"> but</w:t>
      </w:r>
      <w:r w:rsidRPr="009150DC">
        <w:rPr>
          <w:lang w:val="en-AU"/>
        </w:rPr>
        <w:t xml:space="preserve"> should improve system efficiency and effectiveness</w:t>
      </w:r>
      <w:r w:rsidR="00231D4B" w:rsidRPr="009150DC">
        <w:rPr>
          <w:lang w:val="en-AU"/>
        </w:rPr>
        <w:t>. It should also improve</w:t>
      </w:r>
      <w:r w:rsidRPr="009150DC">
        <w:rPr>
          <w:lang w:val="en-AU"/>
        </w:rPr>
        <w:t xml:space="preserve"> program effectiveness </w:t>
      </w:r>
      <w:r w:rsidR="00231D4B" w:rsidRPr="009150DC">
        <w:rPr>
          <w:lang w:val="en-AU"/>
        </w:rPr>
        <w:t>through</w:t>
      </w:r>
      <w:r w:rsidRPr="009150DC">
        <w:rPr>
          <w:lang w:val="en-AU"/>
        </w:rPr>
        <w:t xml:space="preserve"> greater alignment of </w:t>
      </w:r>
      <w:r w:rsidR="00231D4B" w:rsidRPr="009150DC">
        <w:rPr>
          <w:lang w:val="en-AU"/>
        </w:rPr>
        <w:t xml:space="preserve">ISR </w:t>
      </w:r>
      <w:r w:rsidRPr="009150DC">
        <w:rPr>
          <w:lang w:val="en-AU"/>
        </w:rPr>
        <w:t xml:space="preserve">investments with </w:t>
      </w:r>
      <w:r w:rsidR="00231D4B" w:rsidRPr="009150DC">
        <w:rPr>
          <w:lang w:val="en-AU"/>
        </w:rPr>
        <w:t>Government</w:t>
      </w:r>
      <w:r w:rsidRPr="009150DC">
        <w:rPr>
          <w:lang w:val="en-AU"/>
        </w:rPr>
        <w:t xml:space="preserve"> priorities, ensuring Government’s ISR investments maintain their strategic direction.</w:t>
      </w:r>
    </w:p>
    <w:p w14:paraId="1D449695" w14:textId="218E6906" w:rsidR="00F324AF" w:rsidRPr="009150DC" w:rsidRDefault="00016259" w:rsidP="00150562">
      <w:pPr>
        <w:rPr>
          <w:lang w:val="en-AU"/>
        </w:rPr>
      </w:pPr>
      <w:r w:rsidRPr="009150DC">
        <w:rPr>
          <w:lang w:val="en-AU"/>
        </w:rPr>
        <w:t>Both</w:t>
      </w:r>
      <w:r w:rsidR="0044544B" w:rsidRPr="009150DC">
        <w:rPr>
          <w:lang w:val="en-AU"/>
        </w:rPr>
        <w:t xml:space="preserve"> </w:t>
      </w:r>
      <w:r w:rsidR="0014671C">
        <w:rPr>
          <w:lang w:val="en-AU"/>
        </w:rPr>
        <w:t xml:space="preserve">the </w:t>
      </w:r>
      <w:r w:rsidRPr="009150DC">
        <w:rPr>
          <w:lang w:val="en-AU"/>
        </w:rPr>
        <w:t xml:space="preserve">Australian and international literature </w:t>
      </w:r>
      <w:r w:rsidR="00387652" w:rsidRPr="009150DC">
        <w:rPr>
          <w:lang w:val="en-AU"/>
        </w:rPr>
        <w:t>observe</w:t>
      </w:r>
      <w:r w:rsidRPr="009150DC">
        <w:rPr>
          <w:lang w:val="en-AU"/>
        </w:rPr>
        <w:t xml:space="preserve"> Australia’s enduring </w:t>
      </w:r>
      <w:r w:rsidR="00010793" w:rsidRPr="009150DC">
        <w:rPr>
          <w:lang w:val="en-AU"/>
        </w:rPr>
        <w:t xml:space="preserve">ISR </w:t>
      </w:r>
      <w:r w:rsidRPr="009150DC">
        <w:rPr>
          <w:lang w:val="en-AU"/>
        </w:rPr>
        <w:t xml:space="preserve">coordination </w:t>
      </w:r>
      <w:r w:rsidR="0044544B" w:rsidRPr="009150DC">
        <w:rPr>
          <w:lang w:val="en-AU"/>
        </w:rPr>
        <w:t>challenges</w:t>
      </w:r>
      <w:r w:rsidR="0014671C">
        <w:rPr>
          <w:lang w:val="en-AU"/>
        </w:rPr>
        <w:t>,</w:t>
      </w:r>
      <w:r w:rsidR="004D494C" w:rsidRPr="009150DC">
        <w:rPr>
          <w:lang w:val="en-AU"/>
        </w:rPr>
        <w:t xml:space="preserve"> </w:t>
      </w:r>
      <w:r w:rsidRPr="009150DC">
        <w:rPr>
          <w:lang w:val="en-AU"/>
        </w:rPr>
        <w:t>and the requirement for greater coordin</w:t>
      </w:r>
      <w:r w:rsidR="00454409" w:rsidRPr="009150DC">
        <w:rPr>
          <w:lang w:val="en-AU"/>
        </w:rPr>
        <w:t>ation of investments across</w:t>
      </w:r>
      <w:r w:rsidR="00413F32" w:rsidRPr="009150DC">
        <w:rPr>
          <w:lang w:val="en-AU"/>
        </w:rPr>
        <w:t xml:space="preserve"> </w:t>
      </w:r>
      <w:r w:rsidR="00B80FE4" w:rsidRPr="009150DC">
        <w:rPr>
          <w:lang w:val="en-AU"/>
        </w:rPr>
        <w:t>g</w:t>
      </w:r>
      <w:r w:rsidRPr="009150DC">
        <w:rPr>
          <w:lang w:val="en-AU"/>
        </w:rPr>
        <w:t>overnment</w:t>
      </w:r>
      <w:r w:rsidR="0044544B" w:rsidRPr="009150DC">
        <w:rPr>
          <w:lang w:val="en-AU"/>
        </w:rPr>
        <w:t>, including across state and territory investments</w:t>
      </w:r>
      <w:r w:rsidRPr="009150DC">
        <w:rPr>
          <w:lang w:val="en-AU"/>
        </w:rPr>
        <w:t xml:space="preserve">. </w:t>
      </w:r>
    </w:p>
    <w:p w14:paraId="2B6374D2" w14:textId="26FACEF6" w:rsidR="00EF16B3" w:rsidRPr="009150DC" w:rsidRDefault="00DB75C3" w:rsidP="00AE710B">
      <w:pPr>
        <w:rPr>
          <w:lang w:val="en-AU"/>
        </w:rPr>
      </w:pPr>
      <w:r w:rsidRPr="009150DC">
        <w:rPr>
          <w:lang w:val="en-AU"/>
        </w:rPr>
        <w:t>Australia’s ISR programs operate in a complex system that includes multiple government agencies and numerous councils, committees and boards</w:t>
      </w:r>
      <w:r w:rsidR="00025DF9">
        <w:rPr>
          <w:lang w:val="en-AU"/>
        </w:rPr>
        <w:t>.</w:t>
      </w:r>
      <w:r w:rsidRPr="009150DC">
        <w:rPr>
          <w:rStyle w:val="FootnoteReference"/>
          <w:lang w:val="en-AU"/>
        </w:rPr>
        <w:footnoteReference w:id="65"/>
      </w:r>
      <w:r w:rsidRPr="009150DC">
        <w:rPr>
          <w:vertAlign w:val="superscript"/>
          <w:lang w:val="en-AU"/>
        </w:rPr>
        <w:t>,</w:t>
      </w:r>
      <w:r w:rsidRPr="009150DC">
        <w:rPr>
          <w:rStyle w:val="FootnoteReference"/>
          <w:lang w:val="en-AU"/>
        </w:rPr>
        <w:footnoteReference w:id="66"/>
      </w:r>
      <w:r w:rsidR="0035442D" w:rsidRPr="009150DC">
        <w:rPr>
          <w:vertAlign w:val="superscript"/>
          <w:lang w:val="en-AU"/>
        </w:rPr>
        <w:t xml:space="preserve"> </w:t>
      </w:r>
      <w:r w:rsidR="00EF16B3" w:rsidRPr="009150DC">
        <w:rPr>
          <w:lang w:val="en-AU"/>
        </w:rPr>
        <w:t xml:space="preserve">In Australia, there is no central body or agency responsible for ensuring coordinated ISR policy development and implementation, or </w:t>
      </w:r>
      <w:r w:rsidR="00971C73">
        <w:rPr>
          <w:lang w:val="en-AU"/>
        </w:rPr>
        <w:t xml:space="preserve">tasked with </w:t>
      </w:r>
      <w:r w:rsidR="00EF16B3" w:rsidRPr="009150DC">
        <w:rPr>
          <w:lang w:val="en-AU"/>
        </w:rPr>
        <w:t xml:space="preserve">regularly reviewing ISR investments to ensure </w:t>
      </w:r>
      <w:r w:rsidR="0014671C">
        <w:rPr>
          <w:lang w:val="en-AU"/>
        </w:rPr>
        <w:t xml:space="preserve">that unintentional </w:t>
      </w:r>
      <w:r w:rsidR="00EF16B3" w:rsidRPr="009150DC">
        <w:rPr>
          <w:lang w:val="en-AU"/>
        </w:rPr>
        <w:t>gaps, overlaps and duplications</w:t>
      </w:r>
      <w:r w:rsidR="0014671C">
        <w:rPr>
          <w:lang w:val="en-AU"/>
        </w:rPr>
        <w:t xml:space="preserve"> are minimised</w:t>
      </w:r>
      <w:r w:rsidR="00EF16B3" w:rsidRPr="009150DC">
        <w:rPr>
          <w:lang w:val="en-AU"/>
        </w:rPr>
        <w:t>.</w:t>
      </w:r>
    </w:p>
    <w:p w14:paraId="6450B081" w14:textId="0FE63778" w:rsidR="0098172A" w:rsidRPr="009150DC" w:rsidRDefault="0098172A" w:rsidP="0098172A">
      <w:pPr>
        <w:rPr>
          <w:vertAlign w:val="superscript"/>
          <w:lang w:val="en-AU"/>
        </w:rPr>
      </w:pPr>
      <w:r w:rsidRPr="009150DC">
        <w:rPr>
          <w:lang w:val="en-AU"/>
        </w:rPr>
        <w:t>Numerous reviews have observed the negative impacts resulting from fragmentation,</w:t>
      </w:r>
      <w:r w:rsidRPr="009150DC">
        <w:rPr>
          <w:vertAlign w:val="superscript"/>
          <w:lang w:val="en-AU"/>
        </w:rPr>
        <w:footnoteReference w:id="67"/>
      </w:r>
      <w:r w:rsidR="00A64224" w:rsidRPr="009150DC">
        <w:rPr>
          <w:vertAlign w:val="superscript"/>
          <w:lang w:val="en-AU"/>
        </w:rPr>
        <w:t>,</w:t>
      </w:r>
      <w:r w:rsidRPr="009150DC">
        <w:rPr>
          <w:vertAlign w:val="superscript"/>
          <w:lang w:val="en-AU"/>
        </w:rPr>
        <w:footnoteReference w:id="68"/>
      </w:r>
      <w:r w:rsidRPr="009150DC">
        <w:rPr>
          <w:lang w:val="en-AU"/>
        </w:rPr>
        <w:t xml:space="preserve"> compounded by the lack of an overarching investment strategy. The result is reduced</w:t>
      </w:r>
      <w:r w:rsidRPr="009150DC">
        <w:rPr>
          <w:lang w:val="en-AU"/>
        </w:rPr>
        <w:noBreakHyphen/>
        <w:t>scale</w:t>
      </w:r>
      <w:r w:rsidR="004F4ABA">
        <w:rPr>
          <w:lang w:val="en-AU"/>
        </w:rPr>
        <w:t>,</w:t>
      </w:r>
      <w:r w:rsidRPr="009150DC">
        <w:rPr>
          <w:lang w:val="en-AU"/>
        </w:rPr>
        <w:t xml:space="preserve"> individual investments and uncoordinated investments across agencies and funding sources. This fragmentation </w:t>
      </w:r>
      <w:r w:rsidR="00376730">
        <w:rPr>
          <w:lang w:val="en-AU"/>
        </w:rPr>
        <w:t xml:space="preserve">is </w:t>
      </w:r>
      <w:r w:rsidRPr="009150DC">
        <w:rPr>
          <w:lang w:val="en-AU"/>
        </w:rPr>
        <w:t>inefficient, costly and time consuming for Australian researchers and businesses.</w:t>
      </w:r>
      <w:r w:rsidRPr="009150DC">
        <w:rPr>
          <w:rStyle w:val="FootnoteReference"/>
          <w:lang w:val="en-AU"/>
        </w:rPr>
        <w:footnoteReference w:id="69"/>
      </w:r>
      <w:r w:rsidRPr="009150DC">
        <w:rPr>
          <w:lang w:val="en-AU"/>
        </w:rPr>
        <w:t xml:space="preserve"> Consolidation of these ISR programs would better focus the Government’s investment</w:t>
      </w:r>
      <w:r w:rsidR="0014671C">
        <w:rPr>
          <w:lang w:val="en-AU"/>
        </w:rPr>
        <w:t>,</w:t>
      </w:r>
      <w:r w:rsidRPr="009150DC">
        <w:rPr>
          <w:lang w:val="en-AU"/>
        </w:rPr>
        <w:t xml:space="preserve"> and avoid investment gaps and duplication, build areas of expertise and critical mass,</w:t>
      </w:r>
      <w:r w:rsidRPr="009150DC">
        <w:rPr>
          <w:rStyle w:val="FootnoteReference"/>
          <w:lang w:val="en-AU"/>
        </w:rPr>
        <w:footnoteReference w:id="70"/>
      </w:r>
      <w:r w:rsidRPr="009150DC">
        <w:rPr>
          <w:lang w:val="en-AU"/>
        </w:rPr>
        <w:t xml:space="preserve"> and help avoid program fail</w:t>
      </w:r>
      <w:r w:rsidR="0014671C">
        <w:rPr>
          <w:lang w:val="en-AU"/>
        </w:rPr>
        <w:t>ures</w:t>
      </w:r>
      <w:r w:rsidRPr="009150DC">
        <w:rPr>
          <w:lang w:val="en-AU"/>
        </w:rPr>
        <w:t>.</w:t>
      </w:r>
      <w:r w:rsidRPr="009150DC">
        <w:rPr>
          <w:rStyle w:val="FootnoteReference"/>
          <w:lang w:val="en-AU"/>
        </w:rPr>
        <w:footnoteReference w:id="71"/>
      </w:r>
      <w:r w:rsidRPr="009150DC">
        <w:rPr>
          <w:vertAlign w:val="superscript"/>
          <w:lang w:val="en-AU"/>
        </w:rPr>
        <w:t>,</w:t>
      </w:r>
      <w:r w:rsidRPr="009150DC">
        <w:rPr>
          <w:rStyle w:val="FootnoteReference"/>
          <w:lang w:val="en-AU"/>
        </w:rPr>
        <w:footnoteReference w:id="72"/>
      </w:r>
    </w:p>
    <w:p w14:paraId="363F5938" w14:textId="520007F7" w:rsidR="00CC16E1" w:rsidRPr="009150DC" w:rsidRDefault="00CC16E1" w:rsidP="00CC16E1">
      <w:pPr>
        <w:rPr>
          <w:lang w:val="en-AU"/>
        </w:rPr>
      </w:pPr>
      <w:r w:rsidRPr="009150DC">
        <w:rPr>
          <w:lang w:val="en-AU"/>
        </w:rPr>
        <w:t xml:space="preserve">In Australia, several ISR governance and coordination mechanisms have been trialled in the past. </w:t>
      </w:r>
      <w:r w:rsidR="00971C73">
        <w:rPr>
          <w:lang w:val="en-AU"/>
        </w:rPr>
        <w:t>In</w:t>
      </w:r>
      <w:r w:rsidRPr="009150DC">
        <w:rPr>
          <w:lang w:val="en-AU"/>
        </w:rPr>
        <w:t xml:space="preserve"> 2015</w:t>
      </w:r>
      <w:r w:rsidR="00971C73">
        <w:rPr>
          <w:lang w:val="en-AU"/>
        </w:rPr>
        <w:t>,</w:t>
      </w:r>
      <w:r w:rsidRPr="009150DC">
        <w:rPr>
          <w:lang w:val="en-AU"/>
        </w:rPr>
        <w:t xml:space="preserve"> the Government announced the Innovation and Science Committee (ISC) of Cabinet as part of the National Innovation and Science Agenda (NISA) to place innovation and science at the centre of policymaking. Chaired by the Prime Minister, the ISC included 11 other senior government and ministerial members.</w:t>
      </w:r>
      <w:r w:rsidRPr="009150DC">
        <w:rPr>
          <w:rStyle w:val="FootnoteReference"/>
          <w:lang w:val="en-AU"/>
        </w:rPr>
        <w:footnoteReference w:id="73"/>
      </w:r>
      <w:r w:rsidRPr="009150DC">
        <w:rPr>
          <w:lang w:val="en-AU"/>
        </w:rPr>
        <w:t xml:space="preserve"> In 1997</w:t>
      </w:r>
      <w:r w:rsidR="00971C73">
        <w:rPr>
          <w:lang w:val="en-AU"/>
        </w:rPr>
        <w:t>,</w:t>
      </w:r>
      <w:r w:rsidRPr="009150DC">
        <w:rPr>
          <w:lang w:val="en-AU"/>
        </w:rPr>
        <w:t xml:space="preserve"> the Prime Minister’s Science Engineering and </w:t>
      </w:r>
      <w:r w:rsidRPr="009150DC">
        <w:rPr>
          <w:lang w:val="en-AU"/>
        </w:rPr>
        <w:lastRenderedPageBreak/>
        <w:t>Innovation Council was created to serve as the Government's principal source of independent advice on issues in science, engineering and innovation and relevant aspects of education and training.</w:t>
      </w:r>
      <w:r w:rsidRPr="009150DC">
        <w:rPr>
          <w:rStyle w:val="FootnoteReference"/>
          <w:lang w:val="en-AU"/>
        </w:rPr>
        <w:footnoteReference w:id="74"/>
      </w:r>
    </w:p>
    <w:p w14:paraId="141275AC" w14:textId="5BF85873" w:rsidR="00443448" w:rsidRPr="009150DC" w:rsidRDefault="0014671C" w:rsidP="00CC16E1">
      <w:pPr>
        <w:rPr>
          <w:lang w:val="en-AU"/>
        </w:rPr>
      </w:pPr>
      <w:r>
        <w:rPr>
          <w:lang w:val="en-AU"/>
        </w:rPr>
        <w:t>Internationally, the</w:t>
      </w:r>
      <w:r w:rsidR="00CC16E1" w:rsidRPr="009150DC">
        <w:rPr>
          <w:lang w:val="en-AU"/>
        </w:rPr>
        <w:t xml:space="preserve"> OECD </w:t>
      </w:r>
      <w:r>
        <w:rPr>
          <w:lang w:val="en-AU"/>
        </w:rPr>
        <w:t xml:space="preserve">has </w:t>
      </w:r>
      <w:r w:rsidR="00CC16E1" w:rsidRPr="009150DC">
        <w:rPr>
          <w:lang w:val="en-AU"/>
        </w:rPr>
        <w:t>found that whole-of-government coordination of national ISR investment, including broad ministerial involvement and interdepartmental monitoring, was a key success factor for ISR governance</w:t>
      </w:r>
      <w:r w:rsidR="00443448" w:rsidRPr="009150DC">
        <w:rPr>
          <w:lang w:val="en-AU"/>
        </w:rPr>
        <w:t>.</w:t>
      </w:r>
      <w:r w:rsidR="00CC16E1" w:rsidRPr="009150DC">
        <w:rPr>
          <w:rStyle w:val="FootnoteReference"/>
          <w:lang w:val="en-AU"/>
        </w:rPr>
        <w:footnoteReference w:id="75"/>
      </w:r>
      <w:r w:rsidR="00CC16E1" w:rsidRPr="009150DC">
        <w:rPr>
          <w:lang w:val="en-AU"/>
        </w:rPr>
        <w:t xml:space="preserve"> ISR commitment at the highest level of government </w:t>
      </w:r>
      <w:r w:rsidR="00443448" w:rsidRPr="009150DC">
        <w:rPr>
          <w:lang w:val="en-AU"/>
        </w:rPr>
        <w:t>was found to drive</w:t>
      </w:r>
      <w:r w:rsidR="00CF18CB" w:rsidRPr="009150DC">
        <w:rPr>
          <w:lang w:val="en-AU"/>
        </w:rPr>
        <w:t xml:space="preserve"> inter</w:t>
      </w:r>
      <w:r w:rsidR="00CF18CB" w:rsidRPr="009150DC">
        <w:rPr>
          <w:lang w:val="en-AU"/>
        </w:rPr>
        <w:noBreakHyphen/>
      </w:r>
      <w:r w:rsidR="00CC16E1" w:rsidRPr="009150DC">
        <w:rPr>
          <w:lang w:val="en-AU"/>
        </w:rPr>
        <w:t>agency coordination of priorities and programs.</w:t>
      </w:r>
      <w:r w:rsidR="00CC16E1" w:rsidRPr="009150DC">
        <w:rPr>
          <w:rStyle w:val="FootnoteReference"/>
          <w:lang w:val="en-AU"/>
        </w:rPr>
        <w:footnoteReference w:id="76"/>
      </w:r>
      <w:r w:rsidR="00CC16E1" w:rsidRPr="009150DC">
        <w:rPr>
          <w:lang w:val="en-AU"/>
        </w:rPr>
        <w:t xml:space="preserve"> </w:t>
      </w:r>
    </w:p>
    <w:p w14:paraId="0F6726A4" w14:textId="0629D917" w:rsidR="002A7777" w:rsidRPr="009150DC" w:rsidRDefault="00971C73">
      <w:pPr>
        <w:rPr>
          <w:lang w:val="en-AU"/>
        </w:rPr>
      </w:pPr>
      <w:r>
        <w:rPr>
          <w:lang w:val="en-AU"/>
        </w:rPr>
        <w:t>The OECD also found that p</w:t>
      </w:r>
      <w:r w:rsidR="00443448" w:rsidRPr="009150DC">
        <w:rPr>
          <w:lang w:val="en-AU"/>
        </w:rPr>
        <w:t>olicy action was coordinated through</w:t>
      </w:r>
      <w:r w:rsidR="00CC16E1" w:rsidRPr="009150DC">
        <w:rPr>
          <w:lang w:val="en-AU"/>
        </w:rPr>
        <w:t xml:space="preserve"> research and innovation councils, national research and innovation strategies or plans, or inter-agency joint programing.</w:t>
      </w:r>
      <w:r w:rsidR="00CC16E1" w:rsidRPr="009150DC">
        <w:rPr>
          <w:rStyle w:val="FootnoteReference"/>
          <w:lang w:val="en-AU"/>
        </w:rPr>
        <w:footnoteReference w:id="77"/>
      </w:r>
      <w:r w:rsidR="00CC16E1" w:rsidRPr="009150DC">
        <w:rPr>
          <w:lang w:val="en-AU"/>
        </w:rPr>
        <w:t xml:space="preserve"> </w:t>
      </w:r>
      <w:r w:rsidR="0071461E" w:rsidRPr="009150DC">
        <w:rPr>
          <w:lang w:val="en-AU"/>
        </w:rPr>
        <w:t>Of the 35 OECD countries reviewed, independent ISR advisory councils are mandated to provide policy advice (90</w:t>
      </w:r>
      <w:r w:rsidR="006A2EF3" w:rsidRPr="009150DC">
        <w:rPr>
          <w:lang w:val="en-AU"/>
        </w:rPr>
        <w:t> per cent</w:t>
      </w:r>
      <w:r w:rsidR="0071461E" w:rsidRPr="009150DC">
        <w:rPr>
          <w:lang w:val="en-AU"/>
        </w:rPr>
        <w:t>), develop strategic priorities (74</w:t>
      </w:r>
      <w:r w:rsidR="006A2EF3" w:rsidRPr="009150DC">
        <w:rPr>
          <w:lang w:val="en-AU"/>
        </w:rPr>
        <w:t> per cent</w:t>
      </w:r>
      <w:r w:rsidR="0071461E" w:rsidRPr="009150DC">
        <w:rPr>
          <w:lang w:val="en-AU"/>
        </w:rPr>
        <w:t>), evaluate policy reforms (48</w:t>
      </w:r>
      <w:r w:rsidR="006A2EF3" w:rsidRPr="009150DC">
        <w:rPr>
          <w:lang w:val="en-AU"/>
        </w:rPr>
        <w:t> per cent</w:t>
      </w:r>
      <w:r w:rsidR="0071461E" w:rsidRPr="009150DC">
        <w:rPr>
          <w:lang w:val="en-AU"/>
        </w:rPr>
        <w:t>), coordinate with both government and non-public stakeholders (48</w:t>
      </w:r>
      <w:r w:rsidR="006A2EF3" w:rsidRPr="009150DC">
        <w:rPr>
          <w:lang w:val="en-AU"/>
        </w:rPr>
        <w:t> per cent</w:t>
      </w:r>
      <w:r w:rsidR="0071461E" w:rsidRPr="009150DC">
        <w:rPr>
          <w:lang w:val="en-AU"/>
        </w:rPr>
        <w:t>), or allocate research and innovation budgets (23</w:t>
      </w:r>
      <w:r w:rsidR="006A2EF3" w:rsidRPr="009150DC">
        <w:rPr>
          <w:lang w:val="en-AU"/>
        </w:rPr>
        <w:t> per cent</w:t>
      </w:r>
      <w:r w:rsidR="0071461E" w:rsidRPr="009150DC">
        <w:rPr>
          <w:lang w:val="en-AU"/>
        </w:rPr>
        <w:t>).</w:t>
      </w:r>
      <w:r w:rsidR="0071461E" w:rsidRPr="009150DC">
        <w:rPr>
          <w:rStyle w:val="FootnoteReference"/>
          <w:lang w:val="en-AU"/>
        </w:rPr>
        <w:footnoteReference w:id="78"/>
      </w:r>
      <w:r w:rsidR="0071461E" w:rsidRPr="009150DC">
        <w:rPr>
          <w:lang w:val="en-AU"/>
        </w:rPr>
        <w:t xml:space="preserve"> </w:t>
      </w:r>
      <w:r w:rsidR="00710365" w:rsidRPr="009150DC">
        <w:rPr>
          <w:lang w:val="en-AU"/>
        </w:rPr>
        <w:t xml:space="preserve">In the UK for example, </w:t>
      </w:r>
      <w:r w:rsidR="00461765" w:rsidRPr="009150DC">
        <w:rPr>
          <w:lang w:val="en-AU"/>
        </w:rPr>
        <w:t>UKRI</w:t>
      </w:r>
      <w:r w:rsidR="00C84CE6" w:rsidRPr="009150DC">
        <w:rPr>
          <w:lang w:val="en-AU"/>
        </w:rPr>
        <w:t xml:space="preserve"> plays a key coordination role bringing together seven research councils and deliver</w:t>
      </w:r>
      <w:r w:rsidR="0014671C">
        <w:rPr>
          <w:lang w:val="en-AU"/>
        </w:rPr>
        <w:t>ing</w:t>
      </w:r>
      <w:r w:rsidR="00C84CE6" w:rsidRPr="009150DC">
        <w:rPr>
          <w:lang w:val="en-AU"/>
        </w:rPr>
        <w:t xml:space="preserve"> the majority of government funding for research and innovation (excluding funding for national security or defence purposes).</w:t>
      </w:r>
    </w:p>
    <w:p w14:paraId="5C8FE340" w14:textId="0E79FD15" w:rsidR="001873FF" w:rsidRPr="009150DC" w:rsidRDefault="0034700E" w:rsidP="00CF18CB">
      <w:pPr>
        <w:spacing w:after="0"/>
        <w:ind w:right="113"/>
        <w:rPr>
          <w:lang w:val="en-AU"/>
        </w:rPr>
      </w:pPr>
      <w:r w:rsidRPr="009150DC">
        <w:rPr>
          <w:lang w:val="en-AU"/>
        </w:rPr>
        <w:t xml:space="preserve">The OECD also considers the involvement of advisory bodies </w:t>
      </w:r>
      <w:r w:rsidR="0014671C">
        <w:rPr>
          <w:lang w:val="en-AU"/>
        </w:rPr>
        <w:t>who</w:t>
      </w:r>
      <w:r w:rsidRPr="009150DC">
        <w:rPr>
          <w:lang w:val="en-AU"/>
        </w:rPr>
        <w:t xml:space="preserve"> represent key ISR system stakeholders as a critical element in the success of ISR governance initiatives.</w:t>
      </w:r>
      <w:r w:rsidRPr="009150DC">
        <w:rPr>
          <w:rStyle w:val="FootnoteReference"/>
          <w:lang w:val="en-AU"/>
        </w:rPr>
        <w:footnoteReference w:id="79"/>
      </w:r>
      <w:r w:rsidRPr="009150DC">
        <w:rPr>
          <w:lang w:val="en-AU"/>
        </w:rPr>
        <w:t xml:space="preserve"> One motiv</w:t>
      </w:r>
      <w:r w:rsidR="00971C73">
        <w:rPr>
          <w:lang w:val="en-AU"/>
        </w:rPr>
        <w:t>e</w:t>
      </w:r>
      <w:r w:rsidRPr="009150DC">
        <w:rPr>
          <w:lang w:val="en-AU"/>
        </w:rPr>
        <w:t xml:space="preserve"> for launching the UKRI strategy was to enable direct dialogue between politicians and scientists over funding by providing science and innovation a unique voice, </w:t>
      </w:r>
      <w:r w:rsidR="0014671C">
        <w:rPr>
          <w:lang w:val="en-AU"/>
        </w:rPr>
        <w:t xml:space="preserve">and </w:t>
      </w:r>
      <w:r w:rsidRPr="009150DC">
        <w:rPr>
          <w:lang w:val="en-AU"/>
        </w:rPr>
        <w:t>ensuring a greater role of science in society.</w:t>
      </w:r>
      <w:r w:rsidR="00024136" w:rsidRPr="009150DC">
        <w:rPr>
          <w:rStyle w:val="FootnoteReference"/>
          <w:lang w:val="en-AU"/>
        </w:rPr>
        <w:footnoteReference w:id="80"/>
      </w:r>
      <w:r w:rsidR="00024136" w:rsidRPr="009150DC">
        <w:rPr>
          <w:lang w:val="en-AU"/>
        </w:rPr>
        <w:t xml:space="preserve"> </w:t>
      </w:r>
    </w:p>
    <w:p w14:paraId="1098C7E7" w14:textId="3352509D" w:rsidR="00AD6153" w:rsidRPr="009150DC" w:rsidRDefault="00066E5A" w:rsidP="00066E5A">
      <w:pPr>
        <w:pStyle w:val="Heading1"/>
      </w:pPr>
      <w:bookmarkStart w:id="265" w:name="_Ref34913505"/>
      <w:bookmarkStart w:id="266" w:name="_Toc34919452"/>
      <w:bookmarkStart w:id="267" w:name="_Toc34921738"/>
      <w:bookmarkStart w:id="268" w:name="_Toc34924056"/>
      <w:bookmarkStart w:id="269" w:name="_Toc34925380"/>
      <w:bookmarkStart w:id="270" w:name="_Toc34989527"/>
      <w:bookmarkStart w:id="271" w:name="_Toc35006811"/>
      <w:bookmarkStart w:id="272" w:name="_Toc35011746"/>
      <w:bookmarkStart w:id="273" w:name="_Toc35015773"/>
      <w:bookmarkStart w:id="274" w:name="_Toc35356383"/>
      <w:bookmarkStart w:id="275" w:name="_Toc42868685"/>
      <w:bookmarkStart w:id="276" w:name="_Toc42872705"/>
      <w:bookmarkStart w:id="277" w:name="_Toc43996708"/>
      <w:bookmarkStart w:id="278" w:name="_Toc43999084"/>
      <w:bookmarkStart w:id="279" w:name="_Toc44071641"/>
      <w:bookmarkStart w:id="280" w:name="_Toc44074724"/>
      <w:bookmarkStart w:id="281" w:name="_Toc44076150"/>
      <w:bookmarkStart w:id="282" w:name="_Toc44079133"/>
      <w:bookmarkStart w:id="283" w:name="_Toc44317961"/>
      <w:bookmarkStart w:id="284" w:name="_Toc44312294"/>
      <w:bookmarkStart w:id="285" w:name="_Toc44320757"/>
      <w:bookmarkStart w:id="286" w:name="_Toc44322393"/>
      <w:bookmarkStart w:id="287" w:name="_Toc44322582"/>
      <w:bookmarkStart w:id="288" w:name="_Toc44323385"/>
      <w:bookmarkStart w:id="289" w:name="_Toc44323472"/>
      <w:bookmarkStart w:id="290" w:name="_Toc44324982"/>
      <w:bookmarkStart w:id="291" w:name="_Toc44326052"/>
      <w:bookmarkStart w:id="292" w:name="_Toc44330376"/>
      <w:bookmarkStart w:id="293" w:name="_Toc44331826"/>
      <w:bookmarkStart w:id="294" w:name="_Toc44331939"/>
      <w:bookmarkStart w:id="295" w:name="_Toc44339036"/>
      <w:bookmarkStart w:id="296" w:name="_Toc44340736"/>
      <w:bookmarkStart w:id="297" w:name="_Toc44419465"/>
      <w:bookmarkStart w:id="298" w:name="_Toc44420422"/>
      <w:bookmarkStart w:id="299" w:name="_Toc56073619"/>
      <w:bookmarkStart w:id="300" w:name="_Toc57113516"/>
      <w:bookmarkStart w:id="301" w:name="_Toc57113699"/>
      <w:bookmarkStart w:id="302" w:name="_Toc57641036"/>
      <w:r>
        <w:lastRenderedPageBreak/>
        <w:t xml:space="preserve">Appendix F: </w:t>
      </w:r>
      <w:r w:rsidR="00AD6153" w:rsidRPr="009150DC">
        <w:t>Strategically balanced</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7E815FA7" w14:textId="44E96AB1" w:rsidR="005C5465" w:rsidRPr="009150DC" w:rsidRDefault="00AB17D1" w:rsidP="00FA2DCA">
      <w:pPr>
        <w:rPr>
          <w:lang w:val="en-AU"/>
        </w:rPr>
      </w:pPr>
      <w:r w:rsidRPr="009150DC">
        <w:rPr>
          <w:lang w:val="en-AU"/>
        </w:rPr>
        <w:t xml:space="preserve">Australian literature is dominated by discussions </w:t>
      </w:r>
      <w:r w:rsidR="00505DEB" w:rsidRPr="009150DC">
        <w:rPr>
          <w:lang w:val="en-AU"/>
        </w:rPr>
        <w:t xml:space="preserve">around </w:t>
      </w:r>
      <w:r w:rsidRPr="009150DC">
        <w:rPr>
          <w:lang w:val="en-AU"/>
        </w:rPr>
        <w:t>the importance of balancing the</w:t>
      </w:r>
      <w:r w:rsidR="00987F3F" w:rsidRPr="009150DC">
        <w:rPr>
          <w:lang w:val="en-AU"/>
        </w:rPr>
        <w:t xml:space="preserve"> </w:t>
      </w:r>
      <w:r w:rsidRPr="009150DC">
        <w:rPr>
          <w:lang w:val="en-AU"/>
        </w:rPr>
        <w:t>ISR investment portfolio</w:t>
      </w:r>
      <w:r w:rsidR="00003A81" w:rsidRPr="009150DC">
        <w:rPr>
          <w:lang w:val="en-AU"/>
        </w:rPr>
        <w:t xml:space="preserve"> and the absence of a framework to guide </w:t>
      </w:r>
      <w:r w:rsidR="007A37E1" w:rsidRPr="009150DC">
        <w:rPr>
          <w:lang w:val="en-AU"/>
        </w:rPr>
        <w:t>th</w:t>
      </w:r>
      <w:r w:rsidR="002C2DAC">
        <w:rPr>
          <w:lang w:val="en-AU"/>
        </w:rPr>
        <w:t>e</w:t>
      </w:r>
      <w:r w:rsidR="007A37E1" w:rsidRPr="009150DC">
        <w:rPr>
          <w:lang w:val="en-AU"/>
        </w:rPr>
        <w:t xml:space="preserve"> </w:t>
      </w:r>
      <w:r w:rsidR="00D226BA">
        <w:rPr>
          <w:lang w:val="en-AU"/>
        </w:rPr>
        <w:t xml:space="preserve">process of </w:t>
      </w:r>
      <w:r w:rsidR="007A37E1" w:rsidRPr="009150DC">
        <w:rPr>
          <w:lang w:val="en-AU"/>
        </w:rPr>
        <w:t>balanc</w:t>
      </w:r>
      <w:r w:rsidR="00D226BA">
        <w:rPr>
          <w:lang w:val="en-AU"/>
        </w:rPr>
        <w:t>ing</w:t>
      </w:r>
      <w:r w:rsidR="007A37E1" w:rsidRPr="009150DC">
        <w:rPr>
          <w:lang w:val="en-AU"/>
        </w:rPr>
        <w:t xml:space="preserve"> </w:t>
      </w:r>
      <w:r w:rsidR="00003A81" w:rsidRPr="009150DC">
        <w:rPr>
          <w:lang w:val="en-AU"/>
        </w:rPr>
        <w:t>investment</w:t>
      </w:r>
      <w:r w:rsidR="00D226BA">
        <w:rPr>
          <w:lang w:val="en-AU"/>
        </w:rPr>
        <w:t>s</w:t>
      </w:r>
      <w:r w:rsidR="00003A81" w:rsidRPr="009150DC">
        <w:rPr>
          <w:lang w:val="en-AU"/>
        </w:rPr>
        <w:t>.</w:t>
      </w:r>
      <w:r w:rsidR="00003A81" w:rsidRPr="009150DC">
        <w:rPr>
          <w:rStyle w:val="FootnoteReference"/>
          <w:lang w:val="en-AU"/>
        </w:rPr>
        <w:footnoteReference w:id="81"/>
      </w:r>
      <w:r w:rsidR="00003A81" w:rsidRPr="009150DC">
        <w:rPr>
          <w:lang w:val="en-AU"/>
        </w:rPr>
        <w:t xml:space="preserve"> </w:t>
      </w:r>
      <w:r w:rsidR="00987F3F" w:rsidRPr="009150DC">
        <w:rPr>
          <w:lang w:val="en-AU"/>
        </w:rPr>
        <w:t>I</w:t>
      </w:r>
      <w:r w:rsidR="00D33BEF">
        <w:rPr>
          <w:lang w:val="en-AU"/>
        </w:rPr>
        <w:t>I</w:t>
      </w:r>
      <w:r w:rsidR="00003A81" w:rsidRPr="009150DC">
        <w:rPr>
          <w:lang w:val="en-AU"/>
        </w:rPr>
        <w:t xml:space="preserve">SA’s best-practice ISR investment </w:t>
      </w:r>
      <w:r w:rsidR="00FA2DCA" w:rsidRPr="009150DC">
        <w:rPr>
          <w:lang w:val="en-AU"/>
        </w:rPr>
        <w:t xml:space="preserve">framework recommends </w:t>
      </w:r>
      <w:r w:rsidR="00003A81" w:rsidRPr="009150DC">
        <w:rPr>
          <w:lang w:val="en-AU"/>
        </w:rPr>
        <w:t>a balanced mix of investments across phases and pipeline, scale, risks, investment mechanism, and the types of resourcing</w:t>
      </w:r>
      <w:r w:rsidR="00F35B46" w:rsidRPr="009150DC">
        <w:rPr>
          <w:lang w:val="en-AU"/>
        </w:rPr>
        <w:t>, to drive greater efficiencies and more effectively focus outcomes in priority areas</w:t>
      </w:r>
      <w:r w:rsidR="00003A81" w:rsidRPr="009150DC">
        <w:rPr>
          <w:lang w:val="en-AU"/>
        </w:rPr>
        <w:t xml:space="preserve">. </w:t>
      </w:r>
    </w:p>
    <w:p w14:paraId="4D234102" w14:textId="5168D91F" w:rsidR="00AD6153" w:rsidRPr="009150DC" w:rsidRDefault="00AD6153" w:rsidP="00A22287">
      <w:pPr>
        <w:pStyle w:val="Heading3"/>
        <w:rPr>
          <w:lang w:val="en-AU"/>
        </w:rPr>
      </w:pPr>
      <w:bookmarkStart w:id="303" w:name="_Toc34919453"/>
      <w:bookmarkStart w:id="304" w:name="_Toc34921739"/>
      <w:bookmarkStart w:id="305" w:name="_Toc34924057"/>
      <w:bookmarkStart w:id="306" w:name="_Toc34925381"/>
      <w:bookmarkStart w:id="307" w:name="_Toc34989528"/>
      <w:bookmarkStart w:id="308" w:name="_Toc35006812"/>
      <w:bookmarkStart w:id="309" w:name="_Toc35011747"/>
      <w:bookmarkStart w:id="310" w:name="_Toc35015774"/>
      <w:bookmarkStart w:id="311" w:name="_Toc35356384"/>
      <w:bookmarkStart w:id="312" w:name="_Toc36651058"/>
      <w:bookmarkStart w:id="313" w:name="_Toc36806815"/>
      <w:bookmarkStart w:id="314" w:name="_Toc42868686"/>
      <w:bookmarkStart w:id="315" w:name="_Toc42872706"/>
      <w:bookmarkStart w:id="316" w:name="_Toc43996709"/>
      <w:bookmarkStart w:id="317" w:name="_Toc43999085"/>
      <w:r w:rsidRPr="009150DC">
        <w:rPr>
          <w:lang w:val="en-AU"/>
        </w:rPr>
        <w:t>Phases and pipeline</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E440A94" w14:textId="78EECB2B" w:rsidR="007A51AA" w:rsidRPr="009150DC" w:rsidRDefault="00671546" w:rsidP="007A51AA">
      <w:pPr>
        <w:rPr>
          <w:lang w:val="en-AU"/>
        </w:rPr>
      </w:pPr>
      <w:r w:rsidRPr="009150DC">
        <w:rPr>
          <w:lang w:val="en-AU"/>
        </w:rPr>
        <w:t xml:space="preserve">A </w:t>
      </w:r>
      <w:r w:rsidR="00694C4E" w:rsidRPr="009150DC">
        <w:rPr>
          <w:lang w:val="en-AU"/>
        </w:rPr>
        <w:t xml:space="preserve">strategic balance between </w:t>
      </w:r>
      <w:r w:rsidR="00382A79" w:rsidRPr="009150DC">
        <w:rPr>
          <w:lang w:val="en-AU"/>
        </w:rPr>
        <w:t>ISR phases (</w:t>
      </w:r>
      <w:r w:rsidR="00694C4E" w:rsidRPr="009150DC">
        <w:rPr>
          <w:lang w:val="en-AU"/>
        </w:rPr>
        <w:t>basic, applied and commercialised</w:t>
      </w:r>
      <w:r w:rsidR="00382A79" w:rsidRPr="009150DC">
        <w:rPr>
          <w:lang w:val="en-AU"/>
        </w:rPr>
        <w:t>)</w:t>
      </w:r>
      <w:r w:rsidR="00694C4E" w:rsidRPr="009150DC">
        <w:rPr>
          <w:lang w:val="en-AU"/>
        </w:rPr>
        <w:t xml:space="preserve"> </w:t>
      </w:r>
      <w:r w:rsidRPr="009150DC">
        <w:rPr>
          <w:lang w:val="en-AU"/>
        </w:rPr>
        <w:t xml:space="preserve">will ensure </w:t>
      </w:r>
      <w:r w:rsidR="009D147B" w:rsidRPr="009150DC">
        <w:rPr>
          <w:lang w:val="en-AU"/>
        </w:rPr>
        <w:t xml:space="preserve">Australia performs the basic research </w:t>
      </w:r>
      <w:r w:rsidR="00D226BA">
        <w:rPr>
          <w:lang w:val="en-AU"/>
        </w:rPr>
        <w:t>which underpins</w:t>
      </w:r>
      <w:r w:rsidRPr="009150DC">
        <w:rPr>
          <w:lang w:val="en-AU"/>
        </w:rPr>
        <w:t xml:space="preserve"> future commercial opportunities and</w:t>
      </w:r>
      <w:r w:rsidR="00694C4E" w:rsidRPr="009150DC">
        <w:rPr>
          <w:lang w:val="en-AU"/>
        </w:rPr>
        <w:t xml:space="preserve"> </w:t>
      </w:r>
      <w:r w:rsidR="009D147B" w:rsidRPr="009150DC">
        <w:rPr>
          <w:lang w:val="en-AU"/>
        </w:rPr>
        <w:t>en</w:t>
      </w:r>
      <w:r w:rsidR="00D226BA">
        <w:rPr>
          <w:lang w:val="en-AU"/>
        </w:rPr>
        <w:t xml:space="preserve">ables </w:t>
      </w:r>
      <w:r w:rsidR="00694C4E" w:rsidRPr="009150DC">
        <w:rPr>
          <w:lang w:val="en-AU"/>
        </w:rPr>
        <w:t>seamless</w:t>
      </w:r>
      <w:r w:rsidR="009D147B" w:rsidRPr="009150DC">
        <w:rPr>
          <w:lang w:val="en-AU"/>
        </w:rPr>
        <w:t xml:space="preserve"> movement</w:t>
      </w:r>
      <w:r w:rsidR="00694C4E" w:rsidRPr="009150DC">
        <w:rPr>
          <w:lang w:val="en-AU"/>
        </w:rPr>
        <w:t xml:space="preserve"> between phases of the innovation pipeline</w:t>
      </w:r>
      <w:r w:rsidR="007A51AA" w:rsidRPr="009150DC">
        <w:rPr>
          <w:lang w:val="en-AU"/>
        </w:rPr>
        <w:t>. Greater research-industry collaboration encourages a smoother transition of knowledge for commercial application.</w:t>
      </w:r>
      <w:r w:rsidR="007A51AA" w:rsidRPr="009150DC">
        <w:rPr>
          <w:rStyle w:val="FootnoteReference"/>
          <w:lang w:val="en-AU"/>
        </w:rPr>
        <w:footnoteReference w:id="82"/>
      </w:r>
      <w:r w:rsidR="007A51AA" w:rsidRPr="009150DC">
        <w:rPr>
          <w:lang w:val="en-AU"/>
        </w:rPr>
        <w:t xml:space="preserve"> </w:t>
      </w:r>
    </w:p>
    <w:p w14:paraId="3FDE63A9" w14:textId="7BF527D4" w:rsidR="003F2681" w:rsidRPr="009150DC" w:rsidRDefault="00242247" w:rsidP="003F2681">
      <w:pPr>
        <w:rPr>
          <w:lang w:val="en-AU"/>
        </w:rPr>
      </w:pPr>
      <w:r w:rsidRPr="009150DC">
        <w:rPr>
          <w:lang w:val="en-AU"/>
        </w:rPr>
        <w:t>The</w:t>
      </w:r>
      <w:r w:rsidR="003F2681" w:rsidRPr="009150DC">
        <w:rPr>
          <w:lang w:val="en-AU"/>
        </w:rPr>
        <w:t xml:space="preserve"> metaphor of a ‘pipeline’ of research and the consequent identification of ‘phases’ is a common (and useful) abstraction</w:t>
      </w:r>
      <w:r w:rsidR="00700EB8">
        <w:rPr>
          <w:lang w:val="en-AU"/>
        </w:rPr>
        <w:t>. However,</w:t>
      </w:r>
      <w:r w:rsidR="003F2681" w:rsidRPr="009150DC">
        <w:rPr>
          <w:lang w:val="en-AU"/>
        </w:rPr>
        <w:t xml:space="preserve"> </w:t>
      </w:r>
      <w:r w:rsidR="00626A63" w:rsidRPr="009150DC">
        <w:rPr>
          <w:lang w:val="en-AU"/>
        </w:rPr>
        <w:t xml:space="preserve">in practice, </w:t>
      </w:r>
      <w:r w:rsidR="003F2681" w:rsidRPr="009150DC">
        <w:rPr>
          <w:lang w:val="en-AU"/>
        </w:rPr>
        <w:t xml:space="preserve">the progression of ideas and technologies from conception to application is rarely smooth and unidirectional. </w:t>
      </w:r>
      <w:r w:rsidR="00D226BA">
        <w:rPr>
          <w:lang w:val="en-AU"/>
        </w:rPr>
        <w:t>To reflect these complexities, s</w:t>
      </w:r>
      <w:r w:rsidR="003F2681" w:rsidRPr="009150DC">
        <w:rPr>
          <w:lang w:val="en-AU"/>
        </w:rPr>
        <w:t xml:space="preserve">trategies to encourage the </w:t>
      </w:r>
      <w:r w:rsidR="00D226BA">
        <w:rPr>
          <w:lang w:val="en-AU"/>
        </w:rPr>
        <w:t xml:space="preserve">successful </w:t>
      </w:r>
      <w:r w:rsidR="003F2681" w:rsidRPr="009150DC">
        <w:rPr>
          <w:lang w:val="en-AU"/>
        </w:rPr>
        <w:t xml:space="preserve">transition </w:t>
      </w:r>
      <w:r w:rsidR="00955D44" w:rsidRPr="009150DC">
        <w:rPr>
          <w:lang w:val="en-AU"/>
        </w:rPr>
        <w:t xml:space="preserve">of </w:t>
      </w:r>
      <w:r w:rsidR="003F2681" w:rsidRPr="009150DC">
        <w:rPr>
          <w:lang w:val="en-AU"/>
        </w:rPr>
        <w:t>ISR from basic research through to commercialised (or operationalised) outcomes need to be flexible.</w:t>
      </w:r>
    </w:p>
    <w:p w14:paraId="2D50CB33" w14:textId="36F88973" w:rsidR="00242247" w:rsidRPr="009150DC" w:rsidRDefault="00242247" w:rsidP="00242247">
      <w:pPr>
        <w:rPr>
          <w:lang w:val="en-AU"/>
        </w:rPr>
      </w:pPr>
      <w:r w:rsidRPr="00954AAA">
        <w:rPr>
          <w:lang w:val="en-AU"/>
        </w:rPr>
        <w:t>The Australian literature</w:t>
      </w:r>
      <w:r w:rsidRPr="009150DC">
        <w:rPr>
          <w:lang w:val="en-AU"/>
        </w:rPr>
        <w:t xml:space="preserve"> recognises that balancing investments optimally across the phases of the pipeline is a challenge,</w:t>
      </w:r>
      <w:r w:rsidRPr="009150DC">
        <w:rPr>
          <w:rStyle w:val="FootnoteReference"/>
          <w:lang w:val="en-AU"/>
        </w:rPr>
        <w:footnoteReference w:id="83"/>
      </w:r>
      <w:r w:rsidRPr="009150DC">
        <w:rPr>
          <w:lang w:val="en-AU"/>
        </w:rPr>
        <w:t xml:space="preserve"> with a recent call for a strategic review to ensure Australia’s investment across the research pipeline is adequate.</w:t>
      </w:r>
      <w:r w:rsidRPr="009150DC">
        <w:rPr>
          <w:rStyle w:val="FootnoteReference"/>
          <w:lang w:val="en-AU"/>
        </w:rPr>
        <w:footnoteReference w:id="84"/>
      </w:r>
      <w:r w:rsidRPr="009150DC">
        <w:rPr>
          <w:lang w:val="en-AU"/>
        </w:rPr>
        <w:t xml:space="preserve"> Recent reviews have noted that </w:t>
      </w:r>
      <w:r w:rsidR="003E51DA">
        <w:rPr>
          <w:lang w:val="en-AU"/>
        </w:rPr>
        <w:t>Commonwealth</w:t>
      </w:r>
      <w:r w:rsidRPr="009150DC">
        <w:rPr>
          <w:lang w:val="en-AU"/>
        </w:rPr>
        <w:t xml:space="preserve"> Government investment in blue</w:t>
      </w:r>
      <w:r w:rsidRPr="009150DC">
        <w:rPr>
          <w:lang w:val="en-AU"/>
        </w:rPr>
        <w:noBreakHyphen/>
        <w:t xml:space="preserve">sky and basic research is under pressure and being overlooked for more commercially attractive research. However, government funding of basic research is </w:t>
      </w:r>
      <w:r w:rsidR="00DE679C">
        <w:rPr>
          <w:lang w:val="en-AU"/>
        </w:rPr>
        <w:t xml:space="preserve">required </w:t>
      </w:r>
      <w:r w:rsidRPr="009150DC">
        <w:rPr>
          <w:lang w:val="en-AU"/>
        </w:rPr>
        <w:t>to ensure Australia develops both the foundation</w:t>
      </w:r>
      <w:r w:rsidR="00954AAA">
        <w:rPr>
          <w:lang w:val="en-AU"/>
        </w:rPr>
        <w:t>s</w:t>
      </w:r>
      <w:r w:rsidRPr="009150DC">
        <w:rPr>
          <w:lang w:val="en-AU"/>
        </w:rPr>
        <w:t xml:space="preserve"> of technological innovation and the ability to ensure successful applied and commercialised research.</w:t>
      </w:r>
      <w:r w:rsidRPr="009150DC">
        <w:rPr>
          <w:rStyle w:val="FootnoteReference"/>
          <w:lang w:val="en-AU"/>
        </w:rPr>
        <w:footnoteReference w:id="85"/>
      </w:r>
    </w:p>
    <w:p w14:paraId="443F79D6" w14:textId="47288BB6" w:rsidR="00554A9E" w:rsidRPr="009150DC" w:rsidRDefault="00554A9E" w:rsidP="00554A9E">
      <w:pPr>
        <w:rPr>
          <w:lang w:val="en-AU"/>
        </w:rPr>
      </w:pPr>
      <w:r w:rsidRPr="009150DC">
        <w:rPr>
          <w:lang w:val="en-AU"/>
        </w:rPr>
        <w:fldChar w:fldCharType="begin"/>
      </w:r>
      <w:r w:rsidRPr="009150DC">
        <w:rPr>
          <w:lang w:val="en-AU"/>
        </w:rPr>
        <w:instrText xml:space="preserve"> REF _Ref34835984 \h  \* MERGEFORMAT </w:instrText>
      </w:r>
      <w:r w:rsidRPr="009150DC">
        <w:rPr>
          <w:lang w:val="en-AU"/>
        </w:rPr>
      </w:r>
      <w:r w:rsidRPr="009150DC">
        <w:rPr>
          <w:lang w:val="en-AU"/>
        </w:rPr>
        <w:fldChar w:fldCharType="separate"/>
      </w:r>
      <w:r w:rsidR="000A3AE7" w:rsidRPr="009150DC">
        <w:rPr>
          <w:lang w:val="en-AU"/>
        </w:rPr>
        <w:t xml:space="preserve">Figure </w:t>
      </w:r>
      <w:r w:rsidR="000A3AE7">
        <w:rPr>
          <w:lang w:val="en-AU"/>
        </w:rPr>
        <w:t>5</w:t>
      </w:r>
      <w:r w:rsidRPr="009150DC">
        <w:rPr>
          <w:lang w:val="en-AU"/>
        </w:rPr>
        <w:fldChar w:fldCharType="end"/>
      </w:r>
      <w:r w:rsidRPr="009150DC">
        <w:rPr>
          <w:lang w:val="en-AU"/>
        </w:rPr>
        <w:t xml:space="preserve"> shows the type of </w:t>
      </w:r>
      <w:r w:rsidR="00954AAA">
        <w:rPr>
          <w:lang w:val="en-AU"/>
        </w:rPr>
        <w:t xml:space="preserve">Australian </w:t>
      </w:r>
      <w:r w:rsidRPr="009150DC">
        <w:rPr>
          <w:lang w:val="en-AU"/>
        </w:rPr>
        <w:t>R&amp;D activity performed by various sectors.</w:t>
      </w:r>
      <w:r w:rsidRPr="009150DC">
        <w:rPr>
          <w:rStyle w:val="FootnoteReference"/>
          <w:lang w:val="en-AU"/>
        </w:rPr>
        <w:footnoteReference w:id="86"/>
      </w:r>
      <w:r w:rsidRPr="009150DC">
        <w:rPr>
          <w:lang w:val="en-AU"/>
        </w:rPr>
        <w:t xml:space="preserve"> </w:t>
      </w:r>
      <w:r w:rsidR="00700EB8">
        <w:rPr>
          <w:lang w:val="en-AU"/>
        </w:rPr>
        <w:t>C</w:t>
      </w:r>
      <w:r w:rsidRPr="009150DC">
        <w:rPr>
          <w:lang w:val="en-AU"/>
        </w:rPr>
        <w:t xml:space="preserve">urrent R&amp;D expenditure is balanced towards applied research and experimental development, with only </w:t>
      </w:r>
      <w:r w:rsidR="0084018B" w:rsidRPr="009150DC">
        <w:rPr>
          <w:lang w:val="en-AU"/>
        </w:rPr>
        <w:t>2</w:t>
      </w:r>
      <w:r w:rsidRPr="009150DC">
        <w:rPr>
          <w:lang w:val="en-AU"/>
        </w:rPr>
        <w:t>2</w:t>
      </w:r>
      <w:r w:rsidR="0084018B" w:rsidRPr="009150DC">
        <w:rPr>
          <w:lang w:val="en-AU"/>
        </w:rPr>
        <w:t>.</w:t>
      </w:r>
      <w:r w:rsidRPr="009150DC">
        <w:rPr>
          <w:lang w:val="en-AU"/>
        </w:rPr>
        <w:t>3</w:t>
      </w:r>
      <w:r w:rsidR="006A2EF3" w:rsidRPr="009150DC">
        <w:rPr>
          <w:lang w:val="en-AU"/>
        </w:rPr>
        <w:t> per cent</w:t>
      </w:r>
      <w:r w:rsidRPr="009150DC">
        <w:rPr>
          <w:lang w:val="en-AU"/>
        </w:rPr>
        <w:t xml:space="preserve"> of total R&amp;D performed being basic research (pure basic research at </w:t>
      </w:r>
      <w:r w:rsidR="00050AE0" w:rsidRPr="009150DC">
        <w:rPr>
          <w:lang w:val="en-AU"/>
        </w:rPr>
        <w:t>nine</w:t>
      </w:r>
      <w:r w:rsidR="006A2EF3" w:rsidRPr="009150DC">
        <w:rPr>
          <w:lang w:val="en-AU"/>
        </w:rPr>
        <w:t> per cent</w:t>
      </w:r>
      <w:r w:rsidRPr="009150DC">
        <w:rPr>
          <w:lang w:val="en-AU"/>
        </w:rPr>
        <w:t xml:space="preserve"> </w:t>
      </w:r>
      <w:r w:rsidRPr="009150DC">
        <w:rPr>
          <w:lang w:val="en-AU"/>
        </w:rPr>
        <w:lastRenderedPageBreak/>
        <w:t>and strategic basic research at 14</w:t>
      </w:r>
      <w:r w:rsidR="006A2EF3" w:rsidRPr="009150DC">
        <w:rPr>
          <w:lang w:val="en-AU"/>
        </w:rPr>
        <w:t> per cent</w:t>
      </w:r>
      <w:r w:rsidRPr="009150DC">
        <w:rPr>
          <w:lang w:val="en-AU"/>
        </w:rPr>
        <w:t>).</w:t>
      </w:r>
      <w:r w:rsidRPr="009150DC">
        <w:rPr>
          <w:rStyle w:val="FootnoteReference"/>
          <w:lang w:val="en-AU"/>
        </w:rPr>
        <w:footnoteReference w:id="87"/>
      </w:r>
      <w:r w:rsidRPr="009150DC">
        <w:rPr>
          <w:lang w:val="en-AU"/>
        </w:rPr>
        <w:t xml:space="preserve"> The higher education sector </w:t>
      </w:r>
      <w:r w:rsidR="00086080" w:rsidRPr="009150DC">
        <w:rPr>
          <w:lang w:val="en-AU"/>
        </w:rPr>
        <w:t>performs</w:t>
      </w:r>
      <w:r w:rsidRPr="009150DC">
        <w:rPr>
          <w:lang w:val="en-AU"/>
        </w:rPr>
        <w:t xml:space="preserve"> 89</w:t>
      </w:r>
      <w:r w:rsidR="006A2EF3" w:rsidRPr="009150DC">
        <w:rPr>
          <w:lang w:val="en-AU"/>
        </w:rPr>
        <w:t> per cent</w:t>
      </w:r>
      <w:r w:rsidRPr="009150DC">
        <w:rPr>
          <w:lang w:val="en-AU"/>
        </w:rPr>
        <w:t xml:space="preserve"> of all pure basic research</w:t>
      </w:r>
      <w:r w:rsidR="00462A5C">
        <w:rPr>
          <w:lang w:val="en-AU"/>
        </w:rPr>
        <w:t xml:space="preserve"> and 62</w:t>
      </w:r>
      <w:r w:rsidR="00F73E8F">
        <w:rPr>
          <w:lang w:val="en-AU"/>
        </w:rPr>
        <w:t> </w:t>
      </w:r>
      <w:r w:rsidR="00462A5C">
        <w:rPr>
          <w:lang w:val="en-AU"/>
        </w:rPr>
        <w:t>per</w:t>
      </w:r>
      <w:r w:rsidR="00F73E8F">
        <w:rPr>
          <w:lang w:val="en-AU"/>
        </w:rPr>
        <w:t> </w:t>
      </w:r>
      <w:r w:rsidR="00462A5C">
        <w:rPr>
          <w:lang w:val="en-AU"/>
        </w:rPr>
        <w:t>cent of all basic research</w:t>
      </w:r>
      <w:r w:rsidRPr="009150DC">
        <w:rPr>
          <w:lang w:val="en-AU"/>
        </w:rPr>
        <w:t>.</w:t>
      </w:r>
      <w:r w:rsidR="00462A5C">
        <w:rPr>
          <w:rStyle w:val="FootnoteReference"/>
          <w:lang w:val="en-AU"/>
        </w:rPr>
        <w:footnoteReference w:id="88"/>
      </w:r>
    </w:p>
    <w:p w14:paraId="02ED7FC9" w14:textId="0DA48E96" w:rsidR="0084018B" w:rsidRPr="009150DC" w:rsidRDefault="00C15BE0" w:rsidP="001E05ED">
      <w:pPr>
        <w:jc w:val="center"/>
        <w:rPr>
          <w:lang w:val="en-AU"/>
        </w:rPr>
      </w:pPr>
      <w:r w:rsidRPr="009150DC">
        <w:rPr>
          <w:noProof/>
          <w:lang w:val="en-AU" w:eastAsia="en-AU"/>
        </w:rPr>
        <w:drawing>
          <wp:inline distT="0" distB="0" distL="0" distR="0" wp14:anchorId="7B91E7F7" wp14:editId="0A0AB87A">
            <wp:extent cx="5588846" cy="2216785"/>
            <wp:effectExtent l="0" t="0" r="0" b="0"/>
            <wp:docPr id="22" name="Picture 22" descr="Figure 5 shows the type of Australian R&amp;D activity performed by various sectors. Current R&amp;D expenditure is balanced towards applied research and experimental development, with only 22.3 per cent of total R&amp;D performed being basic research (pure basic research at nine per cent and strategic basic research at 14 per cent)." title="Figure 5 Type of R&amp;D activity across performing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l="1494" t="13730" r="1790" b="9544"/>
                    <a:stretch/>
                  </pic:blipFill>
                  <pic:spPr bwMode="auto">
                    <a:xfrm>
                      <a:off x="0" y="0"/>
                      <a:ext cx="5590036" cy="2217257"/>
                    </a:xfrm>
                    <a:prstGeom prst="rect">
                      <a:avLst/>
                    </a:prstGeom>
                    <a:noFill/>
                    <a:ln>
                      <a:noFill/>
                    </a:ln>
                    <a:extLst>
                      <a:ext uri="{53640926-AAD7-44D8-BBD7-CCE9431645EC}">
                        <a14:shadowObscured xmlns:a14="http://schemas.microsoft.com/office/drawing/2010/main"/>
                      </a:ext>
                    </a:extLst>
                  </pic:spPr>
                </pic:pic>
              </a:graphicData>
            </a:graphic>
          </wp:inline>
        </w:drawing>
      </w:r>
    </w:p>
    <w:p w14:paraId="23971937" w14:textId="3B9F7168" w:rsidR="00554A9E" w:rsidRPr="009150DC" w:rsidRDefault="00554A9E" w:rsidP="00554A9E">
      <w:pPr>
        <w:pStyle w:val="Caption"/>
        <w:rPr>
          <w:lang w:val="en-AU"/>
        </w:rPr>
      </w:pPr>
      <w:bookmarkStart w:id="318" w:name="_Ref34835984"/>
      <w:r w:rsidRPr="009150DC">
        <w:rPr>
          <w:lang w:val="en-AU"/>
        </w:rPr>
        <w:t xml:space="preserve">Figure </w:t>
      </w:r>
      <w:r w:rsidRPr="009150DC">
        <w:rPr>
          <w:lang w:val="en-AU"/>
        </w:rPr>
        <w:fldChar w:fldCharType="begin"/>
      </w:r>
      <w:r w:rsidRPr="009150DC">
        <w:rPr>
          <w:lang w:val="en-AU"/>
        </w:rPr>
        <w:instrText xml:space="preserve"> SEQ Figure \* ARABIC </w:instrText>
      </w:r>
      <w:r w:rsidRPr="009150DC">
        <w:rPr>
          <w:lang w:val="en-AU"/>
        </w:rPr>
        <w:fldChar w:fldCharType="separate"/>
      </w:r>
      <w:r w:rsidR="000A3AE7">
        <w:rPr>
          <w:noProof/>
          <w:lang w:val="en-AU"/>
        </w:rPr>
        <w:t>5</w:t>
      </w:r>
      <w:r w:rsidRPr="009150DC">
        <w:rPr>
          <w:lang w:val="en-AU"/>
        </w:rPr>
        <w:fldChar w:fldCharType="end"/>
      </w:r>
      <w:bookmarkEnd w:id="318"/>
      <w:r w:rsidRPr="009150DC">
        <w:rPr>
          <w:lang w:val="en-AU"/>
        </w:rPr>
        <w:t xml:space="preserve"> Type of R&amp;D activity across performing sectors</w:t>
      </w:r>
    </w:p>
    <w:p w14:paraId="48A57999" w14:textId="797B03CF" w:rsidR="00A5631B" w:rsidRPr="009150DC" w:rsidRDefault="00554A9E" w:rsidP="00A5631B">
      <w:pPr>
        <w:rPr>
          <w:lang w:val="en-AU"/>
        </w:rPr>
      </w:pPr>
      <w:r w:rsidRPr="009150DC">
        <w:rPr>
          <w:lang w:val="en-AU"/>
        </w:rPr>
        <w:t>While being the primary performer of pure basic research, the high</w:t>
      </w:r>
      <w:r w:rsidR="00086080" w:rsidRPr="009150DC">
        <w:rPr>
          <w:lang w:val="en-AU"/>
        </w:rPr>
        <w:t>er education sector participate</w:t>
      </w:r>
      <w:r w:rsidR="00DE679C">
        <w:rPr>
          <w:lang w:val="en-AU"/>
        </w:rPr>
        <w:t>s</w:t>
      </w:r>
      <w:r w:rsidR="00086080" w:rsidRPr="009150DC">
        <w:rPr>
          <w:lang w:val="en-AU"/>
        </w:rPr>
        <w:t xml:space="preserve"> i</w:t>
      </w:r>
      <w:r w:rsidRPr="009150DC">
        <w:rPr>
          <w:lang w:val="en-AU"/>
        </w:rPr>
        <w:t xml:space="preserve">n all four types of research activity. </w:t>
      </w:r>
      <w:r w:rsidR="00D25F4C">
        <w:rPr>
          <w:lang w:val="en-AU"/>
        </w:rPr>
        <w:t>In contrast, t</w:t>
      </w:r>
      <w:r w:rsidRPr="009150DC">
        <w:rPr>
          <w:lang w:val="en-AU"/>
        </w:rPr>
        <w:t xml:space="preserve">he Commonwealth, state and territory, and business sectors </w:t>
      </w:r>
      <w:r w:rsidR="00DE679C">
        <w:rPr>
          <w:lang w:val="en-AU"/>
        </w:rPr>
        <w:t>focus</w:t>
      </w:r>
      <w:r w:rsidRPr="009150DC">
        <w:rPr>
          <w:lang w:val="en-AU"/>
        </w:rPr>
        <w:t xml:space="preserve"> on applied research and experimental development, comprising 71</w:t>
      </w:r>
      <w:r w:rsidR="00790382" w:rsidRPr="009150DC">
        <w:rPr>
          <w:lang w:val="en-AU"/>
        </w:rPr>
        <w:t> per cent</w:t>
      </w:r>
      <w:r w:rsidRPr="009150DC">
        <w:rPr>
          <w:lang w:val="en-AU"/>
        </w:rPr>
        <w:t>, 68</w:t>
      </w:r>
      <w:r w:rsidR="00790382" w:rsidRPr="009150DC">
        <w:rPr>
          <w:lang w:val="en-AU"/>
        </w:rPr>
        <w:t> per cent</w:t>
      </w:r>
      <w:r w:rsidRPr="009150DC">
        <w:rPr>
          <w:lang w:val="en-AU"/>
        </w:rPr>
        <w:t xml:space="preserve"> and 92</w:t>
      </w:r>
      <w:r w:rsidR="006A2EF3" w:rsidRPr="009150DC">
        <w:rPr>
          <w:lang w:val="en-AU"/>
        </w:rPr>
        <w:t> per cent</w:t>
      </w:r>
      <w:r w:rsidR="00086080" w:rsidRPr="009150DC">
        <w:rPr>
          <w:lang w:val="en-AU"/>
        </w:rPr>
        <w:t xml:space="preserve"> of their total performed R&amp;D</w:t>
      </w:r>
      <w:r w:rsidRPr="009150DC">
        <w:rPr>
          <w:lang w:val="en-AU"/>
        </w:rPr>
        <w:t xml:space="preserve"> respectively (</w:t>
      </w:r>
      <w:r w:rsidRPr="009150DC">
        <w:rPr>
          <w:lang w:val="en-AU"/>
        </w:rPr>
        <w:fldChar w:fldCharType="begin"/>
      </w:r>
      <w:r w:rsidRPr="009150DC">
        <w:rPr>
          <w:lang w:val="en-AU"/>
        </w:rPr>
        <w:instrText xml:space="preserve"> REF _Ref34836427 \h  \* MERGEFORMAT </w:instrText>
      </w:r>
      <w:r w:rsidRPr="009150DC">
        <w:rPr>
          <w:lang w:val="en-AU"/>
        </w:rPr>
      </w:r>
      <w:r w:rsidRPr="009150DC">
        <w:rPr>
          <w:lang w:val="en-AU"/>
        </w:rPr>
        <w:fldChar w:fldCharType="separate"/>
      </w:r>
      <w:r w:rsidR="000A3AE7" w:rsidRPr="009150DC">
        <w:rPr>
          <w:lang w:val="en-AU"/>
        </w:rPr>
        <w:t xml:space="preserve">Figure </w:t>
      </w:r>
      <w:r w:rsidR="000A3AE7">
        <w:rPr>
          <w:lang w:val="en-AU"/>
        </w:rPr>
        <w:t>6</w:t>
      </w:r>
      <w:r w:rsidRPr="009150DC">
        <w:rPr>
          <w:lang w:val="en-AU"/>
        </w:rPr>
        <w:fldChar w:fldCharType="end"/>
      </w:r>
      <w:r w:rsidR="00086080" w:rsidRPr="009150DC">
        <w:rPr>
          <w:lang w:val="en-AU"/>
        </w:rPr>
        <w:t>).</w:t>
      </w:r>
    </w:p>
    <w:p w14:paraId="29ACC281" w14:textId="7CFEC59D" w:rsidR="0084018B" w:rsidRPr="009150DC" w:rsidRDefault="00142FB0" w:rsidP="00A5631B">
      <w:pPr>
        <w:keepNext/>
        <w:keepLines/>
        <w:jc w:val="center"/>
        <w:rPr>
          <w:lang w:val="en-AU"/>
        </w:rPr>
      </w:pPr>
      <w:r w:rsidRPr="009150DC">
        <w:rPr>
          <w:noProof/>
          <w:lang w:val="en-AU" w:eastAsia="en-AU"/>
        </w:rPr>
        <w:drawing>
          <wp:inline distT="0" distB="0" distL="0" distR="0" wp14:anchorId="178E0839" wp14:editId="6CD76297">
            <wp:extent cx="5569447" cy="2432050"/>
            <wp:effectExtent l="0" t="0" r="0" b="6350"/>
            <wp:docPr id="25" name="Picture 25" descr="While being the primary performer of pure basic research, the higher education sector participates in all four types of research activity (pure basic research, applied research, strategic basic research and experimental development). In contrast, the Commonwealth, state and territory, and business sectors focus on applied research and experimental development, comprising 71 per cent, 68 per cent and 92 per cent of their total performed R&amp;D respectively." title="Figure 6 Type of R&amp;D activity, illustrating the contribution of each performing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1796" t="14030" r="1586" b="1773"/>
                    <a:stretch/>
                  </pic:blipFill>
                  <pic:spPr bwMode="auto">
                    <a:xfrm>
                      <a:off x="0" y="0"/>
                      <a:ext cx="5572074" cy="2433197"/>
                    </a:xfrm>
                    <a:prstGeom prst="rect">
                      <a:avLst/>
                    </a:prstGeom>
                    <a:noFill/>
                    <a:ln>
                      <a:noFill/>
                    </a:ln>
                    <a:extLst>
                      <a:ext uri="{53640926-AAD7-44D8-BBD7-CCE9431645EC}">
                        <a14:shadowObscured xmlns:a14="http://schemas.microsoft.com/office/drawing/2010/main"/>
                      </a:ext>
                    </a:extLst>
                  </pic:spPr>
                </pic:pic>
              </a:graphicData>
            </a:graphic>
          </wp:inline>
        </w:drawing>
      </w:r>
    </w:p>
    <w:p w14:paraId="3D7E6505" w14:textId="1932E5F4" w:rsidR="00554A9E" w:rsidRPr="009150DC" w:rsidRDefault="00554A9E" w:rsidP="0098172A">
      <w:pPr>
        <w:pStyle w:val="Caption"/>
        <w:keepNext w:val="0"/>
        <w:spacing w:after="240"/>
        <w:rPr>
          <w:lang w:val="en-AU"/>
        </w:rPr>
      </w:pPr>
      <w:bookmarkStart w:id="319" w:name="_Ref34836427"/>
      <w:r w:rsidRPr="009150DC">
        <w:rPr>
          <w:lang w:val="en-AU"/>
        </w:rPr>
        <w:t xml:space="preserve">Figure </w:t>
      </w:r>
      <w:r w:rsidRPr="009150DC">
        <w:rPr>
          <w:lang w:val="en-AU"/>
        </w:rPr>
        <w:fldChar w:fldCharType="begin"/>
      </w:r>
      <w:r w:rsidRPr="009150DC">
        <w:rPr>
          <w:lang w:val="en-AU"/>
        </w:rPr>
        <w:instrText xml:space="preserve"> SEQ Figure \* ARABIC </w:instrText>
      </w:r>
      <w:r w:rsidRPr="009150DC">
        <w:rPr>
          <w:lang w:val="en-AU"/>
        </w:rPr>
        <w:fldChar w:fldCharType="separate"/>
      </w:r>
      <w:r w:rsidR="000A3AE7">
        <w:rPr>
          <w:noProof/>
          <w:lang w:val="en-AU"/>
        </w:rPr>
        <w:t>6</w:t>
      </w:r>
      <w:r w:rsidRPr="009150DC">
        <w:rPr>
          <w:lang w:val="en-AU"/>
        </w:rPr>
        <w:fldChar w:fldCharType="end"/>
      </w:r>
      <w:bookmarkEnd w:id="319"/>
      <w:r w:rsidRPr="009150DC">
        <w:rPr>
          <w:lang w:val="en-AU"/>
        </w:rPr>
        <w:t xml:space="preserve"> Type of R&amp;D activity, illustrating the contribution of each performing sector</w:t>
      </w:r>
    </w:p>
    <w:p w14:paraId="0CC2168B" w14:textId="4080F4EE" w:rsidR="0098172A" w:rsidRPr="009150DC" w:rsidRDefault="00AD6153" w:rsidP="0040595C">
      <w:pPr>
        <w:rPr>
          <w:lang w:val="en-AU"/>
        </w:rPr>
      </w:pPr>
      <w:r w:rsidRPr="009150DC">
        <w:rPr>
          <w:lang w:val="en-AU"/>
        </w:rPr>
        <w:t>Several reviews have noted that</w:t>
      </w:r>
      <w:r w:rsidR="00700EB8">
        <w:rPr>
          <w:lang w:val="en-AU"/>
        </w:rPr>
        <w:t>,</w:t>
      </w:r>
      <w:r w:rsidRPr="009150DC">
        <w:rPr>
          <w:lang w:val="en-AU"/>
        </w:rPr>
        <w:t xml:space="preserve"> </w:t>
      </w:r>
      <w:r w:rsidR="00811079" w:rsidRPr="009150DC">
        <w:rPr>
          <w:lang w:val="en-AU"/>
        </w:rPr>
        <w:t xml:space="preserve">while Australia </w:t>
      </w:r>
      <w:r w:rsidR="00700EB8">
        <w:rPr>
          <w:lang w:val="en-AU"/>
        </w:rPr>
        <w:t>performs</w:t>
      </w:r>
      <w:r w:rsidR="00811079" w:rsidRPr="009150DC">
        <w:rPr>
          <w:lang w:val="en-AU"/>
        </w:rPr>
        <w:t xml:space="preserve"> above </w:t>
      </w:r>
      <w:r w:rsidR="00700EB8">
        <w:rPr>
          <w:lang w:val="en-AU"/>
        </w:rPr>
        <w:t xml:space="preserve">the </w:t>
      </w:r>
      <w:r w:rsidR="00811079" w:rsidRPr="009150DC">
        <w:rPr>
          <w:lang w:val="en-AU"/>
        </w:rPr>
        <w:t xml:space="preserve">average globally </w:t>
      </w:r>
      <w:r w:rsidR="00700EB8">
        <w:rPr>
          <w:lang w:val="en-AU"/>
        </w:rPr>
        <w:t>in</w:t>
      </w:r>
      <w:r w:rsidR="00811079" w:rsidRPr="009150DC">
        <w:rPr>
          <w:lang w:val="en-AU"/>
        </w:rPr>
        <w:t xml:space="preserve"> knowledge creation, </w:t>
      </w:r>
      <w:r w:rsidRPr="009150DC">
        <w:rPr>
          <w:lang w:val="en-AU"/>
        </w:rPr>
        <w:t xml:space="preserve">there is room to improve </w:t>
      </w:r>
      <w:r w:rsidR="00E74B4E" w:rsidRPr="009150DC">
        <w:rPr>
          <w:lang w:val="en-AU"/>
        </w:rPr>
        <w:t xml:space="preserve">the effectiveness of </w:t>
      </w:r>
      <w:r w:rsidRPr="009150DC">
        <w:rPr>
          <w:lang w:val="en-AU"/>
        </w:rPr>
        <w:t>Australia’s knowledge translation and commercialisation.</w:t>
      </w:r>
      <w:r w:rsidRPr="009150DC">
        <w:rPr>
          <w:rStyle w:val="FootnoteReference"/>
          <w:lang w:val="en-AU"/>
        </w:rPr>
        <w:footnoteReference w:id="89"/>
      </w:r>
      <w:r w:rsidRPr="009150DC">
        <w:rPr>
          <w:lang w:val="en-AU"/>
        </w:rPr>
        <w:t xml:space="preserve"> </w:t>
      </w:r>
      <w:r w:rsidR="00811079" w:rsidRPr="009150DC">
        <w:rPr>
          <w:lang w:val="en-AU"/>
        </w:rPr>
        <w:t>Establishing a dedicated stream of funding for non</w:t>
      </w:r>
      <w:r w:rsidR="00023D45">
        <w:rPr>
          <w:lang w:val="en-AU"/>
        </w:rPr>
        <w:noBreakHyphen/>
      </w:r>
      <w:r w:rsidR="00811079" w:rsidRPr="009150DC">
        <w:rPr>
          <w:lang w:val="en-AU"/>
        </w:rPr>
        <w:t>medical research translational activities</w:t>
      </w:r>
      <w:r w:rsidR="009A7488">
        <w:rPr>
          <w:lang w:val="en-AU"/>
        </w:rPr>
        <w:t>,</w:t>
      </w:r>
      <w:r w:rsidR="0070042B">
        <w:rPr>
          <w:lang w:val="en-AU"/>
        </w:rPr>
        <w:t xml:space="preserve"> </w:t>
      </w:r>
      <w:r w:rsidR="0070042B" w:rsidRPr="009150DC">
        <w:rPr>
          <w:lang w:val="en-AU"/>
        </w:rPr>
        <w:t xml:space="preserve">comparable to </w:t>
      </w:r>
      <w:r w:rsidR="004D1774">
        <w:rPr>
          <w:lang w:val="en-AU"/>
        </w:rPr>
        <w:t>e</w:t>
      </w:r>
      <w:r w:rsidR="005F1E01">
        <w:rPr>
          <w:lang w:val="en-AU"/>
        </w:rPr>
        <w:t xml:space="preserve">lements of </w:t>
      </w:r>
      <w:r w:rsidR="0070042B" w:rsidRPr="009150DC">
        <w:rPr>
          <w:lang w:val="en-AU"/>
        </w:rPr>
        <w:t>the MRFF</w:t>
      </w:r>
      <w:r w:rsidR="009A7488">
        <w:rPr>
          <w:lang w:val="en-AU"/>
        </w:rPr>
        <w:t>,</w:t>
      </w:r>
      <w:r w:rsidR="00811079" w:rsidRPr="009150DC">
        <w:rPr>
          <w:lang w:val="en-AU"/>
        </w:rPr>
        <w:t xml:space="preserve"> has been recommended</w:t>
      </w:r>
      <w:r w:rsidR="00954AAA">
        <w:rPr>
          <w:lang w:val="en-AU"/>
        </w:rPr>
        <w:t xml:space="preserve"> </w:t>
      </w:r>
      <w:r w:rsidR="00954AAA" w:rsidRPr="009150DC">
        <w:rPr>
          <w:lang w:val="en-AU"/>
        </w:rPr>
        <w:lastRenderedPageBreak/>
        <w:t>previously</w:t>
      </w:r>
      <w:r w:rsidR="0070042B">
        <w:rPr>
          <w:lang w:val="en-AU"/>
        </w:rPr>
        <w:t>.</w:t>
      </w:r>
      <w:r w:rsidR="00811079" w:rsidRPr="009150DC">
        <w:rPr>
          <w:rStyle w:val="FootnoteReference"/>
          <w:lang w:val="en-AU"/>
        </w:rPr>
        <w:footnoteReference w:id="90"/>
      </w:r>
      <w:r w:rsidR="00077211" w:rsidRPr="009150DC">
        <w:rPr>
          <w:lang w:val="en-AU"/>
        </w:rPr>
        <w:t xml:space="preserve"> The MRFF will nearly double the government’s investment in medical research, and with a strong focus on translational </w:t>
      </w:r>
      <w:r w:rsidR="00D46BB6" w:rsidRPr="009150DC">
        <w:rPr>
          <w:lang w:val="en-AU"/>
        </w:rPr>
        <w:t>activity,</w:t>
      </w:r>
      <w:r w:rsidR="00077211" w:rsidRPr="009150DC">
        <w:rPr>
          <w:lang w:val="en-AU"/>
        </w:rPr>
        <w:t xml:space="preserve"> it will encourage Australian researchers to achieve greater impact and require them to work in multidisciplinary teams</w:t>
      </w:r>
      <w:r w:rsidR="00811079" w:rsidRPr="009150DC">
        <w:rPr>
          <w:lang w:val="en-AU"/>
        </w:rPr>
        <w:t xml:space="preserve">. </w:t>
      </w:r>
      <w:r w:rsidR="0070042B">
        <w:rPr>
          <w:lang w:val="en-AU"/>
        </w:rPr>
        <w:t xml:space="preserve">The limited experience of </w:t>
      </w:r>
      <w:r w:rsidRPr="009150DC">
        <w:rPr>
          <w:lang w:val="en-AU"/>
        </w:rPr>
        <w:t xml:space="preserve">Australian businesses engaging with researchers has prompted calls for additional </w:t>
      </w:r>
      <w:r w:rsidR="00954AAA">
        <w:rPr>
          <w:lang w:val="en-AU"/>
        </w:rPr>
        <w:t xml:space="preserve">business-side </w:t>
      </w:r>
      <w:r w:rsidRPr="009150DC">
        <w:rPr>
          <w:lang w:val="en-AU"/>
        </w:rPr>
        <w:t xml:space="preserve">incentives, </w:t>
      </w:r>
      <w:r w:rsidR="00954AAA">
        <w:rPr>
          <w:lang w:val="en-AU"/>
        </w:rPr>
        <w:t xml:space="preserve">for example </w:t>
      </w:r>
      <w:r w:rsidRPr="009150DC">
        <w:rPr>
          <w:lang w:val="en-AU"/>
        </w:rPr>
        <w:t>a collaboration premium</w:t>
      </w:r>
      <w:r w:rsidR="00954AAA">
        <w:rPr>
          <w:lang w:val="en-AU"/>
        </w:rPr>
        <w:t>, which I</w:t>
      </w:r>
      <w:r w:rsidR="00D546B8">
        <w:rPr>
          <w:lang w:val="en-AU"/>
        </w:rPr>
        <w:t>I</w:t>
      </w:r>
      <w:r w:rsidR="00954AAA">
        <w:rPr>
          <w:lang w:val="en-AU"/>
        </w:rPr>
        <w:t>SA has previously supported</w:t>
      </w:r>
      <w:r w:rsidRPr="009150DC">
        <w:rPr>
          <w:lang w:val="en-AU"/>
        </w:rPr>
        <w:t>.</w:t>
      </w:r>
      <w:r w:rsidRPr="009150DC">
        <w:rPr>
          <w:rStyle w:val="FootnoteReference"/>
          <w:lang w:val="en-AU"/>
        </w:rPr>
        <w:footnoteReference w:id="91"/>
      </w:r>
      <w:r w:rsidR="0098172A" w:rsidRPr="009150DC">
        <w:rPr>
          <w:lang w:val="en-AU"/>
        </w:rPr>
        <w:t xml:space="preserve"> </w:t>
      </w:r>
    </w:p>
    <w:p w14:paraId="3FF3AF17" w14:textId="23209763" w:rsidR="003B2B09" w:rsidRPr="009150DC" w:rsidRDefault="0040595C" w:rsidP="00AD6153">
      <w:pPr>
        <w:rPr>
          <w:lang w:val="en-AU"/>
        </w:rPr>
      </w:pPr>
      <w:r w:rsidRPr="009150DC">
        <w:rPr>
          <w:lang w:val="en-AU"/>
        </w:rPr>
        <w:t xml:space="preserve">In 2019, the OECD listed strong industry-research collaboration in R&amp;D as critical </w:t>
      </w:r>
      <w:r w:rsidR="00954AAA">
        <w:rPr>
          <w:lang w:val="en-AU"/>
        </w:rPr>
        <w:t>to</w:t>
      </w:r>
      <w:r w:rsidRPr="009150DC">
        <w:rPr>
          <w:lang w:val="en-AU"/>
        </w:rPr>
        <w:t xml:space="preserve"> the success of ISR governance policies.</w:t>
      </w:r>
      <w:r w:rsidRPr="009150DC">
        <w:rPr>
          <w:rStyle w:val="FootnoteReference"/>
          <w:lang w:val="en-AU"/>
        </w:rPr>
        <w:footnoteReference w:id="92"/>
      </w:r>
      <w:r w:rsidRPr="009150DC">
        <w:rPr>
          <w:lang w:val="en-AU"/>
        </w:rPr>
        <w:t xml:space="preserve"> </w:t>
      </w:r>
      <w:r w:rsidR="00AD6153" w:rsidRPr="009150DC">
        <w:rPr>
          <w:lang w:val="en-AU"/>
        </w:rPr>
        <w:t xml:space="preserve">Internationally, government initiatives to promote </w:t>
      </w:r>
      <w:r w:rsidRPr="009150DC">
        <w:rPr>
          <w:lang w:val="en-AU"/>
        </w:rPr>
        <w:t>industry</w:t>
      </w:r>
      <w:r w:rsidR="00023D45">
        <w:rPr>
          <w:lang w:val="en-AU"/>
        </w:rPr>
        <w:t>–</w:t>
      </w:r>
      <w:r w:rsidRPr="009150DC">
        <w:rPr>
          <w:lang w:val="en-AU"/>
        </w:rPr>
        <w:t>research</w:t>
      </w:r>
      <w:r w:rsidR="00AD6153" w:rsidRPr="009150DC">
        <w:rPr>
          <w:lang w:val="en-AU"/>
        </w:rPr>
        <w:t xml:space="preserve"> collaboration often focus on the creation of research centres</w:t>
      </w:r>
      <w:r w:rsidR="00DE679C">
        <w:rPr>
          <w:lang w:val="en-AU"/>
        </w:rPr>
        <w:t>.</w:t>
      </w:r>
      <w:r w:rsidR="00AD6153" w:rsidRPr="009150DC">
        <w:rPr>
          <w:lang w:val="en-AU"/>
        </w:rPr>
        <w:t xml:space="preserve"> </w:t>
      </w:r>
      <w:r w:rsidR="00DE679C">
        <w:rPr>
          <w:lang w:val="en-AU"/>
        </w:rPr>
        <w:t xml:space="preserve">These </w:t>
      </w:r>
      <w:r w:rsidR="00AD6153" w:rsidRPr="009150DC">
        <w:rPr>
          <w:lang w:val="en-AU"/>
        </w:rPr>
        <w:t xml:space="preserve">specialise in specific technological domains and connect industry with </w:t>
      </w:r>
      <w:r w:rsidRPr="009150DC">
        <w:rPr>
          <w:lang w:val="en-AU"/>
        </w:rPr>
        <w:t xml:space="preserve">research </w:t>
      </w:r>
      <w:r w:rsidR="00AD6153" w:rsidRPr="009150DC">
        <w:rPr>
          <w:lang w:val="en-AU"/>
        </w:rPr>
        <w:t xml:space="preserve">to drive innovation and the development of new commercial products and services. Examples include the </w:t>
      </w:r>
      <w:r w:rsidR="004C0E06">
        <w:rPr>
          <w:lang w:val="en-AU"/>
        </w:rPr>
        <w:t xml:space="preserve">UK’s </w:t>
      </w:r>
      <w:r w:rsidR="00AD6153" w:rsidRPr="009150DC">
        <w:rPr>
          <w:lang w:val="en-AU"/>
        </w:rPr>
        <w:t>Catapult Centres</w:t>
      </w:r>
      <w:r w:rsidR="004C0E06">
        <w:rPr>
          <w:lang w:val="en-AU"/>
        </w:rPr>
        <w:t>,</w:t>
      </w:r>
      <w:r w:rsidR="00AD6153" w:rsidRPr="009150DC">
        <w:rPr>
          <w:lang w:val="en-AU"/>
        </w:rPr>
        <w:t xml:space="preserve"> and innovation superclusters in Canada, where projects are co</w:t>
      </w:r>
      <w:r w:rsidR="00AD6153" w:rsidRPr="009150DC">
        <w:rPr>
          <w:lang w:val="en-AU"/>
        </w:rPr>
        <w:noBreakHyphen/>
        <w:t xml:space="preserve">funded by </w:t>
      </w:r>
      <w:r w:rsidR="0070042B">
        <w:rPr>
          <w:lang w:val="en-AU"/>
        </w:rPr>
        <w:t xml:space="preserve">government and </w:t>
      </w:r>
      <w:r w:rsidR="00AD6153" w:rsidRPr="009150DC">
        <w:rPr>
          <w:lang w:val="en-AU"/>
        </w:rPr>
        <w:t>industry at a one</w:t>
      </w:r>
      <w:r w:rsidR="00AD6153" w:rsidRPr="009150DC">
        <w:rPr>
          <w:lang w:val="en-AU"/>
        </w:rPr>
        <w:noBreakHyphen/>
        <w:t>to</w:t>
      </w:r>
      <w:r w:rsidR="00AD6153" w:rsidRPr="009150DC">
        <w:rPr>
          <w:lang w:val="en-AU"/>
        </w:rPr>
        <w:noBreakHyphen/>
        <w:t>one ratio. Germany’s High-Tech Strategy is recognised for its</w:t>
      </w:r>
      <w:r w:rsidR="00AD6153" w:rsidRPr="009150DC" w:rsidDel="00612B15">
        <w:rPr>
          <w:lang w:val="en-AU"/>
        </w:rPr>
        <w:t xml:space="preserve"> </w:t>
      </w:r>
      <w:r w:rsidR="00265876">
        <w:rPr>
          <w:lang w:val="en-AU"/>
        </w:rPr>
        <w:t>high</w:t>
      </w:r>
      <w:r w:rsidR="00023D45">
        <w:rPr>
          <w:lang w:val="en-AU"/>
        </w:rPr>
        <w:noBreakHyphen/>
      </w:r>
      <w:r w:rsidR="00265876">
        <w:rPr>
          <w:lang w:val="en-AU"/>
        </w:rPr>
        <w:t xml:space="preserve">level of </w:t>
      </w:r>
      <w:r w:rsidR="00AD6153" w:rsidRPr="009150DC">
        <w:rPr>
          <w:lang w:val="en-AU"/>
        </w:rPr>
        <w:t>industry</w:t>
      </w:r>
      <w:r w:rsidR="0070042B">
        <w:rPr>
          <w:lang w:val="en-AU"/>
        </w:rPr>
        <w:noBreakHyphen/>
      </w:r>
      <w:r w:rsidR="00AD6153" w:rsidRPr="009150DC">
        <w:rPr>
          <w:lang w:val="en-AU"/>
        </w:rPr>
        <w:t>science connect</w:t>
      </w:r>
      <w:r w:rsidR="00265876">
        <w:rPr>
          <w:lang w:val="en-AU"/>
        </w:rPr>
        <w:t>ivity</w:t>
      </w:r>
      <w:r w:rsidR="00AD6153" w:rsidRPr="009150DC">
        <w:rPr>
          <w:lang w:val="en-AU"/>
        </w:rPr>
        <w:t xml:space="preserve">. </w:t>
      </w:r>
    </w:p>
    <w:p w14:paraId="0C9DFF7B" w14:textId="7A0E1D4C" w:rsidR="00660293" w:rsidRPr="009150DC" w:rsidRDefault="00660293" w:rsidP="00660293">
      <w:pPr>
        <w:rPr>
          <w:lang w:val="en-AU"/>
        </w:rPr>
      </w:pPr>
      <w:r w:rsidRPr="009150DC">
        <w:rPr>
          <w:lang w:val="en-AU"/>
        </w:rPr>
        <w:t>Other international initiatives require intermediary organisations such as technology transfer offices to be a primary program partner, or allocate funding to a single consortium rather than a group of actors to ‘democratise’ the generation and diffusion of knowledge.</w:t>
      </w:r>
      <w:r w:rsidR="00E12AB1" w:rsidRPr="009150DC">
        <w:rPr>
          <w:lang w:val="en-AU"/>
        </w:rPr>
        <w:t xml:space="preserve"> ‘Challenge-based</w:t>
      </w:r>
      <w:r w:rsidRPr="009150DC">
        <w:rPr>
          <w:lang w:val="en-AU"/>
        </w:rPr>
        <w:t>’ innovation policies have also been effective, by setting bold strategic directions and causing different sectors and stakeholders to interact.</w:t>
      </w:r>
      <w:r w:rsidRPr="009150DC">
        <w:rPr>
          <w:rStyle w:val="FootnoteReference"/>
          <w:lang w:val="en-AU"/>
        </w:rPr>
        <w:footnoteReference w:id="93"/>
      </w:r>
    </w:p>
    <w:p w14:paraId="08A8F8C3" w14:textId="6CF0D582" w:rsidR="00E744B2" w:rsidRPr="009150DC" w:rsidRDefault="00E744B2" w:rsidP="00E744B2">
      <w:pPr>
        <w:rPr>
          <w:lang w:val="en-AU"/>
        </w:rPr>
      </w:pPr>
      <w:r w:rsidRPr="009150DC">
        <w:rPr>
          <w:lang w:val="en-AU"/>
        </w:rPr>
        <w:t>Collabo</w:t>
      </w:r>
      <w:r w:rsidR="00790382" w:rsidRPr="009150DC">
        <w:rPr>
          <w:lang w:val="en-AU"/>
        </w:rPr>
        <w:t>rative networks of multi</w:t>
      </w:r>
      <w:r w:rsidRPr="009150DC">
        <w:rPr>
          <w:lang w:val="en-AU"/>
        </w:rPr>
        <w:t>disciplinary and cross-sector actors, who are all actively involved in ISR, has been found to be an effective method of knowledge transfer.</w:t>
      </w:r>
      <w:r w:rsidRPr="009150DC">
        <w:rPr>
          <w:rStyle w:val="FootnoteReference"/>
          <w:lang w:val="en-AU"/>
        </w:rPr>
        <w:footnoteReference w:id="94"/>
      </w:r>
      <w:r w:rsidRPr="009150DC">
        <w:rPr>
          <w:lang w:val="en-AU"/>
        </w:rPr>
        <w:t xml:space="preserve"> These networks are based on transparency and trust; encourage mutual benefit and an understanding of each other’s interests (such as competing demands); have flexible funding programs that support a cooperation culture; reduce barriers to cooperation through clear contracts or binding agreements, particularly around intellectual property (IP); and encourage </w:t>
      </w:r>
      <w:r w:rsidR="00790382" w:rsidRPr="009150DC">
        <w:rPr>
          <w:lang w:val="en-AU"/>
        </w:rPr>
        <w:t>industry</w:t>
      </w:r>
      <w:r w:rsidR="00790382" w:rsidRPr="009150DC">
        <w:rPr>
          <w:lang w:val="en-AU"/>
        </w:rPr>
        <w:noBreakHyphen/>
      </w:r>
      <w:r w:rsidRPr="009150DC">
        <w:rPr>
          <w:lang w:val="en-AU"/>
        </w:rPr>
        <w:t>research staff mobility.</w:t>
      </w:r>
      <w:r w:rsidRPr="009150DC">
        <w:rPr>
          <w:rStyle w:val="FootnoteReference"/>
          <w:lang w:val="en-AU"/>
        </w:rPr>
        <w:footnoteReference w:id="95"/>
      </w:r>
      <w:r w:rsidRPr="009150DC">
        <w:rPr>
          <w:vertAlign w:val="superscript"/>
          <w:lang w:val="en-AU"/>
        </w:rPr>
        <w:t>,</w:t>
      </w:r>
      <w:r w:rsidRPr="009150DC">
        <w:rPr>
          <w:rStyle w:val="FootnoteReference"/>
          <w:lang w:val="en-AU"/>
        </w:rPr>
        <w:footnoteReference w:id="96"/>
      </w:r>
    </w:p>
    <w:p w14:paraId="6C3B55AC" w14:textId="0435F759" w:rsidR="00E744B2" w:rsidRPr="009150DC" w:rsidRDefault="00660293" w:rsidP="006C7818">
      <w:pPr>
        <w:rPr>
          <w:lang w:val="en-AU"/>
        </w:rPr>
      </w:pPr>
      <w:r w:rsidRPr="009150DC">
        <w:rPr>
          <w:lang w:val="en-AU"/>
        </w:rPr>
        <w:t xml:space="preserve">Initiatives aiming to progress </w:t>
      </w:r>
      <w:r w:rsidR="004C0E06">
        <w:rPr>
          <w:lang w:val="en-AU"/>
        </w:rPr>
        <w:t xml:space="preserve">ISR </w:t>
      </w:r>
      <w:r w:rsidRPr="009150DC">
        <w:rPr>
          <w:lang w:val="en-AU"/>
        </w:rPr>
        <w:t>commercialisation have focused on driving market interactions and IP management</w:t>
      </w:r>
      <w:r w:rsidR="004C0E06">
        <w:rPr>
          <w:lang w:val="en-AU"/>
        </w:rPr>
        <w:t xml:space="preserve">, </w:t>
      </w:r>
      <w:r w:rsidRPr="009150DC">
        <w:rPr>
          <w:lang w:val="en-AU"/>
        </w:rPr>
        <w:t xml:space="preserve">including grace periods for patents. </w:t>
      </w:r>
      <w:r w:rsidR="00E744B2" w:rsidRPr="009150DC">
        <w:rPr>
          <w:lang w:val="en-AU"/>
        </w:rPr>
        <w:t>To improve the proportion of technology transfer projects with substantial economic impact, s</w:t>
      </w:r>
      <w:r w:rsidRPr="009150DC">
        <w:rPr>
          <w:lang w:val="en-AU"/>
        </w:rPr>
        <w:t>trategic support</w:t>
      </w:r>
      <w:r w:rsidR="00A91490">
        <w:rPr>
          <w:lang w:val="en-AU"/>
        </w:rPr>
        <w:t xml:space="preserve"> should be provided. For example</w:t>
      </w:r>
      <w:r w:rsidRPr="009150DC">
        <w:rPr>
          <w:lang w:val="en-AU"/>
        </w:rPr>
        <w:t xml:space="preserve"> ensuring technology transfer projects can attract resources and scale</w:t>
      </w:r>
      <w:r w:rsidR="00A91490">
        <w:rPr>
          <w:lang w:val="en-AU"/>
        </w:rPr>
        <w:t xml:space="preserve"> </w:t>
      </w:r>
      <w:r w:rsidRPr="009150DC">
        <w:rPr>
          <w:lang w:val="en-AU"/>
        </w:rPr>
        <w:t xml:space="preserve">up if </w:t>
      </w:r>
      <w:r w:rsidRPr="009150DC">
        <w:rPr>
          <w:lang w:val="en-AU"/>
        </w:rPr>
        <w:lastRenderedPageBreak/>
        <w:t>necessary, and exit swiftly and smoothly if unsuccessful</w:t>
      </w:r>
      <w:r w:rsidR="00DE679C">
        <w:rPr>
          <w:lang w:val="en-AU"/>
        </w:rPr>
        <w:t>.</w:t>
      </w:r>
      <w:r w:rsidRPr="009150DC">
        <w:rPr>
          <w:rStyle w:val="FootnoteReference"/>
          <w:lang w:val="en-AU"/>
        </w:rPr>
        <w:footnoteReference w:id="97"/>
      </w:r>
      <w:r w:rsidRPr="009150DC">
        <w:rPr>
          <w:lang w:val="en-AU"/>
        </w:rPr>
        <w:t xml:space="preserve"> </w:t>
      </w:r>
      <w:r w:rsidR="00DE679C">
        <w:rPr>
          <w:lang w:val="en-AU"/>
        </w:rPr>
        <w:t>Th</w:t>
      </w:r>
      <w:r w:rsidR="00A91490">
        <w:rPr>
          <w:lang w:val="en-AU"/>
        </w:rPr>
        <w:t>ese</w:t>
      </w:r>
      <w:r w:rsidR="00DE679C">
        <w:rPr>
          <w:lang w:val="en-AU"/>
        </w:rPr>
        <w:t xml:space="preserve"> </w:t>
      </w:r>
      <w:r w:rsidR="00E744B2" w:rsidRPr="009150DC">
        <w:rPr>
          <w:lang w:val="en-AU"/>
        </w:rPr>
        <w:t>ha</w:t>
      </w:r>
      <w:r w:rsidR="00A91490">
        <w:rPr>
          <w:lang w:val="en-AU"/>
        </w:rPr>
        <w:t>ve</w:t>
      </w:r>
      <w:r w:rsidR="00E744B2" w:rsidRPr="009150DC">
        <w:rPr>
          <w:lang w:val="en-AU"/>
        </w:rPr>
        <w:t xml:space="preserve"> been found to be </w:t>
      </w:r>
      <w:r w:rsidRPr="009150DC">
        <w:rPr>
          <w:lang w:val="en-AU"/>
        </w:rPr>
        <w:t>more effective</w:t>
      </w:r>
      <w:r w:rsidR="00A91490">
        <w:rPr>
          <w:lang w:val="en-AU"/>
        </w:rPr>
        <w:t xml:space="preserve"> at increasing commercialisation</w:t>
      </w:r>
      <w:r w:rsidRPr="009150DC">
        <w:rPr>
          <w:lang w:val="en-AU"/>
        </w:rPr>
        <w:t xml:space="preserve"> than </w:t>
      </w:r>
      <w:r w:rsidR="00A91490">
        <w:rPr>
          <w:lang w:val="en-AU"/>
        </w:rPr>
        <w:t xml:space="preserve">those based on </w:t>
      </w:r>
      <w:r w:rsidR="004C0E06">
        <w:rPr>
          <w:lang w:val="en-AU"/>
        </w:rPr>
        <w:t xml:space="preserve">traditional </w:t>
      </w:r>
      <w:r w:rsidRPr="009150DC">
        <w:rPr>
          <w:lang w:val="en-AU"/>
        </w:rPr>
        <w:t>indicators such as increasing the total number of patents or start</w:t>
      </w:r>
      <w:r w:rsidR="004C0E06">
        <w:rPr>
          <w:lang w:val="en-AU"/>
        </w:rPr>
        <w:noBreakHyphen/>
      </w:r>
      <w:r w:rsidRPr="009150DC">
        <w:rPr>
          <w:lang w:val="en-AU"/>
        </w:rPr>
        <w:t>ups</w:t>
      </w:r>
      <w:r w:rsidR="00A91490">
        <w:rPr>
          <w:lang w:val="en-AU"/>
        </w:rPr>
        <w:t>.</w:t>
      </w:r>
      <w:r w:rsidRPr="009150DC">
        <w:rPr>
          <w:rStyle w:val="FootnoteReference"/>
          <w:lang w:val="en-AU"/>
        </w:rPr>
        <w:footnoteReference w:id="98"/>
      </w:r>
      <w:r w:rsidRPr="009150DC">
        <w:rPr>
          <w:lang w:val="en-AU"/>
        </w:rPr>
        <w:t xml:space="preserve"> </w:t>
      </w:r>
      <w:r w:rsidR="00A91490">
        <w:rPr>
          <w:lang w:val="en-AU"/>
        </w:rPr>
        <w:t>This shift away from traditional indicators</w:t>
      </w:r>
      <w:r w:rsidR="009F483E">
        <w:rPr>
          <w:lang w:val="en-AU"/>
        </w:rPr>
        <w:t xml:space="preserve"> </w:t>
      </w:r>
      <w:r w:rsidRPr="009150DC">
        <w:rPr>
          <w:lang w:val="en-AU"/>
        </w:rPr>
        <w:t>is particularly relevant in regards to evaluation and measuring the success of industry-research collaboration initiatives.</w:t>
      </w:r>
    </w:p>
    <w:p w14:paraId="54554A82" w14:textId="38472660" w:rsidR="00AD6153" w:rsidRPr="009150DC" w:rsidRDefault="00AD6153" w:rsidP="00A22287">
      <w:pPr>
        <w:pStyle w:val="Heading3"/>
        <w:rPr>
          <w:lang w:val="en-AU"/>
        </w:rPr>
      </w:pPr>
      <w:bookmarkStart w:id="320" w:name="_Toc34919454"/>
      <w:bookmarkStart w:id="321" w:name="_Toc34921740"/>
      <w:bookmarkStart w:id="322" w:name="_Toc34924058"/>
      <w:bookmarkStart w:id="323" w:name="_Toc34925382"/>
      <w:bookmarkStart w:id="324" w:name="_Toc34989529"/>
      <w:bookmarkStart w:id="325" w:name="_Toc35006813"/>
      <w:bookmarkStart w:id="326" w:name="_Toc35011748"/>
      <w:bookmarkStart w:id="327" w:name="_Toc35015775"/>
      <w:bookmarkStart w:id="328" w:name="_Toc35356385"/>
      <w:bookmarkStart w:id="329" w:name="_Toc36651059"/>
      <w:bookmarkStart w:id="330" w:name="_Toc36806816"/>
      <w:bookmarkStart w:id="331" w:name="_Toc42868687"/>
      <w:bookmarkStart w:id="332" w:name="_Toc42872707"/>
      <w:bookmarkStart w:id="333" w:name="_Toc43996710"/>
      <w:bookmarkStart w:id="334" w:name="_Toc43999086"/>
      <w:r w:rsidRPr="009150DC">
        <w:rPr>
          <w:lang w:val="en-AU"/>
        </w:rPr>
        <w:t>Risk</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3C996288" w14:textId="4135196A" w:rsidR="00B3777B" w:rsidRPr="009150DC" w:rsidRDefault="00F76545" w:rsidP="007A6592">
      <w:pPr>
        <w:rPr>
          <w:lang w:val="en-AU"/>
        </w:rPr>
      </w:pPr>
      <w:r w:rsidRPr="006C157E">
        <w:t xml:space="preserve">Incorporation of </w:t>
      </w:r>
      <w:r w:rsidR="00822107" w:rsidRPr="006C157E">
        <w:t>high</w:t>
      </w:r>
      <w:r w:rsidR="0015075A">
        <w:noBreakHyphen/>
      </w:r>
      <w:r w:rsidRPr="006C157E">
        <w:t>r</w:t>
      </w:r>
      <w:r w:rsidR="00087B12" w:rsidRPr="006C157E">
        <w:t>isk</w:t>
      </w:r>
      <w:r w:rsidRPr="006C157E">
        <w:t xml:space="preserve"> </w:t>
      </w:r>
      <w:r w:rsidR="00822107" w:rsidRPr="006C157E">
        <w:t>and high</w:t>
      </w:r>
      <w:r w:rsidR="0015075A">
        <w:noBreakHyphen/>
      </w:r>
      <w:r w:rsidR="00822107" w:rsidRPr="006C157E">
        <w:t xml:space="preserve">reward ISR </w:t>
      </w:r>
      <w:r w:rsidRPr="006C157E">
        <w:t xml:space="preserve">in </w:t>
      </w:r>
      <w:r w:rsidR="005562CB" w:rsidRPr="006C157E">
        <w:t>a strategically balanced portfolio of investments ensure</w:t>
      </w:r>
      <w:r w:rsidRPr="006C157E">
        <w:t>s</w:t>
      </w:r>
      <w:r w:rsidR="005562CB" w:rsidRPr="006C157E">
        <w:t xml:space="preserve"> sufficient support of ambitious or bold approaches </w:t>
      </w:r>
      <w:r w:rsidR="00CC4E76" w:rsidRPr="006C157E">
        <w:t>with</w:t>
      </w:r>
      <w:r w:rsidR="005562CB" w:rsidRPr="006C157E">
        <w:t xml:space="preserve"> the potential to lead to breakthrough ISR. The</w:t>
      </w:r>
      <w:r w:rsidR="00F51082" w:rsidRPr="006C157E">
        <w:t xml:space="preserve"> technical and commercial</w:t>
      </w:r>
      <w:r w:rsidR="005562CB" w:rsidRPr="006C157E">
        <w:t xml:space="preserve"> risks of ISR investments need to be assessed, accepted and incorporated into the initial design</w:t>
      </w:r>
      <w:r w:rsidR="009F483E">
        <w:t>,</w:t>
      </w:r>
      <w:r w:rsidR="005562CB" w:rsidRPr="006C157E">
        <w:t xml:space="preserve"> and </w:t>
      </w:r>
      <w:r w:rsidR="00087B12" w:rsidRPr="006C157E">
        <w:t xml:space="preserve">strategically </w:t>
      </w:r>
      <w:r w:rsidR="005562CB" w:rsidRPr="006C157E">
        <w:t xml:space="preserve">balanced </w:t>
      </w:r>
      <w:r w:rsidR="00087B12" w:rsidRPr="006C157E">
        <w:t>across the investment portfolio</w:t>
      </w:r>
      <w:r w:rsidR="005562CB" w:rsidRPr="006C157E">
        <w:t>.</w:t>
      </w:r>
      <w:r w:rsidR="009A1BF1" w:rsidRPr="006C157E">
        <w:t xml:space="preserve"> </w:t>
      </w:r>
    </w:p>
    <w:p w14:paraId="6FCB434C" w14:textId="3B66B82E" w:rsidR="003507EB" w:rsidRPr="009150DC" w:rsidRDefault="009A1BF1" w:rsidP="00AA60AF">
      <w:pPr>
        <w:rPr>
          <w:lang w:val="en-AU"/>
        </w:rPr>
      </w:pPr>
      <w:r w:rsidRPr="009150DC">
        <w:rPr>
          <w:lang w:val="en-AU"/>
        </w:rPr>
        <w:t>I</w:t>
      </w:r>
      <w:r w:rsidR="00D546B8">
        <w:rPr>
          <w:lang w:val="en-AU"/>
        </w:rPr>
        <w:t>I</w:t>
      </w:r>
      <w:r w:rsidRPr="009150DC">
        <w:rPr>
          <w:lang w:val="en-AU"/>
        </w:rPr>
        <w:t xml:space="preserve">SA found </w:t>
      </w:r>
      <w:r w:rsidR="00637DB8">
        <w:rPr>
          <w:lang w:val="en-AU"/>
        </w:rPr>
        <w:t>that the</w:t>
      </w:r>
      <w:r w:rsidRPr="009150DC">
        <w:rPr>
          <w:lang w:val="en-AU"/>
        </w:rPr>
        <w:t xml:space="preserve"> Government </w:t>
      </w:r>
      <w:r w:rsidR="00637DB8">
        <w:rPr>
          <w:lang w:val="en-AU"/>
        </w:rPr>
        <w:t>al</w:t>
      </w:r>
      <w:r w:rsidR="003532E0">
        <w:rPr>
          <w:lang w:val="en-AU"/>
        </w:rPr>
        <w:t>r</w:t>
      </w:r>
      <w:r w:rsidR="00637DB8">
        <w:rPr>
          <w:lang w:val="en-AU"/>
        </w:rPr>
        <w:t xml:space="preserve">eady </w:t>
      </w:r>
      <w:r w:rsidRPr="009150DC">
        <w:rPr>
          <w:lang w:val="en-AU"/>
        </w:rPr>
        <w:t>inves</w:t>
      </w:r>
      <w:r w:rsidR="00637DB8">
        <w:rPr>
          <w:lang w:val="en-AU"/>
        </w:rPr>
        <w:t>ts</w:t>
      </w:r>
      <w:r w:rsidRPr="009150DC">
        <w:rPr>
          <w:lang w:val="en-AU"/>
        </w:rPr>
        <w:t xml:space="preserve"> in </w:t>
      </w:r>
      <w:r w:rsidR="00637DB8">
        <w:rPr>
          <w:lang w:val="en-AU"/>
        </w:rPr>
        <w:t xml:space="preserve">some </w:t>
      </w:r>
      <w:r w:rsidRPr="009150DC">
        <w:rPr>
          <w:lang w:val="en-AU"/>
        </w:rPr>
        <w:t>higher</w:t>
      </w:r>
      <w:r w:rsidRPr="009150DC">
        <w:rPr>
          <w:lang w:val="en-AU"/>
        </w:rPr>
        <w:noBreakHyphen/>
        <w:t>risk ISR. For example, ARENA actively pursues higher</w:t>
      </w:r>
      <w:r w:rsidRPr="009150DC">
        <w:rPr>
          <w:lang w:val="en-AU"/>
        </w:rPr>
        <w:noBreakHyphen/>
        <w:t>risk project investments in order to reduce future investment risks and support technology commercialisation.</w:t>
      </w:r>
      <w:r w:rsidRPr="009150DC">
        <w:rPr>
          <w:rStyle w:val="FootnoteReference"/>
          <w:lang w:val="en-AU"/>
        </w:rPr>
        <w:footnoteReference w:id="99"/>
      </w:r>
      <w:r w:rsidRPr="009150DC">
        <w:rPr>
          <w:lang w:val="en-AU"/>
        </w:rPr>
        <w:t xml:space="preserve"> </w:t>
      </w:r>
      <w:r w:rsidR="00AB4B5D" w:rsidRPr="009150DC">
        <w:rPr>
          <w:lang w:val="en-AU"/>
        </w:rPr>
        <w:t>T</w:t>
      </w:r>
      <w:r w:rsidRPr="009150DC">
        <w:rPr>
          <w:lang w:val="en-AU"/>
        </w:rPr>
        <w:t>he MRFF’s Frontier Health and Medical Research initiative, NHMRC Ideas grants and CSIRO</w:t>
      </w:r>
      <w:r w:rsidR="00476D9F">
        <w:rPr>
          <w:lang w:val="en-AU"/>
        </w:rPr>
        <w:t>’s</w:t>
      </w:r>
      <w:r w:rsidRPr="009150DC">
        <w:rPr>
          <w:lang w:val="en-AU"/>
        </w:rPr>
        <w:t xml:space="preserve"> </w:t>
      </w:r>
      <w:hyperlink r:id="rId28" w:history="1">
        <w:r w:rsidRPr="009150DC">
          <w:rPr>
            <w:rStyle w:val="Hyperlink"/>
            <w:color w:val="auto"/>
            <w:u w:val="none"/>
            <w:lang w:val="en-AU"/>
          </w:rPr>
          <w:t>Main Sequence Ventures</w:t>
        </w:r>
      </w:hyperlink>
      <w:r w:rsidRPr="009150DC">
        <w:rPr>
          <w:lang w:val="en-AU"/>
        </w:rPr>
        <w:t xml:space="preserve"> are investment programs largel</w:t>
      </w:r>
      <w:r w:rsidR="00790382" w:rsidRPr="009150DC">
        <w:rPr>
          <w:lang w:val="en-AU"/>
        </w:rPr>
        <w:t>y focussed on supporting higher</w:t>
      </w:r>
      <w:r w:rsidR="00790382" w:rsidRPr="009150DC">
        <w:rPr>
          <w:lang w:val="en-AU"/>
        </w:rPr>
        <w:noBreakHyphen/>
        <w:t>risk, often early</w:t>
      </w:r>
      <w:r w:rsidR="00790382" w:rsidRPr="009150DC">
        <w:rPr>
          <w:lang w:val="en-AU"/>
        </w:rPr>
        <w:noBreakHyphen/>
      </w:r>
      <w:r w:rsidRPr="009150DC">
        <w:rPr>
          <w:lang w:val="en-AU"/>
        </w:rPr>
        <w:t>stage</w:t>
      </w:r>
      <w:r w:rsidR="006F46A2">
        <w:rPr>
          <w:lang w:val="en-AU"/>
        </w:rPr>
        <w:t>,</w:t>
      </w:r>
      <w:r w:rsidRPr="009150DC">
        <w:rPr>
          <w:lang w:val="en-AU"/>
        </w:rPr>
        <w:t xml:space="preserve"> innovative ISR. MRFF’s Frontier Health and Medi</w:t>
      </w:r>
      <w:r w:rsidR="00790382" w:rsidRPr="009150DC">
        <w:rPr>
          <w:lang w:val="en-AU"/>
        </w:rPr>
        <w:t>cal Research program uses a two</w:t>
      </w:r>
      <w:r w:rsidR="00790382" w:rsidRPr="009150DC">
        <w:rPr>
          <w:lang w:val="en-AU"/>
        </w:rPr>
        <w:noBreakHyphen/>
      </w:r>
      <w:r w:rsidRPr="009150DC">
        <w:rPr>
          <w:lang w:val="en-AU"/>
        </w:rPr>
        <w:t xml:space="preserve">stage investment structure, </w:t>
      </w:r>
      <w:r w:rsidR="00AB4B5D" w:rsidRPr="009150DC">
        <w:rPr>
          <w:lang w:val="en-AU"/>
        </w:rPr>
        <w:t xml:space="preserve">with initial </w:t>
      </w:r>
      <w:r w:rsidRPr="009150DC">
        <w:rPr>
          <w:lang w:val="en-AU"/>
        </w:rPr>
        <w:t>support</w:t>
      </w:r>
      <w:r w:rsidR="00637DB8">
        <w:rPr>
          <w:lang w:val="en-AU"/>
        </w:rPr>
        <w:t xml:space="preserve"> of</w:t>
      </w:r>
      <w:r w:rsidRPr="009150DC">
        <w:rPr>
          <w:lang w:val="en-AU"/>
        </w:rPr>
        <w:t xml:space="preserve"> up to $1 million</w:t>
      </w:r>
      <w:r w:rsidR="00C9279B">
        <w:rPr>
          <w:lang w:val="en-AU"/>
        </w:rPr>
        <w:t>,</w:t>
      </w:r>
      <w:r w:rsidR="00AB4B5D" w:rsidRPr="009150DC">
        <w:rPr>
          <w:lang w:val="en-AU"/>
        </w:rPr>
        <w:t xml:space="preserve"> followed by </w:t>
      </w:r>
      <w:r w:rsidR="00790382" w:rsidRPr="009150DC">
        <w:rPr>
          <w:lang w:val="en-AU"/>
        </w:rPr>
        <w:t>$10–</w:t>
      </w:r>
      <w:r w:rsidR="00AB4B5D" w:rsidRPr="009150DC">
        <w:rPr>
          <w:lang w:val="en-AU"/>
        </w:rPr>
        <w:t xml:space="preserve">$20 million over five years for </w:t>
      </w:r>
      <w:r w:rsidRPr="009150DC">
        <w:rPr>
          <w:lang w:val="en-AU"/>
        </w:rPr>
        <w:t xml:space="preserve">the best proposals. </w:t>
      </w:r>
      <w:r w:rsidR="007B72E2">
        <w:rPr>
          <w:lang w:val="en-AU"/>
        </w:rPr>
        <w:t xml:space="preserve">However, </w:t>
      </w:r>
      <w:r w:rsidRPr="009150DC">
        <w:rPr>
          <w:lang w:val="en-AU"/>
        </w:rPr>
        <w:t>I</w:t>
      </w:r>
      <w:r w:rsidR="00523472">
        <w:rPr>
          <w:lang w:val="en-AU"/>
        </w:rPr>
        <w:t>I</w:t>
      </w:r>
      <w:r w:rsidRPr="009150DC">
        <w:rPr>
          <w:lang w:val="en-AU"/>
        </w:rPr>
        <w:t>SA could not</w:t>
      </w:r>
      <w:r w:rsidR="00790382" w:rsidRPr="009150DC">
        <w:rPr>
          <w:lang w:val="en-AU"/>
        </w:rPr>
        <w:t xml:space="preserve"> find evidence of a more system</w:t>
      </w:r>
      <w:r w:rsidR="00790382" w:rsidRPr="009150DC">
        <w:rPr>
          <w:lang w:val="en-AU"/>
        </w:rPr>
        <w:noBreakHyphen/>
      </w:r>
      <w:r w:rsidRPr="009150DC">
        <w:rPr>
          <w:lang w:val="en-AU"/>
        </w:rPr>
        <w:t>wide approach to risk within the government’s ISR investments</w:t>
      </w:r>
      <w:r w:rsidR="00AB4B5D" w:rsidRPr="009150DC">
        <w:rPr>
          <w:lang w:val="en-AU"/>
        </w:rPr>
        <w:t xml:space="preserve">, potentially limiting </w:t>
      </w:r>
      <w:r w:rsidRPr="009150DC">
        <w:rPr>
          <w:lang w:val="en-AU"/>
        </w:rPr>
        <w:t xml:space="preserve">access to </w:t>
      </w:r>
      <w:r w:rsidR="00AB4B5D" w:rsidRPr="009150DC">
        <w:rPr>
          <w:lang w:val="en-AU"/>
        </w:rPr>
        <w:t>high</w:t>
      </w:r>
      <w:r w:rsidR="00C9279B">
        <w:rPr>
          <w:lang w:val="en-AU"/>
        </w:rPr>
        <w:noBreakHyphen/>
      </w:r>
      <w:r w:rsidR="00AB4B5D" w:rsidRPr="009150DC">
        <w:rPr>
          <w:lang w:val="en-AU"/>
        </w:rPr>
        <w:t xml:space="preserve">risk </w:t>
      </w:r>
      <w:r w:rsidRPr="009150DC">
        <w:rPr>
          <w:lang w:val="en-AU"/>
        </w:rPr>
        <w:t xml:space="preserve">funding </w:t>
      </w:r>
      <w:r w:rsidR="00AB4B5D" w:rsidRPr="009150DC">
        <w:rPr>
          <w:lang w:val="en-AU"/>
        </w:rPr>
        <w:t>in some ISR areas</w:t>
      </w:r>
      <w:r w:rsidRPr="009150DC">
        <w:rPr>
          <w:lang w:val="en-AU"/>
        </w:rPr>
        <w:t>.</w:t>
      </w:r>
    </w:p>
    <w:p w14:paraId="2ECFE699" w14:textId="41CE7C9E" w:rsidR="003507EB" w:rsidRPr="009150DC" w:rsidRDefault="003507EB" w:rsidP="00AA60AF">
      <w:pPr>
        <w:rPr>
          <w:lang w:val="en-AU"/>
        </w:rPr>
      </w:pPr>
      <w:r w:rsidRPr="009150DC">
        <w:rPr>
          <w:lang w:val="en-AU"/>
        </w:rPr>
        <w:t>While risk is not explicitly considered in all government ISR investments, risk management processes have been established in some Government</w:t>
      </w:r>
      <w:r w:rsidRPr="009150DC">
        <w:rPr>
          <w:lang w:val="en-AU"/>
        </w:rPr>
        <w:noBreakHyphen/>
        <w:t>funded ISR initiatives. This includes the Defence Science and Technology</w:t>
      </w:r>
      <w:r w:rsidR="00B16B10">
        <w:rPr>
          <w:lang w:val="en-AU"/>
        </w:rPr>
        <w:t xml:space="preserve"> (DST)</w:t>
      </w:r>
      <w:r w:rsidRPr="009150DC">
        <w:rPr>
          <w:lang w:val="en-AU"/>
        </w:rPr>
        <w:t xml:space="preserve"> Group’s Technical Risk Assessment Handbook,</w:t>
      </w:r>
      <w:r w:rsidRPr="009150DC">
        <w:rPr>
          <w:rStyle w:val="FootnoteReference"/>
          <w:lang w:val="en-AU"/>
        </w:rPr>
        <w:footnoteReference w:id="100"/>
      </w:r>
      <w:r w:rsidRPr="009150DC">
        <w:rPr>
          <w:lang w:val="en-AU"/>
        </w:rPr>
        <w:t xml:space="preserve"> which provides Defence personnel and stake</w:t>
      </w:r>
      <w:r w:rsidR="00790382" w:rsidRPr="009150DC">
        <w:rPr>
          <w:lang w:val="en-AU"/>
        </w:rPr>
        <w:t>holders with a process and best</w:t>
      </w:r>
      <w:r w:rsidR="00790382" w:rsidRPr="009150DC">
        <w:rPr>
          <w:lang w:val="en-AU"/>
        </w:rPr>
        <w:noBreakHyphen/>
      </w:r>
      <w:r w:rsidRPr="009150DC">
        <w:rPr>
          <w:lang w:val="en-AU"/>
        </w:rPr>
        <w:t xml:space="preserve">practice guide to the assessment of technical risks for major Defence capital acquisition programs, including projects that require R&amp;D. The Accelerating Commercialisation stream of the </w:t>
      </w:r>
      <w:r w:rsidR="00A82654" w:rsidRPr="009150DC">
        <w:rPr>
          <w:lang w:val="en-AU"/>
        </w:rPr>
        <w:t>Entrepreneur</w:t>
      </w:r>
      <w:r w:rsidRPr="009150DC">
        <w:rPr>
          <w:lang w:val="en-AU"/>
        </w:rPr>
        <w:t>s</w:t>
      </w:r>
      <w:r w:rsidR="00A82654" w:rsidRPr="009150DC">
        <w:rPr>
          <w:lang w:val="en-AU"/>
        </w:rPr>
        <w:t>’</w:t>
      </w:r>
      <w:r w:rsidRPr="009150DC">
        <w:rPr>
          <w:lang w:val="en-AU"/>
        </w:rPr>
        <w:t xml:space="preserve"> Programme</w:t>
      </w:r>
      <w:r w:rsidRPr="009150DC">
        <w:rPr>
          <w:rStyle w:val="FootnoteReference"/>
          <w:lang w:val="en-AU"/>
        </w:rPr>
        <w:footnoteReference w:id="101"/>
      </w:r>
      <w:r w:rsidRPr="009150DC">
        <w:rPr>
          <w:lang w:val="en-AU"/>
        </w:rPr>
        <w:t xml:space="preserve"> deals at the program level with aspects of the technical risk of projects considered, as well as requiring applicants to provide an execution plan to capture the commercial opportunity and manage risk. </w:t>
      </w:r>
    </w:p>
    <w:p w14:paraId="45146A1B" w14:textId="242BB507" w:rsidR="00820C96" w:rsidRPr="009150DC" w:rsidRDefault="00820C96" w:rsidP="00820C96">
      <w:pPr>
        <w:rPr>
          <w:lang w:val="en-AU"/>
        </w:rPr>
      </w:pPr>
      <w:r w:rsidRPr="009150DC">
        <w:rPr>
          <w:lang w:val="en-AU"/>
        </w:rPr>
        <w:t xml:space="preserve">There is increasing international recognition of situations in which governments have played key ‘entrepreneurial’ roles, envisioning and financing the creation of entirely new fields of ISR, from information technology to biotech, nanotech and green tech. In Silicon Valley, for example, the </w:t>
      </w:r>
      <w:r w:rsidR="00C9279B">
        <w:rPr>
          <w:lang w:val="en-AU"/>
        </w:rPr>
        <w:lastRenderedPageBreak/>
        <w:t xml:space="preserve">United States </w:t>
      </w:r>
      <w:r w:rsidRPr="009150DC">
        <w:rPr>
          <w:lang w:val="en-AU"/>
        </w:rPr>
        <w:t xml:space="preserve">government acted as a strategic investor through a decentralised network of public institutions such as the Defence Advanced Research Projects Agency (DARPA), </w:t>
      </w:r>
      <w:r w:rsidR="00987F3F" w:rsidRPr="009150DC">
        <w:rPr>
          <w:lang w:val="en-AU"/>
        </w:rPr>
        <w:t>National Aeronautics and Space Administration (</w:t>
      </w:r>
      <w:r w:rsidRPr="009150DC">
        <w:rPr>
          <w:lang w:val="en-AU"/>
        </w:rPr>
        <w:t>NASA</w:t>
      </w:r>
      <w:r w:rsidR="00987F3F" w:rsidRPr="009150DC">
        <w:rPr>
          <w:lang w:val="en-AU"/>
        </w:rPr>
        <w:t>)</w:t>
      </w:r>
      <w:r w:rsidRPr="009150DC">
        <w:rPr>
          <w:lang w:val="en-AU"/>
        </w:rPr>
        <w:t xml:space="preserve"> and the Small Business Innovation Research (SBIR) program.</w:t>
      </w:r>
      <w:r w:rsidRPr="009150DC">
        <w:rPr>
          <w:rStyle w:val="FootnoteReference"/>
          <w:lang w:val="en-AU"/>
        </w:rPr>
        <w:footnoteReference w:id="102"/>
      </w:r>
      <w:r w:rsidRPr="009150DC">
        <w:rPr>
          <w:lang w:val="en-AU"/>
        </w:rPr>
        <w:t xml:space="preserve"> As the UK economist Mariana Mazzucato has pointed out, government</w:t>
      </w:r>
      <w:r w:rsidR="00C9279B">
        <w:rPr>
          <w:lang w:val="en-AU"/>
        </w:rPr>
        <w:t>s have</w:t>
      </w:r>
      <w:r w:rsidRPr="009150DC">
        <w:rPr>
          <w:lang w:val="en-AU"/>
        </w:rPr>
        <w:t xml:space="preserve"> developed nearly all of the technologies that made the iPhone possible: the internet, </w:t>
      </w:r>
      <w:r w:rsidR="00C9279B">
        <w:rPr>
          <w:lang w:val="en-AU"/>
        </w:rPr>
        <w:t>g</w:t>
      </w:r>
      <w:r w:rsidR="00987F3F" w:rsidRPr="009150DC">
        <w:rPr>
          <w:lang w:val="en-AU"/>
        </w:rPr>
        <w:t xml:space="preserve">lobal </w:t>
      </w:r>
      <w:r w:rsidR="00C9279B">
        <w:rPr>
          <w:lang w:val="en-AU"/>
        </w:rPr>
        <w:t>p</w:t>
      </w:r>
      <w:r w:rsidR="00987F3F" w:rsidRPr="009150DC">
        <w:rPr>
          <w:lang w:val="en-AU"/>
        </w:rPr>
        <w:t xml:space="preserve">ositioning </w:t>
      </w:r>
      <w:r w:rsidR="00C9279B">
        <w:rPr>
          <w:lang w:val="en-AU"/>
        </w:rPr>
        <w:t>s</w:t>
      </w:r>
      <w:r w:rsidR="00987F3F" w:rsidRPr="009150DC">
        <w:rPr>
          <w:lang w:val="en-AU"/>
        </w:rPr>
        <w:t>ystem</w:t>
      </w:r>
      <w:r w:rsidR="00C9279B">
        <w:rPr>
          <w:lang w:val="en-AU"/>
        </w:rPr>
        <w:t>s</w:t>
      </w:r>
      <w:r w:rsidR="00987F3F" w:rsidRPr="009150DC">
        <w:rPr>
          <w:lang w:val="en-AU"/>
        </w:rPr>
        <w:t xml:space="preserve"> (</w:t>
      </w:r>
      <w:r w:rsidRPr="009150DC">
        <w:rPr>
          <w:lang w:val="en-AU"/>
        </w:rPr>
        <w:t>GPS</w:t>
      </w:r>
      <w:r w:rsidR="00987F3F" w:rsidRPr="009150DC">
        <w:rPr>
          <w:lang w:val="en-AU"/>
        </w:rPr>
        <w:t>)</w:t>
      </w:r>
      <w:r w:rsidRPr="009150DC">
        <w:rPr>
          <w:lang w:val="en-AU"/>
        </w:rPr>
        <w:t xml:space="preserve">, touchscreens and </w:t>
      </w:r>
      <w:r w:rsidR="00C9279B">
        <w:rPr>
          <w:lang w:val="en-AU"/>
        </w:rPr>
        <w:t xml:space="preserve">the </w:t>
      </w:r>
      <w:r w:rsidRPr="009150DC">
        <w:rPr>
          <w:lang w:val="en-AU"/>
        </w:rPr>
        <w:t xml:space="preserve">advances in voice recognition technology </w:t>
      </w:r>
      <w:r w:rsidR="00C9279B">
        <w:rPr>
          <w:lang w:val="en-AU"/>
        </w:rPr>
        <w:t xml:space="preserve">which </w:t>
      </w:r>
      <w:r w:rsidRPr="009150DC">
        <w:rPr>
          <w:lang w:val="en-AU"/>
        </w:rPr>
        <w:t>underl</w:t>
      </w:r>
      <w:r w:rsidR="00C9279B">
        <w:rPr>
          <w:lang w:val="en-AU"/>
        </w:rPr>
        <w:t>ie</w:t>
      </w:r>
      <w:r w:rsidRPr="009150DC">
        <w:rPr>
          <w:lang w:val="en-AU"/>
        </w:rPr>
        <w:t xml:space="preserve"> Siri.</w:t>
      </w:r>
      <w:r w:rsidRPr="009150DC">
        <w:rPr>
          <w:rStyle w:val="FootnoteReference"/>
          <w:lang w:val="en-AU"/>
        </w:rPr>
        <w:footnoteReference w:id="103"/>
      </w:r>
    </w:p>
    <w:p w14:paraId="4BF644C4" w14:textId="3BCC8FEE" w:rsidR="00302605" w:rsidRPr="009150DC" w:rsidRDefault="009C2AFC" w:rsidP="00302605">
      <w:pPr>
        <w:rPr>
          <w:lang w:val="en-AU"/>
        </w:rPr>
      </w:pPr>
      <w:r>
        <w:rPr>
          <w:lang w:val="en-AU"/>
        </w:rPr>
        <w:t xml:space="preserve">The </w:t>
      </w:r>
      <w:r w:rsidR="00302605" w:rsidRPr="009150DC">
        <w:rPr>
          <w:lang w:val="en-AU"/>
        </w:rPr>
        <w:t>EU, UK, Canada, Germany, Japan, Singapore, Sweden and Israel have implemented specific mechanisms to support breakthrough innovation such as supporting researchers, start-ups and SMEs.</w:t>
      </w:r>
      <w:r w:rsidR="00302605" w:rsidRPr="009150DC">
        <w:rPr>
          <w:rStyle w:val="FootnoteReference"/>
          <w:lang w:val="en-AU"/>
        </w:rPr>
        <w:footnoteReference w:id="104"/>
      </w:r>
      <w:r w:rsidR="00302605" w:rsidRPr="009150DC">
        <w:rPr>
          <w:lang w:val="en-AU"/>
        </w:rPr>
        <w:t xml:space="preserve"> These include UKRI</w:t>
      </w:r>
      <w:r>
        <w:rPr>
          <w:lang w:val="en-AU"/>
        </w:rPr>
        <w:t>’s</w:t>
      </w:r>
      <w:r w:rsidR="00302605" w:rsidRPr="009150DC">
        <w:rPr>
          <w:lang w:val="en-AU"/>
        </w:rPr>
        <w:t xml:space="preserve"> Smart Grants, Canada’s ‘Challenge Programs’, Japan’s ImPACT (Impulsing Paradigm Change through Disruptive Technologies) program, Sweden’s Bio</w:t>
      </w:r>
      <w:r w:rsidR="00302605" w:rsidRPr="009150DC">
        <w:rPr>
          <w:lang w:val="en-AU"/>
        </w:rPr>
        <w:noBreakHyphen/>
        <w:t>innovation program, and Singapore’s National Research Foundation Investigatorships.</w:t>
      </w:r>
      <w:r w:rsidR="00FD0C34" w:rsidRPr="009150DC">
        <w:rPr>
          <w:lang w:val="en-AU"/>
        </w:rPr>
        <w:t xml:space="preserve"> </w:t>
      </w:r>
      <w:r w:rsidR="00302605" w:rsidRPr="009150DC">
        <w:rPr>
          <w:lang w:val="en-AU"/>
        </w:rPr>
        <w:t xml:space="preserve">A key aspect of many of these international mechanisms is that </w:t>
      </w:r>
      <w:r w:rsidR="00C9279B">
        <w:rPr>
          <w:lang w:val="en-AU"/>
        </w:rPr>
        <w:t xml:space="preserve">the </w:t>
      </w:r>
      <w:r w:rsidR="00302605" w:rsidRPr="009150DC">
        <w:rPr>
          <w:lang w:val="en-AU"/>
        </w:rPr>
        <w:t xml:space="preserve">funding for this potentially breakthrough innovation </w:t>
      </w:r>
      <w:r w:rsidR="00C9279B">
        <w:rPr>
          <w:lang w:val="en-AU"/>
        </w:rPr>
        <w:t>is unavailable from</w:t>
      </w:r>
      <w:r w:rsidR="00302605" w:rsidRPr="009150DC">
        <w:rPr>
          <w:lang w:val="en-AU"/>
        </w:rPr>
        <w:t xml:space="preserve"> other sources, primarily due to its high risk. </w:t>
      </w:r>
    </w:p>
    <w:p w14:paraId="5BE73FF6" w14:textId="77777777" w:rsidR="00AD6153" w:rsidRPr="009150DC" w:rsidRDefault="00AD6153" w:rsidP="00A22287">
      <w:pPr>
        <w:pStyle w:val="Heading3"/>
        <w:rPr>
          <w:lang w:val="en-AU"/>
        </w:rPr>
      </w:pPr>
      <w:bookmarkStart w:id="335" w:name="_Toc34919455"/>
      <w:bookmarkStart w:id="336" w:name="_Toc34921741"/>
      <w:bookmarkStart w:id="337" w:name="_Toc34924059"/>
      <w:bookmarkStart w:id="338" w:name="_Toc34925383"/>
      <w:bookmarkStart w:id="339" w:name="_Toc34989530"/>
      <w:bookmarkStart w:id="340" w:name="_Toc35006814"/>
      <w:bookmarkStart w:id="341" w:name="_Toc35011749"/>
      <w:bookmarkStart w:id="342" w:name="_Toc35015776"/>
      <w:bookmarkStart w:id="343" w:name="_Toc35356386"/>
      <w:bookmarkStart w:id="344" w:name="_Toc36651060"/>
      <w:bookmarkStart w:id="345" w:name="_Toc36806817"/>
      <w:bookmarkStart w:id="346" w:name="_Toc42868688"/>
      <w:bookmarkStart w:id="347" w:name="_Toc42872708"/>
      <w:bookmarkStart w:id="348" w:name="_Toc43996711"/>
      <w:bookmarkStart w:id="349" w:name="_Toc43999087"/>
      <w:r w:rsidRPr="009150DC">
        <w:rPr>
          <w:lang w:val="en-AU"/>
        </w:rPr>
        <w:t>Scale</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890CA52" w14:textId="6ABE2C3A" w:rsidR="00AD6153" w:rsidRPr="009150DC" w:rsidRDefault="00C86F2E" w:rsidP="00AA60AF">
      <w:pPr>
        <w:rPr>
          <w:lang w:val="en-AU"/>
        </w:rPr>
      </w:pPr>
      <w:r w:rsidRPr="009150DC">
        <w:rPr>
          <w:lang w:val="en-AU"/>
        </w:rPr>
        <w:t>A</w:t>
      </w:r>
      <w:r w:rsidR="001F0046" w:rsidRPr="009150DC">
        <w:rPr>
          <w:lang w:val="en-AU"/>
        </w:rPr>
        <w:t>ppropriately scale</w:t>
      </w:r>
      <w:r w:rsidRPr="009150DC">
        <w:rPr>
          <w:lang w:val="en-AU"/>
        </w:rPr>
        <w:t>d</w:t>
      </w:r>
      <w:r w:rsidR="001F0046" w:rsidRPr="009150DC">
        <w:rPr>
          <w:lang w:val="en-AU"/>
        </w:rPr>
        <w:t xml:space="preserve"> investments </w:t>
      </w:r>
      <w:r w:rsidRPr="009150DC">
        <w:rPr>
          <w:lang w:val="en-AU"/>
        </w:rPr>
        <w:t xml:space="preserve">are key to </w:t>
      </w:r>
      <w:r w:rsidR="00F068C0" w:rsidRPr="009150DC">
        <w:rPr>
          <w:lang w:val="en-AU"/>
        </w:rPr>
        <w:t xml:space="preserve">achieving </w:t>
      </w:r>
      <w:r w:rsidR="001F0046" w:rsidRPr="009150DC">
        <w:rPr>
          <w:lang w:val="en-AU"/>
        </w:rPr>
        <w:t xml:space="preserve">meaningful impact, precise targeting and </w:t>
      </w:r>
      <w:r w:rsidR="00185011">
        <w:rPr>
          <w:lang w:val="en-AU"/>
        </w:rPr>
        <w:t xml:space="preserve">delivery </w:t>
      </w:r>
      <w:r w:rsidR="001F0046" w:rsidRPr="009150DC">
        <w:rPr>
          <w:lang w:val="en-AU"/>
        </w:rPr>
        <w:t xml:space="preserve">efficiency. </w:t>
      </w:r>
      <w:r w:rsidR="00AD6153" w:rsidRPr="009150DC">
        <w:rPr>
          <w:lang w:val="en-AU"/>
        </w:rPr>
        <w:t>There is a recurring theme in the Australian literature that Australia’s science and research investments lack scale, b</w:t>
      </w:r>
      <w:r w:rsidR="00CE0F8A" w:rsidRPr="009150DC">
        <w:rPr>
          <w:lang w:val="en-AU"/>
        </w:rPr>
        <w:t xml:space="preserve">oth at </w:t>
      </w:r>
      <w:r w:rsidR="00185011">
        <w:rPr>
          <w:lang w:val="en-AU"/>
        </w:rPr>
        <w:t>the</w:t>
      </w:r>
      <w:r w:rsidR="00CE0F8A" w:rsidRPr="009150DC">
        <w:rPr>
          <w:lang w:val="en-AU"/>
        </w:rPr>
        <w:t xml:space="preserve"> program and </w:t>
      </w:r>
      <w:r w:rsidR="00185011">
        <w:rPr>
          <w:lang w:val="en-AU"/>
        </w:rPr>
        <w:t>the</w:t>
      </w:r>
      <w:r w:rsidR="00AD6153" w:rsidRPr="009150DC">
        <w:rPr>
          <w:lang w:val="en-AU"/>
        </w:rPr>
        <w:t xml:space="preserve"> system</w:t>
      </w:r>
      <w:r w:rsidR="00CE0F8A" w:rsidRPr="009150DC">
        <w:rPr>
          <w:lang w:val="en-AU"/>
        </w:rPr>
        <w:t xml:space="preserve"> level</w:t>
      </w:r>
      <w:r w:rsidR="00AD6153" w:rsidRPr="009150DC">
        <w:rPr>
          <w:lang w:val="en-AU"/>
        </w:rPr>
        <w:t xml:space="preserve">. According to one review, low success rates for research grants have been attributed to a limited </w:t>
      </w:r>
      <w:r w:rsidR="00CE0F8A" w:rsidRPr="009150DC">
        <w:rPr>
          <w:lang w:val="en-AU"/>
        </w:rPr>
        <w:t>funding pool</w:t>
      </w:r>
      <w:r w:rsidR="00AD6153" w:rsidRPr="009150DC">
        <w:rPr>
          <w:lang w:val="en-AU"/>
        </w:rPr>
        <w:t>, not a limited pool of quality applications.</w:t>
      </w:r>
      <w:r w:rsidR="00AD6153" w:rsidRPr="009150DC">
        <w:rPr>
          <w:rStyle w:val="FootnoteReference"/>
          <w:lang w:val="en-AU"/>
        </w:rPr>
        <w:footnoteReference w:id="105"/>
      </w:r>
      <w:r w:rsidR="00AD6153" w:rsidRPr="009150DC">
        <w:rPr>
          <w:lang w:val="en-AU"/>
        </w:rPr>
        <w:t xml:space="preserve"> In part, th</w:t>
      </w:r>
      <w:r w:rsidR="00185011">
        <w:rPr>
          <w:lang w:val="en-AU"/>
        </w:rPr>
        <w:t>is small ISR</w:t>
      </w:r>
      <w:r w:rsidR="00AD6153" w:rsidRPr="009150DC">
        <w:rPr>
          <w:lang w:val="en-AU"/>
        </w:rPr>
        <w:t xml:space="preserve"> investment scale reflects the smaller Australian economy </w:t>
      </w:r>
      <w:r w:rsidR="00185011">
        <w:rPr>
          <w:lang w:val="en-AU"/>
        </w:rPr>
        <w:t xml:space="preserve">as </w:t>
      </w:r>
      <w:r w:rsidR="00AD6153" w:rsidRPr="009150DC">
        <w:rPr>
          <w:lang w:val="en-AU"/>
        </w:rPr>
        <w:t xml:space="preserve">compared to peer economies such as the </w:t>
      </w:r>
      <w:r w:rsidR="00987F3F" w:rsidRPr="009150DC">
        <w:rPr>
          <w:lang w:val="en-AU"/>
        </w:rPr>
        <w:t>Unit</w:t>
      </w:r>
      <w:r w:rsidR="00494E5D">
        <w:rPr>
          <w:lang w:val="en-AU"/>
        </w:rPr>
        <w:t>ed States</w:t>
      </w:r>
      <w:r w:rsidR="00AD6153" w:rsidRPr="009150DC">
        <w:rPr>
          <w:lang w:val="en-AU"/>
        </w:rPr>
        <w:t xml:space="preserve">, UK and Canada. </w:t>
      </w:r>
    </w:p>
    <w:p w14:paraId="7DDC894D" w14:textId="298F9B1B" w:rsidR="00B235FE" w:rsidRPr="009150DC" w:rsidRDefault="00790382" w:rsidP="00AA60AF">
      <w:pPr>
        <w:rPr>
          <w:lang w:val="en-AU"/>
        </w:rPr>
      </w:pPr>
      <w:r w:rsidRPr="009150DC">
        <w:rPr>
          <w:lang w:val="en-AU"/>
        </w:rPr>
        <w:t>A high</w:t>
      </w:r>
      <w:r w:rsidRPr="009150DC">
        <w:rPr>
          <w:lang w:val="en-AU"/>
        </w:rPr>
        <w:noBreakHyphen/>
      </w:r>
      <w:r w:rsidR="00AD6153" w:rsidRPr="009150DC">
        <w:rPr>
          <w:lang w:val="en-AU"/>
        </w:rPr>
        <w:t xml:space="preserve">level analysis </w:t>
      </w:r>
      <w:r w:rsidR="00C51537" w:rsidRPr="009150DC">
        <w:rPr>
          <w:lang w:val="en-AU"/>
        </w:rPr>
        <w:t>found</w:t>
      </w:r>
      <w:r w:rsidR="00AD6153" w:rsidRPr="009150DC">
        <w:rPr>
          <w:lang w:val="en-AU"/>
        </w:rPr>
        <w:t xml:space="preserve"> that half of the ISR programs </w:t>
      </w:r>
      <w:r w:rsidR="007B72E2">
        <w:rPr>
          <w:lang w:val="en-AU"/>
        </w:rPr>
        <w:t xml:space="preserve">funded in </w:t>
      </w:r>
      <w:r w:rsidR="007B72E2" w:rsidRPr="009150DC">
        <w:rPr>
          <w:lang w:val="en-AU"/>
        </w:rPr>
        <w:t xml:space="preserve">2019–20 </w:t>
      </w:r>
      <w:r w:rsidR="00AD6153" w:rsidRPr="009150DC">
        <w:rPr>
          <w:lang w:val="en-AU"/>
        </w:rPr>
        <w:t>collectively account for under one</w:t>
      </w:r>
      <w:r w:rsidR="006A2EF3" w:rsidRPr="009150DC">
        <w:rPr>
          <w:lang w:val="en-AU"/>
        </w:rPr>
        <w:t> per cent</w:t>
      </w:r>
      <w:r w:rsidR="00AD6153" w:rsidRPr="009150DC">
        <w:rPr>
          <w:lang w:val="en-AU"/>
        </w:rPr>
        <w:t xml:space="preserve"> of </w:t>
      </w:r>
      <w:r w:rsidR="00225940">
        <w:rPr>
          <w:lang w:val="en-AU"/>
        </w:rPr>
        <w:t xml:space="preserve">the </w:t>
      </w:r>
      <w:r w:rsidR="00AD6153" w:rsidRPr="009150DC">
        <w:rPr>
          <w:lang w:val="en-AU"/>
        </w:rPr>
        <w:t>Government</w:t>
      </w:r>
      <w:r w:rsidR="00225940">
        <w:rPr>
          <w:lang w:val="en-AU"/>
        </w:rPr>
        <w:t>’s</w:t>
      </w:r>
      <w:r w:rsidR="00AD6153" w:rsidRPr="009150DC">
        <w:rPr>
          <w:lang w:val="en-AU"/>
        </w:rPr>
        <w:t xml:space="preserve"> ISR investment. </w:t>
      </w:r>
      <w:r w:rsidR="00CB3FFC" w:rsidRPr="009150DC">
        <w:rPr>
          <w:lang w:val="en-AU"/>
        </w:rPr>
        <w:t>T</w:t>
      </w:r>
      <w:r w:rsidR="00AD6153" w:rsidRPr="009150DC">
        <w:rPr>
          <w:lang w:val="en-AU"/>
        </w:rPr>
        <w:t>his long tail of small investments in ISR</w:t>
      </w:r>
      <w:r w:rsidR="00CB3FFC" w:rsidRPr="009150DC">
        <w:rPr>
          <w:lang w:val="en-AU"/>
        </w:rPr>
        <w:t xml:space="preserve"> is being driven by several </w:t>
      </w:r>
      <w:r w:rsidR="00B235FE" w:rsidRPr="009150DC">
        <w:rPr>
          <w:lang w:val="en-AU"/>
        </w:rPr>
        <w:t>types of programs: pilot programs, small</w:t>
      </w:r>
      <w:r w:rsidR="00023D45">
        <w:rPr>
          <w:lang w:val="en-AU"/>
        </w:rPr>
        <w:noBreakHyphen/>
      </w:r>
      <w:r w:rsidR="00B235FE" w:rsidRPr="009150DC">
        <w:rPr>
          <w:lang w:val="en-AU"/>
        </w:rPr>
        <w:t>scale ongoing programs that do not contribute to a larger program, and small-scale ongoing programs that do contribute to a larger program of work</w:t>
      </w:r>
      <w:r w:rsidR="00CB3FFC" w:rsidRPr="009150DC">
        <w:rPr>
          <w:lang w:val="en-AU"/>
        </w:rPr>
        <w:t xml:space="preserve">. </w:t>
      </w:r>
    </w:p>
    <w:p w14:paraId="71611C2C" w14:textId="419E5C3F" w:rsidR="00B235FE" w:rsidRPr="009150DC" w:rsidRDefault="00B235FE" w:rsidP="00AA60AF">
      <w:pPr>
        <w:rPr>
          <w:lang w:val="en-AU"/>
        </w:rPr>
      </w:pPr>
      <w:r w:rsidRPr="009150DC">
        <w:rPr>
          <w:lang w:val="en-AU"/>
        </w:rPr>
        <w:t>S</w:t>
      </w:r>
      <w:r w:rsidR="00CB3FFC" w:rsidRPr="009150DC">
        <w:rPr>
          <w:lang w:val="en-AU"/>
        </w:rPr>
        <w:t>ome</w:t>
      </w:r>
      <w:r w:rsidR="00AD6153" w:rsidRPr="009150DC">
        <w:rPr>
          <w:lang w:val="en-AU"/>
        </w:rPr>
        <w:t xml:space="preserve"> </w:t>
      </w:r>
      <w:r w:rsidR="00CB3FFC" w:rsidRPr="009150DC">
        <w:rPr>
          <w:lang w:val="en-AU"/>
        </w:rPr>
        <w:t xml:space="preserve">small ISR investments are ongoing, low-cost programs with merit, </w:t>
      </w:r>
      <w:r w:rsidRPr="009150DC">
        <w:rPr>
          <w:lang w:val="en-AU"/>
        </w:rPr>
        <w:t xml:space="preserve">which </w:t>
      </w:r>
      <w:r w:rsidR="00CB3FFC" w:rsidRPr="009150DC">
        <w:rPr>
          <w:lang w:val="en-AU"/>
        </w:rPr>
        <w:t xml:space="preserve">do not contribute to any larger program of work. </w:t>
      </w:r>
      <w:r w:rsidR="008C6B0C" w:rsidRPr="009150DC">
        <w:rPr>
          <w:lang w:val="en-AU"/>
        </w:rPr>
        <w:t xml:space="preserve">For example, the </w:t>
      </w:r>
      <w:r w:rsidR="00E5402B" w:rsidRPr="009150DC">
        <w:rPr>
          <w:lang w:val="en-AU"/>
        </w:rPr>
        <w:t>Australian Biological Resources Study (ABRS)</w:t>
      </w:r>
      <w:r w:rsidR="008C6B0C" w:rsidRPr="009150DC">
        <w:rPr>
          <w:lang w:val="en-AU"/>
        </w:rPr>
        <w:t>, funded since</w:t>
      </w:r>
      <w:r w:rsidR="00E5402B" w:rsidRPr="009150DC">
        <w:rPr>
          <w:lang w:val="en-AU"/>
        </w:rPr>
        <w:t xml:space="preserve"> 1978</w:t>
      </w:r>
      <w:r w:rsidR="00790382" w:rsidRPr="009150DC">
        <w:rPr>
          <w:lang w:val="en-AU"/>
        </w:rPr>
        <w:t>–</w:t>
      </w:r>
      <w:r w:rsidR="00E5402B" w:rsidRPr="009150DC">
        <w:rPr>
          <w:lang w:val="en-AU"/>
        </w:rPr>
        <w:t>79</w:t>
      </w:r>
      <w:r w:rsidR="008C6B0C" w:rsidRPr="009150DC">
        <w:rPr>
          <w:lang w:val="en-AU"/>
        </w:rPr>
        <w:t xml:space="preserve"> with an average annual budget of $1.8 million, </w:t>
      </w:r>
      <w:r w:rsidR="00E5402B" w:rsidRPr="009150DC">
        <w:rPr>
          <w:lang w:val="en-AU"/>
        </w:rPr>
        <w:t xml:space="preserve">coordinates </w:t>
      </w:r>
      <w:r w:rsidR="008C6B0C" w:rsidRPr="009150DC">
        <w:rPr>
          <w:lang w:val="en-AU"/>
        </w:rPr>
        <w:t xml:space="preserve">research </w:t>
      </w:r>
      <w:r w:rsidR="00E5402B" w:rsidRPr="009150DC">
        <w:rPr>
          <w:lang w:val="en-AU"/>
        </w:rPr>
        <w:t xml:space="preserve">in </w:t>
      </w:r>
      <w:r w:rsidR="00E5402B" w:rsidRPr="009150DC">
        <w:rPr>
          <w:lang w:val="en-AU"/>
        </w:rPr>
        <w:lastRenderedPageBreak/>
        <w:t xml:space="preserve">taxonomy and </w:t>
      </w:r>
      <w:r w:rsidR="00870FF0">
        <w:rPr>
          <w:lang w:val="en-AU"/>
        </w:rPr>
        <w:t xml:space="preserve">documentation of </w:t>
      </w:r>
      <w:r w:rsidR="00873629" w:rsidRPr="009150DC">
        <w:rPr>
          <w:lang w:val="en-AU"/>
        </w:rPr>
        <w:t>Australia’s</w:t>
      </w:r>
      <w:r w:rsidR="00E5402B" w:rsidRPr="009150DC">
        <w:rPr>
          <w:lang w:val="en-AU"/>
        </w:rPr>
        <w:t xml:space="preserve"> flora and fauna. ABRS </w:t>
      </w:r>
      <w:r w:rsidR="00456A69" w:rsidRPr="009150DC">
        <w:rPr>
          <w:lang w:val="en-AU"/>
        </w:rPr>
        <w:t>prov</w:t>
      </w:r>
      <w:r w:rsidR="00873629" w:rsidRPr="009150DC">
        <w:rPr>
          <w:lang w:val="en-AU"/>
        </w:rPr>
        <w:t>ides fundamental information underpinning</w:t>
      </w:r>
      <w:r w:rsidR="00456A69" w:rsidRPr="009150DC">
        <w:rPr>
          <w:lang w:val="en-AU"/>
        </w:rPr>
        <w:t xml:space="preserve"> Australia’s biodiversity research and ag</w:t>
      </w:r>
      <w:r w:rsidR="00025DF9">
        <w:rPr>
          <w:lang w:val="en-AU"/>
        </w:rPr>
        <w:t>ricultural industries.</w:t>
      </w:r>
      <w:r w:rsidR="008C6B0C" w:rsidRPr="009150DC">
        <w:rPr>
          <w:rStyle w:val="FootnoteReference"/>
          <w:lang w:val="en-AU"/>
        </w:rPr>
        <w:footnoteReference w:id="106"/>
      </w:r>
      <w:r w:rsidR="004845C1" w:rsidRPr="009150DC">
        <w:rPr>
          <w:vertAlign w:val="superscript"/>
          <w:lang w:val="en-AU"/>
        </w:rPr>
        <w:t>,</w:t>
      </w:r>
      <w:r w:rsidR="00456A69" w:rsidRPr="009150DC">
        <w:rPr>
          <w:rStyle w:val="FootnoteReference"/>
          <w:lang w:val="en-AU"/>
        </w:rPr>
        <w:footnoteReference w:id="107"/>
      </w:r>
    </w:p>
    <w:p w14:paraId="61975954" w14:textId="19F3B8E1" w:rsidR="00E17B4E" w:rsidRDefault="0021046C" w:rsidP="00E17B4E">
      <w:pPr>
        <w:rPr>
          <w:lang w:val="en-AU"/>
        </w:rPr>
      </w:pPr>
      <w:r w:rsidRPr="009150DC">
        <w:rPr>
          <w:lang w:val="en-AU"/>
        </w:rPr>
        <w:t>It is important that the scale of ISR programs is appropriate</w:t>
      </w:r>
      <w:r w:rsidR="00870FF0">
        <w:rPr>
          <w:lang w:val="en-AU"/>
        </w:rPr>
        <w:t>,</w:t>
      </w:r>
      <w:r w:rsidRPr="009150DC">
        <w:rPr>
          <w:lang w:val="en-AU"/>
        </w:rPr>
        <w:t xml:space="preserve"> relative to their intent. For example, the Government’s $20 billion commitment to the MRFF is appropriately scaled to the Fund’s objective to transform health and medical research and innovation to improve lives, build the economy and contribute to health system sustainability.</w:t>
      </w:r>
      <w:r w:rsidRPr="009150DC">
        <w:rPr>
          <w:rStyle w:val="FootnoteReference"/>
          <w:lang w:val="en-AU"/>
        </w:rPr>
        <w:footnoteReference w:id="108"/>
      </w:r>
      <w:r w:rsidRPr="009150DC">
        <w:rPr>
          <w:lang w:val="en-AU"/>
        </w:rPr>
        <w:t xml:space="preserve"> </w:t>
      </w:r>
      <w:r w:rsidR="002C3035" w:rsidRPr="009150DC">
        <w:rPr>
          <w:lang w:val="en-AU"/>
        </w:rPr>
        <w:fldChar w:fldCharType="begin"/>
      </w:r>
      <w:r w:rsidR="002C3035" w:rsidRPr="009150DC">
        <w:rPr>
          <w:lang w:val="en-AU"/>
        </w:rPr>
        <w:instrText xml:space="preserve"> REF _Ref43996726 \h </w:instrText>
      </w:r>
      <w:r w:rsidR="002C3035" w:rsidRPr="009150DC">
        <w:rPr>
          <w:lang w:val="en-AU"/>
        </w:rPr>
      </w:r>
      <w:r w:rsidR="002C3035" w:rsidRPr="009150DC">
        <w:rPr>
          <w:lang w:val="en-AU"/>
        </w:rPr>
        <w:fldChar w:fldCharType="separate"/>
      </w:r>
      <w:r w:rsidR="000A3AE7" w:rsidRPr="009150DC">
        <w:rPr>
          <w:lang w:val="en-AU"/>
        </w:rPr>
        <w:t xml:space="preserve">Figure </w:t>
      </w:r>
      <w:r w:rsidR="000A3AE7">
        <w:rPr>
          <w:noProof/>
          <w:lang w:val="en-AU"/>
        </w:rPr>
        <w:t>7</w:t>
      </w:r>
      <w:r w:rsidR="002C3035" w:rsidRPr="009150DC">
        <w:rPr>
          <w:lang w:val="en-AU"/>
        </w:rPr>
        <w:fldChar w:fldCharType="end"/>
      </w:r>
      <w:r w:rsidR="002C3035" w:rsidRPr="009150DC">
        <w:rPr>
          <w:lang w:val="en-AU"/>
        </w:rPr>
        <w:t xml:space="preserve"> </w:t>
      </w:r>
      <w:r w:rsidRPr="009150DC">
        <w:rPr>
          <w:lang w:val="en-AU"/>
        </w:rPr>
        <w:t xml:space="preserve">shows the </w:t>
      </w:r>
      <w:r w:rsidR="00E66C88" w:rsidRPr="009150DC">
        <w:rPr>
          <w:lang w:val="en-AU"/>
        </w:rPr>
        <w:t xml:space="preserve">Government’s investment </w:t>
      </w:r>
      <w:r w:rsidR="00225940">
        <w:rPr>
          <w:lang w:val="en-AU"/>
        </w:rPr>
        <w:t xml:space="preserve">divided </w:t>
      </w:r>
      <w:r w:rsidR="002C3035" w:rsidRPr="009150DC">
        <w:rPr>
          <w:lang w:val="en-AU"/>
        </w:rPr>
        <w:t>into</w:t>
      </w:r>
      <w:r w:rsidR="00790382" w:rsidRPr="009150DC">
        <w:rPr>
          <w:lang w:val="en-AU"/>
        </w:rPr>
        <w:t xml:space="preserve"> major </w:t>
      </w:r>
      <w:r w:rsidR="002C3035" w:rsidRPr="009150DC">
        <w:rPr>
          <w:lang w:val="en-AU"/>
        </w:rPr>
        <w:t>and minor programs</w:t>
      </w:r>
      <w:r w:rsidR="00225940">
        <w:rPr>
          <w:lang w:val="en-AU"/>
        </w:rPr>
        <w:t>, and the number of programs over time</w:t>
      </w:r>
      <w:r w:rsidRPr="009150DC">
        <w:rPr>
          <w:lang w:val="en-AU"/>
        </w:rPr>
        <w:t>.</w:t>
      </w:r>
      <w:r w:rsidRPr="009150DC">
        <w:rPr>
          <w:rStyle w:val="FootnoteReference"/>
          <w:lang w:val="en-AU"/>
        </w:rPr>
        <w:footnoteReference w:id="109"/>
      </w:r>
    </w:p>
    <w:p w14:paraId="098AEA9C" w14:textId="04C26592" w:rsidR="00F733DC" w:rsidRPr="009150DC" w:rsidRDefault="00E17B4E" w:rsidP="00704277">
      <w:pPr>
        <w:spacing w:after="0"/>
        <w:jc w:val="center"/>
        <w:rPr>
          <w:lang w:val="en-AU"/>
        </w:rPr>
      </w:pPr>
      <w:r w:rsidRPr="00E17B4E">
        <w:rPr>
          <w:noProof/>
          <w:lang w:val="en-AU" w:eastAsia="en-AU"/>
        </w:rPr>
        <w:drawing>
          <wp:inline distT="0" distB="0" distL="0" distR="0" wp14:anchorId="0C4AB553" wp14:editId="6D450CA6">
            <wp:extent cx="5410200" cy="4018500"/>
            <wp:effectExtent l="0" t="0" r="0" b="1270"/>
            <wp:docPr id="5" name="Picture 5" descr="Figure 7 shows the Government’s investment divided into major and minor programs (based on size of investment), and the number of programs per year since the 1997-98 financial year.&#10;The proportion of programs by count less than $100 million has risen sharply since 1997-98, but has fallen slightly since 2017-18." title="Figure 7 Long-term distribution of ISR investment by program size, according to total investment  and number of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protected.ind\User\user07\bl8411\desktop\Atlas_picture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12268" r="6064"/>
                    <a:stretch/>
                  </pic:blipFill>
                  <pic:spPr bwMode="auto">
                    <a:xfrm>
                      <a:off x="0" y="0"/>
                      <a:ext cx="5410796" cy="4018943"/>
                    </a:xfrm>
                    <a:prstGeom prst="rect">
                      <a:avLst/>
                    </a:prstGeom>
                    <a:noFill/>
                    <a:ln>
                      <a:noFill/>
                    </a:ln>
                    <a:extLst>
                      <a:ext uri="{53640926-AAD7-44D8-BBD7-CCE9431645EC}">
                        <a14:shadowObscured xmlns:a14="http://schemas.microsoft.com/office/drawing/2010/main"/>
                      </a:ext>
                    </a:extLst>
                  </pic:spPr>
                </pic:pic>
              </a:graphicData>
            </a:graphic>
          </wp:inline>
        </w:drawing>
      </w:r>
    </w:p>
    <w:p w14:paraId="4610DAF9" w14:textId="54BF89DA" w:rsidR="00A27902" w:rsidRPr="009150DC" w:rsidRDefault="00A27902" w:rsidP="00CE0F8A">
      <w:pPr>
        <w:pStyle w:val="Caption"/>
        <w:keepNext w:val="0"/>
        <w:rPr>
          <w:lang w:val="en-AU"/>
        </w:rPr>
      </w:pPr>
      <w:bookmarkStart w:id="350" w:name="_Ref43996726"/>
      <w:r w:rsidRPr="009150DC">
        <w:rPr>
          <w:lang w:val="en-AU"/>
        </w:rPr>
        <w:t xml:space="preserve">Figure </w:t>
      </w:r>
      <w:r w:rsidRPr="009150DC">
        <w:rPr>
          <w:lang w:val="en-AU"/>
        </w:rPr>
        <w:fldChar w:fldCharType="begin"/>
      </w:r>
      <w:r w:rsidRPr="009150DC">
        <w:rPr>
          <w:lang w:val="en-AU"/>
        </w:rPr>
        <w:instrText xml:space="preserve"> SEQ Figure \* ARABIC </w:instrText>
      </w:r>
      <w:r w:rsidRPr="009150DC">
        <w:rPr>
          <w:lang w:val="en-AU"/>
        </w:rPr>
        <w:fldChar w:fldCharType="separate"/>
      </w:r>
      <w:r w:rsidR="000A3AE7">
        <w:rPr>
          <w:noProof/>
          <w:lang w:val="en-AU"/>
        </w:rPr>
        <w:t>7</w:t>
      </w:r>
      <w:r w:rsidRPr="009150DC">
        <w:rPr>
          <w:lang w:val="en-AU"/>
        </w:rPr>
        <w:fldChar w:fldCharType="end"/>
      </w:r>
      <w:bookmarkEnd w:id="350"/>
      <w:r w:rsidRPr="009150DC">
        <w:rPr>
          <w:lang w:val="en-AU"/>
        </w:rPr>
        <w:t xml:space="preserve"> Long-term distribution of ISR investment by program size, according to total investment (</w:t>
      </w:r>
      <w:r w:rsidRPr="009150DC">
        <w:rPr>
          <w:i/>
          <w:lang w:val="en-AU"/>
        </w:rPr>
        <w:t>left</w:t>
      </w:r>
      <w:r w:rsidRPr="009150DC">
        <w:rPr>
          <w:lang w:val="en-AU"/>
        </w:rPr>
        <w:t>) and number of programs (</w:t>
      </w:r>
      <w:r w:rsidRPr="009150DC">
        <w:rPr>
          <w:i/>
          <w:lang w:val="en-AU"/>
        </w:rPr>
        <w:t>right</w:t>
      </w:r>
      <w:r w:rsidRPr="009150DC">
        <w:rPr>
          <w:lang w:val="en-AU"/>
        </w:rPr>
        <w:t>).</w:t>
      </w:r>
    </w:p>
    <w:p w14:paraId="5E0F0382" w14:textId="0CE69162" w:rsidR="00380955" w:rsidRPr="009150DC" w:rsidRDefault="00AD6153" w:rsidP="00AD6153">
      <w:pPr>
        <w:rPr>
          <w:lang w:val="en-AU"/>
        </w:rPr>
      </w:pPr>
      <w:r w:rsidRPr="009150DC">
        <w:rPr>
          <w:lang w:val="en-AU"/>
        </w:rPr>
        <w:t>Other</w:t>
      </w:r>
      <w:r w:rsidR="00790382" w:rsidRPr="009150DC">
        <w:rPr>
          <w:lang w:val="en-AU"/>
        </w:rPr>
        <w:t xml:space="preserve"> similarly</w:t>
      </w:r>
      <w:r w:rsidR="00790382" w:rsidRPr="009150DC">
        <w:rPr>
          <w:lang w:val="en-AU"/>
        </w:rPr>
        <w:noBreakHyphen/>
      </w:r>
      <w:r w:rsidR="00C86F2E" w:rsidRPr="009150DC">
        <w:rPr>
          <w:lang w:val="en-AU"/>
        </w:rPr>
        <w:t>sized</w:t>
      </w:r>
      <w:r w:rsidRPr="009150DC">
        <w:rPr>
          <w:lang w:val="en-AU"/>
        </w:rPr>
        <w:t xml:space="preserve"> economies are also grappling with the issue of scale. For example, New Zealand has set itself a target of becoming a global innovation hub by raising national research expenditure to </w:t>
      </w:r>
      <w:r w:rsidR="003C5B35" w:rsidRPr="009150DC">
        <w:rPr>
          <w:lang w:val="en-AU"/>
        </w:rPr>
        <w:t>two</w:t>
      </w:r>
      <w:r w:rsidR="006A2EF3" w:rsidRPr="009150DC">
        <w:rPr>
          <w:lang w:val="en-AU"/>
        </w:rPr>
        <w:t> per cent</w:t>
      </w:r>
      <w:r w:rsidR="003C5B35" w:rsidRPr="009150DC">
        <w:rPr>
          <w:lang w:val="en-AU"/>
        </w:rPr>
        <w:t xml:space="preserve"> of GDP by 2027.</w:t>
      </w:r>
      <w:r w:rsidRPr="009150DC">
        <w:rPr>
          <w:lang w:val="en-AU"/>
        </w:rPr>
        <w:t xml:space="preserve"> New Zealand is concentrating its efforts to build scale and depth in areas of e</w:t>
      </w:r>
      <w:r w:rsidR="00A8695A" w:rsidRPr="009150DC">
        <w:rPr>
          <w:lang w:val="en-AU"/>
        </w:rPr>
        <w:t>merging opportunity, disruption</w:t>
      </w:r>
      <w:r w:rsidRPr="009150DC">
        <w:rPr>
          <w:lang w:val="en-AU"/>
        </w:rPr>
        <w:t xml:space="preserve"> and critical need.</w:t>
      </w:r>
      <w:r w:rsidRPr="009150DC">
        <w:rPr>
          <w:rStyle w:val="FootnoteReference"/>
          <w:lang w:val="en-AU"/>
        </w:rPr>
        <w:footnoteReference w:id="110"/>
      </w:r>
      <w:r w:rsidRPr="009150DC">
        <w:rPr>
          <w:lang w:val="en-AU"/>
        </w:rPr>
        <w:t xml:space="preserve"> Similarly, the UK’s research architecture and funding landscape has seen major reform in recent years, including </w:t>
      </w:r>
      <w:r w:rsidRPr="009150DC">
        <w:rPr>
          <w:lang w:val="en-AU"/>
        </w:rPr>
        <w:lastRenderedPageBreak/>
        <w:t>an Industrial Strategy R&amp;D target of 2.4</w:t>
      </w:r>
      <w:r w:rsidR="006A2EF3" w:rsidRPr="009150DC">
        <w:rPr>
          <w:lang w:val="en-AU"/>
        </w:rPr>
        <w:t> per cent</w:t>
      </w:r>
      <w:r w:rsidRPr="009150DC">
        <w:rPr>
          <w:lang w:val="en-AU"/>
        </w:rPr>
        <w:t xml:space="preserve"> of GDP, </w:t>
      </w:r>
      <w:r w:rsidR="004C615A">
        <w:rPr>
          <w:lang w:val="en-AU"/>
        </w:rPr>
        <w:t>and</w:t>
      </w:r>
      <w:r w:rsidR="004C615A" w:rsidRPr="009150DC">
        <w:rPr>
          <w:lang w:val="en-AU"/>
        </w:rPr>
        <w:t xml:space="preserve"> </w:t>
      </w:r>
      <w:r w:rsidRPr="009150DC">
        <w:rPr>
          <w:lang w:val="en-AU"/>
        </w:rPr>
        <w:t>prioriti</w:t>
      </w:r>
      <w:r w:rsidR="0087771E" w:rsidRPr="009150DC">
        <w:rPr>
          <w:lang w:val="en-AU"/>
        </w:rPr>
        <w:t>s</w:t>
      </w:r>
      <w:r w:rsidRPr="009150DC">
        <w:rPr>
          <w:lang w:val="en-AU"/>
        </w:rPr>
        <w:t>ed investments in national Grand Challenges.</w:t>
      </w:r>
      <w:r w:rsidR="00612B3C" w:rsidRPr="009150DC">
        <w:rPr>
          <w:lang w:val="en-AU"/>
        </w:rPr>
        <w:t xml:space="preserve"> Their Indus</w:t>
      </w:r>
      <w:r w:rsidR="00790382" w:rsidRPr="009150DC">
        <w:rPr>
          <w:lang w:val="en-AU"/>
        </w:rPr>
        <w:t>trial Strategy has used smaller</w:t>
      </w:r>
      <w:r w:rsidR="00790382" w:rsidRPr="009150DC">
        <w:rPr>
          <w:lang w:val="en-AU"/>
        </w:rPr>
        <w:noBreakHyphen/>
      </w:r>
      <w:r w:rsidR="00612B3C" w:rsidRPr="009150DC">
        <w:rPr>
          <w:lang w:val="en-AU"/>
        </w:rPr>
        <w:t xml:space="preserve">scale activities under each Grand Challenge </w:t>
      </w:r>
      <w:r w:rsidR="004C615A">
        <w:rPr>
          <w:lang w:val="en-AU"/>
        </w:rPr>
        <w:t xml:space="preserve">and is </w:t>
      </w:r>
      <w:r w:rsidR="00612B3C" w:rsidRPr="009150DC">
        <w:rPr>
          <w:lang w:val="en-AU"/>
        </w:rPr>
        <w:t xml:space="preserve">directly supported by a significant Industrial Strategy Challenge Fund </w:t>
      </w:r>
      <w:r w:rsidR="004C615A">
        <w:rPr>
          <w:lang w:val="en-AU"/>
        </w:rPr>
        <w:t xml:space="preserve">to </w:t>
      </w:r>
      <w:r w:rsidR="00612B3C" w:rsidRPr="009150DC">
        <w:rPr>
          <w:lang w:val="en-AU"/>
        </w:rPr>
        <w:t>improve investment scale, and reduce program fragmentation.</w:t>
      </w:r>
      <w:r w:rsidR="00612B3C" w:rsidRPr="009150DC">
        <w:rPr>
          <w:rStyle w:val="FootnoteReference"/>
          <w:lang w:val="en-AU"/>
        </w:rPr>
        <w:footnoteReference w:id="111"/>
      </w:r>
    </w:p>
    <w:p w14:paraId="0F37ED9D" w14:textId="5E85B19B" w:rsidR="00AD6153" w:rsidRPr="009150DC" w:rsidRDefault="00AD6153" w:rsidP="00A22287">
      <w:pPr>
        <w:pStyle w:val="Heading3"/>
        <w:rPr>
          <w:lang w:val="en-AU"/>
        </w:rPr>
      </w:pPr>
      <w:bookmarkStart w:id="351" w:name="_Toc34919456"/>
      <w:bookmarkStart w:id="352" w:name="_Toc34921742"/>
      <w:bookmarkStart w:id="353" w:name="_Toc34924060"/>
      <w:bookmarkStart w:id="354" w:name="_Toc34925384"/>
      <w:bookmarkStart w:id="355" w:name="_Toc34989531"/>
      <w:bookmarkStart w:id="356" w:name="_Toc35006815"/>
      <w:bookmarkStart w:id="357" w:name="_Toc35011750"/>
      <w:bookmarkStart w:id="358" w:name="_Toc35015777"/>
      <w:bookmarkStart w:id="359" w:name="_Toc35356387"/>
      <w:bookmarkStart w:id="360" w:name="_Toc36651061"/>
      <w:bookmarkStart w:id="361" w:name="_Toc36806818"/>
      <w:bookmarkStart w:id="362" w:name="_Toc42868689"/>
      <w:bookmarkStart w:id="363" w:name="_Toc42872709"/>
      <w:bookmarkStart w:id="364" w:name="_Toc43996712"/>
      <w:bookmarkStart w:id="365" w:name="_Toc43999088"/>
      <w:r w:rsidRPr="009150DC">
        <w:rPr>
          <w:lang w:val="en-AU"/>
        </w:rPr>
        <w:t>Investment mechanisms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03E08B2C" w14:textId="6EB48038" w:rsidR="00AD6153" w:rsidRPr="009150DC" w:rsidRDefault="00FB3BDE" w:rsidP="00AD6153">
      <w:pPr>
        <w:rPr>
          <w:lang w:val="en-AU"/>
        </w:rPr>
      </w:pPr>
      <w:r w:rsidRPr="009150DC">
        <w:rPr>
          <w:lang w:val="en-AU"/>
        </w:rPr>
        <w:t>Balancing the use of targeted and broad</w:t>
      </w:r>
      <w:r w:rsidRPr="009150DC">
        <w:rPr>
          <w:lang w:val="en-AU"/>
        </w:rPr>
        <w:noBreakHyphen/>
        <w:t xml:space="preserve">based ISR investment mechanisms should maximise the benefits of </w:t>
      </w:r>
      <w:r w:rsidR="004C615A">
        <w:rPr>
          <w:lang w:val="en-AU"/>
        </w:rPr>
        <w:t>both</w:t>
      </w:r>
      <w:r w:rsidRPr="009150DC">
        <w:rPr>
          <w:lang w:val="en-AU"/>
        </w:rPr>
        <w:t xml:space="preserve"> investment mechanism</w:t>
      </w:r>
      <w:r w:rsidR="004C615A">
        <w:rPr>
          <w:lang w:val="en-AU"/>
        </w:rPr>
        <w:t>s</w:t>
      </w:r>
      <w:r w:rsidRPr="009150DC">
        <w:rPr>
          <w:lang w:val="en-AU"/>
        </w:rPr>
        <w:t>, while minimising limitations.</w:t>
      </w:r>
      <w:r w:rsidR="002A0347" w:rsidRPr="009150DC">
        <w:rPr>
          <w:lang w:val="en-AU"/>
        </w:rPr>
        <w:t xml:space="preserve"> </w:t>
      </w:r>
      <w:r w:rsidR="00CE0F8A" w:rsidRPr="009150DC">
        <w:rPr>
          <w:lang w:val="en-AU"/>
        </w:rPr>
        <w:t>To understand</w:t>
      </w:r>
      <w:r w:rsidR="00E66C88" w:rsidRPr="009150DC">
        <w:rPr>
          <w:lang w:val="en-AU"/>
        </w:rPr>
        <w:t xml:space="preserve"> the Government’s balance of investment mechanisms, I</w:t>
      </w:r>
      <w:r w:rsidR="00523472">
        <w:rPr>
          <w:lang w:val="en-AU"/>
        </w:rPr>
        <w:t>I</w:t>
      </w:r>
      <w:r w:rsidR="00E66C88" w:rsidRPr="009150DC">
        <w:rPr>
          <w:lang w:val="en-AU"/>
        </w:rPr>
        <w:t xml:space="preserve">SA assessed </w:t>
      </w:r>
      <w:r w:rsidR="004C615A">
        <w:rPr>
          <w:lang w:val="en-AU"/>
        </w:rPr>
        <w:t>each</w:t>
      </w:r>
      <w:r w:rsidR="00AD6153" w:rsidRPr="009150DC">
        <w:rPr>
          <w:lang w:val="en-AU"/>
        </w:rPr>
        <w:t xml:space="preserve"> </w:t>
      </w:r>
      <w:r w:rsidR="004C615A" w:rsidRPr="009150DC">
        <w:rPr>
          <w:lang w:val="en-AU"/>
        </w:rPr>
        <w:t>program or activity</w:t>
      </w:r>
      <w:r w:rsidR="004C615A">
        <w:rPr>
          <w:lang w:val="en-AU"/>
        </w:rPr>
        <w:t>’s</w:t>
      </w:r>
      <w:r w:rsidR="004C615A" w:rsidRPr="009150DC">
        <w:rPr>
          <w:rStyle w:val="FootnoteReference"/>
          <w:lang w:val="en-AU"/>
        </w:rPr>
        <w:footnoteReference w:id="112"/>
      </w:r>
      <w:r w:rsidR="004C615A" w:rsidRPr="009150DC">
        <w:rPr>
          <w:lang w:val="en-AU"/>
        </w:rPr>
        <w:t xml:space="preserve"> </w:t>
      </w:r>
      <w:r w:rsidR="00CE0F8A" w:rsidRPr="009150DC">
        <w:rPr>
          <w:lang w:val="en-AU"/>
        </w:rPr>
        <w:t>funding</w:t>
      </w:r>
      <w:r w:rsidR="004C615A">
        <w:rPr>
          <w:lang w:val="en-AU"/>
        </w:rPr>
        <w:noBreakHyphen/>
      </w:r>
      <w:r w:rsidR="00CE0F8A" w:rsidRPr="009150DC">
        <w:rPr>
          <w:lang w:val="en-AU"/>
        </w:rPr>
        <w:t xml:space="preserve">allocation </w:t>
      </w:r>
      <w:r w:rsidR="00AD6153" w:rsidRPr="009150DC">
        <w:rPr>
          <w:lang w:val="en-AU"/>
        </w:rPr>
        <w:t xml:space="preserve">method </w:t>
      </w:r>
      <w:r w:rsidR="00E66C88" w:rsidRPr="009150DC">
        <w:rPr>
          <w:lang w:val="en-AU"/>
        </w:rPr>
        <w:t xml:space="preserve">and </w:t>
      </w:r>
      <w:r w:rsidR="00AD6153" w:rsidRPr="009150DC">
        <w:rPr>
          <w:lang w:val="en-AU"/>
        </w:rPr>
        <w:t>categorised</w:t>
      </w:r>
      <w:r w:rsidR="00E66C88" w:rsidRPr="009150DC">
        <w:rPr>
          <w:lang w:val="en-AU"/>
        </w:rPr>
        <w:t xml:space="preserve"> it</w:t>
      </w:r>
      <w:r w:rsidR="00AD6153" w:rsidRPr="009150DC">
        <w:rPr>
          <w:lang w:val="en-AU"/>
        </w:rPr>
        <w:t xml:space="preserve"> as either targeted, broad</w:t>
      </w:r>
      <w:r w:rsidR="00AD6153" w:rsidRPr="009150DC">
        <w:rPr>
          <w:lang w:val="en-AU"/>
        </w:rPr>
        <w:noBreakHyphen/>
        <w:t>based, or multi-method.</w:t>
      </w:r>
      <w:r w:rsidR="00AD6153" w:rsidRPr="009150DC">
        <w:rPr>
          <w:rStyle w:val="FootnoteReference"/>
          <w:lang w:val="en-AU"/>
        </w:rPr>
        <w:footnoteReference w:id="113"/>
      </w:r>
      <w:r w:rsidR="00AD6153" w:rsidRPr="009150DC">
        <w:rPr>
          <w:lang w:val="en-AU"/>
        </w:rPr>
        <w:t xml:space="preserve"> Overall, </w:t>
      </w:r>
      <w:r w:rsidR="008175A3" w:rsidRPr="009150DC">
        <w:rPr>
          <w:lang w:val="en-AU"/>
        </w:rPr>
        <w:t xml:space="preserve">the </w:t>
      </w:r>
      <w:r w:rsidR="00AD6153" w:rsidRPr="009150DC">
        <w:rPr>
          <w:lang w:val="en-AU"/>
        </w:rPr>
        <w:t>Government</w:t>
      </w:r>
      <w:r w:rsidR="008175A3" w:rsidRPr="009150DC">
        <w:rPr>
          <w:lang w:val="en-AU"/>
        </w:rPr>
        <w:t>’s</w:t>
      </w:r>
      <w:r w:rsidR="00CE0F8A" w:rsidRPr="009150DC">
        <w:rPr>
          <w:lang w:val="en-AU"/>
        </w:rPr>
        <w:t xml:space="preserve"> 2019–20 </w:t>
      </w:r>
      <w:r w:rsidR="008175A3" w:rsidRPr="009150DC">
        <w:rPr>
          <w:lang w:val="en-AU"/>
        </w:rPr>
        <w:t>ISR</w:t>
      </w:r>
      <w:r w:rsidR="00CE0F8A" w:rsidRPr="009150DC">
        <w:rPr>
          <w:lang w:val="en-AU"/>
        </w:rPr>
        <w:t xml:space="preserve"> investments</w:t>
      </w:r>
      <w:r w:rsidR="00AD6153" w:rsidRPr="009150DC">
        <w:rPr>
          <w:lang w:val="en-AU"/>
        </w:rPr>
        <w:t xml:space="preserve"> are </w:t>
      </w:r>
      <w:r w:rsidR="00CE0F8A" w:rsidRPr="009150DC">
        <w:rPr>
          <w:lang w:val="en-AU"/>
        </w:rPr>
        <w:t xml:space="preserve">approximately </w:t>
      </w:r>
      <w:r w:rsidR="00AD6153" w:rsidRPr="009150DC">
        <w:rPr>
          <w:lang w:val="en-AU"/>
        </w:rPr>
        <w:t xml:space="preserve">evenly </w:t>
      </w:r>
      <w:r w:rsidR="00CE0F8A" w:rsidRPr="009150DC">
        <w:rPr>
          <w:lang w:val="en-AU"/>
        </w:rPr>
        <w:t>split</w:t>
      </w:r>
      <w:r w:rsidR="00AD6153" w:rsidRPr="009150DC">
        <w:rPr>
          <w:lang w:val="en-AU"/>
        </w:rPr>
        <w:t xml:space="preserve"> between broad</w:t>
      </w:r>
      <w:r w:rsidR="00AD6153" w:rsidRPr="009150DC">
        <w:rPr>
          <w:lang w:val="en-AU"/>
        </w:rPr>
        <w:noBreakHyphen/>
        <w:t>based (53</w:t>
      </w:r>
      <w:r w:rsidR="006A2EF3" w:rsidRPr="009150DC">
        <w:rPr>
          <w:lang w:val="en-AU"/>
        </w:rPr>
        <w:t> per cent</w:t>
      </w:r>
      <w:r w:rsidR="004C615A">
        <w:rPr>
          <w:lang w:val="en-AU"/>
        </w:rPr>
        <w:t xml:space="preserve">; </w:t>
      </w:r>
      <w:r w:rsidR="00AD6153" w:rsidRPr="009150DC">
        <w:rPr>
          <w:lang w:val="en-AU"/>
        </w:rPr>
        <w:t>such as R</w:t>
      </w:r>
      <w:r w:rsidR="00397B9E" w:rsidRPr="009150DC">
        <w:rPr>
          <w:lang w:val="en-AU"/>
        </w:rPr>
        <w:t>&amp;</w:t>
      </w:r>
      <w:r w:rsidR="00AD6153" w:rsidRPr="009150DC">
        <w:rPr>
          <w:lang w:val="en-AU"/>
        </w:rPr>
        <w:t xml:space="preserve">DTI) and targeted </w:t>
      </w:r>
      <w:r w:rsidR="004C615A">
        <w:rPr>
          <w:lang w:val="en-AU"/>
        </w:rPr>
        <w:t>funding allocation</w:t>
      </w:r>
      <w:r w:rsidR="004C615A" w:rsidRPr="009150DC">
        <w:rPr>
          <w:lang w:val="en-AU"/>
        </w:rPr>
        <w:t xml:space="preserve"> </w:t>
      </w:r>
      <w:r w:rsidR="00AD6153" w:rsidRPr="009150DC">
        <w:rPr>
          <w:lang w:val="en-AU"/>
        </w:rPr>
        <w:t>methods (46</w:t>
      </w:r>
      <w:r w:rsidR="006A2EF3" w:rsidRPr="009150DC">
        <w:rPr>
          <w:lang w:val="en-AU"/>
        </w:rPr>
        <w:t> per cent</w:t>
      </w:r>
      <w:r w:rsidR="004C615A">
        <w:rPr>
          <w:lang w:val="en-AU"/>
        </w:rPr>
        <w:t xml:space="preserve">) </w:t>
      </w:r>
      <w:r w:rsidR="00AD6153" w:rsidRPr="009150DC">
        <w:rPr>
          <w:lang w:val="en-AU"/>
        </w:rPr>
        <w:t>such as grants, subsidies, loans, equity funding, and public procurem</w:t>
      </w:r>
      <w:r w:rsidR="00CE0F8A" w:rsidRPr="009150DC">
        <w:rPr>
          <w:lang w:val="en-AU"/>
        </w:rPr>
        <w:t>ent for R&amp;D)</w:t>
      </w:r>
      <w:r w:rsidR="004C615A">
        <w:rPr>
          <w:lang w:val="en-AU"/>
        </w:rPr>
        <w:t>.</w:t>
      </w:r>
      <w:r w:rsidR="00CE0F8A" w:rsidRPr="009150DC">
        <w:rPr>
          <w:lang w:val="en-AU"/>
        </w:rPr>
        <w:t xml:space="preserve"> </w:t>
      </w:r>
      <w:r w:rsidR="004C615A">
        <w:rPr>
          <w:lang w:val="en-AU"/>
        </w:rPr>
        <w:t>O</w:t>
      </w:r>
      <w:r w:rsidR="00AD6153" w:rsidRPr="009150DC">
        <w:rPr>
          <w:lang w:val="en-AU"/>
        </w:rPr>
        <w:t>ne</w:t>
      </w:r>
      <w:r w:rsidR="006A2EF3" w:rsidRPr="009150DC">
        <w:rPr>
          <w:lang w:val="en-AU"/>
        </w:rPr>
        <w:t> per cent</w:t>
      </w:r>
      <w:r w:rsidR="00AD6153" w:rsidRPr="009150DC">
        <w:rPr>
          <w:lang w:val="en-AU"/>
        </w:rPr>
        <w:t xml:space="preserve"> </w:t>
      </w:r>
      <w:r w:rsidR="004C615A">
        <w:rPr>
          <w:lang w:val="en-AU"/>
        </w:rPr>
        <w:t xml:space="preserve">of funding was </w:t>
      </w:r>
      <w:r w:rsidR="008175A3" w:rsidRPr="009150DC">
        <w:rPr>
          <w:lang w:val="en-AU"/>
        </w:rPr>
        <w:t xml:space="preserve">allocated </w:t>
      </w:r>
      <w:r w:rsidR="00790382" w:rsidRPr="009150DC">
        <w:rPr>
          <w:lang w:val="en-AU"/>
        </w:rPr>
        <w:t>through multi</w:t>
      </w:r>
      <w:r w:rsidR="00790382" w:rsidRPr="009150DC">
        <w:rPr>
          <w:lang w:val="en-AU"/>
        </w:rPr>
        <w:noBreakHyphen/>
      </w:r>
      <w:r w:rsidR="00AD6153" w:rsidRPr="009150DC">
        <w:rPr>
          <w:lang w:val="en-AU"/>
        </w:rPr>
        <w:t xml:space="preserve">method </w:t>
      </w:r>
      <w:r w:rsidR="007B72E2">
        <w:rPr>
          <w:lang w:val="en-AU"/>
        </w:rPr>
        <w:t>approaches</w:t>
      </w:r>
      <w:r w:rsidR="00AD6153" w:rsidRPr="009150DC">
        <w:rPr>
          <w:lang w:val="en-AU"/>
        </w:rPr>
        <w:t xml:space="preserve">. </w:t>
      </w:r>
    </w:p>
    <w:p w14:paraId="67E28CBE" w14:textId="005DA76D" w:rsidR="00AD6153" w:rsidRPr="009150DC" w:rsidRDefault="004C615A" w:rsidP="00AD6153">
      <w:pPr>
        <w:rPr>
          <w:lang w:val="en-AU"/>
        </w:rPr>
      </w:pPr>
      <w:r w:rsidRPr="009150DC">
        <w:rPr>
          <w:lang w:val="en-AU"/>
        </w:rPr>
        <w:t>However</w:t>
      </w:r>
      <w:r>
        <w:rPr>
          <w:lang w:val="en-AU"/>
        </w:rPr>
        <w:t>,</w:t>
      </w:r>
      <w:r w:rsidRPr="009150DC">
        <w:rPr>
          <w:lang w:val="en-AU"/>
        </w:rPr>
        <w:t xml:space="preserve"> </w:t>
      </w:r>
      <w:r>
        <w:rPr>
          <w:lang w:val="en-AU"/>
        </w:rPr>
        <w:t>f</w:t>
      </w:r>
      <w:r w:rsidR="00AD6153" w:rsidRPr="009150DC">
        <w:rPr>
          <w:lang w:val="en-AU"/>
        </w:rPr>
        <w:t>urther analysis of funding mechanisms indicated that while investment</w:t>
      </w:r>
      <w:r>
        <w:rPr>
          <w:lang w:val="en-AU"/>
        </w:rPr>
        <w:t xml:space="preserve">s are </w:t>
      </w:r>
      <w:r w:rsidR="00AD6153" w:rsidRPr="009150DC">
        <w:rPr>
          <w:lang w:val="en-AU"/>
        </w:rPr>
        <w:t>almost equally balanced</w:t>
      </w:r>
      <w:r>
        <w:rPr>
          <w:lang w:val="en-AU"/>
        </w:rPr>
        <w:t xml:space="preserve"> between broad-based and targeted mechanisms overall</w:t>
      </w:r>
      <w:r w:rsidR="00AD6153" w:rsidRPr="009150DC">
        <w:rPr>
          <w:lang w:val="en-AU"/>
        </w:rPr>
        <w:t xml:space="preserve">, </w:t>
      </w:r>
      <w:r>
        <w:rPr>
          <w:lang w:val="en-AU"/>
        </w:rPr>
        <w:t xml:space="preserve">there is </w:t>
      </w:r>
      <w:r w:rsidR="00AD6153" w:rsidRPr="009150DC">
        <w:rPr>
          <w:lang w:val="en-AU"/>
        </w:rPr>
        <w:t xml:space="preserve">significant </w:t>
      </w:r>
      <w:r>
        <w:rPr>
          <w:lang w:val="en-AU"/>
        </w:rPr>
        <w:t xml:space="preserve">variation </w:t>
      </w:r>
      <w:r w:rsidR="00AD6153" w:rsidRPr="009150DC">
        <w:rPr>
          <w:lang w:val="en-AU"/>
        </w:rPr>
        <w:t>across each of the ISR sectors.</w:t>
      </w:r>
      <w:r w:rsidR="00CE404B" w:rsidRPr="009150DC">
        <w:rPr>
          <w:rStyle w:val="FootnoteReference"/>
          <w:lang w:val="en-AU"/>
        </w:rPr>
        <w:footnoteReference w:id="114"/>
      </w:r>
      <w:r w:rsidR="00AD6153" w:rsidRPr="009150DC">
        <w:rPr>
          <w:lang w:val="en-AU"/>
        </w:rPr>
        <w:t xml:space="preserve"> </w:t>
      </w:r>
      <w:r w:rsidR="00CE404B" w:rsidRPr="009150DC">
        <w:rPr>
          <w:lang w:val="en-AU"/>
        </w:rPr>
        <w:fldChar w:fldCharType="begin"/>
      </w:r>
      <w:r w:rsidR="00CE404B" w:rsidRPr="009150DC">
        <w:rPr>
          <w:lang w:val="en-AU"/>
        </w:rPr>
        <w:instrText xml:space="preserve"> REF _Ref44056590 \h </w:instrText>
      </w:r>
      <w:r w:rsidR="00CE404B" w:rsidRPr="009150DC">
        <w:rPr>
          <w:lang w:val="en-AU"/>
        </w:rPr>
      </w:r>
      <w:r w:rsidR="00CE404B" w:rsidRPr="009150DC">
        <w:rPr>
          <w:lang w:val="en-AU"/>
        </w:rPr>
        <w:fldChar w:fldCharType="separate"/>
      </w:r>
      <w:r w:rsidR="000A3AE7" w:rsidRPr="009150DC">
        <w:rPr>
          <w:lang w:val="en-AU"/>
        </w:rPr>
        <w:t xml:space="preserve">Figure </w:t>
      </w:r>
      <w:r w:rsidR="000A3AE7">
        <w:rPr>
          <w:noProof/>
          <w:lang w:val="en-AU"/>
        </w:rPr>
        <w:t>8</w:t>
      </w:r>
      <w:r w:rsidR="00CE404B" w:rsidRPr="009150DC">
        <w:rPr>
          <w:lang w:val="en-AU"/>
        </w:rPr>
        <w:fldChar w:fldCharType="end"/>
      </w:r>
      <w:r w:rsidR="00CD345B" w:rsidRPr="009150DC">
        <w:rPr>
          <w:lang w:val="en-AU"/>
        </w:rPr>
        <w:fldChar w:fldCharType="begin"/>
      </w:r>
      <w:r w:rsidR="00CD345B" w:rsidRPr="009150DC">
        <w:rPr>
          <w:lang w:val="en-AU"/>
        </w:rPr>
        <w:instrText xml:space="preserve"> REF _Ref34927559 \h </w:instrText>
      </w:r>
      <w:r w:rsidR="00CD345B" w:rsidRPr="009150DC">
        <w:rPr>
          <w:lang w:val="en-AU"/>
        </w:rPr>
      </w:r>
      <w:r w:rsidR="00CD345B" w:rsidRPr="009150DC">
        <w:rPr>
          <w:lang w:val="en-AU"/>
        </w:rPr>
        <w:fldChar w:fldCharType="end"/>
      </w:r>
      <w:r w:rsidR="00CD345B" w:rsidRPr="009150DC">
        <w:rPr>
          <w:lang w:val="en-AU"/>
        </w:rPr>
        <w:t xml:space="preserve"> </w:t>
      </w:r>
      <w:r w:rsidR="00AD6153" w:rsidRPr="009150DC">
        <w:rPr>
          <w:lang w:val="en-AU"/>
        </w:rPr>
        <w:t xml:space="preserve">shows the breakdown of programs within the dominant </w:t>
      </w:r>
      <w:r>
        <w:rPr>
          <w:lang w:val="en-AU"/>
        </w:rPr>
        <w:t xml:space="preserve">funding </w:t>
      </w:r>
      <w:r w:rsidR="00AD6153" w:rsidRPr="009150DC">
        <w:rPr>
          <w:lang w:val="en-AU"/>
        </w:rPr>
        <w:t>allocation method (broad</w:t>
      </w:r>
      <w:r w:rsidR="00790382" w:rsidRPr="009150DC">
        <w:rPr>
          <w:lang w:val="en-AU"/>
        </w:rPr>
        <w:noBreakHyphen/>
      </w:r>
      <w:r w:rsidR="00AD6153" w:rsidRPr="009150DC">
        <w:rPr>
          <w:lang w:val="en-AU"/>
        </w:rPr>
        <w:t xml:space="preserve">based or targeted) within each sector. </w:t>
      </w:r>
      <w:r w:rsidR="0058097B" w:rsidRPr="009150DC">
        <w:rPr>
          <w:lang w:val="en-AU"/>
        </w:rPr>
        <w:t xml:space="preserve">This illustrates </w:t>
      </w:r>
      <w:r w:rsidR="00BE6E12">
        <w:rPr>
          <w:lang w:val="en-AU"/>
        </w:rPr>
        <w:t xml:space="preserve">that </w:t>
      </w:r>
      <w:r w:rsidR="00BE6E12" w:rsidRPr="009150DC">
        <w:rPr>
          <w:lang w:val="en-AU"/>
        </w:rPr>
        <w:t>many programs</w:t>
      </w:r>
      <w:r w:rsidR="00BE6E12" w:rsidRPr="009150DC" w:rsidDel="00BE6E12">
        <w:rPr>
          <w:lang w:val="en-AU"/>
        </w:rPr>
        <w:t xml:space="preserve"> </w:t>
      </w:r>
      <w:r w:rsidR="00BE6E12">
        <w:rPr>
          <w:lang w:val="en-AU"/>
        </w:rPr>
        <w:t xml:space="preserve">are funded by </w:t>
      </w:r>
      <w:r w:rsidR="00AD6153" w:rsidRPr="009150DC">
        <w:rPr>
          <w:lang w:val="en-AU"/>
        </w:rPr>
        <w:t xml:space="preserve">targeted mechanisms within the government and multisector sectors. </w:t>
      </w:r>
      <w:r w:rsidR="00BE6E12">
        <w:rPr>
          <w:lang w:val="en-AU"/>
        </w:rPr>
        <w:t>In contrast,</w:t>
      </w:r>
      <w:r w:rsidR="0058097B" w:rsidRPr="009150DC">
        <w:rPr>
          <w:lang w:val="en-AU"/>
        </w:rPr>
        <w:t xml:space="preserve"> </w:t>
      </w:r>
      <w:r w:rsidR="00BE6E12">
        <w:rPr>
          <w:lang w:val="en-AU"/>
        </w:rPr>
        <w:t xml:space="preserve">the </w:t>
      </w:r>
      <w:r w:rsidR="0058097B" w:rsidRPr="009150DC">
        <w:rPr>
          <w:lang w:val="en-AU"/>
        </w:rPr>
        <w:t xml:space="preserve">broad-based mechanisms </w:t>
      </w:r>
      <w:r w:rsidR="00BE6E12">
        <w:rPr>
          <w:lang w:val="en-AU"/>
        </w:rPr>
        <w:t xml:space="preserve">used </w:t>
      </w:r>
      <w:r w:rsidR="0058097B" w:rsidRPr="009150DC">
        <w:rPr>
          <w:lang w:val="en-AU"/>
        </w:rPr>
        <w:t xml:space="preserve">in </w:t>
      </w:r>
      <w:r w:rsidR="00AD6153" w:rsidRPr="009150DC">
        <w:rPr>
          <w:lang w:val="en-AU"/>
        </w:rPr>
        <w:t>the business and higher education sectors w</w:t>
      </w:r>
      <w:r w:rsidR="00BE6E12">
        <w:rPr>
          <w:lang w:val="en-AU"/>
        </w:rPr>
        <w:t>ere</w:t>
      </w:r>
      <w:r w:rsidR="00AD6153" w:rsidRPr="009150DC">
        <w:rPr>
          <w:lang w:val="en-AU"/>
        </w:rPr>
        <w:t xml:space="preserve"> </w:t>
      </w:r>
      <w:r w:rsidR="001A3594" w:rsidRPr="009150DC">
        <w:rPr>
          <w:lang w:val="en-AU"/>
        </w:rPr>
        <w:t>d</w:t>
      </w:r>
      <w:r w:rsidR="00BE6E12">
        <w:rPr>
          <w:lang w:val="en-AU"/>
        </w:rPr>
        <w:t xml:space="preserve">ominated by a </w:t>
      </w:r>
      <w:r w:rsidR="001A3594" w:rsidRPr="009150DC">
        <w:rPr>
          <w:lang w:val="en-AU"/>
        </w:rPr>
        <w:t xml:space="preserve">few very large programs: </w:t>
      </w:r>
      <w:r w:rsidR="00AD6153" w:rsidRPr="009150DC">
        <w:rPr>
          <w:lang w:val="en-AU"/>
        </w:rPr>
        <w:t>the R</w:t>
      </w:r>
      <w:r w:rsidR="00397B9E" w:rsidRPr="009150DC">
        <w:rPr>
          <w:lang w:val="en-AU"/>
        </w:rPr>
        <w:t>&amp;</w:t>
      </w:r>
      <w:r w:rsidR="00AD6153" w:rsidRPr="009150DC">
        <w:rPr>
          <w:lang w:val="en-AU"/>
        </w:rPr>
        <w:t>DTI program within business and A</w:t>
      </w:r>
      <w:r w:rsidR="00CE0F8A" w:rsidRPr="009150DC">
        <w:rPr>
          <w:lang w:val="en-AU"/>
        </w:rPr>
        <w:t xml:space="preserve">ustralian </w:t>
      </w:r>
      <w:r w:rsidR="00AD6153" w:rsidRPr="009150DC">
        <w:rPr>
          <w:lang w:val="en-AU"/>
        </w:rPr>
        <w:t>R</w:t>
      </w:r>
      <w:r w:rsidR="00CE0F8A" w:rsidRPr="009150DC">
        <w:rPr>
          <w:lang w:val="en-AU"/>
        </w:rPr>
        <w:t xml:space="preserve">esearch </w:t>
      </w:r>
      <w:r w:rsidR="00AD6153" w:rsidRPr="009150DC">
        <w:rPr>
          <w:lang w:val="en-AU"/>
        </w:rPr>
        <w:t>C</w:t>
      </w:r>
      <w:r w:rsidR="00CE0F8A" w:rsidRPr="009150DC">
        <w:rPr>
          <w:lang w:val="en-AU"/>
        </w:rPr>
        <w:t>ouncil (ARC)</w:t>
      </w:r>
      <w:r w:rsidR="00AD6153" w:rsidRPr="009150DC">
        <w:rPr>
          <w:lang w:val="en-AU"/>
        </w:rPr>
        <w:t xml:space="preserve"> and block funding within the higher education sector.</w:t>
      </w:r>
    </w:p>
    <w:p w14:paraId="662539B1" w14:textId="2D1AD094" w:rsidR="00CE0F8A" w:rsidRPr="009150DC" w:rsidRDefault="00352E8C" w:rsidP="001E05ED">
      <w:pPr>
        <w:jc w:val="center"/>
        <w:rPr>
          <w:lang w:val="en-AU"/>
        </w:rPr>
      </w:pPr>
      <w:r w:rsidRPr="009150DC">
        <w:rPr>
          <w:noProof/>
          <w:lang w:val="en-AU" w:eastAsia="en-AU"/>
        </w:rPr>
        <w:lastRenderedPageBreak/>
        <w:drawing>
          <wp:inline distT="0" distB="0" distL="0" distR="0" wp14:anchorId="2C8FD60A" wp14:editId="0FE1DEC7">
            <wp:extent cx="5760000" cy="4264704"/>
            <wp:effectExtent l="0" t="0" r="0" b="0"/>
            <wp:docPr id="3" name="Picture 3" descr="Figure 8 shows the breakdown of programs within the dominant funding allocation method (broad based or targeted) within each sector. Many programs are funded by targeted mechanisms within the government and multisector sectors. In contrast, the broad-based mechanisms used in the business and higher education sectors were dominated by a few very large programs." title="Figure 8 Targeted and broad based investment for 2019–20 by individual program investment within each research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264704"/>
                    </a:xfrm>
                    <a:prstGeom prst="rect">
                      <a:avLst/>
                    </a:prstGeom>
                    <a:noFill/>
                  </pic:spPr>
                </pic:pic>
              </a:graphicData>
            </a:graphic>
          </wp:inline>
        </w:drawing>
      </w:r>
    </w:p>
    <w:p w14:paraId="72E0961A" w14:textId="3EA4BA7D" w:rsidR="00C07523" w:rsidRDefault="00C07523" w:rsidP="00790382">
      <w:pPr>
        <w:pStyle w:val="Caption"/>
        <w:rPr>
          <w:lang w:val="en-AU"/>
        </w:rPr>
      </w:pPr>
      <w:bookmarkStart w:id="366" w:name="_Ref44056590"/>
      <w:r w:rsidRPr="009150DC">
        <w:rPr>
          <w:lang w:val="en-AU"/>
        </w:rPr>
        <w:t xml:space="preserve">Figure </w:t>
      </w:r>
      <w:r w:rsidRPr="009150DC">
        <w:rPr>
          <w:lang w:val="en-AU"/>
        </w:rPr>
        <w:fldChar w:fldCharType="begin"/>
      </w:r>
      <w:r w:rsidRPr="009150DC">
        <w:rPr>
          <w:lang w:val="en-AU"/>
        </w:rPr>
        <w:instrText xml:space="preserve"> SEQ Figure \* ARABIC </w:instrText>
      </w:r>
      <w:r w:rsidRPr="009150DC">
        <w:rPr>
          <w:lang w:val="en-AU"/>
        </w:rPr>
        <w:fldChar w:fldCharType="separate"/>
      </w:r>
      <w:r w:rsidR="000A3AE7">
        <w:rPr>
          <w:noProof/>
          <w:lang w:val="en-AU"/>
        </w:rPr>
        <w:t>8</w:t>
      </w:r>
      <w:r w:rsidRPr="009150DC">
        <w:rPr>
          <w:lang w:val="en-AU"/>
        </w:rPr>
        <w:fldChar w:fldCharType="end"/>
      </w:r>
      <w:bookmarkEnd w:id="366"/>
      <w:r w:rsidRPr="009150DC">
        <w:rPr>
          <w:lang w:val="en-AU"/>
        </w:rPr>
        <w:t xml:space="preserve"> </w:t>
      </w:r>
      <w:r w:rsidR="00790382" w:rsidRPr="009150DC">
        <w:rPr>
          <w:lang w:val="en-AU"/>
        </w:rPr>
        <w:t>Targeted and broad</w:t>
      </w:r>
      <w:r w:rsidR="00790382" w:rsidRPr="009150DC">
        <w:rPr>
          <w:lang w:val="en-AU"/>
        </w:rPr>
        <w:noBreakHyphen/>
        <w:t>based investment for 2019–20</w:t>
      </w:r>
      <w:r w:rsidR="005D75EF" w:rsidRPr="009150DC">
        <w:rPr>
          <w:lang w:val="en-AU"/>
        </w:rPr>
        <w:t xml:space="preserve"> </w:t>
      </w:r>
      <w:r w:rsidR="00790382" w:rsidRPr="009150DC">
        <w:rPr>
          <w:lang w:val="en-AU"/>
        </w:rPr>
        <w:t>by i</w:t>
      </w:r>
      <w:r w:rsidRPr="009150DC">
        <w:rPr>
          <w:lang w:val="en-AU"/>
        </w:rPr>
        <w:t>ndividual program investment within ea</w:t>
      </w:r>
      <w:r w:rsidR="00790382" w:rsidRPr="009150DC">
        <w:rPr>
          <w:lang w:val="en-AU"/>
        </w:rPr>
        <w:t>ch research sector</w:t>
      </w:r>
      <w:r w:rsidR="009C1808" w:rsidRPr="009150DC">
        <w:rPr>
          <w:rStyle w:val="FootnoteReference"/>
          <w:lang w:val="en-AU"/>
        </w:rPr>
        <w:footnoteReference w:id="115"/>
      </w:r>
    </w:p>
    <w:p w14:paraId="35E26784" w14:textId="624DA294" w:rsidR="009F573C" w:rsidRPr="009150DC" w:rsidRDefault="00BE6E12" w:rsidP="009F573C">
      <w:pPr>
        <w:rPr>
          <w:lang w:val="en-AU"/>
        </w:rPr>
      </w:pPr>
      <w:r w:rsidRPr="009150DC">
        <w:rPr>
          <w:lang w:val="en-AU"/>
        </w:rPr>
        <w:t xml:space="preserve">Australia’s targeted funding mechanisms have been refined over time, such that granting processes </w:t>
      </w:r>
      <w:r w:rsidR="00F440F4">
        <w:rPr>
          <w:lang w:val="en-AU"/>
        </w:rPr>
        <w:t>in</w:t>
      </w:r>
      <w:r w:rsidRPr="009150DC">
        <w:rPr>
          <w:lang w:val="en-AU"/>
        </w:rPr>
        <w:t xml:space="preserve"> agencies such as the ARC and the </w:t>
      </w:r>
      <w:r>
        <w:rPr>
          <w:lang w:val="en-AU"/>
        </w:rPr>
        <w:t>NHMRC</w:t>
      </w:r>
      <w:r w:rsidRPr="009150DC">
        <w:rPr>
          <w:lang w:val="en-AU"/>
        </w:rPr>
        <w:t xml:space="preserve"> are mature and effectively supported by a sophisticated review and evaluation infrastructure. However, some stakeholders have suggested that the typically disciplinary area-focussed structure of these processes may be inhibiting the progression of interdisciplinary ISR.</w:t>
      </w:r>
    </w:p>
    <w:p w14:paraId="5BC674B3" w14:textId="3E821661" w:rsidR="00BB5F09" w:rsidRPr="009150DC" w:rsidRDefault="00066E5A" w:rsidP="00066E5A">
      <w:pPr>
        <w:pStyle w:val="Heading1"/>
      </w:pPr>
      <w:bookmarkStart w:id="367" w:name="_Ref34927559"/>
      <w:bookmarkStart w:id="368" w:name="_Ref34913532"/>
      <w:bookmarkStart w:id="369" w:name="_Toc34919467"/>
      <w:bookmarkStart w:id="370" w:name="_Toc34921753"/>
      <w:bookmarkStart w:id="371" w:name="_Toc34924071"/>
      <w:bookmarkStart w:id="372" w:name="_Toc34925395"/>
      <w:bookmarkStart w:id="373" w:name="_Toc34925407"/>
      <w:bookmarkStart w:id="374" w:name="_Toc34989542"/>
      <w:bookmarkStart w:id="375" w:name="_Toc35006826"/>
      <w:bookmarkStart w:id="376" w:name="_Toc35011761"/>
      <w:bookmarkStart w:id="377" w:name="_Toc35015788"/>
      <w:bookmarkStart w:id="378" w:name="_Toc35356398"/>
      <w:bookmarkStart w:id="379" w:name="_Ref36219437"/>
      <w:bookmarkStart w:id="380" w:name="_Ref37150612"/>
      <w:bookmarkStart w:id="381" w:name="_Toc42868692"/>
      <w:bookmarkStart w:id="382" w:name="_Toc42872712"/>
      <w:bookmarkStart w:id="383" w:name="_Toc43996714"/>
      <w:bookmarkStart w:id="384" w:name="_Toc43999090"/>
      <w:bookmarkStart w:id="385" w:name="_Toc44071642"/>
      <w:bookmarkStart w:id="386" w:name="_Toc44074725"/>
      <w:bookmarkStart w:id="387" w:name="_Toc44076151"/>
      <w:bookmarkStart w:id="388" w:name="_Toc44079134"/>
      <w:bookmarkStart w:id="389" w:name="_Toc44317962"/>
      <w:bookmarkStart w:id="390" w:name="_Toc44312295"/>
      <w:bookmarkStart w:id="391" w:name="_Toc44320758"/>
      <w:bookmarkStart w:id="392" w:name="_Toc44322394"/>
      <w:bookmarkStart w:id="393" w:name="_Toc44322583"/>
      <w:bookmarkStart w:id="394" w:name="_Toc44323386"/>
      <w:bookmarkStart w:id="395" w:name="_Toc44323473"/>
      <w:bookmarkStart w:id="396" w:name="_Toc44324983"/>
      <w:bookmarkStart w:id="397" w:name="_Toc44326053"/>
      <w:bookmarkStart w:id="398" w:name="_Toc44330377"/>
      <w:bookmarkStart w:id="399" w:name="_Toc44331827"/>
      <w:bookmarkStart w:id="400" w:name="_Toc44331940"/>
      <w:bookmarkStart w:id="401" w:name="_Toc44339037"/>
      <w:bookmarkStart w:id="402" w:name="_Toc44340737"/>
      <w:bookmarkStart w:id="403" w:name="_Toc44419466"/>
      <w:bookmarkStart w:id="404" w:name="_Toc44420423"/>
      <w:bookmarkStart w:id="405" w:name="_Toc56073620"/>
      <w:bookmarkStart w:id="406" w:name="_Toc57113517"/>
      <w:bookmarkStart w:id="407" w:name="_Toc57113700"/>
      <w:bookmarkStart w:id="408" w:name="_Toc57641037"/>
      <w:bookmarkEnd w:id="367"/>
      <w:bookmarkEnd w:id="368"/>
      <w:bookmarkEnd w:id="369"/>
      <w:bookmarkEnd w:id="370"/>
      <w:bookmarkEnd w:id="371"/>
      <w:bookmarkEnd w:id="372"/>
      <w:bookmarkEnd w:id="373"/>
      <w:bookmarkEnd w:id="374"/>
      <w:bookmarkEnd w:id="375"/>
      <w:bookmarkEnd w:id="376"/>
      <w:bookmarkEnd w:id="377"/>
      <w:bookmarkEnd w:id="378"/>
      <w:bookmarkEnd w:id="379"/>
      <w:r>
        <w:lastRenderedPageBreak/>
        <w:t xml:space="preserve">Appendix G: </w:t>
      </w:r>
      <w:r w:rsidR="00BB5F09" w:rsidRPr="009150DC">
        <w:t>Data limitations</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2B62AAB5" w14:textId="70B3F7ED" w:rsidR="00BB5F09" w:rsidRPr="009150DC" w:rsidRDefault="00BB5F09" w:rsidP="00004381">
      <w:pPr>
        <w:rPr>
          <w:lang w:val="en-AU"/>
        </w:rPr>
      </w:pPr>
      <w:r w:rsidRPr="009150DC">
        <w:rPr>
          <w:lang w:val="en-AU"/>
        </w:rPr>
        <w:t>I</w:t>
      </w:r>
      <w:r w:rsidR="00523472">
        <w:rPr>
          <w:lang w:val="en-AU"/>
        </w:rPr>
        <w:t>I</w:t>
      </w:r>
      <w:r w:rsidRPr="009150DC">
        <w:rPr>
          <w:lang w:val="en-AU"/>
        </w:rPr>
        <w:t xml:space="preserve">SA found </w:t>
      </w:r>
      <w:r w:rsidR="00BE6E12">
        <w:rPr>
          <w:lang w:val="en-AU"/>
        </w:rPr>
        <w:t xml:space="preserve">that </w:t>
      </w:r>
      <w:r w:rsidR="002A0347" w:rsidRPr="009150DC">
        <w:rPr>
          <w:lang w:val="en-AU"/>
        </w:rPr>
        <w:t>each of the</w:t>
      </w:r>
      <w:r w:rsidR="00BE6E12">
        <w:rPr>
          <w:lang w:val="en-AU"/>
        </w:rPr>
        <w:t xml:space="preserve"> </w:t>
      </w:r>
      <w:r w:rsidR="002A0347" w:rsidRPr="009150DC">
        <w:rPr>
          <w:lang w:val="en-AU"/>
        </w:rPr>
        <w:t>datasets</w:t>
      </w:r>
      <w:r w:rsidR="00BE6E12">
        <w:rPr>
          <w:lang w:val="en-AU"/>
        </w:rPr>
        <w:t xml:space="preserve"> used in this analysis had limitations</w:t>
      </w:r>
      <w:r w:rsidR="002A0347" w:rsidRPr="009150DC">
        <w:rPr>
          <w:lang w:val="en-AU"/>
        </w:rPr>
        <w:t>. T</w:t>
      </w:r>
      <w:r w:rsidRPr="009150DC">
        <w:rPr>
          <w:lang w:val="en-AU"/>
        </w:rPr>
        <w:t>he OECD Main Science and Technology Indicators data</w:t>
      </w:r>
      <w:r w:rsidRPr="009150DC">
        <w:rPr>
          <w:rStyle w:val="FootnoteReference"/>
          <w:lang w:val="en-AU"/>
        </w:rPr>
        <w:footnoteReference w:id="116"/>
      </w:r>
      <w:r w:rsidRPr="009150DC">
        <w:rPr>
          <w:lang w:val="en-AU"/>
        </w:rPr>
        <w:t xml:space="preserve"> provided valuable global comparison</w:t>
      </w:r>
      <w:r w:rsidR="00BE6E12">
        <w:rPr>
          <w:lang w:val="en-AU"/>
        </w:rPr>
        <w:t xml:space="preserve"> insights</w:t>
      </w:r>
      <w:r w:rsidRPr="009150DC">
        <w:rPr>
          <w:lang w:val="en-AU"/>
        </w:rPr>
        <w:t xml:space="preserve">, however, Australian data were not available for many of the comparisons of interest for this </w:t>
      </w:r>
      <w:r w:rsidR="00BE6E12">
        <w:rPr>
          <w:lang w:val="en-AU"/>
        </w:rPr>
        <w:t>analysis</w:t>
      </w:r>
      <w:r w:rsidRPr="009150DC">
        <w:rPr>
          <w:lang w:val="en-AU"/>
        </w:rPr>
        <w:t>.</w:t>
      </w:r>
      <w:r w:rsidRPr="009150DC">
        <w:rPr>
          <w:rStyle w:val="FootnoteReference"/>
          <w:lang w:val="en-AU"/>
        </w:rPr>
        <w:footnoteReference w:id="117"/>
      </w:r>
      <w:r w:rsidR="00BF6417" w:rsidRPr="009150DC">
        <w:rPr>
          <w:lang w:val="en-AU"/>
        </w:rPr>
        <w:t xml:space="preserve"> The </w:t>
      </w:r>
      <w:r w:rsidR="00926BC9" w:rsidRPr="009150DC">
        <w:rPr>
          <w:lang w:val="en-AU"/>
        </w:rPr>
        <w:t xml:space="preserve">SRI Budget Tables </w:t>
      </w:r>
      <w:r w:rsidRPr="009150DC">
        <w:rPr>
          <w:lang w:val="en-AU"/>
        </w:rPr>
        <w:t xml:space="preserve">were found to be a valuable source of surveyed time series data for </w:t>
      </w:r>
      <w:r w:rsidR="003E51DA">
        <w:rPr>
          <w:lang w:val="en-AU"/>
        </w:rPr>
        <w:t xml:space="preserve">Commonwealth </w:t>
      </w:r>
      <w:r w:rsidRPr="009150DC">
        <w:rPr>
          <w:lang w:val="en-AU"/>
        </w:rPr>
        <w:t>Government</w:t>
      </w:r>
      <w:r w:rsidR="00BE6E12">
        <w:rPr>
          <w:lang w:val="en-AU"/>
        </w:rPr>
        <w:t xml:space="preserve"> </w:t>
      </w:r>
      <w:r w:rsidR="00BE6E12" w:rsidRPr="009150DC">
        <w:rPr>
          <w:lang w:val="en-AU"/>
        </w:rPr>
        <w:t>R&amp;D</w:t>
      </w:r>
      <w:r w:rsidRPr="009150DC">
        <w:rPr>
          <w:lang w:val="en-AU"/>
        </w:rPr>
        <w:t xml:space="preserve"> </w:t>
      </w:r>
      <w:r w:rsidR="00BE6E12">
        <w:rPr>
          <w:lang w:val="en-AU"/>
        </w:rPr>
        <w:t>i</w:t>
      </w:r>
      <w:r w:rsidRPr="009150DC">
        <w:rPr>
          <w:lang w:val="en-AU"/>
        </w:rPr>
        <w:t>nvestments, particularly for the system-level analysis of investments within Government depart</w:t>
      </w:r>
      <w:r w:rsidR="00BF6417" w:rsidRPr="009150DC">
        <w:rPr>
          <w:lang w:val="en-AU"/>
        </w:rPr>
        <w:t>ments. However, the SRI Budget T</w:t>
      </w:r>
      <w:r w:rsidRPr="009150DC">
        <w:rPr>
          <w:lang w:val="en-AU"/>
        </w:rPr>
        <w:t xml:space="preserve">ables were not suitable for more detailed </w:t>
      </w:r>
      <w:r w:rsidR="00BE6E12">
        <w:rPr>
          <w:lang w:val="en-AU"/>
        </w:rPr>
        <w:t>government ISR investment</w:t>
      </w:r>
      <w:r w:rsidR="00BE6E12" w:rsidRPr="009150DC">
        <w:rPr>
          <w:lang w:val="en-AU"/>
        </w:rPr>
        <w:t xml:space="preserve"> </w:t>
      </w:r>
      <w:r w:rsidRPr="009150DC">
        <w:rPr>
          <w:lang w:val="en-AU"/>
        </w:rPr>
        <w:t>analy</w:t>
      </w:r>
      <w:r w:rsidR="00BE6E12">
        <w:rPr>
          <w:lang w:val="en-AU"/>
        </w:rPr>
        <w:t>se</w:t>
      </w:r>
      <w:r w:rsidRPr="009150DC">
        <w:rPr>
          <w:lang w:val="en-AU"/>
        </w:rPr>
        <w:t>s due to some insufficiencies in data detail, accuracy and/or fidelity.</w:t>
      </w:r>
    </w:p>
    <w:p w14:paraId="20A59BCE" w14:textId="6309F962" w:rsidR="00D62DDD" w:rsidRPr="009150DC" w:rsidRDefault="00D62DDD" w:rsidP="00FB63FC">
      <w:pPr>
        <w:rPr>
          <w:lang w:val="en-AU"/>
        </w:rPr>
      </w:pPr>
      <w:r w:rsidRPr="009150DC">
        <w:rPr>
          <w:lang w:val="en-AU"/>
        </w:rPr>
        <w:t xml:space="preserve">For example, </w:t>
      </w:r>
      <w:r w:rsidR="00133C37" w:rsidRPr="009150DC">
        <w:rPr>
          <w:lang w:val="en-AU"/>
        </w:rPr>
        <w:t xml:space="preserve">the </w:t>
      </w:r>
      <w:r w:rsidR="002A0347" w:rsidRPr="009150DC">
        <w:rPr>
          <w:lang w:val="en-AU"/>
        </w:rPr>
        <w:t>data for the</w:t>
      </w:r>
      <w:r w:rsidR="00133C37" w:rsidRPr="009150DC">
        <w:rPr>
          <w:lang w:val="en-AU"/>
        </w:rPr>
        <w:t xml:space="preserve"> </w:t>
      </w:r>
      <w:r w:rsidRPr="009150DC">
        <w:rPr>
          <w:lang w:val="en-AU"/>
        </w:rPr>
        <w:t>Government</w:t>
      </w:r>
      <w:r w:rsidR="002A0347" w:rsidRPr="009150DC">
        <w:rPr>
          <w:lang w:val="en-AU"/>
        </w:rPr>
        <w:t>’s</w:t>
      </w:r>
      <w:r w:rsidRPr="009150DC">
        <w:rPr>
          <w:lang w:val="en-AU"/>
        </w:rPr>
        <w:t xml:space="preserve"> investment in ISR, particularly innovation,</w:t>
      </w:r>
      <w:r w:rsidRPr="009150DC">
        <w:rPr>
          <w:rStyle w:val="FootnoteReference"/>
          <w:lang w:val="en-AU"/>
        </w:rPr>
        <w:footnoteReference w:id="118"/>
      </w:r>
      <w:r w:rsidR="006A2EF3" w:rsidRPr="009150DC">
        <w:rPr>
          <w:lang w:val="en-AU"/>
        </w:rPr>
        <w:t xml:space="preserve"> is incomplete. The 2019–</w:t>
      </w:r>
      <w:r w:rsidRPr="009150DC">
        <w:rPr>
          <w:lang w:val="en-AU"/>
        </w:rPr>
        <w:t xml:space="preserve">20 SRI Budget Tables define innovation investment as programs and activities explicitly intended to support science, research and/or innovation. </w:t>
      </w:r>
      <w:r w:rsidR="00C8403C" w:rsidRPr="009150DC">
        <w:rPr>
          <w:lang w:val="en-AU"/>
        </w:rPr>
        <w:t>M</w:t>
      </w:r>
      <w:r w:rsidRPr="009150DC">
        <w:rPr>
          <w:lang w:val="en-AU"/>
        </w:rPr>
        <w:t>ore than 80</w:t>
      </w:r>
      <w:r w:rsidR="006A2EF3" w:rsidRPr="009150DC">
        <w:rPr>
          <w:lang w:val="en-AU"/>
        </w:rPr>
        <w:t> per cent</w:t>
      </w:r>
      <w:r w:rsidRPr="009150DC">
        <w:rPr>
          <w:lang w:val="en-AU"/>
        </w:rPr>
        <w:t xml:space="preserve"> of the 42 programs funded through the </w:t>
      </w:r>
      <w:r w:rsidR="00C46D11" w:rsidRPr="009150DC">
        <w:rPr>
          <w:lang w:val="en-AU"/>
        </w:rPr>
        <w:t>Public Sector Modernisation Fund (PSMF)</w:t>
      </w:r>
      <w:r w:rsidRPr="009150DC">
        <w:rPr>
          <w:lang w:val="en-AU"/>
        </w:rPr>
        <w:t>, a $500</w:t>
      </w:r>
      <w:r w:rsidR="00C46D11" w:rsidRPr="009150DC">
        <w:rPr>
          <w:lang w:val="en-AU"/>
        </w:rPr>
        <w:t> </w:t>
      </w:r>
      <w:r w:rsidRPr="009150DC">
        <w:rPr>
          <w:lang w:val="en-AU"/>
        </w:rPr>
        <w:t>million initiative to modernise and enhance the productivity of the public sector,</w:t>
      </w:r>
      <w:r w:rsidRPr="009150DC">
        <w:rPr>
          <w:rStyle w:val="FootnoteReference"/>
          <w:lang w:val="en-AU"/>
        </w:rPr>
        <w:footnoteReference w:id="119"/>
      </w:r>
      <w:r w:rsidRPr="009150DC">
        <w:rPr>
          <w:lang w:val="en-AU"/>
        </w:rPr>
        <w:t xml:space="preserve"> would meet the definition of innovation</w:t>
      </w:r>
      <w:r w:rsidR="00133C37" w:rsidRPr="009150DC">
        <w:rPr>
          <w:lang w:val="en-AU"/>
        </w:rPr>
        <w:t xml:space="preserve"> (such as the D</w:t>
      </w:r>
      <w:r w:rsidR="00C46D11" w:rsidRPr="009150DC">
        <w:rPr>
          <w:lang w:val="en-AU"/>
        </w:rPr>
        <w:t>ata Integration Partnership of Australia</w:t>
      </w:r>
      <w:r w:rsidR="00133C37" w:rsidRPr="009150DC">
        <w:rPr>
          <w:lang w:val="en-AU"/>
        </w:rPr>
        <w:t xml:space="preserve"> and Business and Community Grants Hub initiatives)</w:t>
      </w:r>
      <w:r w:rsidRPr="009150DC">
        <w:rPr>
          <w:lang w:val="en-AU"/>
        </w:rPr>
        <w:t>.</w:t>
      </w:r>
      <w:r w:rsidRPr="009150DC">
        <w:rPr>
          <w:rStyle w:val="FootnoteReference"/>
          <w:lang w:val="en-AU"/>
        </w:rPr>
        <w:footnoteReference w:id="120"/>
      </w:r>
      <w:r w:rsidRPr="009150DC">
        <w:rPr>
          <w:lang w:val="en-AU"/>
        </w:rPr>
        <w:t xml:space="preserve"> Yet only </w:t>
      </w:r>
      <w:r w:rsidR="00133C37" w:rsidRPr="009150DC">
        <w:rPr>
          <w:lang w:val="en-AU"/>
        </w:rPr>
        <w:t>around</w:t>
      </w:r>
      <w:r w:rsidRPr="009150DC">
        <w:rPr>
          <w:lang w:val="en-AU"/>
        </w:rPr>
        <w:t xml:space="preserve"> 40</w:t>
      </w:r>
      <w:r w:rsidR="006A2EF3" w:rsidRPr="009150DC">
        <w:rPr>
          <w:lang w:val="en-AU"/>
        </w:rPr>
        <w:t> per cent</w:t>
      </w:r>
      <w:r w:rsidRPr="009150DC">
        <w:rPr>
          <w:lang w:val="en-AU"/>
        </w:rPr>
        <w:t xml:space="preserve"> of these programs are captured within the SRI Budget Tables.</w:t>
      </w:r>
      <w:r w:rsidR="005707B2" w:rsidRPr="009150DC">
        <w:rPr>
          <w:lang w:val="en-AU"/>
        </w:rPr>
        <w:t xml:space="preserve"> </w:t>
      </w:r>
      <w:r w:rsidR="00C8403C" w:rsidRPr="009150DC">
        <w:rPr>
          <w:lang w:val="en-AU"/>
        </w:rPr>
        <w:t xml:space="preserve">This </w:t>
      </w:r>
      <w:r w:rsidR="00C46D11" w:rsidRPr="009150DC">
        <w:rPr>
          <w:lang w:val="en-AU"/>
        </w:rPr>
        <w:t>issue</w:t>
      </w:r>
      <w:r w:rsidR="00C8403C" w:rsidRPr="009150DC">
        <w:rPr>
          <w:lang w:val="en-AU"/>
        </w:rPr>
        <w:t xml:space="preserve"> </w:t>
      </w:r>
      <w:r w:rsidR="00BF6417" w:rsidRPr="009150DC">
        <w:rPr>
          <w:lang w:val="en-AU"/>
        </w:rPr>
        <w:t xml:space="preserve">is </w:t>
      </w:r>
      <w:r w:rsidR="00C8403C" w:rsidRPr="009150DC">
        <w:rPr>
          <w:lang w:val="en-AU"/>
        </w:rPr>
        <w:t xml:space="preserve">not limited to the </w:t>
      </w:r>
      <w:r w:rsidR="00C46D11" w:rsidRPr="009150DC">
        <w:rPr>
          <w:lang w:val="en-AU"/>
        </w:rPr>
        <w:t>PS</w:t>
      </w:r>
      <w:r w:rsidR="00C8403C" w:rsidRPr="009150DC">
        <w:rPr>
          <w:lang w:val="en-AU"/>
        </w:rPr>
        <w:t>M</w:t>
      </w:r>
      <w:r w:rsidR="00C46D11" w:rsidRPr="009150DC">
        <w:rPr>
          <w:lang w:val="en-AU"/>
        </w:rPr>
        <w:t>F</w:t>
      </w:r>
      <w:r w:rsidR="00C8403C" w:rsidRPr="009150DC">
        <w:rPr>
          <w:lang w:val="en-AU"/>
        </w:rPr>
        <w:t>, with o</w:t>
      </w:r>
      <w:r w:rsidR="005707B2" w:rsidRPr="009150DC">
        <w:rPr>
          <w:lang w:val="en-AU"/>
        </w:rPr>
        <w:t xml:space="preserve">ther </w:t>
      </w:r>
      <w:r w:rsidR="00C46D11" w:rsidRPr="009150DC">
        <w:rPr>
          <w:lang w:val="en-AU"/>
        </w:rPr>
        <w:t xml:space="preserve">Government </w:t>
      </w:r>
      <w:r w:rsidR="005707B2" w:rsidRPr="009150DC">
        <w:rPr>
          <w:lang w:val="en-AU"/>
        </w:rPr>
        <w:t xml:space="preserve">innovation </w:t>
      </w:r>
      <w:r w:rsidR="00C8403C" w:rsidRPr="009150DC">
        <w:rPr>
          <w:lang w:val="en-AU"/>
        </w:rPr>
        <w:t>investment</w:t>
      </w:r>
      <w:r w:rsidR="00C46D11" w:rsidRPr="009150DC">
        <w:rPr>
          <w:lang w:val="en-AU"/>
        </w:rPr>
        <w:t>s</w:t>
      </w:r>
      <w:r w:rsidR="00C8403C" w:rsidRPr="009150DC">
        <w:rPr>
          <w:lang w:val="en-AU"/>
        </w:rPr>
        <w:t xml:space="preserve"> also </w:t>
      </w:r>
      <w:r w:rsidR="00651C2C" w:rsidRPr="009150DC">
        <w:rPr>
          <w:lang w:val="en-AU"/>
        </w:rPr>
        <w:t>un</w:t>
      </w:r>
      <w:r w:rsidR="005707B2" w:rsidRPr="009150DC">
        <w:rPr>
          <w:lang w:val="en-AU"/>
        </w:rPr>
        <w:t>represented in the SRI Budget Tables</w:t>
      </w:r>
      <w:r w:rsidR="00C8403C" w:rsidRPr="009150DC">
        <w:rPr>
          <w:lang w:val="en-AU"/>
        </w:rPr>
        <w:t>.</w:t>
      </w:r>
      <w:r w:rsidR="00C8403C" w:rsidRPr="009150DC">
        <w:rPr>
          <w:rStyle w:val="FootnoteReference"/>
          <w:lang w:val="en-AU"/>
        </w:rPr>
        <w:footnoteReference w:id="121"/>
      </w:r>
    </w:p>
    <w:p w14:paraId="7E45ABEE" w14:textId="508DA44D" w:rsidR="005707B2" w:rsidRPr="009150DC" w:rsidRDefault="007B72E2" w:rsidP="005707B2">
      <w:pPr>
        <w:rPr>
          <w:lang w:val="en-AU"/>
        </w:rPr>
      </w:pPr>
      <w:r>
        <w:rPr>
          <w:lang w:val="en-AU"/>
        </w:rPr>
        <w:t>I</w:t>
      </w:r>
      <w:r w:rsidR="005707B2" w:rsidRPr="009150DC">
        <w:rPr>
          <w:lang w:val="en-AU"/>
        </w:rPr>
        <w:t>nsufficien</w:t>
      </w:r>
      <w:r>
        <w:rPr>
          <w:lang w:val="en-AU"/>
        </w:rPr>
        <w:t>cies in</w:t>
      </w:r>
      <w:r w:rsidR="005707B2" w:rsidRPr="009150DC">
        <w:rPr>
          <w:lang w:val="en-AU"/>
        </w:rPr>
        <w:t xml:space="preserve"> detail generally re</w:t>
      </w:r>
      <w:r w:rsidR="0054227B" w:rsidRPr="009150DC">
        <w:rPr>
          <w:lang w:val="en-AU"/>
        </w:rPr>
        <w:t>lat</w:t>
      </w:r>
      <w:r>
        <w:rPr>
          <w:lang w:val="en-AU"/>
        </w:rPr>
        <w:t>e</w:t>
      </w:r>
      <w:r w:rsidR="0054227B" w:rsidRPr="009150DC">
        <w:rPr>
          <w:lang w:val="en-AU"/>
        </w:rPr>
        <w:t xml:space="preserve"> </w:t>
      </w:r>
      <w:r w:rsidR="005707B2" w:rsidRPr="009150DC">
        <w:rPr>
          <w:lang w:val="en-AU"/>
        </w:rPr>
        <w:t>to program</w:t>
      </w:r>
      <w:r w:rsidR="008804E8" w:rsidRPr="009150DC">
        <w:rPr>
          <w:lang w:val="en-AU"/>
        </w:rPr>
        <w:t>-level data</w:t>
      </w:r>
      <w:r w:rsidR="00C8403C" w:rsidRPr="009150DC">
        <w:rPr>
          <w:lang w:val="en-AU"/>
        </w:rPr>
        <w:t xml:space="preserve">, which leads to issues in assessing investment fragmentation and scale. </w:t>
      </w:r>
      <w:r w:rsidR="005707B2" w:rsidRPr="009150DC">
        <w:rPr>
          <w:lang w:val="en-AU"/>
        </w:rPr>
        <w:t>Many of the smal</w:t>
      </w:r>
      <w:r w:rsidR="00BF6417" w:rsidRPr="009150DC">
        <w:rPr>
          <w:lang w:val="en-AU"/>
        </w:rPr>
        <w:t>ler programs listed in the SRI Budget T</w:t>
      </w:r>
      <w:r w:rsidR="005707B2" w:rsidRPr="009150DC">
        <w:rPr>
          <w:lang w:val="en-AU"/>
        </w:rPr>
        <w:t>ables contribute to a larger program of work already identified in the tables, but these programs have not been grouped together.</w:t>
      </w:r>
      <w:r w:rsidR="005707B2" w:rsidRPr="009150DC">
        <w:rPr>
          <w:rStyle w:val="FootnoteReference"/>
          <w:lang w:val="en-AU"/>
        </w:rPr>
        <w:footnoteReference w:id="122"/>
      </w:r>
      <w:r w:rsidR="0054227B" w:rsidRPr="009150DC">
        <w:rPr>
          <w:lang w:val="en-AU"/>
        </w:rPr>
        <w:t xml:space="preserve"> Furthermore, many individual line items do not provide sufficient fidelity for this </w:t>
      </w:r>
      <w:r w:rsidR="00E86E76">
        <w:rPr>
          <w:lang w:val="en-AU"/>
        </w:rPr>
        <w:t>analysis</w:t>
      </w:r>
      <w:r w:rsidR="0054227B" w:rsidRPr="009150DC">
        <w:rPr>
          <w:lang w:val="en-AU"/>
        </w:rPr>
        <w:t>.</w:t>
      </w:r>
      <w:r w:rsidR="0054227B" w:rsidRPr="009150DC">
        <w:rPr>
          <w:rStyle w:val="FootnoteReference"/>
          <w:lang w:val="en-AU"/>
        </w:rPr>
        <w:footnoteReference w:id="123"/>
      </w:r>
      <w:r w:rsidR="0054227B" w:rsidRPr="009150DC">
        <w:rPr>
          <w:lang w:val="en-AU"/>
        </w:rPr>
        <w:t xml:space="preserve"> Program</w:t>
      </w:r>
      <w:r w:rsidR="008804E8" w:rsidRPr="009150DC">
        <w:rPr>
          <w:lang w:val="en-AU"/>
        </w:rPr>
        <w:noBreakHyphen/>
      </w:r>
      <w:r w:rsidR="0054227B" w:rsidRPr="009150DC">
        <w:rPr>
          <w:lang w:val="en-AU"/>
        </w:rPr>
        <w:t xml:space="preserve">level detail </w:t>
      </w:r>
      <w:r w:rsidR="00DB5B4C" w:rsidRPr="009150DC">
        <w:rPr>
          <w:lang w:val="en-AU"/>
        </w:rPr>
        <w:t>would be better organis</w:t>
      </w:r>
      <w:r w:rsidR="0054227B" w:rsidRPr="009150DC">
        <w:rPr>
          <w:lang w:val="en-AU"/>
        </w:rPr>
        <w:t>ed and more accurately represented as two levels of information; the overarching program or agency (e.g. CSIRO) and the specific program or initiative</w:t>
      </w:r>
      <w:r w:rsidR="008E2F38" w:rsidRPr="009150DC">
        <w:rPr>
          <w:lang w:val="en-AU"/>
        </w:rPr>
        <w:t xml:space="preserve">, as shown in </w:t>
      </w:r>
      <w:r w:rsidR="0054227B" w:rsidRPr="009150DC">
        <w:rPr>
          <w:lang w:val="en-AU"/>
        </w:rPr>
        <w:t xml:space="preserve">Canada’s </w:t>
      </w:r>
      <w:r w:rsidR="008E2F38" w:rsidRPr="009150DC">
        <w:rPr>
          <w:lang w:val="en-AU"/>
        </w:rPr>
        <w:t>InfoBase.</w:t>
      </w:r>
      <w:r w:rsidR="008E2F38" w:rsidRPr="009150DC">
        <w:rPr>
          <w:rStyle w:val="FootnoteReference"/>
          <w:lang w:val="en-AU"/>
        </w:rPr>
        <w:footnoteReference w:id="124"/>
      </w:r>
      <w:r w:rsidR="0054227B" w:rsidRPr="009150DC">
        <w:rPr>
          <w:lang w:val="en-AU"/>
        </w:rPr>
        <w:t xml:space="preserve"> </w:t>
      </w:r>
    </w:p>
    <w:p w14:paraId="786283F4" w14:textId="02E47DDD" w:rsidR="00FB63FC" w:rsidRPr="009150DC" w:rsidRDefault="00FB63FC" w:rsidP="00FB63FC">
      <w:pPr>
        <w:rPr>
          <w:lang w:val="en-AU"/>
        </w:rPr>
      </w:pPr>
      <w:r w:rsidRPr="009150DC">
        <w:rPr>
          <w:lang w:val="en-AU"/>
        </w:rPr>
        <w:t>I</w:t>
      </w:r>
      <w:r w:rsidR="00523472">
        <w:rPr>
          <w:lang w:val="en-AU"/>
        </w:rPr>
        <w:t>I</w:t>
      </w:r>
      <w:r w:rsidRPr="009150DC">
        <w:rPr>
          <w:lang w:val="en-AU"/>
        </w:rPr>
        <w:t xml:space="preserve">SA </w:t>
      </w:r>
      <w:r w:rsidR="008804E8" w:rsidRPr="009150DC">
        <w:rPr>
          <w:lang w:val="en-AU"/>
        </w:rPr>
        <w:t xml:space="preserve">also </w:t>
      </w:r>
      <w:r w:rsidRPr="009150DC">
        <w:rPr>
          <w:lang w:val="en-AU"/>
        </w:rPr>
        <w:t>examined ABS data</w:t>
      </w:r>
      <w:r w:rsidRPr="009150DC">
        <w:rPr>
          <w:rStyle w:val="FootnoteReference"/>
          <w:lang w:val="en-AU"/>
        </w:rPr>
        <w:footnoteReference w:id="125"/>
      </w:r>
      <w:r w:rsidRPr="009150DC">
        <w:rPr>
          <w:lang w:val="en-AU"/>
        </w:rPr>
        <w:t xml:space="preserve"> and found that </w:t>
      </w:r>
      <w:r w:rsidR="008804E8" w:rsidRPr="009150DC">
        <w:rPr>
          <w:lang w:val="en-AU"/>
        </w:rPr>
        <w:t>they</w:t>
      </w:r>
      <w:r w:rsidRPr="009150DC">
        <w:rPr>
          <w:lang w:val="en-AU"/>
        </w:rPr>
        <w:t xml:space="preserve"> provided system</w:t>
      </w:r>
      <w:r w:rsidR="00222759" w:rsidRPr="009150DC">
        <w:rPr>
          <w:lang w:val="en-AU"/>
        </w:rPr>
        <w:noBreakHyphen/>
      </w:r>
      <w:r w:rsidRPr="009150DC">
        <w:rPr>
          <w:lang w:val="en-AU"/>
        </w:rPr>
        <w:t xml:space="preserve">level survey data for business, </w:t>
      </w:r>
      <w:r w:rsidR="00222759" w:rsidRPr="009150DC">
        <w:rPr>
          <w:lang w:val="en-AU"/>
        </w:rPr>
        <w:t>Commonwealth, state</w:t>
      </w:r>
      <w:r w:rsidRPr="009150DC">
        <w:rPr>
          <w:lang w:val="en-AU"/>
        </w:rPr>
        <w:t xml:space="preserve"> and </w:t>
      </w:r>
      <w:r w:rsidR="00222759" w:rsidRPr="009150DC">
        <w:rPr>
          <w:lang w:val="en-AU"/>
        </w:rPr>
        <w:t>territory g</w:t>
      </w:r>
      <w:r w:rsidRPr="009150DC">
        <w:rPr>
          <w:lang w:val="en-AU"/>
        </w:rPr>
        <w:t>overnment</w:t>
      </w:r>
      <w:r w:rsidR="00222759" w:rsidRPr="009150DC">
        <w:rPr>
          <w:lang w:val="en-AU"/>
        </w:rPr>
        <w:t>s</w:t>
      </w:r>
      <w:r w:rsidRPr="009150DC">
        <w:rPr>
          <w:lang w:val="en-AU"/>
        </w:rPr>
        <w:t xml:space="preserve">, </w:t>
      </w:r>
      <w:r w:rsidR="000E7FB3" w:rsidRPr="009150DC">
        <w:rPr>
          <w:lang w:val="en-AU"/>
        </w:rPr>
        <w:t xml:space="preserve">higher education </w:t>
      </w:r>
      <w:r w:rsidRPr="009150DC">
        <w:rPr>
          <w:lang w:val="en-AU"/>
        </w:rPr>
        <w:t>and private not</w:t>
      </w:r>
      <w:r w:rsidR="00222759" w:rsidRPr="009150DC">
        <w:rPr>
          <w:lang w:val="en-AU"/>
        </w:rPr>
        <w:noBreakHyphen/>
      </w:r>
      <w:r w:rsidRPr="009150DC">
        <w:rPr>
          <w:lang w:val="en-AU"/>
        </w:rPr>
        <w:t>for</w:t>
      </w:r>
      <w:r w:rsidR="00222759" w:rsidRPr="009150DC">
        <w:rPr>
          <w:lang w:val="en-AU"/>
        </w:rPr>
        <w:noBreakHyphen/>
      </w:r>
      <w:r w:rsidR="009F49F3" w:rsidRPr="009150DC">
        <w:rPr>
          <w:lang w:val="en-AU"/>
        </w:rPr>
        <w:t xml:space="preserve">profit </w:t>
      </w:r>
      <w:r w:rsidR="00483281" w:rsidRPr="009150DC">
        <w:rPr>
          <w:lang w:val="en-AU"/>
        </w:rPr>
        <w:t>R&amp;D expenditure</w:t>
      </w:r>
      <w:r w:rsidR="009F49F3" w:rsidRPr="009150DC">
        <w:rPr>
          <w:lang w:val="en-AU"/>
        </w:rPr>
        <w:t>. The</w:t>
      </w:r>
      <w:r w:rsidRPr="009150DC">
        <w:rPr>
          <w:lang w:val="en-AU"/>
        </w:rPr>
        <w:t>s</w:t>
      </w:r>
      <w:r w:rsidR="009F49F3" w:rsidRPr="009150DC">
        <w:rPr>
          <w:lang w:val="en-AU"/>
        </w:rPr>
        <w:t>e</w:t>
      </w:r>
      <w:r w:rsidRPr="009150DC">
        <w:rPr>
          <w:lang w:val="en-AU"/>
        </w:rPr>
        <w:t xml:space="preserve"> data can be used to assess the source of funding, </w:t>
      </w:r>
      <w:r w:rsidR="000E7FB3" w:rsidRPr="009150DC">
        <w:rPr>
          <w:lang w:val="en-AU"/>
        </w:rPr>
        <w:t xml:space="preserve">the type </w:t>
      </w:r>
      <w:r w:rsidR="000E7FB3" w:rsidRPr="009150DC">
        <w:rPr>
          <w:lang w:val="en-AU"/>
        </w:rPr>
        <w:lastRenderedPageBreak/>
        <w:t xml:space="preserve">and </w:t>
      </w:r>
      <w:r w:rsidRPr="009150DC">
        <w:rPr>
          <w:lang w:val="en-AU"/>
        </w:rPr>
        <w:t xml:space="preserve">location of </w:t>
      </w:r>
      <w:r w:rsidR="008804E8" w:rsidRPr="009150DC">
        <w:rPr>
          <w:lang w:val="en-AU"/>
        </w:rPr>
        <w:t>the</w:t>
      </w:r>
      <w:r w:rsidRPr="009150DC">
        <w:rPr>
          <w:lang w:val="en-AU"/>
        </w:rPr>
        <w:t xml:space="preserve"> </w:t>
      </w:r>
      <w:r w:rsidR="00483281" w:rsidRPr="009150DC">
        <w:rPr>
          <w:lang w:val="en-AU"/>
        </w:rPr>
        <w:t>expenditure, and the classification of this expenditure according to socioeconomic objectives and fields of research.</w:t>
      </w:r>
      <w:r w:rsidRPr="009150DC">
        <w:rPr>
          <w:rStyle w:val="FootnoteReference"/>
          <w:lang w:val="en-AU"/>
        </w:rPr>
        <w:footnoteReference w:id="126"/>
      </w:r>
      <w:r w:rsidRPr="009150DC">
        <w:rPr>
          <w:lang w:val="en-AU"/>
        </w:rPr>
        <w:t xml:space="preserve"> However, ABS data can only be used for a system</w:t>
      </w:r>
      <w:r w:rsidR="00222759" w:rsidRPr="009150DC">
        <w:rPr>
          <w:lang w:val="en-AU"/>
        </w:rPr>
        <w:noBreakHyphen/>
      </w:r>
      <w:r w:rsidRPr="009150DC">
        <w:rPr>
          <w:lang w:val="en-AU"/>
        </w:rPr>
        <w:t xml:space="preserve">level analysis as it does not have enough </w:t>
      </w:r>
      <w:r w:rsidR="0078619F" w:rsidRPr="009150DC">
        <w:rPr>
          <w:lang w:val="en-AU"/>
        </w:rPr>
        <w:t>depth of detail</w:t>
      </w:r>
      <w:r w:rsidR="00483281" w:rsidRPr="009150DC">
        <w:rPr>
          <w:lang w:val="en-AU"/>
        </w:rPr>
        <w:t>, such as the recipient of funds,</w:t>
      </w:r>
      <w:r w:rsidR="0078619F" w:rsidRPr="009150DC">
        <w:rPr>
          <w:lang w:val="en-AU"/>
        </w:rPr>
        <w:t xml:space="preserve"> </w:t>
      </w:r>
      <w:r w:rsidRPr="009150DC">
        <w:rPr>
          <w:lang w:val="en-AU"/>
        </w:rPr>
        <w:t>to examine gaps and overlaps in the system.</w:t>
      </w:r>
    </w:p>
    <w:p w14:paraId="4237ABCB" w14:textId="47483090" w:rsidR="008112FC" w:rsidRPr="009150DC" w:rsidRDefault="002A0347" w:rsidP="008112FC">
      <w:pPr>
        <w:rPr>
          <w:lang w:val="en-AU"/>
        </w:rPr>
      </w:pPr>
      <w:r w:rsidRPr="009150DC">
        <w:rPr>
          <w:lang w:val="en-AU"/>
        </w:rPr>
        <w:t>It should be noted that c</w:t>
      </w:r>
      <w:r w:rsidR="00332735" w:rsidRPr="009150DC">
        <w:rPr>
          <w:lang w:val="en-AU"/>
        </w:rPr>
        <w:t xml:space="preserve">omparisons between the SRI Budget Tables data and the ABS data are limited given they </w:t>
      </w:r>
      <w:r w:rsidR="00BE42A2" w:rsidRPr="009150DC">
        <w:rPr>
          <w:lang w:val="en-AU"/>
        </w:rPr>
        <w:t xml:space="preserve">use different </w:t>
      </w:r>
      <w:r w:rsidR="00E86E76">
        <w:rPr>
          <w:lang w:val="en-AU"/>
        </w:rPr>
        <w:t>(</w:t>
      </w:r>
      <w:r w:rsidR="00BE42A2" w:rsidRPr="009150DC">
        <w:rPr>
          <w:lang w:val="en-AU"/>
        </w:rPr>
        <w:t xml:space="preserve">but </w:t>
      </w:r>
      <w:r w:rsidR="008804E8" w:rsidRPr="009150DC">
        <w:rPr>
          <w:lang w:val="en-AU"/>
        </w:rPr>
        <w:t>comple</w:t>
      </w:r>
      <w:r w:rsidR="00BE42A2" w:rsidRPr="009150DC">
        <w:rPr>
          <w:lang w:val="en-AU"/>
        </w:rPr>
        <w:t>mentary</w:t>
      </w:r>
      <w:r w:rsidR="00E86E76">
        <w:rPr>
          <w:lang w:val="en-AU"/>
        </w:rPr>
        <w:t>)</w:t>
      </w:r>
      <w:r w:rsidR="00BE42A2" w:rsidRPr="009150DC">
        <w:rPr>
          <w:lang w:val="en-AU"/>
        </w:rPr>
        <w:t xml:space="preserve"> approaches to</w:t>
      </w:r>
      <w:r w:rsidR="00332735" w:rsidRPr="009150DC">
        <w:rPr>
          <w:lang w:val="en-AU"/>
        </w:rPr>
        <w:t xml:space="preserve"> measur</w:t>
      </w:r>
      <w:r w:rsidR="00E86E76">
        <w:rPr>
          <w:lang w:val="en-AU"/>
        </w:rPr>
        <w:t>ing</w:t>
      </w:r>
      <w:r w:rsidR="00332735" w:rsidRPr="009150DC">
        <w:rPr>
          <w:lang w:val="en-AU"/>
        </w:rPr>
        <w:t xml:space="preserve"> </w:t>
      </w:r>
      <w:r w:rsidR="00BE42A2" w:rsidRPr="009150DC">
        <w:rPr>
          <w:lang w:val="en-AU"/>
        </w:rPr>
        <w:t>government investment in R&amp;D</w:t>
      </w:r>
      <w:r w:rsidR="00E86E76">
        <w:rPr>
          <w:lang w:val="en-AU"/>
        </w:rPr>
        <w:t>. T</w:t>
      </w:r>
      <w:r w:rsidR="00BE42A2" w:rsidRPr="009150DC">
        <w:rPr>
          <w:lang w:val="en-AU"/>
        </w:rPr>
        <w:t>he SRI Budget Tables us</w:t>
      </w:r>
      <w:r w:rsidR="00E86E76">
        <w:rPr>
          <w:lang w:val="en-AU"/>
        </w:rPr>
        <w:t>e</w:t>
      </w:r>
      <w:r w:rsidR="00BE42A2" w:rsidRPr="009150DC">
        <w:rPr>
          <w:lang w:val="en-AU"/>
        </w:rPr>
        <w:t xml:space="preserve"> the funder-based approach</w:t>
      </w:r>
      <w:r w:rsidR="00BE42A2" w:rsidRPr="009150DC">
        <w:rPr>
          <w:rStyle w:val="FootnoteReference"/>
          <w:lang w:val="en-AU"/>
        </w:rPr>
        <w:footnoteReference w:id="127"/>
      </w:r>
      <w:r w:rsidR="00BE42A2" w:rsidRPr="009150DC">
        <w:rPr>
          <w:lang w:val="en-AU"/>
        </w:rPr>
        <w:t xml:space="preserve"> and the ABS us</w:t>
      </w:r>
      <w:r w:rsidR="00E86E76">
        <w:rPr>
          <w:lang w:val="en-AU"/>
        </w:rPr>
        <w:t>e</w:t>
      </w:r>
      <w:r w:rsidR="00BE42A2" w:rsidRPr="009150DC">
        <w:rPr>
          <w:lang w:val="en-AU"/>
        </w:rPr>
        <w:t xml:space="preserve"> the performer</w:t>
      </w:r>
      <w:r w:rsidR="00651C2C" w:rsidRPr="009150DC">
        <w:rPr>
          <w:lang w:val="en-AU"/>
        </w:rPr>
        <w:noBreakHyphen/>
      </w:r>
      <w:r w:rsidR="00BE42A2" w:rsidRPr="009150DC">
        <w:rPr>
          <w:lang w:val="en-AU"/>
        </w:rPr>
        <w:t>based approach</w:t>
      </w:r>
      <w:r w:rsidR="00916259" w:rsidRPr="009150DC">
        <w:rPr>
          <w:lang w:val="en-AU"/>
        </w:rPr>
        <w:t>.</w:t>
      </w:r>
      <w:r w:rsidR="00BE42A2" w:rsidRPr="009150DC">
        <w:rPr>
          <w:rStyle w:val="FootnoteReference"/>
          <w:lang w:val="en-AU"/>
        </w:rPr>
        <w:footnoteReference w:id="128"/>
      </w:r>
      <w:r w:rsidR="00916259" w:rsidRPr="009150DC">
        <w:rPr>
          <w:lang w:val="en-AU"/>
        </w:rPr>
        <w:t xml:space="preserve"> Further</w:t>
      </w:r>
      <w:r w:rsidR="00E86E76">
        <w:rPr>
          <w:lang w:val="en-AU"/>
        </w:rPr>
        <w:t xml:space="preserve"> to this</w:t>
      </w:r>
      <w:r w:rsidR="00916259" w:rsidRPr="009150DC">
        <w:rPr>
          <w:lang w:val="en-AU"/>
        </w:rPr>
        <w:t>, they use different definitions of socioeconomic objectives</w:t>
      </w:r>
      <w:r w:rsidR="00950519" w:rsidRPr="009150DC">
        <w:rPr>
          <w:lang w:val="en-AU"/>
        </w:rPr>
        <w:t>, with the 2019</w:t>
      </w:r>
      <w:r w:rsidR="008804E8" w:rsidRPr="009150DC">
        <w:rPr>
          <w:lang w:val="en-AU"/>
        </w:rPr>
        <w:t>–</w:t>
      </w:r>
      <w:r w:rsidR="00950519" w:rsidRPr="009150DC">
        <w:rPr>
          <w:lang w:val="en-AU"/>
        </w:rPr>
        <w:t>20 SRI Budget Tables using 14 socioeconomic objectives</w:t>
      </w:r>
      <w:r w:rsidR="00950519" w:rsidRPr="009150DC">
        <w:rPr>
          <w:rStyle w:val="FootnoteReference"/>
          <w:lang w:val="en-AU"/>
        </w:rPr>
        <w:footnoteReference w:id="129"/>
      </w:r>
      <w:r w:rsidR="00950519" w:rsidRPr="009150DC">
        <w:rPr>
          <w:lang w:val="en-AU"/>
        </w:rPr>
        <w:t xml:space="preserve"> </w:t>
      </w:r>
      <w:r w:rsidR="00E86E76">
        <w:rPr>
          <w:lang w:val="en-AU"/>
        </w:rPr>
        <w:t xml:space="preserve">as </w:t>
      </w:r>
      <w:r w:rsidR="00950519" w:rsidRPr="009150DC">
        <w:rPr>
          <w:lang w:val="en-AU"/>
        </w:rPr>
        <w:t xml:space="preserve">described in the </w:t>
      </w:r>
      <w:r w:rsidR="00773138" w:rsidRPr="009150DC">
        <w:rPr>
          <w:lang w:val="en-AU"/>
        </w:rPr>
        <w:t xml:space="preserve">OECD’s </w:t>
      </w:r>
      <w:r w:rsidR="00950519" w:rsidRPr="009150DC">
        <w:rPr>
          <w:lang w:val="en-AU"/>
        </w:rPr>
        <w:t>Frascati Manual 2015,</w:t>
      </w:r>
      <w:r w:rsidR="00950519" w:rsidRPr="009150DC">
        <w:rPr>
          <w:rStyle w:val="FootnoteReference"/>
          <w:lang w:val="en-AU"/>
        </w:rPr>
        <w:footnoteReference w:id="130"/>
      </w:r>
      <w:r w:rsidR="00773138" w:rsidRPr="009150DC">
        <w:rPr>
          <w:lang w:val="en-AU"/>
        </w:rPr>
        <w:t xml:space="preserve"> while the ABS use 17 divisions </w:t>
      </w:r>
      <w:r w:rsidR="00211E98" w:rsidRPr="009150DC">
        <w:rPr>
          <w:lang w:val="en-AU"/>
        </w:rPr>
        <w:t>(</w:t>
      </w:r>
      <w:r w:rsidR="008112FC" w:rsidRPr="009150DC">
        <w:rPr>
          <w:lang w:val="en-AU"/>
        </w:rPr>
        <w:t>organised under five</w:t>
      </w:r>
      <w:r w:rsidR="00773138" w:rsidRPr="009150DC">
        <w:rPr>
          <w:lang w:val="en-AU"/>
        </w:rPr>
        <w:t xml:space="preserve"> sectors</w:t>
      </w:r>
      <w:r w:rsidR="00211E98" w:rsidRPr="009150DC">
        <w:rPr>
          <w:lang w:val="en-AU"/>
        </w:rPr>
        <w:t>)</w:t>
      </w:r>
      <w:r w:rsidR="00773138" w:rsidRPr="009150DC">
        <w:rPr>
          <w:lang w:val="en-AU"/>
        </w:rPr>
        <w:t xml:space="preserve"> </w:t>
      </w:r>
      <w:r w:rsidR="00E86E76">
        <w:rPr>
          <w:lang w:val="en-AU"/>
        </w:rPr>
        <w:t xml:space="preserve">as </w:t>
      </w:r>
      <w:r w:rsidR="00773138" w:rsidRPr="009150DC">
        <w:rPr>
          <w:lang w:val="en-AU"/>
        </w:rPr>
        <w:t>described by the Australian and New Zealand Standard Research Classification (ANZSRC).</w:t>
      </w:r>
      <w:r w:rsidR="008804E8" w:rsidRPr="009150DC">
        <w:rPr>
          <w:rStyle w:val="FootnoteReference"/>
          <w:lang w:val="en-AU"/>
        </w:rPr>
        <w:t xml:space="preserve"> </w:t>
      </w:r>
      <w:r w:rsidR="008804E8" w:rsidRPr="009150DC">
        <w:rPr>
          <w:rStyle w:val="FootnoteReference"/>
          <w:lang w:val="en-AU"/>
        </w:rPr>
        <w:footnoteReference w:id="131"/>
      </w:r>
      <w:r w:rsidR="008804E8" w:rsidRPr="009150DC">
        <w:rPr>
          <w:vertAlign w:val="superscript"/>
          <w:lang w:val="en-AU"/>
        </w:rPr>
        <w:t>,</w:t>
      </w:r>
      <w:r w:rsidR="009E7669" w:rsidRPr="009150DC">
        <w:rPr>
          <w:rStyle w:val="FootnoteReference"/>
          <w:lang w:val="en-AU"/>
        </w:rPr>
        <w:footnoteReference w:id="132"/>
      </w:r>
      <w:r w:rsidR="003F15CA" w:rsidRPr="009150DC">
        <w:rPr>
          <w:lang w:val="en-AU"/>
        </w:rPr>
        <w:t xml:space="preserve"> </w:t>
      </w:r>
      <w:r w:rsidR="008112FC" w:rsidRPr="009150DC">
        <w:rPr>
          <w:lang w:val="en-AU"/>
        </w:rPr>
        <w:t>Of note, the ANZSRC is currently under review to ensure, in part, that it reflects current practice and is sufficiently robust to allow for long-term data analysis.</w:t>
      </w:r>
      <w:r w:rsidR="008112FC" w:rsidRPr="009150DC">
        <w:rPr>
          <w:rStyle w:val="FootnoteReference"/>
          <w:lang w:val="en-AU"/>
        </w:rPr>
        <w:footnoteReference w:id="133"/>
      </w:r>
      <w:r w:rsidR="008112FC" w:rsidRPr="009150DC">
        <w:rPr>
          <w:lang w:val="en-AU"/>
        </w:rPr>
        <w:t xml:space="preserve"> </w:t>
      </w:r>
      <w:r w:rsidR="003F15CA" w:rsidRPr="009150DC">
        <w:rPr>
          <w:lang w:val="en-AU"/>
        </w:rPr>
        <w:t>D</w:t>
      </w:r>
      <w:r w:rsidR="008112FC" w:rsidRPr="009150DC">
        <w:rPr>
          <w:lang w:val="en-AU"/>
        </w:rPr>
        <w:t xml:space="preserve">eveloped to meet the </w:t>
      </w:r>
      <w:r w:rsidR="00522E7D" w:rsidRPr="009150DC">
        <w:rPr>
          <w:lang w:val="en-AU"/>
        </w:rPr>
        <w:t>need</w:t>
      </w:r>
      <w:r w:rsidR="008112FC" w:rsidRPr="009150DC">
        <w:rPr>
          <w:lang w:val="en-AU"/>
        </w:rPr>
        <w:t xml:space="preserve"> for a comprehensive description of Australia’s and New Zealand’s research environment, as well as to </w:t>
      </w:r>
      <w:r w:rsidR="00522E7D" w:rsidRPr="009150DC">
        <w:rPr>
          <w:lang w:val="en-AU"/>
        </w:rPr>
        <w:t>enable the international comparison of</w:t>
      </w:r>
      <w:r w:rsidR="008112FC" w:rsidRPr="009150DC">
        <w:rPr>
          <w:lang w:val="en-AU"/>
        </w:rPr>
        <w:t xml:space="preserve"> research statistics</w:t>
      </w:r>
      <w:r w:rsidR="003F15CA" w:rsidRPr="009150DC">
        <w:rPr>
          <w:lang w:val="en-AU"/>
        </w:rPr>
        <w:t xml:space="preserve">, the ANZSRC review </w:t>
      </w:r>
      <w:r w:rsidR="008112FC" w:rsidRPr="009150DC">
        <w:rPr>
          <w:lang w:val="en-AU"/>
        </w:rPr>
        <w:t xml:space="preserve">will take into account its alignment with international standards such as the </w:t>
      </w:r>
      <w:r w:rsidR="00A82E54" w:rsidRPr="009150DC">
        <w:rPr>
          <w:iCs/>
          <w:lang w:val="en-AU"/>
        </w:rPr>
        <w:t>Frascati Manual</w:t>
      </w:r>
      <w:r w:rsidR="008112FC" w:rsidRPr="009150DC">
        <w:rPr>
          <w:iCs/>
          <w:lang w:val="en-AU"/>
        </w:rPr>
        <w:t>.</w:t>
      </w:r>
    </w:p>
    <w:p w14:paraId="38140A43" w14:textId="5722A7DD" w:rsidR="007504BE" w:rsidRPr="009150DC" w:rsidRDefault="00707EF4" w:rsidP="007504BE">
      <w:pPr>
        <w:rPr>
          <w:lang w:val="en-AU"/>
        </w:rPr>
      </w:pPr>
      <w:r w:rsidRPr="009150DC">
        <w:rPr>
          <w:lang w:val="en-AU"/>
        </w:rPr>
        <w:t>The above issues</w:t>
      </w:r>
      <w:r w:rsidR="007504BE" w:rsidRPr="009150DC">
        <w:rPr>
          <w:lang w:val="en-AU"/>
        </w:rPr>
        <w:t xml:space="preserve"> relate </w:t>
      </w:r>
      <w:r w:rsidRPr="009150DC">
        <w:rPr>
          <w:lang w:val="en-AU"/>
        </w:rPr>
        <w:t>in part</w:t>
      </w:r>
      <w:r w:rsidR="007504BE" w:rsidRPr="009150DC">
        <w:rPr>
          <w:lang w:val="en-AU"/>
        </w:rPr>
        <w:t xml:space="preserve"> to a lack of agreement on data sharing across the A</w:t>
      </w:r>
      <w:r w:rsidRPr="009150DC">
        <w:rPr>
          <w:lang w:val="en-AU"/>
        </w:rPr>
        <w:t xml:space="preserve">ustralian </w:t>
      </w:r>
      <w:r w:rsidR="007504BE" w:rsidRPr="009150DC">
        <w:rPr>
          <w:lang w:val="en-AU"/>
        </w:rPr>
        <w:t>P</w:t>
      </w:r>
      <w:r w:rsidRPr="009150DC">
        <w:rPr>
          <w:lang w:val="en-AU"/>
        </w:rPr>
        <w:t xml:space="preserve">ublic </w:t>
      </w:r>
      <w:r w:rsidR="007504BE" w:rsidRPr="009150DC">
        <w:rPr>
          <w:lang w:val="en-AU"/>
        </w:rPr>
        <w:t>S</w:t>
      </w:r>
      <w:r w:rsidRPr="009150DC">
        <w:rPr>
          <w:lang w:val="en-AU"/>
        </w:rPr>
        <w:t>ervice (</w:t>
      </w:r>
      <w:r w:rsidR="007504BE" w:rsidRPr="009150DC">
        <w:rPr>
          <w:lang w:val="en-AU"/>
        </w:rPr>
        <w:t>APS</w:t>
      </w:r>
      <w:r w:rsidRPr="009150DC">
        <w:rPr>
          <w:lang w:val="en-AU"/>
        </w:rPr>
        <w:t>)</w:t>
      </w:r>
      <w:r w:rsidR="007504BE" w:rsidRPr="009150DC">
        <w:rPr>
          <w:lang w:val="en-AU"/>
        </w:rPr>
        <w:t>. Data Availability and Transparency legislation is currently being drafted</w:t>
      </w:r>
      <w:r w:rsidRPr="009150DC">
        <w:rPr>
          <w:rStyle w:val="FootnoteReference"/>
          <w:lang w:val="en-AU"/>
        </w:rPr>
        <w:footnoteReference w:id="134"/>
      </w:r>
      <w:r w:rsidR="007504BE" w:rsidRPr="009150DC">
        <w:rPr>
          <w:lang w:val="en-AU"/>
        </w:rPr>
        <w:t xml:space="preserve"> by the Government to </w:t>
      </w:r>
      <w:r w:rsidR="00E86E76">
        <w:rPr>
          <w:lang w:val="en-AU"/>
        </w:rPr>
        <w:t>provide a</w:t>
      </w:r>
      <w:r w:rsidR="007504BE" w:rsidRPr="009150DC">
        <w:rPr>
          <w:lang w:val="en-AU"/>
        </w:rPr>
        <w:t xml:space="preserve"> framework for how public</w:t>
      </w:r>
      <w:r w:rsidRPr="009150DC">
        <w:rPr>
          <w:lang w:val="en-AU"/>
        </w:rPr>
        <w:noBreakHyphen/>
      </w:r>
      <w:r w:rsidR="007504BE" w:rsidRPr="009150DC">
        <w:rPr>
          <w:lang w:val="en-AU"/>
        </w:rPr>
        <w:t>sector data in Australia is used and reused. Its goal is to maximise the value of public</w:t>
      </w:r>
      <w:r w:rsidRPr="009150DC">
        <w:rPr>
          <w:lang w:val="en-AU"/>
        </w:rPr>
        <w:noBreakHyphen/>
      </w:r>
      <w:r w:rsidR="007504BE" w:rsidRPr="009150DC">
        <w:rPr>
          <w:lang w:val="en-AU"/>
        </w:rPr>
        <w:t>sector data, support a modern data</w:t>
      </w:r>
      <w:r w:rsidRPr="009150DC">
        <w:rPr>
          <w:lang w:val="en-AU"/>
        </w:rPr>
        <w:noBreakHyphen/>
      </w:r>
      <w:r w:rsidR="007504BE" w:rsidRPr="009150DC">
        <w:rPr>
          <w:lang w:val="en-AU"/>
        </w:rPr>
        <w:t xml:space="preserve">based society, drive innovation and stimulate economic growth. </w:t>
      </w:r>
      <w:r w:rsidRPr="009150DC">
        <w:rPr>
          <w:lang w:val="en-AU"/>
        </w:rPr>
        <w:t>A</w:t>
      </w:r>
      <w:r w:rsidR="007504BE" w:rsidRPr="009150DC">
        <w:rPr>
          <w:lang w:val="en-AU"/>
        </w:rPr>
        <w:t xml:space="preserve"> key </w:t>
      </w:r>
      <w:r w:rsidRPr="009150DC">
        <w:rPr>
          <w:lang w:val="en-AU"/>
        </w:rPr>
        <w:t xml:space="preserve">outcome of </w:t>
      </w:r>
      <w:r w:rsidR="007504BE" w:rsidRPr="009150DC">
        <w:rPr>
          <w:lang w:val="en-AU"/>
        </w:rPr>
        <w:t xml:space="preserve">this legislation </w:t>
      </w:r>
      <w:r w:rsidRPr="009150DC">
        <w:rPr>
          <w:lang w:val="en-AU"/>
        </w:rPr>
        <w:t xml:space="preserve">should be </w:t>
      </w:r>
      <w:r w:rsidR="007504BE" w:rsidRPr="009150DC">
        <w:rPr>
          <w:lang w:val="en-AU"/>
        </w:rPr>
        <w:t>enhance</w:t>
      </w:r>
      <w:r w:rsidRPr="009150DC">
        <w:rPr>
          <w:lang w:val="en-AU"/>
        </w:rPr>
        <w:t>d</w:t>
      </w:r>
      <w:r w:rsidR="007504BE" w:rsidRPr="009150DC">
        <w:rPr>
          <w:lang w:val="en-AU"/>
        </w:rPr>
        <w:t xml:space="preserve"> data sharing and improve</w:t>
      </w:r>
      <w:r w:rsidRPr="009150DC">
        <w:rPr>
          <w:lang w:val="en-AU"/>
        </w:rPr>
        <w:t>d</w:t>
      </w:r>
      <w:r w:rsidR="007504BE" w:rsidRPr="009150DC">
        <w:rPr>
          <w:lang w:val="en-AU"/>
        </w:rPr>
        <w:t xml:space="preserve"> data governance across the APS. Similar efforts are underway in state governments. </w:t>
      </w:r>
      <w:r w:rsidRPr="009150DC">
        <w:rPr>
          <w:lang w:val="en-AU"/>
        </w:rPr>
        <w:t>For example t</w:t>
      </w:r>
      <w:r w:rsidR="007504BE" w:rsidRPr="009150DC">
        <w:rPr>
          <w:lang w:val="en-AU"/>
        </w:rPr>
        <w:t>he NSW Data Analytics Centre</w:t>
      </w:r>
      <w:r w:rsidR="007504BE" w:rsidRPr="009150DC">
        <w:rPr>
          <w:rStyle w:val="FootnoteReference"/>
          <w:lang w:val="en-AU"/>
        </w:rPr>
        <w:footnoteReference w:id="135"/>
      </w:r>
      <w:r w:rsidR="007504BE" w:rsidRPr="009150DC">
        <w:rPr>
          <w:lang w:val="en-AU"/>
        </w:rPr>
        <w:t xml:space="preserve"> operates a whole</w:t>
      </w:r>
      <w:r w:rsidRPr="009150DC">
        <w:rPr>
          <w:lang w:val="en-AU"/>
        </w:rPr>
        <w:noBreakHyphen/>
      </w:r>
      <w:r w:rsidR="007504BE" w:rsidRPr="009150DC">
        <w:rPr>
          <w:lang w:val="en-AU"/>
        </w:rPr>
        <w:t>of</w:t>
      </w:r>
      <w:r w:rsidRPr="009150DC">
        <w:rPr>
          <w:lang w:val="en-AU"/>
        </w:rPr>
        <w:noBreakHyphen/>
      </w:r>
      <w:r w:rsidR="007504BE" w:rsidRPr="009150DC">
        <w:rPr>
          <w:lang w:val="en-AU"/>
        </w:rPr>
        <w:t xml:space="preserve">government data analytics infrastructure and data science capability through </w:t>
      </w:r>
      <w:r w:rsidRPr="009150DC">
        <w:rPr>
          <w:lang w:val="en-AU"/>
        </w:rPr>
        <w:t>a single</w:t>
      </w:r>
      <w:r w:rsidR="007504BE" w:rsidRPr="009150DC">
        <w:rPr>
          <w:lang w:val="en-AU"/>
        </w:rPr>
        <w:t xml:space="preserve"> </w:t>
      </w:r>
      <w:r w:rsidR="007504BE" w:rsidRPr="009150DC">
        <w:rPr>
          <w:lang w:val="en-AU"/>
        </w:rPr>
        <w:lastRenderedPageBreak/>
        <w:t xml:space="preserve">data platform, </w:t>
      </w:r>
      <w:r w:rsidRPr="009150DC">
        <w:rPr>
          <w:lang w:val="en-AU"/>
        </w:rPr>
        <w:t>to</w:t>
      </w:r>
      <w:r w:rsidR="007504BE" w:rsidRPr="009150DC">
        <w:rPr>
          <w:lang w:val="en-AU"/>
        </w:rPr>
        <w:t xml:space="preserve"> facilitate data-sharing and inter-departmental collaboration, combat operational silos</w:t>
      </w:r>
      <w:r w:rsidR="008F1107">
        <w:rPr>
          <w:lang w:val="en-AU"/>
        </w:rPr>
        <w:t>,</w:t>
      </w:r>
      <w:r w:rsidR="007504BE" w:rsidRPr="009150DC">
        <w:rPr>
          <w:lang w:val="en-AU"/>
        </w:rPr>
        <w:t xml:space="preserve"> and focus on state-wide outcomes that are greater than the sum of their parts.</w:t>
      </w:r>
    </w:p>
    <w:p w14:paraId="1AB99F5C" w14:textId="77777777" w:rsidR="008F1107" w:rsidRDefault="00BB469E" w:rsidP="00FC57E4">
      <w:pPr>
        <w:rPr>
          <w:lang w:val="en-AU"/>
        </w:rPr>
      </w:pPr>
      <w:r w:rsidRPr="009150DC">
        <w:rPr>
          <w:lang w:val="en-AU"/>
        </w:rPr>
        <w:t>To gain more holistic</w:t>
      </w:r>
      <w:r w:rsidR="00D354CC" w:rsidRPr="009150DC">
        <w:rPr>
          <w:lang w:val="en-AU"/>
        </w:rPr>
        <w:t>,</w:t>
      </w:r>
      <w:r w:rsidRPr="009150DC">
        <w:rPr>
          <w:lang w:val="en-AU"/>
        </w:rPr>
        <w:t xml:space="preserve"> numerically</w:t>
      </w:r>
      <w:r w:rsidRPr="009150DC">
        <w:rPr>
          <w:lang w:val="en-AU"/>
        </w:rPr>
        <w:noBreakHyphen/>
        <w:t>supported</w:t>
      </w:r>
      <w:r w:rsidR="00D354CC" w:rsidRPr="009150DC">
        <w:rPr>
          <w:lang w:val="en-AU"/>
        </w:rPr>
        <w:t>,</w:t>
      </w:r>
      <w:r w:rsidRPr="009150DC">
        <w:rPr>
          <w:lang w:val="en-AU"/>
        </w:rPr>
        <w:t xml:space="preserve"> evidence to describe the current balance of government ISR investments</w:t>
      </w:r>
      <w:r w:rsidR="00E400F3" w:rsidRPr="009150DC">
        <w:rPr>
          <w:lang w:val="en-AU"/>
        </w:rPr>
        <w:t xml:space="preserve"> (and to effectively adjust th</w:t>
      </w:r>
      <w:r w:rsidR="00E86E76">
        <w:rPr>
          <w:lang w:val="en-AU"/>
        </w:rPr>
        <w:t>is</w:t>
      </w:r>
      <w:r w:rsidR="00E400F3" w:rsidRPr="009150DC">
        <w:rPr>
          <w:lang w:val="en-AU"/>
        </w:rPr>
        <w:t xml:space="preserve"> balance over time)</w:t>
      </w:r>
      <w:r w:rsidRPr="009150DC">
        <w:rPr>
          <w:lang w:val="en-AU"/>
        </w:rPr>
        <w:t xml:space="preserve">, more detailed and consistent </w:t>
      </w:r>
      <w:r w:rsidR="00247092" w:rsidRPr="009150DC">
        <w:rPr>
          <w:lang w:val="en-AU"/>
        </w:rPr>
        <w:t xml:space="preserve">government </w:t>
      </w:r>
      <w:r w:rsidRPr="009150DC">
        <w:rPr>
          <w:lang w:val="en-AU"/>
        </w:rPr>
        <w:t>investment data is required</w:t>
      </w:r>
      <w:r w:rsidR="00E400F3" w:rsidRPr="009150DC">
        <w:rPr>
          <w:lang w:val="en-AU"/>
        </w:rPr>
        <w:t xml:space="preserve">. Improving ISR investment data presents a significant opportunity for Government to improve the effectiveness of </w:t>
      </w:r>
      <w:r w:rsidR="00247092" w:rsidRPr="009150DC">
        <w:rPr>
          <w:lang w:val="en-AU"/>
        </w:rPr>
        <w:t>its</w:t>
      </w:r>
      <w:r w:rsidR="00E400F3" w:rsidRPr="009150DC">
        <w:rPr>
          <w:lang w:val="en-AU"/>
        </w:rPr>
        <w:t xml:space="preserve"> investments. This could be achieved</w:t>
      </w:r>
      <w:r w:rsidRPr="009150DC">
        <w:rPr>
          <w:lang w:val="en-AU"/>
        </w:rPr>
        <w:t xml:space="preserve"> through new or revised whole</w:t>
      </w:r>
      <w:r w:rsidRPr="009150DC">
        <w:rPr>
          <w:lang w:val="en-AU"/>
        </w:rPr>
        <w:noBreakHyphen/>
        <w:t>of</w:t>
      </w:r>
      <w:r w:rsidRPr="009150DC">
        <w:rPr>
          <w:lang w:val="en-AU"/>
        </w:rPr>
        <w:noBreakHyphen/>
        <w:t>government ISR investment quantitative evaluation</w:t>
      </w:r>
      <w:r w:rsidR="00E400F3" w:rsidRPr="009150DC">
        <w:rPr>
          <w:lang w:val="en-AU"/>
        </w:rPr>
        <w:t>,</w:t>
      </w:r>
      <w:r w:rsidR="00301E9C" w:rsidRPr="009150DC">
        <w:rPr>
          <w:lang w:val="en-AU"/>
        </w:rPr>
        <w:t xml:space="preserve"> survey </w:t>
      </w:r>
      <w:r w:rsidR="00E400F3" w:rsidRPr="009150DC">
        <w:rPr>
          <w:lang w:val="en-AU"/>
        </w:rPr>
        <w:t xml:space="preserve">and data collation </w:t>
      </w:r>
      <w:r w:rsidRPr="009150DC">
        <w:rPr>
          <w:lang w:val="en-AU"/>
        </w:rPr>
        <w:t xml:space="preserve">processes. </w:t>
      </w:r>
    </w:p>
    <w:p w14:paraId="4A6D5FFF" w14:textId="41C118AE" w:rsidR="00BB469E" w:rsidRPr="009150DC" w:rsidRDefault="00BB469E" w:rsidP="00FC57E4">
      <w:pPr>
        <w:rPr>
          <w:lang w:val="en-AU"/>
        </w:rPr>
      </w:pPr>
      <w:r w:rsidRPr="009150DC">
        <w:rPr>
          <w:lang w:val="en-AU"/>
        </w:rPr>
        <w:t xml:space="preserve">Ongoing collection of these data could then be used to inform discussions about whether the current strategic balance of ISR investments remains appropriate, and if not, where adjustments could improve its effectiveness. </w:t>
      </w:r>
      <w:r w:rsidR="008F1107">
        <w:rPr>
          <w:lang w:val="en-AU"/>
        </w:rPr>
        <w:t>A</w:t>
      </w:r>
      <w:r w:rsidRPr="009150DC">
        <w:rPr>
          <w:lang w:val="en-AU"/>
        </w:rPr>
        <w:t xml:space="preserve"> consensus definition of which investments are considered ‘within’ the domain</w:t>
      </w:r>
      <w:r w:rsidR="00301E9C" w:rsidRPr="009150DC">
        <w:rPr>
          <w:lang w:val="en-AU"/>
        </w:rPr>
        <w:t>, and the careful delineation of which data are to be acquired</w:t>
      </w:r>
      <w:r w:rsidRPr="009150DC">
        <w:rPr>
          <w:lang w:val="en-AU"/>
        </w:rPr>
        <w:t xml:space="preserve"> is required</w:t>
      </w:r>
      <w:r w:rsidR="00301E9C" w:rsidRPr="009150DC">
        <w:rPr>
          <w:lang w:val="en-AU"/>
        </w:rPr>
        <w:t xml:space="preserve"> </w:t>
      </w:r>
      <w:r w:rsidR="008F1107">
        <w:rPr>
          <w:lang w:val="en-AU"/>
        </w:rPr>
        <w:t xml:space="preserve">before new data acquisition can commence </w:t>
      </w:r>
      <w:r w:rsidR="00301E9C" w:rsidRPr="009150DC">
        <w:rPr>
          <w:lang w:val="en-AU"/>
        </w:rPr>
        <w:t>to ensure data are of sufficient fidelity and accuracy</w:t>
      </w:r>
      <w:r w:rsidRPr="009150DC">
        <w:rPr>
          <w:lang w:val="en-AU"/>
        </w:rPr>
        <w:t xml:space="preserve"> to be meaningfully used to inform discussions of balancing the investment portfolio over time.</w:t>
      </w:r>
    </w:p>
    <w:p w14:paraId="6BF8D704" w14:textId="0CE27B29" w:rsidR="001C6875" w:rsidRDefault="00066E5A" w:rsidP="00066E5A">
      <w:pPr>
        <w:pStyle w:val="Heading1"/>
      </w:pPr>
      <w:bookmarkStart w:id="409" w:name="_Toc44071386"/>
      <w:bookmarkStart w:id="410" w:name="_Toc44071644"/>
      <w:bookmarkStart w:id="411" w:name="_Toc44073597"/>
      <w:bookmarkStart w:id="412" w:name="_Toc44074365"/>
      <w:bookmarkStart w:id="413" w:name="_Toc44074690"/>
      <w:bookmarkStart w:id="414" w:name="_Toc44075434"/>
      <w:bookmarkStart w:id="415" w:name="_Toc44075088"/>
      <w:bookmarkStart w:id="416" w:name="_Toc44075518"/>
      <w:bookmarkStart w:id="417" w:name="_Toc44075619"/>
      <w:bookmarkStart w:id="418" w:name="_Toc44076046"/>
      <w:bookmarkStart w:id="419" w:name="_Toc44076153"/>
      <w:bookmarkStart w:id="420" w:name="_Toc44076285"/>
      <w:bookmarkStart w:id="421" w:name="_Toc44079136"/>
      <w:bookmarkStart w:id="422" w:name="_Toc44079270"/>
      <w:bookmarkStart w:id="423" w:name="_Toc44081934"/>
      <w:bookmarkStart w:id="424" w:name="_Toc44086543"/>
      <w:bookmarkStart w:id="425" w:name="_Toc44087312"/>
      <w:bookmarkStart w:id="426" w:name="_Toc44087400"/>
      <w:bookmarkStart w:id="427" w:name="_Toc44260405"/>
      <w:bookmarkStart w:id="428" w:name="_Toc44071388"/>
      <w:bookmarkStart w:id="429" w:name="_Toc44071646"/>
      <w:bookmarkStart w:id="430" w:name="_Toc44073599"/>
      <w:bookmarkStart w:id="431" w:name="_Toc44074367"/>
      <w:bookmarkStart w:id="432" w:name="_Toc44074692"/>
      <w:bookmarkStart w:id="433" w:name="_Toc44075436"/>
      <w:bookmarkStart w:id="434" w:name="_Toc44075090"/>
      <w:bookmarkStart w:id="435" w:name="_Toc44075520"/>
      <w:bookmarkStart w:id="436" w:name="_Toc44075621"/>
      <w:bookmarkStart w:id="437" w:name="_Toc44076048"/>
      <w:bookmarkStart w:id="438" w:name="_Toc44076155"/>
      <w:bookmarkStart w:id="439" w:name="_Toc44076287"/>
      <w:bookmarkStart w:id="440" w:name="_Toc44079138"/>
      <w:bookmarkStart w:id="441" w:name="_Toc44079272"/>
      <w:bookmarkStart w:id="442" w:name="_Toc44081936"/>
      <w:bookmarkStart w:id="443" w:name="_Toc44086545"/>
      <w:bookmarkStart w:id="444" w:name="_Toc44087314"/>
      <w:bookmarkStart w:id="445" w:name="_Toc44087402"/>
      <w:bookmarkStart w:id="446" w:name="_Toc44260407"/>
      <w:bookmarkStart w:id="447" w:name="_Toc44071389"/>
      <w:bookmarkStart w:id="448" w:name="_Toc44071647"/>
      <w:bookmarkStart w:id="449" w:name="_Toc44073600"/>
      <w:bookmarkStart w:id="450" w:name="_Toc44074368"/>
      <w:bookmarkStart w:id="451" w:name="_Toc44074693"/>
      <w:bookmarkStart w:id="452" w:name="_Toc44075437"/>
      <w:bookmarkStart w:id="453" w:name="_Toc44075091"/>
      <w:bookmarkStart w:id="454" w:name="_Toc44075521"/>
      <w:bookmarkStart w:id="455" w:name="_Toc44075622"/>
      <w:bookmarkStart w:id="456" w:name="_Toc44076049"/>
      <w:bookmarkStart w:id="457" w:name="_Toc44076156"/>
      <w:bookmarkStart w:id="458" w:name="_Toc44076288"/>
      <w:bookmarkStart w:id="459" w:name="_Toc44079139"/>
      <w:bookmarkStart w:id="460" w:name="_Toc44079273"/>
      <w:bookmarkStart w:id="461" w:name="_Toc44081937"/>
      <w:bookmarkStart w:id="462" w:name="_Toc44086546"/>
      <w:bookmarkStart w:id="463" w:name="_Toc44087315"/>
      <w:bookmarkStart w:id="464" w:name="_Toc44087403"/>
      <w:bookmarkStart w:id="465" w:name="_Toc44260408"/>
      <w:bookmarkStart w:id="466" w:name="_Toc44071391"/>
      <w:bookmarkStart w:id="467" w:name="_Toc44071649"/>
      <w:bookmarkStart w:id="468" w:name="_Toc44073602"/>
      <w:bookmarkStart w:id="469" w:name="_Toc44074370"/>
      <w:bookmarkStart w:id="470" w:name="_Toc44074695"/>
      <w:bookmarkStart w:id="471" w:name="_Toc44075439"/>
      <w:bookmarkStart w:id="472" w:name="_Toc44075093"/>
      <w:bookmarkStart w:id="473" w:name="_Toc44075523"/>
      <w:bookmarkStart w:id="474" w:name="_Toc44075624"/>
      <w:bookmarkStart w:id="475" w:name="_Toc44076051"/>
      <w:bookmarkStart w:id="476" w:name="_Toc44076158"/>
      <w:bookmarkStart w:id="477" w:name="_Toc44076290"/>
      <w:bookmarkStart w:id="478" w:name="_Toc44079141"/>
      <w:bookmarkStart w:id="479" w:name="_Toc44079275"/>
      <w:bookmarkStart w:id="480" w:name="_Toc44081939"/>
      <w:bookmarkStart w:id="481" w:name="_Toc44086548"/>
      <w:bookmarkStart w:id="482" w:name="_Toc44087317"/>
      <w:bookmarkStart w:id="483" w:name="_Toc44087405"/>
      <w:bookmarkStart w:id="484" w:name="_Toc44260410"/>
      <w:bookmarkStart w:id="485" w:name="_Toc44071392"/>
      <w:bookmarkStart w:id="486" w:name="_Toc44071650"/>
      <w:bookmarkStart w:id="487" w:name="_Toc44073603"/>
      <w:bookmarkStart w:id="488" w:name="_Toc44074371"/>
      <w:bookmarkStart w:id="489" w:name="_Toc44074696"/>
      <w:bookmarkStart w:id="490" w:name="_Toc44075440"/>
      <w:bookmarkStart w:id="491" w:name="_Toc44075094"/>
      <w:bookmarkStart w:id="492" w:name="_Toc44075524"/>
      <w:bookmarkStart w:id="493" w:name="_Toc44075625"/>
      <w:bookmarkStart w:id="494" w:name="_Toc44076052"/>
      <w:bookmarkStart w:id="495" w:name="_Toc44076159"/>
      <w:bookmarkStart w:id="496" w:name="_Toc44076291"/>
      <w:bookmarkStart w:id="497" w:name="_Toc44079142"/>
      <w:bookmarkStart w:id="498" w:name="_Toc44079276"/>
      <w:bookmarkStart w:id="499" w:name="_Toc44081940"/>
      <w:bookmarkStart w:id="500" w:name="_Toc44086549"/>
      <w:bookmarkStart w:id="501" w:name="_Toc44087318"/>
      <w:bookmarkStart w:id="502" w:name="_Toc44087406"/>
      <w:bookmarkStart w:id="503" w:name="_Toc44260411"/>
      <w:bookmarkStart w:id="504" w:name="_Toc44071393"/>
      <w:bookmarkStart w:id="505" w:name="_Toc44071651"/>
      <w:bookmarkStart w:id="506" w:name="_Toc44073604"/>
      <w:bookmarkStart w:id="507" w:name="_Toc44074372"/>
      <w:bookmarkStart w:id="508" w:name="_Toc44074697"/>
      <w:bookmarkStart w:id="509" w:name="_Toc44075441"/>
      <w:bookmarkStart w:id="510" w:name="_Toc44075095"/>
      <w:bookmarkStart w:id="511" w:name="_Toc44075525"/>
      <w:bookmarkStart w:id="512" w:name="_Toc44075626"/>
      <w:bookmarkStart w:id="513" w:name="_Toc44076053"/>
      <w:bookmarkStart w:id="514" w:name="_Toc44076160"/>
      <w:bookmarkStart w:id="515" w:name="_Toc44076292"/>
      <w:bookmarkStart w:id="516" w:name="_Toc44079143"/>
      <w:bookmarkStart w:id="517" w:name="_Toc44079277"/>
      <w:bookmarkStart w:id="518" w:name="_Toc44081941"/>
      <w:bookmarkStart w:id="519" w:name="_Toc44086550"/>
      <w:bookmarkStart w:id="520" w:name="_Toc44087319"/>
      <w:bookmarkStart w:id="521" w:name="_Toc44087407"/>
      <w:bookmarkStart w:id="522" w:name="_Toc44260412"/>
      <w:bookmarkStart w:id="523" w:name="_Toc44322395"/>
      <w:bookmarkStart w:id="524" w:name="_Toc44322584"/>
      <w:bookmarkStart w:id="525" w:name="_Toc44323387"/>
      <w:bookmarkStart w:id="526" w:name="_Toc44323474"/>
      <w:bookmarkStart w:id="527" w:name="_Toc44324984"/>
      <w:bookmarkStart w:id="528" w:name="_Ref36569082"/>
      <w:bookmarkStart w:id="529" w:name="_Toc42868695"/>
      <w:bookmarkStart w:id="530" w:name="_Toc42872715"/>
      <w:bookmarkStart w:id="531" w:name="_Toc43996716"/>
      <w:bookmarkStart w:id="532" w:name="_Toc43999092"/>
      <w:bookmarkStart w:id="533" w:name="_Ref44058118"/>
      <w:bookmarkStart w:id="534" w:name="_Toc44071652"/>
      <w:bookmarkStart w:id="535" w:name="_Toc44074726"/>
      <w:bookmarkStart w:id="536" w:name="_Toc44076161"/>
      <w:bookmarkStart w:id="537" w:name="_Toc44079144"/>
      <w:bookmarkStart w:id="538" w:name="_Ref44083589"/>
      <w:bookmarkStart w:id="539" w:name="_Toc44317963"/>
      <w:bookmarkStart w:id="540" w:name="_Toc44326054"/>
      <w:bookmarkStart w:id="541" w:name="_Toc44330378"/>
      <w:bookmarkStart w:id="542" w:name="_Toc44331828"/>
      <w:bookmarkStart w:id="543" w:name="_Toc44331941"/>
      <w:bookmarkStart w:id="544" w:name="_Toc44339038"/>
      <w:bookmarkStart w:id="545" w:name="_Toc44340738"/>
      <w:bookmarkStart w:id="546" w:name="_Toc44419467"/>
      <w:bookmarkStart w:id="547" w:name="_Toc44420424"/>
      <w:bookmarkStart w:id="548" w:name="_Toc56073621"/>
      <w:bookmarkStart w:id="549" w:name="_Toc57113518"/>
      <w:bookmarkStart w:id="550" w:name="_Toc57113701"/>
      <w:bookmarkStart w:id="551" w:name="_Toc5764103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1"/>
      <w:bookmarkEnd w:id="0"/>
      <w:r>
        <w:lastRenderedPageBreak/>
        <w:t xml:space="preserve">Appendix H: </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00494499" w:rsidRPr="0044449B">
        <w:t>Australia</w:t>
      </w:r>
      <w:r w:rsidR="00935BB9">
        <w:t>'</w:t>
      </w:r>
      <w:r w:rsidR="00494499" w:rsidRPr="0044449B">
        <w:t xml:space="preserve">s </w:t>
      </w:r>
      <w:r w:rsidR="00686331">
        <w:t>ISR</w:t>
      </w:r>
      <w:r w:rsidR="00494499" w:rsidRPr="0044449B">
        <w:t xml:space="preserve"> system</w:t>
      </w:r>
      <w:r w:rsidR="00A251C8">
        <w:t xml:space="preserve"> performance Scorecard</w:t>
      </w:r>
      <w:bookmarkEnd w:id="549"/>
      <w:bookmarkEnd w:id="550"/>
      <w:bookmarkEnd w:id="551"/>
    </w:p>
    <w:p w14:paraId="694168D2" w14:textId="77777777" w:rsidR="003D00D8" w:rsidRPr="00303FBC" w:rsidRDefault="003D00D8" w:rsidP="003D00D8">
      <w:pPr>
        <w:rPr>
          <w:lang w:val="en-AU"/>
        </w:rPr>
      </w:pPr>
      <w:r>
        <w:rPr>
          <w:lang w:val="en-AU"/>
        </w:rPr>
        <w:t xml:space="preserve">The </w:t>
      </w:r>
      <w:r w:rsidRPr="00303FBC">
        <w:rPr>
          <w:lang w:val="en-AU"/>
        </w:rPr>
        <w:t>COVID</w:t>
      </w:r>
      <w:r w:rsidRPr="00303FBC">
        <w:rPr>
          <w:lang w:val="en-AU"/>
        </w:rPr>
        <w:noBreakHyphen/>
        <w:t xml:space="preserve">19 pandemic </w:t>
      </w:r>
      <w:r>
        <w:rPr>
          <w:lang w:val="en-AU"/>
        </w:rPr>
        <w:t>together with t</w:t>
      </w:r>
      <w:r w:rsidRPr="00303FBC">
        <w:rPr>
          <w:lang w:val="en-AU"/>
        </w:rPr>
        <w:t xml:space="preserve">he catastrophic </w:t>
      </w:r>
      <w:r>
        <w:rPr>
          <w:lang w:val="en-AU"/>
        </w:rPr>
        <w:t>2019</w:t>
      </w:r>
      <w:r w:rsidRPr="00303FBC">
        <w:rPr>
          <w:lang w:val="en-AU"/>
        </w:rPr>
        <w:t xml:space="preserve"> bushfires</w:t>
      </w:r>
      <w:r>
        <w:rPr>
          <w:lang w:val="en-AU"/>
        </w:rPr>
        <w:t xml:space="preserve">, </w:t>
      </w:r>
      <w:r w:rsidRPr="00303FBC">
        <w:rPr>
          <w:lang w:val="en-AU"/>
        </w:rPr>
        <w:t xml:space="preserve">are testing the resilience of </w:t>
      </w:r>
      <w:r>
        <w:rPr>
          <w:lang w:val="en-AU"/>
        </w:rPr>
        <w:t>Australia’s</w:t>
      </w:r>
      <w:r w:rsidRPr="00303FBC">
        <w:rPr>
          <w:lang w:val="en-AU"/>
        </w:rPr>
        <w:t xml:space="preserve"> economy. However</w:t>
      </w:r>
      <w:r>
        <w:rPr>
          <w:lang w:val="en-AU"/>
        </w:rPr>
        <w:t>,</w:t>
      </w:r>
      <w:r w:rsidRPr="00303FBC">
        <w:rPr>
          <w:lang w:val="en-AU"/>
        </w:rPr>
        <w:t xml:space="preserve"> well before these crises</w:t>
      </w:r>
      <w:r>
        <w:rPr>
          <w:lang w:val="en-AU"/>
        </w:rPr>
        <w:t>,</w:t>
      </w:r>
      <w:r w:rsidRPr="00303FBC">
        <w:rPr>
          <w:lang w:val="en-AU"/>
        </w:rPr>
        <w:t xml:space="preserve"> Australia’s productivity growth had slowed significantly and the drivers of economic growth had begun to re</w:t>
      </w:r>
      <w:r w:rsidRPr="009150DC">
        <w:rPr>
          <w:lang w:val="en-AU"/>
        </w:rPr>
        <w:noBreakHyphen/>
      </w:r>
      <w:r w:rsidRPr="00303FBC">
        <w:rPr>
          <w:lang w:val="en-AU"/>
        </w:rPr>
        <w:t>balance, with mining investment and export growth continuing to slow since the peak of the resources boom in 2011.</w:t>
      </w:r>
      <w:r w:rsidRPr="00303FBC">
        <w:rPr>
          <w:rStyle w:val="FootnoteReference"/>
          <w:lang w:val="en-AU"/>
        </w:rPr>
        <w:footnoteReference w:id="136"/>
      </w:r>
      <w:r w:rsidRPr="00303FBC">
        <w:rPr>
          <w:lang w:val="en-AU"/>
        </w:rPr>
        <w:t xml:space="preserve"> </w:t>
      </w:r>
      <w:r>
        <w:rPr>
          <w:lang w:val="en-AU"/>
        </w:rPr>
        <w:t>H</w:t>
      </w:r>
      <w:r w:rsidRPr="00303FBC">
        <w:rPr>
          <w:lang w:val="en-AU"/>
        </w:rPr>
        <w:t>ow we respond</w:t>
      </w:r>
      <w:r>
        <w:rPr>
          <w:lang w:val="en-AU"/>
        </w:rPr>
        <w:t xml:space="preserve"> in the wake of these crises and address the consequences of our changing economic drivers,</w:t>
      </w:r>
      <w:r w:rsidRPr="00303FBC">
        <w:rPr>
          <w:lang w:val="en-AU"/>
        </w:rPr>
        <w:t xml:space="preserve"> will ultimately influence how we adapt to future challenges. </w:t>
      </w:r>
    </w:p>
    <w:p w14:paraId="0D5F27EC" w14:textId="77777777" w:rsidR="003D00D8" w:rsidRPr="00303FBC" w:rsidRDefault="003D00D8" w:rsidP="003D00D8">
      <w:pPr>
        <w:rPr>
          <w:lang w:val="en-AU"/>
        </w:rPr>
      </w:pPr>
      <w:r w:rsidRPr="00303FBC">
        <w:rPr>
          <w:lang w:val="en-AU"/>
        </w:rPr>
        <w:t>In times of economic uncertainty, innovation is the key to bolstering resilience and adaptability in government and industry. There is an ongoing need for the Australian economy to develop new and more diverse sources of growth to ensure our nation’s prosperity.</w:t>
      </w:r>
    </w:p>
    <w:p w14:paraId="58476997" w14:textId="30AA9AE5" w:rsidR="00F75FF7" w:rsidRPr="002E3E98" w:rsidRDefault="00F75FF7" w:rsidP="00F75FF7">
      <w:pPr>
        <w:autoSpaceDE w:val="0"/>
        <w:autoSpaceDN w:val="0"/>
        <w:adjustRightInd w:val="0"/>
        <w:spacing w:after="0" w:line="240" w:lineRule="auto"/>
        <w:rPr>
          <w:lang w:val="en-AU"/>
        </w:rPr>
      </w:pPr>
      <w:r w:rsidRPr="002E3E98">
        <w:rPr>
          <w:lang w:val="en-AU"/>
        </w:rPr>
        <w:t>Industry Innovation and Science Australia's (IISA) report responds to a request from the Honourable Karen Andrews, MP, the Minister for Industry, Science and Technology, for a report on the effectiveness of the Commonwealth Government's investment in, and sy</w:t>
      </w:r>
      <w:r w:rsidRPr="00F75FF7">
        <w:rPr>
          <w:lang w:val="en-AU"/>
        </w:rPr>
        <w:t>stem performance of, ISR</w:t>
      </w:r>
      <w:r>
        <w:rPr>
          <w:lang w:val="en-AU"/>
        </w:rPr>
        <w:t xml:space="preserve"> (including </w:t>
      </w:r>
      <w:r w:rsidRPr="0034679F">
        <w:rPr>
          <w:lang w:val="en-AU"/>
        </w:rPr>
        <w:t xml:space="preserve">a </w:t>
      </w:r>
      <w:r w:rsidRPr="009150DC">
        <w:rPr>
          <w:lang w:val="en-AU"/>
        </w:rPr>
        <w:t>Scorecard</w:t>
      </w:r>
      <w:r w:rsidRPr="0034679F">
        <w:rPr>
          <w:lang w:val="en-AU"/>
        </w:rPr>
        <w:t xml:space="preserve"> on the </w:t>
      </w:r>
      <w:r>
        <w:rPr>
          <w:lang w:val="en-AU"/>
        </w:rPr>
        <w:t>ISR</w:t>
      </w:r>
      <w:r w:rsidRPr="0034679F">
        <w:rPr>
          <w:lang w:val="en-AU"/>
        </w:rPr>
        <w:t xml:space="preserve"> system</w:t>
      </w:r>
      <w:r w:rsidR="002E3E98">
        <w:rPr>
          <w:lang w:val="en-AU"/>
        </w:rPr>
        <w:t>).</w:t>
      </w:r>
    </w:p>
    <w:p w14:paraId="75D6F95B" w14:textId="6529271C" w:rsidR="00F75FF7" w:rsidRPr="0034679F" w:rsidRDefault="00F75FF7" w:rsidP="002E3E98">
      <w:pPr>
        <w:spacing w:after="0" w:line="240" w:lineRule="auto"/>
        <w:rPr>
          <w:lang w:val="en-AU"/>
        </w:rPr>
      </w:pPr>
    </w:p>
    <w:p w14:paraId="757801F6" w14:textId="0543783A" w:rsidR="003D00D8" w:rsidRPr="0034679F" w:rsidRDefault="003D00D8" w:rsidP="003D00D8">
      <w:pPr>
        <w:rPr>
          <w:lang w:val="en-AU"/>
        </w:rPr>
      </w:pPr>
      <w:r>
        <w:t>To do this, I</w:t>
      </w:r>
      <w:r w:rsidR="00523472">
        <w:t>I</w:t>
      </w:r>
      <w:r>
        <w:t xml:space="preserve">SA leveraged a Scorecard </w:t>
      </w:r>
      <w:r w:rsidRPr="00B17056">
        <w:t xml:space="preserve">based on work </w:t>
      </w:r>
      <w:r>
        <w:t xml:space="preserve">undertaken by the Department of Industry Science, Energy and Resources (DISER) </w:t>
      </w:r>
      <w:r w:rsidRPr="00B17056">
        <w:t>Analysis and Insights Division and the Office</w:t>
      </w:r>
      <w:r>
        <w:t xml:space="preserve"> of Australia’s Chief Scientist. </w:t>
      </w:r>
      <w:r w:rsidRPr="0034679F">
        <w:rPr>
          <w:lang w:val="en-AU"/>
        </w:rPr>
        <w:t>This</w:t>
      </w:r>
      <w:r>
        <w:rPr>
          <w:lang w:val="en-AU"/>
        </w:rPr>
        <w:t xml:space="preserve"> Scorecard</w:t>
      </w:r>
      <w:r w:rsidRPr="0034679F">
        <w:rPr>
          <w:lang w:val="en-AU"/>
        </w:rPr>
        <w:t xml:space="preserve"> (the </w:t>
      </w:r>
      <w:r w:rsidRPr="009150DC">
        <w:rPr>
          <w:lang w:val="en-AU"/>
        </w:rPr>
        <w:t>Scorecard</w:t>
      </w:r>
      <w:r w:rsidRPr="0034679F">
        <w:rPr>
          <w:lang w:val="en-AU"/>
        </w:rPr>
        <w:t>) identifies (based on available, collected and internationally comparable data) metrics considered important for monitoring innovation</w:t>
      </w:r>
      <w:r w:rsidRPr="009150DC">
        <w:rPr>
          <w:lang w:val="en-AU"/>
        </w:rPr>
        <w:noBreakHyphen/>
      </w:r>
      <w:r w:rsidRPr="0034679F">
        <w:rPr>
          <w:lang w:val="en-AU"/>
        </w:rPr>
        <w:t xml:space="preserve">driven productivity gains in the economy. </w:t>
      </w:r>
    </w:p>
    <w:p w14:paraId="17F027FD" w14:textId="77777777" w:rsidR="003D00D8" w:rsidRDefault="003D00D8" w:rsidP="003D00D8">
      <w:pPr>
        <w:rPr>
          <w:lang w:val="en-AU"/>
        </w:rPr>
      </w:pPr>
      <w:r>
        <w:t xml:space="preserve">The information in the Scorecard, and the narrative that follows, is based on data available as at 30 June 2020. </w:t>
      </w:r>
      <w:r w:rsidRPr="0034679F">
        <w:rPr>
          <w:lang w:val="en-AU"/>
        </w:rPr>
        <w:t xml:space="preserve">While the </w:t>
      </w:r>
      <w:r w:rsidRPr="009150DC">
        <w:rPr>
          <w:lang w:val="en-AU"/>
        </w:rPr>
        <w:t>Scorecard</w:t>
      </w:r>
      <w:r w:rsidRPr="0034679F">
        <w:rPr>
          <w:lang w:val="en-AU"/>
        </w:rPr>
        <w:t xml:space="preserve"> provides a broad overview of Australia’s innovation performance,</w:t>
      </w:r>
      <w:r>
        <w:rPr>
          <w:lang w:val="en-AU"/>
        </w:rPr>
        <w:t xml:space="preserve"> the data does not reflect</w:t>
      </w:r>
      <w:r w:rsidRPr="0034679F">
        <w:rPr>
          <w:lang w:val="en-AU"/>
        </w:rPr>
        <w:t xml:space="preserve"> the impacts of the recent global pandemic </w:t>
      </w:r>
      <w:r>
        <w:rPr>
          <w:lang w:val="en-AU"/>
        </w:rPr>
        <w:t>and bushfire events</w:t>
      </w:r>
      <w:r w:rsidRPr="0034679F">
        <w:rPr>
          <w:lang w:val="en-AU"/>
        </w:rPr>
        <w:t>. The data represents a baseline of our performance before the impact of a global shock event, for which the full economic impact domestically and globally is still uncertain. These effects may also not appear in the data for some time.</w:t>
      </w:r>
    </w:p>
    <w:p w14:paraId="733AE4DB" w14:textId="35E2043D" w:rsidR="003D00D8" w:rsidRPr="005C4AFA" w:rsidRDefault="003D00D8" w:rsidP="003D00D8">
      <w:r>
        <w:rPr>
          <w:lang w:val="en-AU"/>
        </w:rPr>
        <w:t>T</w:t>
      </w:r>
      <w:r w:rsidRPr="0034679F">
        <w:rPr>
          <w:lang w:val="en-AU"/>
        </w:rPr>
        <w:t>he following narrative</w:t>
      </w:r>
      <w:r>
        <w:rPr>
          <w:lang w:val="en-AU"/>
        </w:rPr>
        <w:t xml:space="preserve"> outlines I</w:t>
      </w:r>
      <w:r w:rsidR="00523472">
        <w:rPr>
          <w:lang w:val="en-AU"/>
        </w:rPr>
        <w:t>I</w:t>
      </w:r>
      <w:r>
        <w:rPr>
          <w:lang w:val="en-AU"/>
        </w:rPr>
        <w:t>SA’s</w:t>
      </w:r>
      <w:r w:rsidRPr="0034679F">
        <w:rPr>
          <w:lang w:val="en-AU"/>
        </w:rPr>
        <w:t xml:space="preserve"> views on how Australia’s innovation system has performed pre</w:t>
      </w:r>
      <w:r w:rsidRPr="009150DC">
        <w:rPr>
          <w:lang w:val="en-AU"/>
        </w:rPr>
        <w:noBreakHyphen/>
      </w:r>
      <w:r w:rsidRPr="0034679F">
        <w:rPr>
          <w:lang w:val="en-AU"/>
        </w:rPr>
        <w:t xml:space="preserve">pandemic. </w:t>
      </w:r>
    </w:p>
    <w:p w14:paraId="356A9E7E" w14:textId="7E83BB14" w:rsidR="003D00D8" w:rsidRDefault="003D00D8" w:rsidP="00A251C8">
      <w:r>
        <w:t xml:space="preserve">The Scorecard assesses the performance of Australia’s innovation system under each of the drivers of productivity growth: business activities, business environment, national environment and impacts. For ease of reference, the metrics relating to each driver are included at the top of each section, and the Scorecard in its entirety is displayed on </w:t>
      </w:r>
      <w:r w:rsidRPr="00356C94">
        <w:t xml:space="preserve">page </w:t>
      </w:r>
      <w:r w:rsidR="00356C94" w:rsidRPr="00356C94">
        <w:t>4</w:t>
      </w:r>
      <w:r w:rsidR="00D02858">
        <w:t>4</w:t>
      </w:r>
      <w:r w:rsidRPr="00356C94">
        <w:t>.</w:t>
      </w:r>
    </w:p>
    <w:p w14:paraId="564F2835" w14:textId="77777777" w:rsidR="003D00D8" w:rsidRPr="0034679F" w:rsidRDefault="003D00D8" w:rsidP="00A251C8">
      <w:pPr>
        <w:rPr>
          <w:lang w:val="en-AU"/>
        </w:rPr>
      </w:pPr>
      <w:r w:rsidRPr="0034679F">
        <w:rPr>
          <w:lang w:val="en-AU"/>
        </w:rPr>
        <w:t xml:space="preserve">Based on the metrics identified in the </w:t>
      </w:r>
      <w:r w:rsidRPr="009150DC">
        <w:rPr>
          <w:lang w:val="en-AU"/>
        </w:rPr>
        <w:t>Scorecard</w:t>
      </w:r>
      <w:r w:rsidRPr="0034679F">
        <w:rPr>
          <w:lang w:val="en-AU"/>
        </w:rPr>
        <w:t xml:space="preserve">, it is important to highlight that no single country performs in the top quartile in every single metric. The </w:t>
      </w:r>
      <w:r w:rsidRPr="008A687B">
        <w:rPr>
          <w:lang w:val="en-AU"/>
        </w:rPr>
        <w:t>Scorecard</w:t>
      </w:r>
      <w:r w:rsidRPr="0034679F">
        <w:rPr>
          <w:lang w:val="en-AU"/>
        </w:rPr>
        <w:t xml:space="preserve"> contains </w:t>
      </w:r>
      <w:r>
        <w:t>19</w:t>
      </w:r>
      <w:r w:rsidRPr="0034679F">
        <w:rPr>
          <w:lang w:val="en-AU"/>
        </w:rPr>
        <w:t xml:space="preserve"> metrics, and of these, Australia </w:t>
      </w:r>
      <w:r>
        <w:t>has four metrics that rank us</w:t>
      </w:r>
      <w:r w:rsidRPr="0034679F">
        <w:rPr>
          <w:lang w:val="en-AU"/>
        </w:rPr>
        <w:t xml:space="preserve"> in the top quartile</w:t>
      </w:r>
      <w:r>
        <w:t xml:space="preserve">, alongside </w:t>
      </w:r>
      <w:r w:rsidRPr="0034679F">
        <w:rPr>
          <w:lang w:val="en-AU"/>
        </w:rPr>
        <w:t xml:space="preserve">countries </w:t>
      </w:r>
      <w:r>
        <w:t>such as Iceland</w:t>
      </w:r>
      <w:r w:rsidRPr="0034679F">
        <w:rPr>
          <w:lang w:val="en-AU"/>
        </w:rPr>
        <w:t xml:space="preserve">, Japan, </w:t>
      </w:r>
      <w:r>
        <w:t>Norway</w:t>
      </w:r>
      <w:r w:rsidRPr="0034679F">
        <w:rPr>
          <w:lang w:val="en-AU"/>
        </w:rPr>
        <w:t xml:space="preserve"> and the United Kingdom. Our strengths appear to lie in our </w:t>
      </w:r>
      <w:r>
        <w:t>low levels of regulation, investment in our</w:t>
      </w:r>
      <w:r w:rsidRPr="0034679F">
        <w:rPr>
          <w:lang w:val="en-AU"/>
        </w:rPr>
        <w:t xml:space="preserve"> educational institutions</w:t>
      </w:r>
      <w:r>
        <w:t>, the quality of our labour</w:t>
      </w:r>
      <w:r w:rsidRPr="0034679F">
        <w:rPr>
          <w:lang w:val="en-AU"/>
        </w:rPr>
        <w:t xml:space="preserve"> and our uptake of </w:t>
      </w:r>
      <w:r w:rsidRPr="00AB1153">
        <w:rPr>
          <w:lang w:val="en-AU"/>
        </w:rPr>
        <w:t xml:space="preserve">digital technologies </w:t>
      </w:r>
      <w:r>
        <w:rPr>
          <w:lang w:val="en-AU"/>
        </w:rPr>
        <w:t xml:space="preserve">(inferred from the proxy of </w:t>
      </w:r>
      <w:r w:rsidRPr="00AB1153">
        <w:rPr>
          <w:lang w:val="en-AU"/>
        </w:rPr>
        <w:t xml:space="preserve">adoption of </w:t>
      </w:r>
      <w:r w:rsidRPr="0034679F">
        <w:rPr>
          <w:lang w:val="en-AU"/>
        </w:rPr>
        <w:t>cloud computing technology</w:t>
      </w:r>
      <w:r>
        <w:rPr>
          <w:lang w:val="en-AU"/>
        </w:rPr>
        <w:t>)</w:t>
      </w:r>
      <w:r w:rsidRPr="0034679F">
        <w:rPr>
          <w:lang w:val="en-AU"/>
        </w:rPr>
        <w:t xml:space="preserve">. Denmark </w:t>
      </w:r>
      <w:r>
        <w:t xml:space="preserve">has </w:t>
      </w:r>
      <w:r w:rsidRPr="0034679F">
        <w:rPr>
          <w:lang w:val="en-AU"/>
        </w:rPr>
        <w:t>the most metrics in the top quartile (</w:t>
      </w:r>
      <w:r>
        <w:rPr>
          <w:lang w:val="en-AU"/>
        </w:rPr>
        <w:t>ten</w:t>
      </w:r>
      <w:r w:rsidRPr="0034679F">
        <w:rPr>
          <w:lang w:val="en-AU"/>
        </w:rPr>
        <w:t xml:space="preserve">), followed by </w:t>
      </w:r>
      <w:r>
        <w:t xml:space="preserve">Sweden (nine) and </w:t>
      </w:r>
      <w:r w:rsidRPr="0034679F">
        <w:rPr>
          <w:lang w:val="en-AU"/>
        </w:rPr>
        <w:lastRenderedPageBreak/>
        <w:t>Switzerland</w:t>
      </w:r>
      <w:r>
        <w:t xml:space="preserve"> and</w:t>
      </w:r>
      <w:r w:rsidRPr="0034679F">
        <w:rPr>
          <w:lang w:val="en-AU"/>
        </w:rPr>
        <w:t xml:space="preserve"> Korea</w:t>
      </w:r>
      <w:r>
        <w:t xml:space="preserve"> with eight each. Other nations in the top quartile with five or more metrics, include </w:t>
      </w:r>
      <w:r w:rsidRPr="0034679F">
        <w:rPr>
          <w:lang w:val="en-AU"/>
        </w:rPr>
        <w:t>Austria</w:t>
      </w:r>
      <w:r>
        <w:rPr>
          <w:lang w:val="en-AU"/>
        </w:rPr>
        <w:t>,</w:t>
      </w:r>
      <w:r w:rsidRPr="0034679F">
        <w:rPr>
          <w:lang w:val="en-AU"/>
        </w:rPr>
        <w:t xml:space="preserve"> Belgium, </w:t>
      </w:r>
      <w:r>
        <w:t xml:space="preserve">Estonia, Germany, the Netherlands, the United States and </w:t>
      </w:r>
      <w:r w:rsidRPr="0034679F">
        <w:rPr>
          <w:lang w:val="en-AU"/>
        </w:rPr>
        <w:t>Finland</w:t>
      </w:r>
      <w:r>
        <w:t xml:space="preserve">. </w:t>
      </w:r>
    </w:p>
    <w:p w14:paraId="35C64A54" w14:textId="77777777" w:rsidR="003D00D8" w:rsidRPr="0034679F" w:rsidRDefault="003D00D8" w:rsidP="003D00D8">
      <w:pPr>
        <w:pStyle w:val="Heading3"/>
        <w:spacing w:after="120"/>
        <w:rPr>
          <w:lang w:val="en-AU"/>
        </w:rPr>
      </w:pPr>
      <w:bookmarkStart w:id="552" w:name="_Toc43996717"/>
      <w:bookmarkStart w:id="553" w:name="_Toc43999093"/>
      <w:r w:rsidRPr="0034679F">
        <w:rPr>
          <w:lang w:val="en-AU"/>
        </w:rPr>
        <w:t>Data limitations</w:t>
      </w:r>
      <w:bookmarkEnd w:id="552"/>
      <w:bookmarkEnd w:id="553"/>
    </w:p>
    <w:p w14:paraId="131E4086" w14:textId="4152FE06" w:rsidR="003D00D8" w:rsidRDefault="003D00D8" w:rsidP="003D00D8">
      <w:r>
        <w:t xml:space="preserve">The </w:t>
      </w:r>
      <w:r w:rsidRPr="00890570">
        <w:t>A</w:t>
      </w:r>
      <w:r>
        <w:t>nalysis and Insights Division within</w:t>
      </w:r>
      <w:r w:rsidRPr="00890570">
        <w:t xml:space="preserve"> DISER and the Office of Australia’s Chief Scientist</w:t>
      </w:r>
      <w:r>
        <w:t xml:space="preserve"> undertook a comprehensive review of currently available innovation metrics. Nineteen </w:t>
      </w:r>
      <w:r w:rsidRPr="0034679F">
        <w:rPr>
          <w:lang w:val="en-AU"/>
        </w:rPr>
        <w:t xml:space="preserve">metrics </w:t>
      </w:r>
      <w:r>
        <w:rPr>
          <w:lang w:val="en-AU"/>
        </w:rPr>
        <w:t>were</w:t>
      </w:r>
      <w:r w:rsidRPr="0034679F">
        <w:rPr>
          <w:lang w:val="en-AU"/>
        </w:rPr>
        <w:t xml:space="preserve"> identified as </w:t>
      </w:r>
      <w:r>
        <w:t>key</w:t>
      </w:r>
      <w:r w:rsidRPr="009150DC">
        <w:t xml:space="preserve"> indicators based on available data. </w:t>
      </w:r>
      <w:r>
        <w:t>A detailed description of eac</w:t>
      </w:r>
      <w:r w:rsidR="00F41450">
        <w:t xml:space="preserve">h metric is available at </w:t>
      </w:r>
      <w:r w:rsidR="00F41450">
        <w:fldChar w:fldCharType="begin"/>
      </w:r>
      <w:r w:rsidR="00F41450">
        <w:instrText xml:space="preserve"> REF _Ref57053784 \h </w:instrText>
      </w:r>
      <w:r w:rsidR="00F41450">
        <w:fldChar w:fldCharType="separate"/>
      </w:r>
      <w:r w:rsidR="000A3AE7">
        <w:t xml:space="preserve">Table </w:t>
      </w:r>
      <w:r w:rsidR="000A3AE7">
        <w:rPr>
          <w:noProof/>
        </w:rPr>
        <w:t>1</w:t>
      </w:r>
      <w:r w:rsidR="00F41450">
        <w:fldChar w:fldCharType="end"/>
      </w:r>
      <w:r>
        <w:t xml:space="preserve">. </w:t>
      </w:r>
    </w:p>
    <w:p w14:paraId="0A9E1D83" w14:textId="77777777" w:rsidR="003D00D8" w:rsidRPr="0034679F" w:rsidRDefault="003D00D8" w:rsidP="003D00D8">
      <w:pPr>
        <w:rPr>
          <w:lang w:val="en-AU"/>
        </w:rPr>
      </w:pPr>
      <w:r>
        <w:t>In making our observations, we also note the following limitations with the domestic and international data.</w:t>
      </w:r>
      <w:r w:rsidRPr="0034679F">
        <w:rPr>
          <w:lang w:val="en-AU"/>
        </w:rPr>
        <w:t xml:space="preserve"> </w:t>
      </w:r>
    </w:p>
    <w:p w14:paraId="6EDEF358" w14:textId="7E733584" w:rsidR="003D00D8" w:rsidRPr="0034679F" w:rsidRDefault="003D00D8" w:rsidP="003D00D8">
      <w:pPr>
        <w:pStyle w:val="ListParagraph"/>
        <w:numPr>
          <w:ilvl w:val="0"/>
          <w:numId w:val="12"/>
        </w:numPr>
        <w:spacing w:line="259" w:lineRule="auto"/>
        <w:ind w:left="567" w:hanging="425"/>
        <w:rPr>
          <w:lang w:val="en-AU"/>
        </w:rPr>
      </w:pPr>
      <w:r w:rsidRPr="00042930">
        <w:rPr>
          <w:b/>
          <w:i/>
          <w:lang w:val="en-AU"/>
        </w:rPr>
        <w:t>Data reporting lags</w:t>
      </w:r>
      <w:r w:rsidRPr="008632ED">
        <w:rPr>
          <w:b/>
          <w:i/>
          <w:lang w:val="en-AU"/>
        </w:rPr>
        <w:t>:</w:t>
      </w:r>
      <w:r w:rsidRPr="0034679F">
        <w:rPr>
          <w:lang w:val="en-AU"/>
        </w:rPr>
        <w:t xml:space="preserve"> Across the </w:t>
      </w:r>
      <w:r>
        <w:t>19</w:t>
      </w:r>
      <w:r w:rsidRPr="0034679F">
        <w:rPr>
          <w:lang w:val="en-AU"/>
        </w:rPr>
        <w:t xml:space="preserve"> metrics, latest available data ranges from 2016 to </w:t>
      </w:r>
      <w:r w:rsidRPr="0065119C">
        <w:rPr>
          <w:lang w:val="en-AU"/>
        </w:rPr>
        <w:t>2019</w:t>
      </w:r>
      <w:r w:rsidRPr="0034679F">
        <w:rPr>
          <w:lang w:val="en-AU"/>
        </w:rPr>
        <w:t xml:space="preserve">. Metric comparisons are made over differing years, with each year potentially having different environmental factors </w:t>
      </w:r>
      <w:r>
        <w:rPr>
          <w:lang w:val="en-AU"/>
        </w:rPr>
        <w:t xml:space="preserve">for a particular country </w:t>
      </w:r>
      <w:r w:rsidRPr="0065119C">
        <w:rPr>
          <w:lang w:val="en-AU"/>
        </w:rPr>
        <w:t xml:space="preserve">that influence the metric result. </w:t>
      </w:r>
      <w:r>
        <w:rPr>
          <w:lang w:val="en-AU"/>
        </w:rPr>
        <w:t>However, the global environment has remained relatively stable over the period from 2016 to 2019, void of global shock events such as the Global Financial Crisis and the COVID</w:t>
      </w:r>
      <w:r w:rsidR="003C7011">
        <w:rPr>
          <w:lang w:val="en-AU"/>
        </w:rPr>
        <w:noBreakHyphen/>
      </w:r>
      <w:r>
        <w:rPr>
          <w:lang w:val="en-AU"/>
        </w:rPr>
        <w:t>19 pandemic.</w:t>
      </w:r>
    </w:p>
    <w:p w14:paraId="7A2A5F1E" w14:textId="77777777" w:rsidR="003D00D8" w:rsidRPr="0034679F" w:rsidRDefault="003D00D8" w:rsidP="003D00D8">
      <w:pPr>
        <w:pStyle w:val="ListParagraph"/>
        <w:numPr>
          <w:ilvl w:val="0"/>
          <w:numId w:val="12"/>
        </w:numPr>
        <w:spacing w:line="259" w:lineRule="auto"/>
        <w:ind w:left="567" w:hanging="425"/>
        <w:rPr>
          <w:lang w:val="en-AU"/>
        </w:rPr>
      </w:pPr>
      <w:r w:rsidRPr="00042930">
        <w:rPr>
          <w:b/>
          <w:i/>
          <w:lang w:val="en-AU"/>
        </w:rPr>
        <w:t>Consistency of data availability</w:t>
      </w:r>
      <w:r w:rsidRPr="008632ED">
        <w:rPr>
          <w:b/>
          <w:i/>
          <w:lang w:val="en-AU"/>
        </w:rPr>
        <w:t>:</w:t>
      </w:r>
      <w:r w:rsidRPr="0034679F">
        <w:rPr>
          <w:lang w:val="en-AU"/>
        </w:rPr>
        <w:t xml:space="preserve"> Internationally, data for each metric is not consistently captured each year</w:t>
      </w:r>
      <w:r>
        <w:rPr>
          <w:lang w:val="en-AU"/>
        </w:rPr>
        <w:t>. I</w:t>
      </w:r>
      <w:r w:rsidRPr="008A15F4">
        <w:rPr>
          <w:lang w:val="en-AU"/>
        </w:rPr>
        <w:t>n</w:t>
      </w:r>
      <w:r w:rsidRPr="0034679F">
        <w:rPr>
          <w:lang w:val="en-AU"/>
        </w:rPr>
        <w:t xml:space="preserve"> some years</w:t>
      </w:r>
      <w:r>
        <w:rPr>
          <w:lang w:val="en-AU"/>
        </w:rPr>
        <w:t>,</w:t>
      </w:r>
      <w:r w:rsidRPr="0034679F">
        <w:rPr>
          <w:lang w:val="en-AU"/>
        </w:rPr>
        <w:t xml:space="preserve"> countries will report on </w:t>
      </w:r>
      <w:r>
        <w:rPr>
          <w:lang w:val="en-AU"/>
        </w:rPr>
        <w:t>certain</w:t>
      </w:r>
      <w:r w:rsidRPr="0034679F">
        <w:rPr>
          <w:lang w:val="en-AU"/>
        </w:rPr>
        <w:t xml:space="preserve"> metrics and in others, they will not (for a variety of reasons). As a result, availability of international data can affect Australia’s ranking, as well as our ranking in the top five, as </w:t>
      </w:r>
      <w:r>
        <w:rPr>
          <w:lang w:val="en-AU"/>
        </w:rPr>
        <w:t>this</w:t>
      </w:r>
      <w:r w:rsidRPr="0034679F">
        <w:rPr>
          <w:lang w:val="en-AU"/>
        </w:rPr>
        <w:t xml:space="preserve"> is highly dependent on which countries release their data for a particular metric in a given year.</w:t>
      </w:r>
    </w:p>
    <w:p w14:paraId="468FEE52" w14:textId="0F21943B" w:rsidR="003D00D8" w:rsidRPr="0034679F" w:rsidRDefault="003D00D8" w:rsidP="003D00D8">
      <w:pPr>
        <w:pStyle w:val="ListParagraph"/>
        <w:numPr>
          <w:ilvl w:val="0"/>
          <w:numId w:val="12"/>
        </w:numPr>
        <w:spacing w:line="259" w:lineRule="auto"/>
        <w:ind w:left="567" w:hanging="425"/>
      </w:pPr>
      <w:r w:rsidRPr="00042930">
        <w:rPr>
          <w:b/>
          <w:i/>
          <w:lang w:val="en-AU"/>
        </w:rPr>
        <w:t>Metric rankings vary in terms of number of countries included in the comparison pool</w:t>
      </w:r>
      <w:r w:rsidRPr="008632ED">
        <w:rPr>
          <w:b/>
          <w:i/>
          <w:lang w:val="en-AU"/>
        </w:rPr>
        <w:t>:</w:t>
      </w:r>
      <w:r w:rsidRPr="0034679F">
        <w:rPr>
          <w:lang w:val="en-AU"/>
        </w:rPr>
        <w:t xml:space="preserve"> Each metric varies in </w:t>
      </w:r>
      <w:r>
        <w:rPr>
          <w:lang w:val="en-AU"/>
        </w:rPr>
        <w:t xml:space="preserve">terms of the </w:t>
      </w:r>
      <w:r w:rsidRPr="0034679F">
        <w:rPr>
          <w:lang w:val="en-AU"/>
        </w:rPr>
        <w:t xml:space="preserve">number of countries that report </w:t>
      </w:r>
      <w:r>
        <w:rPr>
          <w:lang w:val="en-AU"/>
        </w:rPr>
        <w:t xml:space="preserve">on </w:t>
      </w:r>
      <w:r w:rsidRPr="0034679F">
        <w:rPr>
          <w:lang w:val="en-AU"/>
        </w:rPr>
        <w:t xml:space="preserve">it, and this can change year on year. Therefore, Australia is not ranked consistently against the same cohort of countries. Some metrics include only OECD countries, while others include nations such as China, </w:t>
      </w:r>
      <w:r w:rsidRPr="008A687B">
        <w:rPr>
          <w:lang w:val="en-AU"/>
        </w:rPr>
        <w:t>Malta</w:t>
      </w:r>
      <w:r>
        <w:rPr>
          <w:lang w:val="en-AU"/>
        </w:rPr>
        <w:t xml:space="preserve">, </w:t>
      </w:r>
      <w:r w:rsidRPr="006E4CFA">
        <w:t>Brazil</w:t>
      </w:r>
      <w:r>
        <w:t>,</w:t>
      </w:r>
      <w:r w:rsidRPr="0034679F">
        <w:rPr>
          <w:lang w:val="en-AU"/>
        </w:rPr>
        <w:t xml:space="preserve"> </w:t>
      </w:r>
      <w:r w:rsidRPr="008A687B">
        <w:rPr>
          <w:lang w:val="en-AU"/>
        </w:rPr>
        <w:t>Bulgaria</w:t>
      </w:r>
      <w:r>
        <w:rPr>
          <w:lang w:val="en-AU"/>
        </w:rPr>
        <w:t xml:space="preserve"> and </w:t>
      </w:r>
      <w:r w:rsidRPr="006E4CFA">
        <w:t>South Africa</w:t>
      </w:r>
      <w:r w:rsidRPr="0034679F">
        <w:rPr>
          <w:lang w:val="en-AU"/>
        </w:rPr>
        <w:t>. Comparisons that include non</w:t>
      </w:r>
      <w:r w:rsidR="003C7011">
        <w:rPr>
          <w:lang w:val="en-AU"/>
        </w:rPr>
        <w:noBreakHyphen/>
      </w:r>
      <w:r w:rsidRPr="0034679F">
        <w:rPr>
          <w:lang w:val="en-AU"/>
        </w:rPr>
        <w:t xml:space="preserve">OECD countries may skew </w:t>
      </w:r>
      <w:r w:rsidRPr="006E4CFA">
        <w:t>Australi</w:t>
      </w:r>
      <w:r>
        <w:t>a</w:t>
      </w:r>
      <w:r w:rsidRPr="006E4CFA">
        <w:t>’s ranking and quartile</w:t>
      </w:r>
      <w:r w:rsidRPr="0034679F">
        <w:t xml:space="preserve">, as inclusion of developing countries may artificially push Australia’s rank into higher quartiles. Similarly, Australia may be pushed into lower quartiles if </w:t>
      </w:r>
      <w:r w:rsidRPr="006E4CFA">
        <w:t>only</w:t>
      </w:r>
      <w:r w:rsidRPr="0034679F">
        <w:t xml:space="preserve"> advanced countries are</w:t>
      </w:r>
      <w:r w:rsidRPr="006E4CFA">
        <w:t xml:space="preserve"> </w:t>
      </w:r>
      <w:r w:rsidRPr="0034679F">
        <w:t>included.</w:t>
      </w:r>
    </w:p>
    <w:p w14:paraId="1AB69356" w14:textId="77777777" w:rsidR="003D00D8" w:rsidRDefault="003D00D8" w:rsidP="003D00D8">
      <w:r>
        <w:br w:type="page"/>
      </w:r>
    </w:p>
    <w:p w14:paraId="693F1205" w14:textId="77777777" w:rsidR="003D00D8" w:rsidRDefault="003D00D8" w:rsidP="00935BB9">
      <w:pPr>
        <w:pStyle w:val="Heading3"/>
      </w:pPr>
      <w:r>
        <w:lastRenderedPageBreak/>
        <w:t>Business activities</w:t>
      </w:r>
    </w:p>
    <w:p w14:paraId="13CC9519" w14:textId="3EA77E63" w:rsidR="00F41450" w:rsidRDefault="00400295" w:rsidP="008B3725">
      <w:pPr>
        <w:keepNext/>
        <w:spacing w:after="0"/>
      </w:pPr>
      <w:r>
        <w:pict w14:anchorId="13152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9 shows the business activities innovation metrics, with five inputs and three outputs." style="width:453.5pt;height:255pt">
            <v:imagedata r:id="rId31" o:title="Innovation Metrics Scorecard - Seperate sections - page 2" croptop="4457f" cropbottom="34951f"/>
          </v:shape>
        </w:pict>
      </w:r>
    </w:p>
    <w:p w14:paraId="33A34A78" w14:textId="46F13C24" w:rsidR="003D00D8" w:rsidRDefault="00F41450" w:rsidP="00F41450">
      <w:pPr>
        <w:pStyle w:val="Caption"/>
      </w:pPr>
      <w:bookmarkStart w:id="554" w:name="_Ref57113055"/>
      <w:r>
        <w:t xml:space="preserve">Figure </w:t>
      </w:r>
      <w:r>
        <w:fldChar w:fldCharType="begin"/>
      </w:r>
      <w:r>
        <w:instrText xml:space="preserve"> SEQ Figure \* ARABIC </w:instrText>
      </w:r>
      <w:r>
        <w:fldChar w:fldCharType="separate"/>
      </w:r>
      <w:r w:rsidR="000A3AE7">
        <w:rPr>
          <w:noProof/>
        </w:rPr>
        <w:t>9</w:t>
      </w:r>
      <w:r>
        <w:fldChar w:fldCharType="end"/>
      </w:r>
      <w:bookmarkEnd w:id="554"/>
      <w:r>
        <w:t xml:space="preserve"> </w:t>
      </w:r>
      <w:r w:rsidR="00D7216E">
        <w:t>Business activities innovation metrics</w:t>
      </w:r>
    </w:p>
    <w:p w14:paraId="1A6CB2B7" w14:textId="18E1067C" w:rsidR="003D00D8" w:rsidRPr="004948CD" w:rsidRDefault="003D00D8" w:rsidP="003D00D8">
      <w:pPr>
        <w:rPr>
          <w:lang w:val="en-AU"/>
        </w:rPr>
      </w:pPr>
      <w:r w:rsidRPr="0034679F">
        <w:rPr>
          <w:lang w:val="en-AU"/>
        </w:rPr>
        <w:t xml:space="preserve">The </w:t>
      </w:r>
      <w:r w:rsidRPr="004948CD">
        <w:t xml:space="preserve">COVID-19 outbreak has had a severe effect on the Australian economy. Australian GDP fell by </w:t>
      </w:r>
      <w:r>
        <w:t>7</w:t>
      </w:r>
      <w:r w:rsidR="00042930">
        <w:t> per </w:t>
      </w:r>
      <w:r w:rsidRPr="004948CD">
        <w:t>cent in the June quarter, and unemployment reached 7.4 per cent in the month of June, the highest rate in more than two decades.</w:t>
      </w:r>
      <w:r w:rsidRPr="004948CD">
        <w:rPr>
          <w:rStyle w:val="FootnoteReference"/>
        </w:rPr>
        <w:footnoteReference w:id="137"/>
      </w:r>
      <w:r w:rsidRPr="004948CD">
        <w:rPr>
          <w:lang w:val="en-AU"/>
        </w:rPr>
        <w:t xml:space="preserve"> </w:t>
      </w:r>
    </w:p>
    <w:p w14:paraId="5710D724" w14:textId="77777777" w:rsidR="003D00D8" w:rsidRPr="0034679F" w:rsidRDefault="003D00D8" w:rsidP="003D00D8">
      <w:pPr>
        <w:rPr>
          <w:lang w:val="en-AU"/>
        </w:rPr>
      </w:pPr>
      <w:r w:rsidRPr="0034679F">
        <w:rPr>
          <w:lang w:val="en-AU"/>
        </w:rPr>
        <w:t xml:space="preserve">Beyond 2020, the outlook depends on </w:t>
      </w:r>
      <w:r w:rsidRPr="009150DC">
        <w:rPr>
          <w:lang w:val="en-AU"/>
        </w:rPr>
        <w:t xml:space="preserve">future outbreaks of COVID-19 cases, and </w:t>
      </w:r>
      <w:r>
        <w:rPr>
          <w:lang w:val="en-AU"/>
        </w:rPr>
        <w:t>the speed at which a viable vaccine can be developed and distributed</w:t>
      </w:r>
      <w:r w:rsidRPr="0034679F">
        <w:rPr>
          <w:lang w:val="en-AU"/>
        </w:rPr>
        <w:t xml:space="preserve">. Uncertainty and diminished confidence weigh on households and businesses’ spending, hiring and investment plans. </w:t>
      </w:r>
      <w:r>
        <w:rPr>
          <w:lang w:val="en-AU"/>
        </w:rPr>
        <w:t>T</w:t>
      </w:r>
      <w:r w:rsidRPr="009150DC">
        <w:rPr>
          <w:lang w:val="en-AU"/>
        </w:rPr>
        <w:t xml:space="preserve">he current economic disruption </w:t>
      </w:r>
      <w:r>
        <w:rPr>
          <w:lang w:val="en-AU"/>
        </w:rPr>
        <w:t>is likely to have</w:t>
      </w:r>
      <w:r w:rsidRPr="009150DC">
        <w:rPr>
          <w:lang w:val="en-AU"/>
        </w:rPr>
        <w:t xml:space="preserve"> long-lasting effects</w:t>
      </w:r>
      <w:r>
        <w:rPr>
          <w:lang w:val="en-AU"/>
        </w:rPr>
        <w:t>, and it</w:t>
      </w:r>
      <w:r w:rsidRPr="0034679F">
        <w:rPr>
          <w:lang w:val="en-AU"/>
        </w:rPr>
        <w:t xml:space="preserve"> will take time to restore workforces and re-establish businesses.</w:t>
      </w:r>
    </w:p>
    <w:p w14:paraId="3C1A76EA" w14:textId="77777777" w:rsidR="003D00D8" w:rsidRDefault="003D00D8" w:rsidP="003D00D8">
      <w:pPr>
        <w:rPr>
          <w:lang w:val="en-AU"/>
        </w:rPr>
      </w:pPr>
      <w:r w:rsidRPr="009150DC">
        <w:rPr>
          <w:lang w:val="en-AU"/>
        </w:rPr>
        <w:t>Despite the uncertainty, if</w:t>
      </w:r>
      <w:r w:rsidRPr="0034679F">
        <w:rPr>
          <w:lang w:val="en-AU"/>
        </w:rPr>
        <w:t xml:space="preserve"> ever there was a time for our businesses to invest in innovation it is now. Innovative economies are more productive, resilient, adaptable, </w:t>
      </w:r>
      <w:r w:rsidRPr="009150DC">
        <w:t>and better able to support higher living standards.</w:t>
      </w:r>
      <w:r w:rsidRPr="0034679F">
        <w:rPr>
          <w:rStyle w:val="FootnoteReference"/>
          <w:lang w:val="en-AU"/>
        </w:rPr>
        <w:footnoteReference w:id="138"/>
      </w:r>
      <w:r w:rsidRPr="0034679F">
        <w:rPr>
          <w:lang w:val="en-AU"/>
        </w:rPr>
        <w:t xml:space="preserve"> </w:t>
      </w:r>
    </w:p>
    <w:p w14:paraId="5E50CBFE" w14:textId="368009C1" w:rsidR="003D00D8" w:rsidRPr="0034679F" w:rsidRDefault="003D00D8" w:rsidP="003D00D8">
      <w:pPr>
        <w:rPr>
          <w:lang w:val="en-AU"/>
        </w:rPr>
      </w:pPr>
      <w:r w:rsidRPr="0034679F">
        <w:rPr>
          <w:lang w:val="en-AU"/>
        </w:rPr>
        <w:t>Australian businesses still lag behind peer economies in our total expenditure on innovation by businesses (metric 1</w:t>
      </w:r>
      <w:r w:rsidR="002D69F2">
        <w:rPr>
          <w:lang w:val="en-AU"/>
        </w:rPr>
        <w:t xml:space="preserve">; </w:t>
      </w:r>
      <w:r w:rsidR="002D69F2">
        <w:rPr>
          <w:lang w:val="en-AU"/>
        </w:rPr>
        <w:fldChar w:fldCharType="begin"/>
      </w:r>
      <w:r w:rsidR="002D69F2">
        <w:rPr>
          <w:lang w:val="en-AU"/>
        </w:rPr>
        <w:instrText xml:space="preserve"> REF _Ref57113055 \h </w:instrText>
      </w:r>
      <w:r w:rsidR="002D69F2">
        <w:rPr>
          <w:lang w:val="en-AU"/>
        </w:rPr>
      </w:r>
      <w:r w:rsidR="002D69F2">
        <w:rPr>
          <w:lang w:val="en-AU"/>
        </w:rPr>
        <w:fldChar w:fldCharType="separate"/>
      </w:r>
      <w:r w:rsidR="000A3AE7">
        <w:t xml:space="preserve">Figure </w:t>
      </w:r>
      <w:r w:rsidR="000A3AE7">
        <w:rPr>
          <w:noProof/>
        </w:rPr>
        <w:t>9</w:t>
      </w:r>
      <w:r w:rsidR="002D69F2">
        <w:rPr>
          <w:lang w:val="en-AU"/>
        </w:rPr>
        <w:fldChar w:fldCharType="end"/>
      </w:r>
      <w:r w:rsidRPr="0034679F">
        <w:rPr>
          <w:lang w:val="en-AU"/>
        </w:rPr>
        <w:t xml:space="preserve">). </w:t>
      </w:r>
      <w:r w:rsidRPr="009150DC">
        <w:rPr>
          <w:lang w:val="en-AU"/>
        </w:rPr>
        <w:t xml:space="preserve">Innovation investment by business </w:t>
      </w:r>
      <w:r>
        <w:rPr>
          <w:lang w:val="en-AU"/>
        </w:rPr>
        <w:t xml:space="preserve">in Australia </w:t>
      </w:r>
      <w:r w:rsidRPr="009150DC">
        <w:rPr>
          <w:lang w:val="en-AU"/>
        </w:rPr>
        <w:t xml:space="preserve">has remained stable since 2010, hovering between 1.7 per cent and 2.1 per cent, to settle in 2017 at 1.9 per cent of GDP. </w:t>
      </w:r>
      <w:r w:rsidRPr="0034679F">
        <w:rPr>
          <w:lang w:val="en-AU"/>
        </w:rPr>
        <w:t>Australia ranks 15 out of 30 countries (behind Portugal, the United Kingdom and France).</w:t>
      </w:r>
      <w:r w:rsidRPr="0034679F">
        <w:rPr>
          <w:rStyle w:val="FootnoteReference"/>
          <w:lang w:val="en-AU"/>
        </w:rPr>
        <w:footnoteReference w:id="139"/>
      </w:r>
      <w:r w:rsidRPr="0034679F">
        <w:rPr>
          <w:lang w:val="en-AU"/>
        </w:rPr>
        <w:t xml:space="preserve"> We are even further behind the average of the top five countries, whose business sectors invest almost twice as much in innovation (investing 3.</w:t>
      </w:r>
      <w:r w:rsidRPr="009150DC">
        <w:rPr>
          <w:lang w:val="en-AU"/>
        </w:rPr>
        <w:t>7</w:t>
      </w:r>
      <w:r>
        <w:rPr>
          <w:lang w:val="en-AU"/>
        </w:rPr>
        <w:t xml:space="preserve"> </w:t>
      </w:r>
      <w:r w:rsidRPr="009150DC">
        <w:rPr>
          <w:lang w:val="en-AU"/>
        </w:rPr>
        <w:t>per cent of GDP).</w:t>
      </w:r>
      <w:r w:rsidRPr="0034679F">
        <w:rPr>
          <w:lang w:val="en-AU"/>
        </w:rPr>
        <w:t xml:space="preserve"> If we are to be a top tier innovation nation, there is still much </w:t>
      </w:r>
      <w:r>
        <w:rPr>
          <w:lang w:val="en-AU"/>
        </w:rPr>
        <w:t>room to</w:t>
      </w:r>
      <w:r w:rsidRPr="0034679F">
        <w:rPr>
          <w:lang w:val="en-AU"/>
        </w:rPr>
        <w:t xml:space="preserve"> improve.</w:t>
      </w:r>
    </w:p>
    <w:p w14:paraId="5CAEB912" w14:textId="312661E7" w:rsidR="003D00D8" w:rsidRPr="0034679F" w:rsidRDefault="003D00D8" w:rsidP="003D00D8">
      <w:pPr>
        <w:rPr>
          <w:lang w:val="en-AU"/>
        </w:rPr>
      </w:pPr>
      <w:r w:rsidRPr="0034679F">
        <w:rPr>
          <w:lang w:val="en-AU"/>
        </w:rPr>
        <w:lastRenderedPageBreak/>
        <w:t>Historically, Business Expenditure on Research and Development (BERD) (</w:t>
      </w:r>
      <w:r w:rsidRPr="0034679F">
        <w:rPr>
          <w:color w:val="000000"/>
          <w:lang w:val="en-AU"/>
        </w:rPr>
        <w:t>metric 2</w:t>
      </w:r>
      <w:r w:rsidRPr="00F92AB8">
        <w:rPr>
          <w:rFonts w:eastAsia="Times New Roman"/>
          <w:color w:val="000000"/>
          <w:lang w:val="en-AU" w:eastAsia="en-AU"/>
        </w:rPr>
        <w:t>)</w:t>
      </w:r>
      <w:r w:rsidRPr="0034679F">
        <w:rPr>
          <w:color w:val="000000"/>
          <w:lang w:val="en-AU"/>
        </w:rPr>
        <w:t xml:space="preserve"> has been used as</w:t>
      </w:r>
      <w:r w:rsidRPr="0034679F">
        <w:rPr>
          <w:lang w:val="en-AU"/>
        </w:rPr>
        <w:t xml:space="preserve"> a proxy for business innovation investment. While </w:t>
      </w:r>
      <w:r w:rsidR="009D758C">
        <w:rPr>
          <w:lang w:val="en-AU"/>
        </w:rPr>
        <w:t>BERD</w:t>
      </w:r>
      <w:r w:rsidRPr="0034679F">
        <w:rPr>
          <w:lang w:val="en-AU"/>
        </w:rPr>
        <w:t xml:space="preserve"> remains important, businesses are</w:t>
      </w:r>
      <w:r w:rsidRPr="00F92AB8">
        <w:rPr>
          <w:lang w:val="en-AU"/>
        </w:rPr>
        <w:t xml:space="preserve"> increasingly</w:t>
      </w:r>
      <w:r w:rsidRPr="0034679F">
        <w:rPr>
          <w:lang w:val="en-AU"/>
        </w:rPr>
        <w:t xml:space="preserve"> recognising the importance of investment in innovation beyond R&amp;D. Businesses are investing in non-R&amp;D innovation activities</w:t>
      </w:r>
      <w:r>
        <w:rPr>
          <w:lang w:val="en-AU"/>
        </w:rPr>
        <w:t xml:space="preserve"> including</w:t>
      </w:r>
      <w:r w:rsidRPr="0034679F">
        <w:rPr>
          <w:lang w:val="en-AU"/>
        </w:rPr>
        <w:t xml:space="preserve"> investment in productivity</w:t>
      </w:r>
      <w:r w:rsidR="009D758C">
        <w:rPr>
          <w:lang w:val="en-AU"/>
        </w:rPr>
        <w:noBreakHyphen/>
      </w:r>
      <w:r w:rsidRPr="0034679F">
        <w:rPr>
          <w:lang w:val="en-AU"/>
        </w:rPr>
        <w:t>enhancing digital technologies (including software and systems), reconfiguring business models, branding and marketing, and</w:t>
      </w:r>
      <w:r>
        <w:rPr>
          <w:lang w:val="en-AU"/>
        </w:rPr>
        <w:t xml:space="preserve"> development of new firm-</w:t>
      </w:r>
      <w:r w:rsidRPr="0034679F">
        <w:rPr>
          <w:lang w:val="en-AU"/>
        </w:rPr>
        <w:t>specific staff capabilities.</w:t>
      </w:r>
      <w:r w:rsidRPr="0034679F">
        <w:rPr>
          <w:rStyle w:val="FootnoteReference"/>
          <w:lang w:val="en-AU"/>
        </w:rPr>
        <w:footnoteReference w:id="140"/>
      </w:r>
    </w:p>
    <w:p w14:paraId="35FED3A9" w14:textId="281770F5" w:rsidR="003D00D8" w:rsidRPr="00303FBC" w:rsidRDefault="003D00D8" w:rsidP="003D00D8">
      <w:pPr>
        <w:rPr>
          <w:lang w:val="en-AU"/>
        </w:rPr>
      </w:pPr>
      <w:r>
        <w:rPr>
          <w:lang w:val="en-AU" w:eastAsia="en-AU"/>
        </w:rPr>
        <w:t xml:space="preserve">Nevertheless, </w:t>
      </w:r>
      <w:r w:rsidRPr="0034679F">
        <w:rPr>
          <w:lang w:val="en-AU"/>
        </w:rPr>
        <w:t xml:space="preserve">BERD </w:t>
      </w:r>
      <w:r w:rsidRPr="0034679F">
        <w:t xml:space="preserve">remains an important measure that should continue to </w:t>
      </w:r>
      <w:r w:rsidRPr="0034679F">
        <w:rPr>
          <w:lang w:val="en-AU"/>
        </w:rPr>
        <w:t xml:space="preserve">be closely </w:t>
      </w:r>
      <w:r w:rsidRPr="0034679F">
        <w:t>monitored</w:t>
      </w:r>
      <w:r w:rsidRPr="0034679F">
        <w:rPr>
          <w:lang w:val="en-AU"/>
        </w:rPr>
        <w:t xml:space="preserve">. Australia’s industry mix and macroeconomic factors explain over </w:t>
      </w:r>
      <w:r>
        <w:rPr>
          <w:lang w:eastAsia="en-AU"/>
        </w:rPr>
        <w:t>90</w:t>
      </w:r>
      <w:r w:rsidRPr="0034679F">
        <w:t xml:space="preserve"> per cent of the decline in BERD (as a share of GDP) in the last decade.</w:t>
      </w:r>
      <w:r w:rsidRPr="0034679F">
        <w:rPr>
          <w:rStyle w:val="FootnoteReference"/>
          <w:rFonts w:ascii="Calibri" w:hAnsi="Calibri"/>
          <w:color w:val="000000"/>
          <w:lang w:val="en-AU"/>
        </w:rPr>
        <w:footnoteReference w:id="141"/>
      </w:r>
      <w:r w:rsidRPr="0034679F">
        <w:rPr>
          <w:lang w:val="en-AU"/>
        </w:rPr>
        <w:t xml:space="preserve"> The changes in Australia’s industry mix over the last decade</w:t>
      </w:r>
      <w:r>
        <w:rPr>
          <w:lang w:eastAsia="en-AU"/>
        </w:rPr>
        <w:t>,</w:t>
      </w:r>
      <w:r w:rsidRPr="0034679F">
        <w:t xml:space="preserve"> mainly caused by the decline in manufacturing and an increase in services, account for 21</w:t>
      </w:r>
      <w:r w:rsidRPr="009150DC">
        <w:rPr>
          <w:lang w:eastAsia="en-AU"/>
        </w:rPr>
        <w:t xml:space="preserve"> per cent</w:t>
      </w:r>
      <w:r w:rsidRPr="0034679F">
        <w:t xml:space="preserve"> of the BERD decline. The macro-economic factors (contributing to 71</w:t>
      </w:r>
      <w:r w:rsidRPr="009150DC">
        <w:rPr>
          <w:lang w:eastAsia="en-AU"/>
        </w:rPr>
        <w:t xml:space="preserve"> per cent</w:t>
      </w:r>
      <w:r w:rsidRPr="0034679F">
        <w:t xml:space="preserve"> of Australia</w:t>
      </w:r>
      <w:r>
        <w:t>’s</w:t>
      </w:r>
      <w:r w:rsidRPr="0034679F">
        <w:t xml:space="preserve"> BERD decline) relate to the shift in our mining sector from exploration and development to o</w:t>
      </w:r>
      <w:r w:rsidR="00746D13">
        <w:t xml:space="preserve">perations since the late 2000s. </w:t>
      </w:r>
      <w:r w:rsidR="003474B1">
        <w:t>Internationally</w:t>
      </w:r>
      <w:r w:rsidRPr="0034679F">
        <w:t xml:space="preserve">, R&amp;D intensive manufacturing and </w:t>
      </w:r>
      <w:r w:rsidR="003474B1">
        <w:t>Information, Media and Technology</w:t>
      </w:r>
      <w:r w:rsidRPr="0034679F">
        <w:rPr>
          <w:lang w:val="en-AU"/>
        </w:rPr>
        <w:t xml:space="preserve"> (</w:t>
      </w:r>
      <w:r w:rsidRPr="0034679F">
        <w:t>IMT)</w:t>
      </w:r>
      <w:r w:rsidRPr="0034679F">
        <w:rPr>
          <w:lang w:val="en-AU"/>
        </w:rPr>
        <w:t xml:space="preserve"> sectors</w:t>
      </w:r>
      <w:r w:rsidRPr="0034679F">
        <w:t xml:space="preserve"> drive BERD.</w:t>
      </w:r>
      <w:r w:rsidRPr="0034679F">
        <w:rPr>
          <w:lang w:val="en-AU"/>
        </w:rPr>
        <w:t xml:space="preserve"> In Australia</w:t>
      </w:r>
      <w:r w:rsidRPr="0034679F">
        <w:t>,</w:t>
      </w:r>
      <w:r w:rsidRPr="0034679F">
        <w:rPr>
          <w:lang w:val="en-AU"/>
        </w:rPr>
        <w:t xml:space="preserve"> these two sectors form a small part of the Australian economy, </w:t>
      </w:r>
      <w:r w:rsidRPr="0034679F">
        <w:t xml:space="preserve">and </w:t>
      </w:r>
      <w:r w:rsidRPr="0034679F">
        <w:rPr>
          <w:lang w:val="en-AU"/>
        </w:rPr>
        <w:t>are</w:t>
      </w:r>
      <w:r w:rsidRPr="0034679F">
        <w:t xml:space="preserve"> less R&amp;D intensive.</w:t>
      </w:r>
      <w:r w:rsidRPr="0034679F">
        <w:rPr>
          <w:rStyle w:val="FootnoteReference"/>
          <w:rFonts w:ascii="Calibri" w:hAnsi="Calibri"/>
          <w:color w:val="000000"/>
          <w:lang w:val="en-AU"/>
        </w:rPr>
        <w:footnoteReference w:id="142"/>
      </w:r>
      <w:r w:rsidRPr="0034679F">
        <w:rPr>
          <w:lang w:val="en-AU"/>
        </w:rPr>
        <w:t xml:space="preserve"> </w:t>
      </w:r>
    </w:p>
    <w:p w14:paraId="0C0AD85C" w14:textId="26DC9BDE" w:rsidR="003D00D8" w:rsidRPr="00303FBC" w:rsidRDefault="003D00D8" w:rsidP="003D00D8">
      <w:pPr>
        <w:rPr>
          <w:lang w:val="en-AU"/>
        </w:rPr>
      </w:pPr>
      <w:r w:rsidRPr="00303FBC">
        <w:rPr>
          <w:lang w:val="en-AU"/>
        </w:rPr>
        <w:t xml:space="preserve">While </w:t>
      </w:r>
      <w:r>
        <w:rPr>
          <w:lang w:val="en-AU"/>
        </w:rPr>
        <w:t>Australia’s</w:t>
      </w:r>
      <w:r w:rsidRPr="00303FBC">
        <w:rPr>
          <w:lang w:val="en-AU"/>
        </w:rPr>
        <w:t xml:space="preserve"> IMT sector </w:t>
      </w:r>
      <w:r>
        <w:rPr>
          <w:lang w:val="en-AU"/>
        </w:rPr>
        <w:t>forms a</w:t>
      </w:r>
      <w:r w:rsidRPr="00303FBC">
        <w:rPr>
          <w:lang w:val="en-AU"/>
        </w:rPr>
        <w:t xml:space="preserve"> small share of our economy, it appears that generally Australian businesses are willing to use and implement cloud tec</w:t>
      </w:r>
      <w:r w:rsidR="00042930">
        <w:rPr>
          <w:lang w:val="en-AU"/>
        </w:rPr>
        <w:t>hnologies. We rank second of 26 </w:t>
      </w:r>
      <w:r w:rsidRPr="00303FBC">
        <w:rPr>
          <w:lang w:val="en-AU"/>
        </w:rPr>
        <w:t xml:space="preserve">countries on the diffusion of cloud computing within enterprises (metric 4). While </w:t>
      </w:r>
      <w:r>
        <w:rPr>
          <w:lang w:val="en-AU"/>
        </w:rPr>
        <w:t>adoption of cloud computing</w:t>
      </w:r>
      <w:r w:rsidRPr="00303FBC">
        <w:rPr>
          <w:lang w:val="en-AU"/>
        </w:rPr>
        <w:t xml:space="preserve"> goes some way to </w:t>
      </w:r>
      <w:r w:rsidRPr="009150DC">
        <w:rPr>
          <w:lang w:val="en-AU"/>
        </w:rPr>
        <w:t>achiev</w:t>
      </w:r>
      <w:r>
        <w:rPr>
          <w:lang w:val="en-AU"/>
        </w:rPr>
        <w:t>ing</w:t>
      </w:r>
      <w:r w:rsidRPr="00303FBC">
        <w:rPr>
          <w:lang w:val="en-AU"/>
        </w:rPr>
        <w:t xml:space="preserve"> the Prime Minister’s objectives of Australia being a leading digital economy by 2030, there is still a need to encourage </w:t>
      </w:r>
      <w:r>
        <w:rPr>
          <w:lang w:val="en-AU"/>
        </w:rPr>
        <w:t xml:space="preserve">ongoing </w:t>
      </w:r>
      <w:r w:rsidRPr="009150DC">
        <w:rPr>
          <w:lang w:val="en-AU"/>
        </w:rPr>
        <w:t xml:space="preserve">investment by our businesses in a wider array of technology and digital solutions. </w:t>
      </w:r>
    </w:p>
    <w:p w14:paraId="171AEC5C" w14:textId="77777777" w:rsidR="003D00D8" w:rsidRPr="009150DC" w:rsidRDefault="003D00D8" w:rsidP="003D00D8">
      <w:pPr>
        <w:rPr>
          <w:lang w:val="en-AU"/>
        </w:rPr>
      </w:pPr>
      <w:r w:rsidRPr="00303FBC">
        <w:rPr>
          <w:lang w:val="en-AU"/>
        </w:rPr>
        <w:t>The shift to non-R&amp;D innovation</w:t>
      </w:r>
      <w:r w:rsidRPr="009150DC">
        <w:t xml:space="preserve"> investments also </w:t>
      </w:r>
      <w:r>
        <w:t>provides</w:t>
      </w:r>
      <w:r w:rsidRPr="009150DC">
        <w:t xml:space="preserve"> the opportunity to grow </w:t>
      </w:r>
      <w:r w:rsidRPr="00303FBC">
        <w:rPr>
          <w:lang w:val="en-AU"/>
        </w:rPr>
        <w:t>a wider set of firms and industries</w:t>
      </w:r>
      <w:r w:rsidRPr="009150DC">
        <w:t>.</w:t>
      </w:r>
      <w:r w:rsidRPr="00303FBC">
        <w:rPr>
          <w:lang w:val="en-AU"/>
        </w:rPr>
        <w:t xml:space="preserve"> How we support more of our businesses </w:t>
      </w:r>
      <w:r w:rsidRPr="009150DC">
        <w:t>to innovate will be critical to Australia diversifying its sources of economic growth, and crucial to how our industries recover from the impact of the COVID</w:t>
      </w:r>
      <w:r w:rsidRPr="009150DC">
        <w:noBreakHyphen/>
        <w:t>19 pandemic.</w:t>
      </w:r>
    </w:p>
    <w:p w14:paraId="7EEA3BF7" w14:textId="2E374100" w:rsidR="003D00D8" w:rsidRPr="00303FBC" w:rsidRDefault="003D00D8" w:rsidP="003D00D8">
      <w:pPr>
        <w:rPr>
          <w:lang w:val="en-AU"/>
        </w:rPr>
      </w:pPr>
      <w:r>
        <w:rPr>
          <w:lang w:val="en-AU"/>
        </w:rPr>
        <w:t>Often the best ideas and fresh perspectives on a problem are borne from strategic c</w:t>
      </w:r>
      <w:r w:rsidRPr="009150DC">
        <w:rPr>
          <w:lang w:val="en-AU"/>
        </w:rPr>
        <w:t>ollaboration</w:t>
      </w:r>
      <w:r>
        <w:rPr>
          <w:lang w:val="en-AU"/>
        </w:rPr>
        <w:t>s</w:t>
      </w:r>
      <w:r w:rsidRPr="00303FBC">
        <w:rPr>
          <w:lang w:val="en-AU"/>
        </w:rPr>
        <w:t>.</w:t>
      </w:r>
      <w:r w:rsidRPr="00303FBC">
        <w:rPr>
          <w:rStyle w:val="FootnoteReference"/>
          <w:lang w:val="en-AU"/>
        </w:rPr>
        <w:footnoteReference w:id="143"/>
      </w:r>
      <w:r w:rsidRPr="00303FBC">
        <w:rPr>
          <w:lang w:val="en-AU"/>
        </w:rPr>
        <w:t xml:space="preserve"> Australia’s rate of business collaboration has remained relatively stable (metric 5), in contrast to rapid growth among the top five nations (Belgium, Great</w:t>
      </w:r>
      <w:r w:rsidRPr="009150DC">
        <w:rPr>
          <w:lang w:val="en-AU"/>
        </w:rPr>
        <w:t xml:space="preserve"> </w:t>
      </w:r>
      <w:r w:rsidRPr="00303FBC">
        <w:rPr>
          <w:lang w:val="en-AU"/>
        </w:rPr>
        <w:t>Britain, Austria, China, and Japan). Many European nations have increased their collaboration through policy interventions such as Horizon 2020. I</w:t>
      </w:r>
      <w:r w:rsidR="00523472">
        <w:rPr>
          <w:lang w:val="en-AU"/>
        </w:rPr>
        <w:t>I</w:t>
      </w:r>
      <w:r w:rsidRPr="00303FBC">
        <w:rPr>
          <w:lang w:val="en-AU"/>
        </w:rPr>
        <w:t xml:space="preserve">SA </w:t>
      </w:r>
      <w:r>
        <w:rPr>
          <w:lang w:val="en-AU"/>
        </w:rPr>
        <w:t>considers one key step to increasing collaboration is for businesses to instil</w:t>
      </w:r>
      <w:r w:rsidRPr="00303FBC">
        <w:rPr>
          <w:lang w:val="en-AU"/>
        </w:rPr>
        <w:t xml:space="preserve"> an innovation mindset.</w:t>
      </w:r>
      <w:r w:rsidRPr="00303FBC">
        <w:rPr>
          <w:rStyle w:val="FootnoteReference"/>
          <w:lang w:val="en-AU"/>
        </w:rPr>
        <w:footnoteReference w:id="144"/>
      </w:r>
      <w:r w:rsidRPr="00303FBC">
        <w:rPr>
          <w:lang w:val="en-AU"/>
        </w:rPr>
        <w:t xml:space="preserve"> There is also an opportunity to focus not only on the </w:t>
      </w:r>
      <w:r w:rsidRPr="00303FBC">
        <w:rPr>
          <w:lang w:val="en-AU"/>
        </w:rPr>
        <w:lastRenderedPageBreak/>
        <w:t>supply of innovation but demand for it</w:t>
      </w:r>
      <w:r>
        <w:rPr>
          <w:lang w:val="en-AU"/>
        </w:rPr>
        <w:t>. This can be achieved through</w:t>
      </w:r>
      <w:r w:rsidRPr="00303FBC">
        <w:rPr>
          <w:lang w:val="en-AU"/>
        </w:rPr>
        <w:t xml:space="preserve"> catalysing levers such as government procurement and challenge-based programs such as the Business Research and Innovation Initiative (BRII)</w:t>
      </w:r>
      <w:r>
        <w:rPr>
          <w:lang w:val="en-AU"/>
        </w:rPr>
        <w:t>.</w:t>
      </w:r>
      <w:r w:rsidRPr="00303FBC">
        <w:rPr>
          <w:lang w:val="en-AU"/>
        </w:rPr>
        <w:t xml:space="preserve"> Businesses also have a role to play</w:t>
      </w:r>
      <w:r>
        <w:rPr>
          <w:lang w:val="en-AU"/>
        </w:rPr>
        <w:t>,</w:t>
      </w:r>
      <w:r w:rsidRPr="00303FBC">
        <w:rPr>
          <w:lang w:val="en-AU"/>
        </w:rPr>
        <w:t xml:space="preserve"> and larger businesses need to consider how best they can support and grow the smaller businesses within their supply chain and </w:t>
      </w:r>
      <w:r w:rsidRPr="009150DC">
        <w:rPr>
          <w:lang w:val="en-AU"/>
        </w:rPr>
        <w:t>ecosystem</w:t>
      </w:r>
      <w:r>
        <w:rPr>
          <w:lang w:val="en-AU"/>
        </w:rPr>
        <w:t>s</w:t>
      </w:r>
      <w:r w:rsidRPr="00303FBC">
        <w:rPr>
          <w:lang w:val="en-AU"/>
        </w:rPr>
        <w:t xml:space="preserve">. </w:t>
      </w:r>
    </w:p>
    <w:p w14:paraId="7B0B7BEC" w14:textId="77777777" w:rsidR="003D00D8" w:rsidRDefault="003D00D8" w:rsidP="00A251C8">
      <w:r>
        <w:t xml:space="preserve">One key output measure of great interest in recent years is the percentage of businesses that are high growth firms (HGFs) – metric 7. Australia’s HGF rate fell significantly in the period from 2008 to 2012, as did </w:t>
      </w:r>
      <w:r w:rsidRPr="00B0024A">
        <w:t>the top five countries</w:t>
      </w:r>
      <w:r>
        <w:t xml:space="preserve"> over the same period. However the average of the top five, have </w:t>
      </w:r>
      <w:r w:rsidRPr="00B0024A">
        <w:t>subs</w:t>
      </w:r>
      <w:r>
        <w:t>equently bounced back.</w:t>
      </w:r>
    </w:p>
    <w:p w14:paraId="029DFD0E" w14:textId="650ED8B6" w:rsidR="003D00D8" w:rsidRDefault="00BF5C71" w:rsidP="00A251C8">
      <w:r>
        <w:t>Globally, Australia places fourth</w:t>
      </w:r>
      <w:r w:rsidR="003D00D8">
        <w:t xml:space="preserve"> out of </w:t>
      </w:r>
      <w:r w:rsidR="009D758C">
        <w:t>six</w:t>
      </w:r>
      <w:r w:rsidR="003D00D8">
        <w:t xml:space="preserve"> countries (behind </w:t>
      </w:r>
      <w:r w:rsidR="003D00D8" w:rsidRPr="00751ED3">
        <w:t>Czechia</w:t>
      </w:r>
      <w:r w:rsidR="003D00D8">
        <w:t>, Portugal and Italy).</w:t>
      </w:r>
      <w:r w:rsidR="003D00D8">
        <w:rPr>
          <w:rStyle w:val="FootnoteReference"/>
        </w:rPr>
        <w:footnoteReference w:id="145"/>
      </w:r>
      <w:r w:rsidR="003D00D8">
        <w:t xml:space="preserve"> While the sample size of countries where data on HGFs is available is small, continued monitoring of this group of businesses is needed, as they provide a useful indicator of the innovation system</w:t>
      </w:r>
      <w:r w:rsidR="009D758C">
        <w:t xml:space="preserve"> health</w:t>
      </w:r>
      <w:r w:rsidR="003D00D8">
        <w:t>.</w:t>
      </w:r>
    </w:p>
    <w:p w14:paraId="0201C05B" w14:textId="3F39ED89" w:rsidR="003D00D8" w:rsidRDefault="003D00D8" w:rsidP="003D00D8">
      <w:r>
        <w:t>Australia’s decline in HGFs appears to coincide with our decrease in GDP growth rate over the same period. A decline in HGFs may be contributing to the declining in GDP growth rate, but at the same time, declining GDP growth rate may affect the growth prospects of HGFs</w:t>
      </w:r>
      <w:r w:rsidR="003474B1">
        <w:t>.</w:t>
      </w:r>
      <w:r>
        <w:rPr>
          <w:rStyle w:val="FootnoteReference"/>
        </w:rPr>
        <w:footnoteReference w:id="146"/>
      </w:r>
      <w:r>
        <w:t xml:space="preserve"> Another factor that may also influence HGFs rates is Australian firm survival rate which has been decreasing since 2003. As new firms grow, they encounter more hazards to survival.</w:t>
      </w:r>
      <w:r>
        <w:rPr>
          <w:rStyle w:val="FootnoteReference"/>
        </w:rPr>
        <w:footnoteReference w:id="147"/>
      </w:r>
      <w:r w:rsidRPr="00E13E13">
        <w:t xml:space="preserve"> Notwithstanding the </w:t>
      </w:r>
      <w:r>
        <w:t>Global Financial Crisis (</w:t>
      </w:r>
      <w:r w:rsidRPr="00E13E13">
        <w:t>GFC</w:t>
      </w:r>
      <w:r>
        <w:t>)</w:t>
      </w:r>
      <w:r w:rsidRPr="00E13E13">
        <w:t xml:space="preserve">, </w:t>
      </w:r>
      <w:r>
        <w:t>research has suggested that businesses confront a permanent increase in hazard level driven by sector-specific shifts in entrepreneurship</w:t>
      </w:r>
      <w:r w:rsidRPr="00E13E13">
        <w:t>s</w:t>
      </w:r>
      <w:r>
        <w:t>.</w:t>
      </w:r>
      <w:r>
        <w:rPr>
          <w:rStyle w:val="FootnoteReference"/>
        </w:rPr>
        <w:footnoteReference w:id="148"/>
      </w:r>
      <w:r w:rsidRPr="00E13E13">
        <w:t xml:space="preserve"> The current failure rate</w:t>
      </w:r>
      <w:r>
        <w:t xml:space="preserve"> of business</w:t>
      </w:r>
      <w:r w:rsidRPr="00E13E13">
        <w:t xml:space="preserve"> may </w:t>
      </w:r>
      <w:r>
        <w:t xml:space="preserve">also </w:t>
      </w:r>
      <w:r w:rsidRPr="00E13E13">
        <w:t>dissuade potential entrepreneurs from entering the market.</w:t>
      </w:r>
      <w:r>
        <w:rPr>
          <w:rStyle w:val="FootnoteReference"/>
        </w:rPr>
        <w:footnoteReference w:id="149"/>
      </w:r>
    </w:p>
    <w:p w14:paraId="183D145E" w14:textId="4E7051BB" w:rsidR="003D00D8" w:rsidRDefault="003D00D8" w:rsidP="00A251C8">
      <w:r>
        <w:t>Intellectual property rights (metric 8) are an important indicator of innovation activity in the system. However, there are only a limited number of Australian businesses</w:t>
      </w:r>
      <w:r w:rsidRPr="00E13E13">
        <w:t xml:space="preserve"> developing new</w:t>
      </w:r>
      <w:r w:rsidR="009D758C">
        <w:noBreakHyphen/>
      </w:r>
      <w:r w:rsidRPr="00E13E13">
        <w:t>to</w:t>
      </w:r>
      <w:r w:rsidR="009D758C">
        <w:noBreakHyphen/>
      </w:r>
      <w:r w:rsidRPr="00E13E13">
        <w:t xml:space="preserve">world products and services, </w:t>
      </w:r>
      <w:r>
        <w:t xml:space="preserve">which is reflected in </w:t>
      </w:r>
      <w:r w:rsidRPr="00E13E13">
        <w:t>ou</w:t>
      </w:r>
      <w:r>
        <w:t xml:space="preserve">r low rate of international patent numbers. Recent analysis highlights that our businesses are also </w:t>
      </w:r>
      <w:r w:rsidRPr="00E13E13">
        <w:t>investing more heavily in innovation activities</w:t>
      </w:r>
      <w:r>
        <w:t xml:space="preserve"> beyond R&amp;D,</w:t>
      </w:r>
      <w:r w:rsidRPr="00E13E13">
        <w:t xml:space="preserve"> including </w:t>
      </w:r>
      <w:r>
        <w:t xml:space="preserve">investment in </w:t>
      </w:r>
      <w:r w:rsidRPr="00E13E13">
        <w:t>existing technology rather than inventing and p</w:t>
      </w:r>
      <w:r>
        <w:t>atenting new to world technologies</w:t>
      </w:r>
      <w:r w:rsidRPr="00E13E13">
        <w:t>.</w:t>
      </w:r>
      <w:r>
        <w:rPr>
          <w:rStyle w:val="FootnoteReference"/>
        </w:rPr>
        <w:footnoteReference w:id="150"/>
      </w:r>
    </w:p>
    <w:p w14:paraId="7A1DAEEB" w14:textId="28CD9A60" w:rsidR="003D00D8" w:rsidRPr="00CE6A4B" w:rsidRDefault="00BE029E" w:rsidP="002A61BC">
      <w:pPr>
        <w:spacing w:after="0"/>
      </w:pPr>
      <w:r>
        <w:t>Improving</w:t>
      </w:r>
      <w:r w:rsidR="003D00D8">
        <w:t xml:space="preserve"> Australia’s </w:t>
      </w:r>
      <w:r>
        <w:t xml:space="preserve">performance against </w:t>
      </w:r>
      <w:r w:rsidR="003D00D8">
        <w:t xml:space="preserve">business activities </w:t>
      </w:r>
      <w:r w:rsidR="00DF5EA0">
        <w:t xml:space="preserve">metrics </w:t>
      </w:r>
      <w:r>
        <w:t xml:space="preserve">is </w:t>
      </w:r>
      <w:r w:rsidR="003D00D8">
        <w:t xml:space="preserve">required if we are to </w:t>
      </w:r>
      <w:r w:rsidR="009D758C">
        <w:t>reach</w:t>
      </w:r>
      <w:r w:rsidR="003D00D8">
        <w:t xml:space="preserve"> the top tier of innovation nations. Australia </w:t>
      </w:r>
      <w:r>
        <w:t>is</w:t>
      </w:r>
      <w:r w:rsidR="003D00D8">
        <w:t xml:space="preserve"> falling behind or trending against our global </w:t>
      </w:r>
      <w:r w:rsidR="003D00D8">
        <w:lastRenderedPageBreak/>
        <w:t xml:space="preserve">competitors in key </w:t>
      </w:r>
      <w:r w:rsidR="00DF5EA0">
        <w:t>inputs</w:t>
      </w:r>
      <w:r w:rsidR="003D00D8">
        <w:t xml:space="preserve">. </w:t>
      </w:r>
      <w:r>
        <w:t>G</w:t>
      </w:r>
      <w:r w:rsidR="003D00D8">
        <w:t>overnment support for businesses in this domain needs to be accelerated.</w:t>
      </w:r>
      <w:r w:rsidR="003D00D8">
        <w:rPr>
          <w:rStyle w:val="FootnoteReference"/>
        </w:rPr>
        <w:footnoteReference w:id="151"/>
      </w:r>
      <w:r w:rsidR="00CE6A4B">
        <w:t xml:space="preserve"> </w:t>
      </w:r>
    </w:p>
    <w:p w14:paraId="5FCC6255" w14:textId="32E47C10" w:rsidR="003D00D8" w:rsidRDefault="00FE710E" w:rsidP="00CE6A4B">
      <w:pPr>
        <w:pStyle w:val="Heading3"/>
        <w:spacing w:line="264" w:lineRule="auto"/>
      </w:pPr>
      <w:r>
        <w:t>Business e</w:t>
      </w:r>
      <w:r w:rsidR="003D00D8">
        <w:t>nvironment</w:t>
      </w:r>
    </w:p>
    <w:p w14:paraId="7C8A4977" w14:textId="6AA54E13" w:rsidR="00F41450" w:rsidRDefault="00400295" w:rsidP="00F41450">
      <w:pPr>
        <w:keepNext/>
        <w:autoSpaceDE w:val="0"/>
        <w:autoSpaceDN w:val="0"/>
        <w:adjustRightInd w:val="0"/>
        <w:spacing w:after="0" w:line="240" w:lineRule="auto"/>
        <w:jc w:val="both"/>
      </w:pPr>
      <w:r>
        <w:pict w14:anchorId="10DC41D3">
          <v:shape id="_x0000_i1026" type="#_x0000_t75" alt="Figure 10 shows the business enrivonment innovation metrics, with three inputs and one output." style="width:453.5pt;height:166pt">
            <v:imagedata r:id="rId32" o:title="Innovation Metrics Scorecard - Seperate sections - page 1" croptop="4634f" cropbottom="43954f"/>
          </v:shape>
        </w:pict>
      </w:r>
    </w:p>
    <w:p w14:paraId="3EE5458C" w14:textId="7C63924C" w:rsidR="003D00D8" w:rsidRDefault="00F41450" w:rsidP="00F41450">
      <w:pPr>
        <w:pStyle w:val="Caption"/>
        <w:jc w:val="both"/>
      </w:pPr>
      <w:bookmarkStart w:id="555" w:name="_Ref57113083"/>
      <w:r>
        <w:t xml:space="preserve">Figure </w:t>
      </w:r>
      <w:r>
        <w:fldChar w:fldCharType="begin"/>
      </w:r>
      <w:r>
        <w:instrText xml:space="preserve"> SEQ Figure \* ARABIC </w:instrText>
      </w:r>
      <w:r>
        <w:fldChar w:fldCharType="separate"/>
      </w:r>
      <w:r w:rsidR="000A3AE7">
        <w:rPr>
          <w:noProof/>
        </w:rPr>
        <w:t>10</w:t>
      </w:r>
      <w:r>
        <w:fldChar w:fldCharType="end"/>
      </w:r>
      <w:bookmarkEnd w:id="555"/>
      <w:r>
        <w:t xml:space="preserve"> </w:t>
      </w:r>
      <w:r w:rsidR="00D7216E">
        <w:t>Business environment innovation metrics</w:t>
      </w:r>
    </w:p>
    <w:p w14:paraId="1E7EA2F3" w14:textId="5C4FC2E1" w:rsidR="003D00D8" w:rsidRDefault="003D00D8" w:rsidP="003D00D8">
      <w:pPr>
        <w:jc w:val="both"/>
      </w:pPr>
      <w:r>
        <w:t xml:space="preserve">The current and future business environment is uncertain, particularly due to the </w:t>
      </w:r>
      <w:r w:rsidRPr="00D052AD">
        <w:t xml:space="preserve">effects of </w:t>
      </w:r>
      <w:r w:rsidR="00042930">
        <w:t>COVID</w:t>
      </w:r>
      <w:r w:rsidR="00042930">
        <w:noBreakHyphen/>
      </w:r>
      <w:r>
        <w:t>19, the bushfires and other recent climate-related events.</w:t>
      </w:r>
      <w:r>
        <w:rPr>
          <w:rStyle w:val="FootnoteReference"/>
        </w:rPr>
        <w:footnoteReference w:id="152"/>
      </w:r>
      <w:r>
        <w:t xml:space="preserve"> Against this backdrop, we comment on how the business environment supports innovation investment and productivity growth.</w:t>
      </w:r>
    </w:p>
    <w:p w14:paraId="7B3E07A2" w14:textId="6AF89457" w:rsidR="003D00D8" w:rsidRPr="00303FBC" w:rsidRDefault="003D00D8" w:rsidP="003D00D8">
      <w:pPr>
        <w:rPr>
          <w:lang w:val="en-AU"/>
        </w:rPr>
      </w:pPr>
      <w:r>
        <w:t>Australia continues to perform well in respect of low levels of regulatory barriers to firm entry and competition (metric 9</w:t>
      </w:r>
      <w:r w:rsidR="002D69F2">
        <w:t xml:space="preserve">; </w:t>
      </w:r>
      <w:r w:rsidR="002D69F2">
        <w:fldChar w:fldCharType="begin"/>
      </w:r>
      <w:r w:rsidR="002D69F2">
        <w:instrText xml:space="preserve"> REF _Ref57113083 \h </w:instrText>
      </w:r>
      <w:r w:rsidR="002D69F2">
        <w:fldChar w:fldCharType="separate"/>
      </w:r>
      <w:r w:rsidR="000A3AE7">
        <w:t xml:space="preserve">Figure </w:t>
      </w:r>
      <w:r w:rsidR="000A3AE7">
        <w:rPr>
          <w:noProof/>
        </w:rPr>
        <w:t>10</w:t>
      </w:r>
      <w:r w:rsidR="002D69F2">
        <w:fldChar w:fldCharType="end"/>
      </w:r>
      <w:r>
        <w:t xml:space="preserve">). We retain our ranking in the top quartile and perform close to the average top five OECD comparators. Access to capital, </w:t>
      </w:r>
      <w:r w:rsidR="00687C03">
        <w:t>especially for small and medium</w:t>
      </w:r>
      <w:r w:rsidR="00687C03">
        <w:noBreakHyphen/>
      </w:r>
      <w:r>
        <w:t>sized enterprises (SMEs) in Australia, has been challenging. However, for</w:t>
      </w:r>
      <w:r w:rsidRPr="00303FBC">
        <w:rPr>
          <w:lang w:val="en-AU"/>
        </w:rPr>
        <w:t xml:space="preserve"> those businesses interested in accessing venture capital (VC), we </w:t>
      </w:r>
      <w:r w:rsidRPr="009150DC">
        <w:t xml:space="preserve">have seen a steady increase in </w:t>
      </w:r>
      <w:r w:rsidRPr="00303FBC">
        <w:rPr>
          <w:lang w:val="en-AU"/>
        </w:rPr>
        <w:t xml:space="preserve">VC funding </w:t>
      </w:r>
      <w:r>
        <w:t>investment (metric 10</w:t>
      </w:r>
      <w:r w:rsidRPr="009150DC">
        <w:t>) and availabili</w:t>
      </w:r>
      <w:r>
        <w:t xml:space="preserve">ty, </w:t>
      </w:r>
      <w:r>
        <w:rPr>
          <w:lang w:val="en-AU"/>
        </w:rPr>
        <w:t>over the last five years</w:t>
      </w:r>
      <w:r>
        <w:t>, albeit from a very low base</w:t>
      </w:r>
      <w:r w:rsidRPr="009150DC">
        <w:t>.</w:t>
      </w:r>
      <w:r w:rsidRPr="00303FBC">
        <w:rPr>
          <w:lang w:val="en-AU"/>
        </w:rPr>
        <w:t xml:space="preserve"> However, the total size of the sector as a share of GDP is still well below global leaders. I</w:t>
      </w:r>
      <w:r w:rsidR="00523472">
        <w:rPr>
          <w:lang w:val="en-AU"/>
        </w:rPr>
        <w:t>I</w:t>
      </w:r>
      <w:r w:rsidRPr="00303FBC">
        <w:rPr>
          <w:lang w:val="en-AU"/>
        </w:rPr>
        <w:t>SA notes that VC investment is highly concentrated in Sydney and Melbourne</w:t>
      </w:r>
      <w:r>
        <w:rPr>
          <w:lang w:val="en-AU"/>
        </w:rPr>
        <w:t>.</w:t>
      </w:r>
      <w:r w:rsidRPr="009150DC">
        <w:rPr>
          <w:lang w:val="en-AU"/>
        </w:rPr>
        <w:t xml:space="preserve"> </w:t>
      </w:r>
      <w:r>
        <w:rPr>
          <w:lang w:val="en-AU"/>
        </w:rPr>
        <w:t>T</w:t>
      </w:r>
      <w:r w:rsidRPr="009150DC">
        <w:rPr>
          <w:lang w:val="en-AU"/>
        </w:rPr>
        <w:t>hese</w:t>
      </w:r>
      <w:r w:rsidRPr="00303FBC">
        <w:rPr>
          <w:lang w:val="en-AU"/>
        </w:rPr>
        <w:t xml:space="preserve"> cities account for 95</w:t>
      </w:r>
      <w:r w:rsidRPr="009150DC">
        <w:rPr>
          <w:lang w:val="en-AU"/>
        </w:rPr>
        <w:t xml:space="preserve"> per cent</w:t>
      </w:r>
      <w:r w:rsidRPr="00303FBC">
        <w:rPr>
          <w:lang w:val="en-AU"/>
        </w:rPr>
        <w:t xml:space="preserve"> of VC raised.</w:t>
      </w:r>
      <w:r w:rsidRPr="00303FBC">
        <w:rPr>
          <w:rStyle w:val="FootnoteReference"/>
          <w:lang w:val="en-AU"/>
        </w:rPr>
        <w:footnoteReference w:id="153"/>
      </w:r>
      <w:r w:rsidRPr="00303FBC">
        <w:rPr>
          <w:lang w:val="en-AU"/>
        </w:rPr>
        <w:t xml:space="preserve"> There is an opportunity to provide VC access to businesses located outside of Melbourne and Sydney, including by providing Commonwealth level support to state-based initiatives where possible. </w:t>
      </w:r>
    </w:p>
    <w:p w14:paraId="15B7DD5F" w14:textId="02075063" w:rsidR="003D00D8" w:rsidRDefault="003D00D8" w:rsidP="00042930">
      <w:r>
        <w:t>I</w:t>
      </w:r>
      <w:r w:rsidR="00523472">
        <w:t>I</w:t>
      </w:r>
      <w:r>
        <w:t xml:space="preserve">SA also notes the importance of ensuring that Australian businesses have access to the right skills and talent. Permanent migrants and non-student temporary entrants with higher education qualifications (metric 11) is a helpful indicator of skills access. While there is no international data to make comparisons (as this was a newly introduced measure in the 2016 census), monitoring these levels, together with industry input on demand, is helpful to identify where there is a talent gap in the domestic workforce. </w:t>
      </w:r>
    </w:p>
    <w:p w14:paraId="49B44161" w14:textId="0069DFE8" w:rsidR="003D00D8" w:rsidRDefault="003D00D8" w:rsidP="003D00D8">
      <w:pPr>
        <w:jc w:val="both"/>
      </w:pPr>
      <w:r>
        <w:lastRenderedPageBreak/>
        <w:t xml:space="preserve">Based on the metrics in the Scorecard, the business environment is relatively healthy, with reduced regulatory barriers for entry, a buoyed VC market, and an </w:t>
      </w:r>
      <w:r w:rsidRPr="000B69E5">
        <w:t>increasing level</w:t>
      </w:r>
      <w:r>
        <w:t xml:space="preserve"> of skilled migrants in the workforce.</w:t>
      </w:r>
      <w:r w:rsidR="004C0DC2">
        <w:rPr>
          <w:rStyle w:val="FootnoteReference"/>
        </w:rPr>
        <w:footnoteReference w:id="154"/>
      </w:r>
      <w:r>
        <w:t xml:space="preserve"> However, the birth rate of our employing enterprises (metric 12) has remained stable since 2008. </w:t>
      </w:r>
      <w:r w:rsidRPr="00EA4643">
        <w:t>This is a concern given internationally the average top five countries have steadily improved post the GFC.</w:t>
      </w:r>
      <w:r>
        <w:t xml:space="preserve"> The increase in VC availability may help improve enterprise birth rate, however this will take time to make its way through the system. Business also have a role to play in developing a growth through innovation mindset, which will also help to train the next gener</w:t>
      </w:r>
      <w:r w:rsidR="00042930">
        <w:t>ation of entrepreneurs.</w:t>
      </w:r>
    </w:p>
    <w:p w14:paraId="233D0519" w14:textId="5B91FD7D" w:rsidR="003D00D8" w:rsidRDefault="003D00D8" w:rsidP="00935BB9">
      <w:pPr>
        <w:pStyle w:val="Heading3"/>
      </w:pPr>
      <w:r>
        <w:t xml:space="preserve">National </w:t>
      </w:r>
      <w:r w:rsidR="002D69F2">
        <w:t>e</w:t>
      </w:r>
      <w:r>
        <w:t>nvironment</w:t>
      </w:r>
    </w:p>
    <w:p w14:paraId="09B9B393" w14:textId="6DD73FAA" w:rsidR="00F41450" w:rsidRDefault="00400295" w:rsidP="008B3725">
      <w:pPr>
        <w:keepNext/>
        <w:spacing w:after="0"/>
        <w:jc w:val="both"/>
      </w:pPr>
      <w:r>
        <w:pict w14:anchorId="71478CDD">
          <v:shape id="_x0000_i1027" type="#_x0000_t75" alt="Figure 11 shows the national environment innovation metrics, with three inputs and three outputs." style="width:453.5pt;height:209pt">
            <v:imagedata r:id="rId32" o:title="Innovation Metrics Scorecard - Seperate sections - page 1" croptop="23897f" cropbottom="20388f"/>
          </v:shape>
        </w:pict>
      </w:r>
    </w:p>
    <w:p w14:paraId="76F96845" w14:textId="044C2EA3" w:rsidR="003D00D8" w:rsidRDefault="00F41450" w:rsidP="00F41450">
      <w:pPr>
        <w:pStyle w:val="Caption"/>
        <w:jc w:val="both"/>
      </w:pPr>
      <w:bookmarkStart w:id="556" w:name="_Ref57113105"/>
      <w:r>
        <w:t xml:space="preserve">Figure </w:t>
      </w:r>
      <w:r>
        <w:fldChar w:fldCharType="begin"/>
      </w:r>
      <w:r>
        <w:instrText xml:space="preserve"> SEQ Figure \* ARABIC </w:instrText>
      </w:r>
      <w:r>
        <w:fldChar w:fldCharType="separate"/>
      </w:r>
      <w:r w:rsidR="000A3AE7">
        <w:rPr>
          <w:noProof/>
        </w:rPr>
        <w:t>11</w:t>
      </w:r>
      <w:r>
        <w:fldChar w:fldCharType="end"/>
      </w:r>
      <w:bookmarkEnd w:id="556"/>
      <w:r>
        <w:t xml:space="preserve"> </w:t>
      </w:r>
      <w:r w:rsidR="00B34AB5">
        <w:t>N</w:t>
      </w:r>
      <w:r w:rsidR="00D7216E">
        <w:t>ational environment innovation metrics</w:t>
      </w:r>
    </w:p>
    <w:p w14:paraId="59221740" w14:textId="75610513" w:rsidR="003D00D8" w:rsidRPr="00042930" w:rsidRDefault="003D00D8" w:rsidP="003D00D8">
      <w:r w:rsidRPr="006D2040">
        <w:rPr>
          <w:lang w:val="en-AU"/>
        </w:rPr>
        <w:t>Our investment in human capital and education infrastructure</w:t>
      </w:r>
      <w:r>
        <w:rPr>
          <w:lang w:val="en-AU"/>
        </w:rPr>
        <w:t>,</w:t>
      </w:r>
      <w:r w:rsidRPr="006D2040">
        <w:rPr>
          <w:lang w:val="en-AU"/>
        </w:rPr>
        <w:t xml:space="preserve"> highlighted through Australia’s investment in ed</w:t>
      </w:r>
      <w:r>
        <w:rPr>
          <w:lang w:val="en-AU"/>
        </w:rPr>
        <w:t>ucational institutions (metric 13</w:t>
      </w:r>
      <w:r w:rsidR="002D69F2">
        <w:rPr>
          <w:lang w:val="en-AU"/>
        </w:rPr>
        <w:t xml:space="preserve">; </w:t>
      </w:r>
      <w:r w:rsidR="002D69F2">
        <w:rPr>
          <w:lang w:val="en-AU"/>
        </w:rPr>
        <w:fldChar w:fldCharType="begin"/>
      </w:r>
      <w:r w:rsidR="002D69F2">
        <w:rPr>
          <w:lang w:val="en-AU"/>
        </w:rPr>
        <w:instrText xml:space="preserve"> REF _Ref57113105 \h </w:instrText>
      </w:r>
      <w:r w:rsidR="002D69F2">
        <w:rPr>
          <w:lang w:val="en-AU"/>
        </w:rPr>
      </w:r>
      <w:r w:rsidR="002D69F2">
        <w:rPr>
          <w:lang w:val="en-AU"/>
        </w:rPr>
        <w:fldChar w:fldCharType="separate"/>
      </w:r>
      <w:r w:rsidR="000A3AE7">
        <w:t xml:space="preserve">Figure </w:t>
      </w:r>
      <w:r w:rsidR="000A3AE7">
        <w:rPr>
          <w:noProof/>
        </w:rPr>
        <w:t>11</w:t>
      </w:r>
      <w:r w:rsidR="002D69F2">
        <w:rPr>
          <w:lang w:val="en-AU"/>
        </w:rPr>
        <w:fldChar w:fldCharType="end"/>
      </w:r>
      <w:r w:rsidRPr="006D2040">
        <w:rPr>
          <w:lang w:val="en-AU"/>
        </w:rPr>
        <w:t>), lays a good foundation to support innovation</w:t>
      </w:r>
      <w:r w:rsidR="00042930">
        <w:rPr>
          <w:lang w:val="en-AU"/>
        </w:rPr>
        <w:noBreakHyphen/>
        <w:t>led productivity</w:t>
      </w:r>
      <w:r w:rsidR="00042930" w:rsidRPr="00042930">
        <w:t>.</w:t>
      </w:r>
    </w:p>
    <w:p w14:paraId="61116AEC" w14:textId="77777777" w:rsidR="00542E2F" w:rsidRPr="00303FBC" w:rsidRDefault="00542E2F" w:rsidP="00542E2F">
      <w:pPr>
        <w:rPr>
          <w:lang w:val="en-AU"/>
        </w:rPr>
      </w:pPr>
      <w:r w:rsidRPr="00D66DBF">
        <w:rPr>
          <w:lang w:val="en-AU"/>
        </w:rPr>
        <w:t xml:space="preserve">Australia’s GERD </w:t>
      </w:r>
      <w:r>
        <w:rPr>
          <w:lang w:val="en-AU"/>
        </w:rPr>
        <w:t>expenditure</w:t>
      </w:r>
      <w:r w:rsidRPr="00D66DBF">
        <w:rPr>
          <w:lang w:val="en-AU"/>
        </w:rPr>
        <w:t xml:space="preserve"> as a per cent</w:t>
      </w:r>
      <w:r w:rsidRPr="00303FBC">
        <w:rPr>
          <w:lang w:val="en-AU"/>
        </w:rPr>
        <w:t xml:space="preserve"> of GDP (metric </w:t>
      </w:r>
      <w:r>
        <w:rPr>
          <w:lang w:val="en-AU"/>
        </w:rPr>
        <w:t>1</w:t>
      </w:r>
      <w:r>
        <w:t>4)</w:t>
      </w:r>
      <w:r w:rsidRPr="00303FBC">
        <w:rPr>
          <w:lang w:val="en-AU"/>
        </w:rPr>
        <w:t xml:space="preserve"> has been declining since 2008, driven</w:t>
      </w:r>
      <w:r>
        <w:rPr>
          <w:lang w:val="en-AU"/>
        </w:rPr>
        <w:t xml:space="preserve"> primarily by falling business </w:t>
      </w:r>
      <w:r w:rsidRPr="00303FBC">
        <w:rPr>
          <w:lang w:val="en-AU"/>
        </w:rPr>
        <w:t xml:space="preserve">and </w:t>
      </w:r>
      <w:r>
        <w:rPr>
          <w:lang w:val="en-AU"/>
        </w:rPr>
        <w:t>Commonwealth expenditure on</w:t>
      </w:r>
      <w:r w:rsidRPr="00303FBC">
        <w:rPr>
          <w:lang w:val="en-AU"/>
        </w:rPr>
        <w:t xml:space="preserve"> R&amp;D. Higher education </w:t>
      </w:r>
      <w:r>
        <w:rPr>
          <w:lang w:val="en-AU"/>
        </w:rPr>
        <w:t>expenditure on</w:t>
      </w:r>
      <w:r w:rsidRPr="00303FBC">
        <w:rPr>
          <w:lang w:val="en-AU"/>
        </w:rPr>
        <w:t xml:space="preserve"> R&amp;D has increased slightly during this time.</w:t>
      </w:r>
      <w:r w:rsidRPr="00303FBC">
        <w:rPr>
          <w:rStyle w:val="FootnoteReference"/>
          <w:lang w:val="en-AU"/>
        </w:rPr>
        <w:footnoteReference w:id="155"/>
      </w:r>
      <w:r w:rsidRPr="00303FBC">
        <w:rPr>
          <w:lang w:val="en-AU"/>
        </w:rPr>
        <w:t xml:space="preserve"> </w:t>
      </w:r>
      <w:r>
        <w:rPr>
          <w:lang w:val="en-AU"/>
        </w:rPr>
        <w:t xml:space="preserve">In 2017, </w:t>
      </w:r>
      <w:r w:rsidRPr="00C80A2D">
        <w:rPr>
          <w:lang w:val="en-AU"/>
        </w:rPr>
        <w:t xml:space="preserve">BERD accounted for just over 50 per cent of GERD. Further stimulus to business expenditure </w:t>
      </w:r>
      <w:r>
        <w:rPr>
          <w:lang w:val="en-AU"/>
        </w:rPr>
        <w:t>on</w:t>
      </w:r>
      <w:r w:rsidRPr="00C80A2D">
        <w:rPr>
          <w:lang w:val="en-AU"/>
        </w:rPr>
        <w:t xml:space="preserve"> R&amp;D, particularly through </w:t>
      </w:r>
      <w:r>
        <w:rPr>
          <w:lang w:val="en-AU"/>
        </w:rPr>
        <w:t xml:space="preserve">encouraging </w:t>
      </w:r>
      <w:r w:rsidRPr="00C80A2D">
        <w:rPr>
          <w:lang w:val="en-AU"/>
        </w:rPr>
        <w:t>business collaboration with government researchers, may see GERD increase in future.</w:t>
      </w:r>
    </w:p>
    <w:p w14:paraId="18C1C8C0" w14:textId="2ECDFD26" w:rsidR="003D00D8" w:rsidRDefault="003D00D8" w:rsidP="003D00D8">
      <w:pPr>
        <w:jc w:val="both"/>
      </w:pPr>
      <w:r>
        <w:t>Despite investment in our education infrastructure at all levels, we are not seeing improvements at the primary and high school levels. Our</w:t>
      </w:r>
      <w:r w:rsidRPr="00275F4A">
        <w:t xml:space="preserve"> Programme for International Student Assessment</w:t>
      </w:r>
      <w:r>
        <w:t xml:space="preserve"> (PISA) maths scores are starting to diverge from average OECD nations </w:t>
      </w:r>
      <w:r w:rsidR="00042930">
        <w:t>(metric 16) – a worrying trend.</w:t>
      </w:r>
    </w:p>
    <w:p w14:paraId="5D3F3A40" w14:textId="77777777" w:rsidR="003D00D8" w:rsidRDefault="003D00D8" w:rsidP="00042930">
      <w:r w:rsidRPr="006D2040">
        <w:rPr>
          <w:lang w:val="en-AU"/>
        </w:rPr>
        <w:lastRenderedPageBreak/>
        <w:t>Investment in our educational institutions has helped Australia</w:t>
      </w:r>
      <w:r>
        <w:rPr>
          <w:lang w:val="en-AU"/>
        </w:rPr>
        <w:t xml:space="preserve"> to</w:t>
      </w:r>
      <w:r w:rsidRPr="006D2040">
        <w:rPr>
          <w:lang w:val="en-AU"/>
        </w:rPr>
        <w:t xml:space="preserve"> </w:t>
      </w:r>
      <w:r>
        <w:rPr>
          <w:lang w:val="en-AU"/>
        </w:rPr>
        <w:t>increase the</w:t>
      </w:r>
      <w:r w:rsidRPr="006D2040">
        <w:rPr>
          <w:lang w:val="en-AU"/>
        </w:rPr>
        <w:t xml:space="preserve"> proportion of our</w:t>
      </w:r>
      <w:r w:rsidRPr="006D2040">
        <w:t xml:space="preserve"> </w:t>
      </w:r>
      <w:r w:rsidRPr="006D2040">
        <w:rPr>
          <w:lang w:val="en-AU"/>
        </w:rPr>
        <w:t xml:space="preserve">population aged 25–34 with higher education (metric </w:t>
      </w:r>
      <w:r>
        <w:rPr>
          <w:lang w:val="en-AU"/>
        </w:rPr>
        <w:t>1</w:t>
      </w:r>
      <w:r w:rsidRPr="006D2040">
        <w:rPr>
          <w:lang w:val="en-AU"/>
        </w:rPr>
        <w:t xml:space="preserve">8), which rose from 38.3 per cent in 2014 to 40.6 per cent in 2018. </w:t>
      </w:r>
      <w:r>
        <w:rPr>
          <w:lang w:val="en-AU"/>
        </w:rPr>
        <w:t>Since h</w:t>
      </w:r>
      <w:r w:rsidRPr="009853F0">
        <w:rPr>
          <w:lang w:val="en-AU"/>
        </w:rPr>
        <w:t>igher educational attainment increases t</w:t>
      </w:r>
      <w:r>
        <w:rPr>
          <w:lang w:val="en-AU"/>
        </w:rPr>
        <w:t>he likelihood of employment, increasing this proportion should have flow on effects through the economy.</w:t>
      </w:r>
      <w:r>
        <w:rPr>
          <w:rStyle w:val="FootnoteReference"/>
          <w:lang w:val="en-AU"/>
        </w:rPr>
        <w:footnoteReference w:id="156"/>
      </w:r>
      <w:r>
        <w:rPr>
          <w:lang w:val="en-AU"/>
        </w:rPr>
        <w:t xml:space="preserve"> </w:t>
      </w:r>
      <w:r>
        <w:t>Ensuring that any increase in the proportion of the population with higher education also coincides with an increase in the number of high-value jobs is also a key focus of this Government.</w:t>
      </w:r>
    </w:p>
    <w:p w14:paraId="5DAA948C" w14:textId="7DC72145" w:rsidR="003D00D8" w:rsidRDefault="003D00D8" w:rsidP="00042930">
      <w:r>
        <w:t>While Australia’s number of tertiary educated individuals has not increased dramatically since 2014, Australia does score in the top quartile on the quality adjusted labour input (metric 17). This metric measures the growth of skills in our workforce, using the educational attainment of workers as a proxy for the quality of labour.</w:t>
      </w:r>
      <w:r>
        <w:rPr>
          <w:rStyle w:val="FootnoteReference"/>
        </w:rPr>
        <w:footnoteReference w:id="157"/>
      </w:r>
      <w:r>
        <w:t xml:space="preserve"> This suggests that Australians are able to gain the skills needed (perhaps through other means such as on the job training, or vocational education)</w:t>
      </w:r>
      <w:r w:rsidR="00AC36CA">
        <w:t>, p</w:t>
      </w:r>
      <w:r>
        <w:t xml:space="preserve">ositioning Australia </w:t>
      </w:r>
      <w:r w:rsidR="00AC36CA">
        <w:t>well</w:t>
      </w:r>
      <w:r>
        <w:t xml:space="preserve"> to transition our workforce to new industries, when and if needed.</w:t>
      </w:r>
    </w:p>
    <w:p w14:paraId="62BCD575" w14:textId="4BA7DE9B" w:rsidR="003D00D8" w:rsidRDefault="003D00D8" w:rsidP="00042930">
      <w:r>
        <w:t>When transitioning to new knowledge-based economies, access to information becomes increasingly important. Reliable high-speed internet infrastructure has many benefits and spillovers across a number of different industries. Currently Australia’s broadband subscriptions rates per 100 habitants, by speed faster than 100 Mbps (metric 15) ranks us 30 out of 34 countries, only marginally ahead of Turkey, Colombia, Mexico, and Greece. COVID-19 has demonstrated the criticality of high-speed internet for both edu</w:t>
      </w:r>
      <w:r w:rsidR="00772913">
        <w:t>cational outcomes and business.</w:t>
      </w:r>
      <w:r>
        <w:rPr>
          <w:rStyle w:val="FootnoteReference"/>
        </w:rPr>
        <w:footnoteReference w:id="158"/>
      </w:r>
      <w:r>
        <w:t xml:space="preserve"> It</w:t>
      </w:r>
      <w:r w:rsidR="00D50322">
        <w:t xml:space="preserve"> is</w:t>
      </w:r>
      <w:r>
        <w:t xml:space="preserve"> clear there is an opportunity for improvement to ensure we do not slip further behind. </w:t>
      </w:r>
    </w:p>
    <w:p w14:paraId="0155C273" w14:textId="77777777" w:rsidR="003D00D8" w:rsidRDefault="003D00D8" w:rsidP="00935BB9">
      <w:pPr>
        <w:pStyle w:val="Heading3"/>
      </w:pPr>
      <w:r>
        <w:t>Impacts</w:t>
      </w:r>
    </w:p>
    <w:p w14:paraId="7B1B3EE8" w14:textId="1D43CCD8" w:rsidR="00F41450" w:rsidRDefault="00400295" w:rsidP="00F41450">
      <w:pPr>
        <w:keepNext/>
        <w:jc w:val="both"/>
      </w:pPr>
      <w:r>
        <w:pict w14:anchorId="3918CCF3">
          <v:shape id="_x0000_i1028" type="#_x0000_t75" alt="Figure 12 shows the impact innovation metric - multifactor productivity" style="width:453.5pt;height:94.5pt">
            <v:imagedata r:id="rId32" o:title="Innovation Metrics Scorecard - Seperate sections - page 1" croptop="47286f" cropbottom="8561f"/>
          </v:shape>
        </w:pict>
      </w:r>
    </w:p>
    <w:p w14:paraId="52115A31" w14:textId="6F6A7D07" w:rsidR="003D00D8" w:rsidRDefault="00F41450" w:rsidP="00F41450">
      <w:pPr>
        <w:pStyle w:val="Caption"/>
        <w:jc w:val="both"/>
      </w:pPr>
      <w:bookmarkStart w:id="557" w:name="_Ref57113123"/>
      <w:r>
        <w:t xml:space="preserve">Figure </w:t>
      </w:r>
      <w:r>
        <w:fldChar w:fldCharType="begin"/>
      </w:r>
      <w:r>
        <w:instrText xml:space="preserve"> SEQ Figure \* ARABIC </w:instrText>
      </w:r>
      <w:r>
        <w:fldChar w:fldCharType="separate"/>
      </w:r>
      <w:r w:rsidR="000A3AE7">
        <w:rPr>
          <w:noProof/>
        </w:rPr>
        <w:t>12</w:t>
      </w:r>
      <w:r>
        <w:fldChar w:fldCharType="end"/>
      </w:r>
      <w:bookmarkEnd w:id="557"/>
      <w:r>
        <w:t xml:space="preserve"> </w:t>
      </w:r>
      <w:r w:rsidR="00D7216E">
        <w:t>Impact innovation metrics</w:t>
      </w:r>
    </w:p>
    <w:p w14:paraId="7EBDEE47" w14:textId="414219CD" w:rsidR="003D00D8" w:rsidRDefault="003D00D8" w:rsidP="003D00D8">
      <w:pPr>
        <w:jc w:val="both"/>
      </w:pPr>
      <w:r>
        <w:t xml:space="preserve">This report has adopted </w:t>
      </w:r>
      <w:r w:rsidRPr="00D66B37">
        <w:t>multi-factor productivity (MFP)</w:t>
      </w:r>
      <w:r>
        <w:rPr>
          <w:rStyle w:val="FootnoteReference"/>
        </w:rPr>
        <w:footnoteReference w:id="159"/>
      </w:r>
      <w:r w:rsidRPr="00D66B37">
        <w:t xml:space="preserve"> growth rate </w:t>
      </w:r>
      <w:r>
        <w:t>(metric 19</w:t>
      </w:r>
      <w:r w:rsidR="002D69F2">
        <w:t xml:space="preserve">; </w:t>
      </w:r>
      <w:r w:rsidR="002D69F2">
        <w:fldChar w:fldCharType="begin"/>
      </w:r>
      <w:r w:rsidR="002D69F2">
        <w:instrText xml:space="preserve"> REF _Ref57113123 \h </w:instrText>
      </w:r>
      <w:r w:rsidR="002D69F2">
        <w:fldChar w:fldCharType="separate"/>
      </w:r>
      <w:r w:rsidR="000A3AE7">
        <w:t xml:space="preserve">Figure </w:t>
      </w:r>
      <w:r w:rsidR="000A3AE7">
        <w:rPr>
          <w:noProof/>
        </w:rPr>
        <w:t>12</w:t>
      </w:r>
      <w:r w:rsidR="002D69F2">
        <w:fldChar w:fldCharType="end"/>
      </w:r>
      <w:r>
        <w:t xml:space="preserve">) </w:t>
      </w:r>
      <w:r w:rsidRPr="00D66B37">
        <w:t>as the ultimate measure of the impact o</w:t>
      </w:r>
      <w:r>
        <w:t>n productivity</w:t>
      </w:r>
      <w:r w:rsidRPr="00D66B37">
        <w:t xml:space="preserve"> due to innovation. </w:t>
      </w:r>
    </w:p>
    <w:p w14:paraId="576B1559" w14:textId="2AE56AC7" w:rsidR="003D00D8" w:rsidRDefault="003D00D8" w:rsidP="00042930">
      <w:r w:rsidRPr="002770F2">
        <w:lastRenderedPageBreak/>
        <w:t>Since 2000, Australia and the top comparator countries have experienced nearly a decade of slowed productivity growth, as measured through MFP change</w:t>
      </w:r>
      <w:r>
        <w:t xml:space="preserve">. </w:t>
      </w:r>
      <w:r w:rsidRPr="002770F2">
        <w:t xml:space="preserve">Although Australia has been able to arrest that decline, MFP growth rates are well below those achieved </w:t>
      </w:r>
      <w:r>
        <w:t xml:space="preserve">prior to </w:t>
      </w:r>
      <w:r w:rsidR="00042930">
        <w:t>2000. Innovation</w:t>
      </w:r>
      <w:r w:rsidR="00042930">
        <w:noBreakHyphen/>
      </w:r>
      <w:r w:rsidRPr="002770F2">
        <w:t xml:space="preserve">led productivity improvements will be key to ensuring continued long-term economic and income growth. </w:t>
      </w:r>
    </w:p>
    <w:p w14:paraId="421EE567" w14:textId="77777777" w:rsidR="003D00D8" w:rsidRPr="00303FBC" w:rsidRDefault="003D00D8" w:rsidP="003D00D8">
      <w:pPr>
        <w:pStyle w:val="Heading3"/>
        <w:rPr>
          <w:lang w:val="en-AU"/>
        </w:rPr>
      </w:pPr>
      <w:bookmarkStart w:id="558" w:name="_Toc43996722"/>
      <w:bookmarkStart w:id="559" w:name="_Toc43999098"/>
      <w:r w:rsidRPr="00303FBC">
        <w:rPr>
          <w:lang w:val="en-AU"/>
        </w:rPr>
        <w:t>Conclusion</w:t>
      </w:r>
      <w:bookmarkEnd w:id="558"/>
      <w:bookmarkEnd w:id="559"/>
    </w:p>
    <w:p w14:paraId="365373BD" w14:textId="77777777" w:rsidR="003D00D8" w:rsidRPr="009150DC" w:rsidRDefault="003D00D8" w:rsidP="00042930">
      <w:pPr>
        <w:jc w:val="both"/>
        <w:rPr>
          <w:rFonts w:asciiTheme="minorHAnsi" w:hAnsiTheme="minorHAnsi" w:cstheme="minorBidi"/>
          <w:kern w:val="0"/>
          <w:sz w:val="22"/>
          <w:szCs w:val="22"/>
          <w:lang w:val="en-AU" w:eastAsia="en-US"/>
        </w:rPr>
      </w:pPr>
      <w:r w:rsidRPr="00303FBC">
        <w:rPr>
          <w:lang w:val="en-AU"/>
        </w:rPr>
        <w:t xml:space="preserve">Australia is at a </w:t>
      </w:r>
      <w:r w:rsidRPr="00BB238D">
        <w:t>crossroads.</w:t>
      </w:r>
      <w:r w:rsidRPr="00303FBC">
        <w:rPr>
          <w:rStyle w:val="FootnoteReference"/>
          <w:lang w:val="en-AU"/>
        </w:rPr>
        <w:footnoteReference w:id="160"/>
      </w:r>
      <w:r w:rsidRPr="00303FBC">
        <w:rPr>
          <w:lang w:val="en-AU"/>
        </w:rPr>
        <w:t xml:space="preserve"> </w:t>
      </w:r>
      <w:r>
        <w:rPr>
          <w:lang w:val="en-AU"/>
        </w:rPr>
        <w:t>Asia</w:t>
      </w:r>
      <w:r w:rsidRPr="00303FBC">
        <w:rPr>
          <w:lang w:val="en-AU"/>
        </w:rPr>
        <w:t xml:space="preserve">’s continued rise is shifting both the geopolitical and </w:t>
      </w:r>
      <w:r w:rsidRPr="00BB238D">
        <w:t>economic landscape,</w:t>
      </w:r>
      <w:r w:rsidRPr="00303FBC">
        <w:rPr>
          <w:lang w:val="en-AU"/>
        </w:rPr>
        <w:t xml:space="preserve"> </w:t>
      </w:r>
      <w:r>
        <w:rPr>
          <w:lang w:val="en-AU"/>
        </w:rPr>
        <w:t>and</w:t>
      </w:r>
      <w:r w:rsidRPr="00BB238D">
        <w:rPr>
          <w:lang w:val="en-AU"/>
        </w:rPr>
        <w:t xml:space="preserve"> Australia needs to more rapidly adapt to these changes. </w:t>
      </w:r>
      <w:r w:rsidRPr="00303FBC">
        <w:rPr>
          <w:lang w:val="en-AU"/>
        </w:rPr>
        <w:t xml:space="preserve">Australia </w:t>
      </w:r>
      <w:r w:rsidRPr="00BB238D">
        <w:t xml:space="preserve">contends with significant environmental impacts and biodiversity loss, which draws continued scrutiny across </w:t>
      </w:r>
      <w:r w:rsidRPr="00303FBC">
        <w:rPr>
          <w:lang w:val="en-AU"/>
        </w:rPr>
        <w:t>the globe</w:t>
      </w:r>
      <w:r w:rsidRPr="00BB238D">
        <w:t>.</w:t>
      </w:r>
      <w:r w:rsidRPr="00303FBC">
        <w:rPr>
          <w:lang w:val="en-AU"/>
        </w:rPr>
        <w:t xml:space="preserve"> </w:t>
      </w:r>
      <w:r>
        <w:rPr>
          <w:lang w:val="en-AU"/>
        </w:rPr>
        <w:t xml:space="preserve">The pandemic has only added to Australia’s economic and environmental challenges, with support measures increasing government debt and shrinking resources available in the future. If we are to continue to prosper, we must carefully consider how we utilise our limited resources in the most efficient and effective way. </w:t>
      </w:r>
    </w:p>
    <w:p w14:paraId="3A8BF2E7" w14:textId="110F09E8" w:rsidR="003D00D8" w:rsidRDefault="003D00D8" w:rsidP="003D00D8">
      <w:pPr>
        <w:rPr>
          <w:lang w:val="en-AU"/>
        </w:rPr>
      </w:pPr>
      <w:r w:rsidRPr="009150DC">
        <w:rPr>
          <w:lang w:val="en-AU"/>
        </w:rPr>
        <w:t xml:space="preserve">Improvements to </w:t>
      </w:r>
      <w:r>
        <w:rPr>
          <w:lang w:val="en-AU"/>
        </w:rPr>
        <w:t>business investment in innovation</w:t>
      </w:r>
      <w:r w:rsidRPr="009150DC">
        <w:rPr>
          <w:lang w:val="en-AU"/>
        </w:rPr>
        <w:t xml:space="preserve"> are required to propel Australia into the top tier of innovation nations. Australia appears to be falling behind or trending against our global competitors in key inputs </w:t>
      </w:r>
      <w:r>
        <w:rPr>
          <w:lang w:val="en-AU"/>
        </w:rPr>
        <w:t xml:space="preserve">of </w:t>
      </w:r>
      <w:r w:rsidRPr="009150DC">
        <w:rPr>
          <w:lang w:val="en-AU"/>
        </w:rPr>
        <w:t>business activities.</w:t>
      </w:r>
      <w:r w:rsidRPr="00303FBC">
        <w:rPr>
          <w:lang w:val="en-AU"/>
        </w:rPr>
        <w:t xml:space="preserve"> These include total innovation investment, BERD, investment in knowledge-based capital and business </w:t>
      </w:r>
      <w:r w:rsidR="00A1278F">
        <w:rPr>
          <w:lang w:val="en-AU"/>
        </w:rPr>
        <w:t>collaboration</w:t>
      </w:r>
      <w:r w:rsidRPr="009150DC">
        <w:t xml:space="preserve">. Our uptake of cloud computing is indicative that </w:t>
      </w:r>
      <w:r w:rsidRPr="009150DC">
        <w:rPr>
          <w:lang w:val="en-AU"/>
        </w:rPr>
        <w:t>business</w:t>
      </w:r>
      <w:r>
        <w:rPr>
          <w:lang w:val="en-AU"/>
        </w:rPr>
        <w:t>es</w:t>
      </w:r>
      <w:r w:rsidRPr="009150DC">
        <w:rPr>
          <w:lang w:val="en-AU"/>
        </w:rPr>
        <w:t xml:space="preserve"> are willing to invest in technology. There is a greater opportunity for productivity uplift if more of our business</w:t>
      </w:r>
      <w:r>
        <w:rPr>
          <w:lang w:val="en-AU"/>
        </w:rPr>
        <w:t>es</w:t>
      </w:r>
      <w:r w:rsidRPr="009150DC">
        <w:rPr>
          <w:lang w:val="en-AU"/>
        </w:rPr>
        <w:t xml:space="preserve"> invested, and government support for businesses in this domain is accelerated.</w:t>
      </w:r>
      <w:r w:rsidRPr="009150DC">
        <w:rPr>
          <w:rStyle w:val="FootnoteReference"/>
          <w:lang w:val="en-AU"/>
        </w:rPr>
        <w:footnoteReference w:id="161"/>
      </w:r>
      <w:r w:rsidRPr="009150DC">
        <w:rPr>
          <w:lang w:val="en-AU"/>
        </w:rPr>
        <w:t xml:space="preserve"> </w:t>
      </w:r>
    </w:p>
    <w:p w14:paraId="25F24835" w14:textId="77777777" w:rsidR="003D00D8" w:rsidRPr="009150DC" w:rsidRDefault="003D00D8" w:rsidP="003D00D8">
      <w:pPr>
        <w:rPr>
          <w:rFonts w:asciiTheme="minorHAnsi" w:hAnsiTheme="minorHAnsi" w:cstheme="minorBidi"/>
          <w:kern w:val="0"/>
          <w:sz w:val="22"/>
          <w:szCs w:val="22"/>
          <w:lang w:val="en-AU" w:eastAsia="en-US"/>
        </w:rPr>
      </w:pPr>
      <w:r w:rsidRPr="00303FBC">
        <w:rPr>
          <w:lang w:val="en-AU"/>
        </w:rPr>
        <w:t>While Australia ha</w:t>
      </w:r>
      <w:r w:rsidRPr="009150DC">
        <w:t>s come a long way, if we are to recover and accelerate out of this pandemic, become a leading digital economy</w:t>
      </w:r>
      <w:r>
        <w:t xml:space="preserve"> </w:t>
      </w:r>
      <w:r>
        <w:rPr>
          <w:lang w:val="en-AU"/>
        </w:rPr>
        <w:t>with an industrial base that is at scale, resilient and competitive</w:t>
      </w:r>
      <w:r w:rsidRPr="009150DC">
        <w:t xml:space="preserve">, we still have a lot of work ahead of us. </w:t>
      </w:r>
    </w:p>
    <w:p w14:paraId="5AC8ED3F" w14:textId="77777777" w:rsidR="003D00D8" w:rsidRDefault="003D00D8" w:rsidP="003D00D8">
      <w:pPr>
        <w:jc w:val="both"/>
        <w:rPr>
          <w:rFonts w:asciiTheme="minorHAnsi" w:hAnsiTheme="minorHAnsi" w:cstheme="minorBidi"/>
          <w:kern w:val="0"/>
          <w:sz w:val="22"/>
          <w:szCs w:val="22"/>
          <w:lang w:val="en-AU" w:eastAsia="en-US"/>
        </w:rPr>
      </w:pPr>
      <w:r w:rsidRPr="00303FBC">
        <w:rPr>
          <w:lang w:val="en-AU"/>
        </w:rPr>
        <w:t xml:space="preserve">Based on the metrics </w:t>
      </w:r>
      <w:r w:rsidRPr="009150DC">
        <w:t xml:space="preserve">within this Scorecard, </w:t>
      </w:r>
      <w:r w:rsidRPr="00303FBC">
        <w:rPr>
          <w:lang w:val="en-AU"/>
        </w:rPr>
        <w:t>Australia</w:t>
      </w:r>
      <w:r w:rsidRPr="009150DC">
        <w:t xml:space="preserve"> appears to maintain its comparative position in prior areas of strength</w:t>
      </w:r>
      <w:r w:rsidRPr="00303FBC">
        <w:t xml:space="preserve">; </w:t>
      </w:r>
      <w:r w:rsidRPr="00AB4A79">
        <w:t xml:space="preserve">Australia has entered into the ranks of the top quartile for only </w:t>
      </w:r>
      <w:r w:rsidRPr="001448B9">
        <w:t>one</w:t>
      </w:r>
      <w:r w:rsidRPr="00AB4A79">
        <w:rPr>
          <w:i/>
        </w:rPr>
        <w:t xml:space="preserve"> </w:t>
      </w:r>
      <w:r w:rsidRPr="00AB4A79">
        <w:t>metric in the last three years.</w:t>
      </w:r>
      <w:r>
        <w:t xml:space="preserve"> </w:t>
      </w:r>
    </w:p>
    <w:p w14:paraId="69427B7A" w14:textId="77777777" w:rsidR="003D00D8" w:rsidRPr="00303FBC" w:rsidRDefault="003D00D8" w:rsidP="003D00D8">
      <w:pPr>
        <w:rPr>
          <w:lang w:val="en-AU"/>
        </w:rPr>
      </w:pPr>
      <w:r>
        <w:t xml:space="preserve">Based on the metrics outlined in the Scorecard, </w:t>
      </w:r>
      <w:r w:rsidRPr="00303FBC">
        <w:rPr>
          <w:lang w:val="en-AU"/>
        </w:rPr>
        <w:t>Australia’s strengths lie in investment in our educational institutions</w:t>
      </w:r>
      <w:r>
        <w:t>, reduced regulatory barriers to firm entry, the quality of our labour input</w:t>
      </w:r>
      <w:r w:rsidRPr="00303FBC">
        <w:rPr>
          <w:lang w:val="en-AU"/>
        </w:rPr>
        <w:t xml:space="preserve"> and the diffusion of cloud computing technology. These strengths place Australia in the top quartile globally and will place us in good stead on the road to recovery</w:t>
      </w:r>
      <w:r>
        <w:rPr>
          <w:lang w:val="en-AU"/>
        </w:rPr>
        <w:t>. However, we have consistently been in the top quartile for these metrics in the past, and have not risen into the top quartile in any other Scorecard metrics.</w:t>
      </w:r>
    </w:p>
    <w:p w14:paraId="3687DF3F" w14:textId="77777777" w:rsidR="003D00D8" w:rsidRPr="00303FBC" w:rsidRDefault="003D00D8" w:rsidP="003D00D8">
      <w:pPr>
        <w:rPr>
          <w:lang w:val="en-AU"/>
        </w:rPr>
      </w:pPr>
      <w:r w:rsidRPr="00303FBC">
        <w:rPr>
          <w:lang w:val="en-AU"/>
        </w:rPr>
        <w:t>Most worrying is that despite consistent</w:t>
      </w:r>
      <w:r>
        <w:rPr>
          <w:lang w:val="en-AU"/>
        </w:rPr>
        <w:t xml:space="preserve"> past</w:t>
      </w:r>
      <w:r w:rsidRPr="00303FBC">
        <w:rPr>
          <w:lang w:val="en-AU"/>
        </w:rPr>
        <w:t xml:space="preserve"> economic growth, Australia appears to be significantly behind or trending against our global competitors in key </w:t>
      </w:r>
      <w:r>
        <w:rPr>
          <w:lang w:val="en-AU"/>
        </w:rPr>
        <w:t>metrics of</w:t>
      </w:r>
      <w:r w:rsidRPr="00303FBC">
        <w:rPr>
          <w:lang w:val="en-AU"/>
        </w:rPr>
        <w:t xml:space="preserve"> business activities. These include total innovation investment, BERD, investment in knowledge-based capital and business collaboration on innovation. </w:t>
      </w:r>
    </w:p>
    <w:p w14:paraId="158C4B42" w14:textId="4C522B44" w:rsidR="003D00D8" w:rsidRPr="00303FBC" w:rsidRDefault="003D00D8" w:rsidP="003D00D8">
      <w:pPr>
        <w:rPr>
          <w:lang w:val="en-AU"/>
        </w:rPr>
      </w:pPr>
      <w:r w:rsidRPr="00303FBC">
        <w:rPr>
          <w:lang w:val="en-AU"/>
        </w:rPr>
        <w:t xml:space="preserve">In a world where the pace of change continues to accelerate, and our economy is hit with increasingly severe shock events such as the bushfires and COVID-19, we need to ensure we build </w:t>
      </w:r>
      <w:r w:rsidRPr="00303FBC">
        <w:rPr>
          <w:lang w:val="en-AU"/>
        </w:rPr>
        <w:lastRenderedPageBreak/>
        <w:t>resilience, in both our economy and our people. This requires investment in policies that effectively support our businesses to invest in innovation</w:t>
      </w:r>
      <w:r>
        <w:rPr>
          <w:lang w:val="en-AU"/>
        </w:rPr>
        <w:t>, and continued investment in our educational institutions</w:t>
      </w:r>
      <w:r w:rsidRPr="009150DC">
        <w:rPr>
          <w:lang w:val="en-AU"/>
        </w:rPr>
        <w:t>.</w:t>
      </w:r>
      <w:r w:rsidRPr="00303FBC">
        <w:rPr>
          <w:lang w:val="en-AU"/>
        </w:rPr>
        <w:t xml:space="preserve"> I</w:t>
      </w:r>
      <w:r w:rsidR="00523472">
        <w:rPr>
          <w:lang w:val="en-AU"/>
        </w:rPr>
        <w:t>I</w:t>
      </w:r>
      <w:r w:rsidRPr="00303FBC">
        <w:rPr>
          <w:lang w:val="en-AU"/>
        </w:rPr>
        <w:t xml:space="preserve">SA </w:t>
      </w:r>
      <w:r w:rsidRPr="009150DC">
        <w:rPr>
          <w:lang w:val="en-AU"/>
        </w:rPr>
        <w:t>believe</w:t>
      </w:r>
      <w:r>
        <w:rPr>
          <w:lang w:val="en-AU"/>
        </w:rPr>
        <w:t>s</w:t>
      </w:r>
      <w:r w:rsidRPr="00303FBC">
        <w:rPr>
          <w:lang w:val="en-AU"/>
        </w:rPr>
        <w:t xml:space="preserve"> these </w:t>
      </w:r>
      <w:r>
        <w:rPr>
          <w:lang w:val="en-AU"/>
        </w:rPr>
        <w:t xml:space="preserve">policies </w:t>
      </w:r>
      <w:r w:rsidRPr="00303FBC">
        <w:rPr>
          <w:lang w:val="en-AU"/>
        </w:rPr>
        <w:t>need to focus on support for both non-R&amp;D innovation and R&amp;D</w:t>
      </w:r>
      <w:r>
        <w:rPr>
          <w:lang w:val="en-AU"/>
        </w:rPr>
        <w:t>,</w:t>
      </w:r>
      <w:r w:rsidRPr="009150DC">
        <w:rPr>
          <w:lang w:val="en-AU"/>
        </w:rPr>
        <w:t xml:space="preserve"> </w:t>
      </w:r>
      <w:r w:rsidR="00E11B82">
        <w:rPr>
          <w:lang w:val="en-AU"/>
        </w:rPr>
        <w:t>i</w:t>
      </w:r>
      <w:r>
        <w:rPr>
          <w:lang w:val="en-AU"/>
        </w:rPr>
        <w:t>ncluding encouraging b</w:t>
      </w:r>
      <w:r w:rsidRPr="009150DC">
        <w:rPr>
          <w:lang w:val="en-AU"/>
        </w:rPr>
        <w:t>usiness</w:t>
      </w:r>
      <w:r w:rsidRPr="00303FBC">
        <w:rPr>
          <w:lang w:val="en-AU"/>
        </w:rPr>
        <w:t xml:space="preserve"> to foster and instil a </w:t>
      </w:r>
      <w:r>
        <w:rPr>
          <w:lang w:val="en-AU"/>
        </w:rPr>
        <w:t>“</w:t>
      </w:r>
      <w:r w:rsidRPr="00303FBC">
        <w:rPr>
          <w:lang w:val="en-AU"/>
        </w:rPr>
        <w:t>growth through innovation mindset</w:t>
      </w:r>
      <w:r>
        <w:rPr>
          <w:lang w:val="en-AU"/>
        </w:rPr>
        <w:t>”</w:t>
      </w:r>
      <w:r w:rsidRPr="00303FBC">
        <w:rPr>
          <w:lang w:val="en-AU"/>
        </w:rPr>
        <w:t xml:space="preserve">. </w:t>
      </w:r>
    </w:p>
    <w:p w14:paraId="422FCE83" w14:textId="77777777" w:rsidR="003D00D8" w:rsidRPr="00303FBC" w:rsidRDefault="003D00D8" w:rsidP="003D00D8">
      <w:pPr>
        <w:spacing w:after="0"/>
        <w:rPr>
          <w:lang w:val="en-AU"/>
        </w:rPr>
      </w:pPr>
      <w:r w:rsidRPr="00303FBC">
        <w:rPr>
          <w:lang w:val="en-AU"/>
        </w:rPr>
        <w:t>We all have a role to play</w:t>
      </w:r>
      <w:r>
        <w:rPr>
          <w:lang w:val="en-AU"/>
        </w:rPr>
        <w:t>,</w:t>
      </w:r>
      <w:r w:rsidRPr="00303FBC">
        <w:rPr>
          <w:lang w:val="en-AU"/>
        </w:rPr>
        <w:t xml:space="preserve"> and both Government and businesses need to act now to capitalise on the opportunities that </w:t>
      </w:r>
      <w:r>
        <w:rPr>
          <w:lang w:val="en-AU"/>
        </w:rPr>
        <w:t xml:space="preserve">arise from </w:t>
      </w:r>
      <w:r w:rsidRPr="00303FBC">
        <w:rPr>
          <w:lang w:val="en-AU"/>
        </w:rPr>
        <w:t xml:space="preserve">this </w:t>
      </w:r>
      <w:r w:rsidRPr="009150DC">
        <w:rPr>
          <w:lang w:val="en-AU"/>
        </w:rPr>
        <w:t>crisis</w:t>
      </w:r>
      <w:r w:rsidRPr="00303FBC">
        <w:rPr>
          <w:lang w:val="en-AU"/>
        </w:rPr>
        <w:t>. This requires the coordinated and collaborative efforts of all the actors in the innovation system</w:t>
      </w:r>
      <w:r>
        <w:rPr>
          <w:lang w:val="en-AU"/>
        </w:rPr>
        <w:t xml:space="preserve">. </w:t>
      </w:r>
    </w:p>
    <w:p w14:paraId="1B93D53C" w14:textId="77777777" w:rsidR="00494499" w:rsidRDefault="00341B82" w:rsidP="00341B82">
      <w:pPr>
        <w:sectPr w:rsidR="00494499" w:rsidSect="00935BB9">
          <w:pgSz w:w="11907" w:h="16839" w:code="9"/>
          <w:pgMar w:top="1418" w:right="1418" w:bottom="1418" w:left="1418" w:header="709" w:footer="709" w:gutter="0"/>
          <w:cols w:space="708"/>
          <w:docGrid w:linePitch="360"/>
        </w:sectPr>
      </w:pPr>
      <w:r>
        <w:br w:type="page"/>
      </w:r>
    </w:p>
    <w:p w14:paraId="74661AF8" w14:textId="0ECB73E6" w:rsidR="003D00D8" w:rsidRPr="00070EF7" w:rsidRDefault="009D351E" w:rsidP="00070EF7">
      <w:pPr>
        <w:pStyle w:val="Heading2"/>
        <w:spacing w:after="0" w:line="240" w:lineRule="auto"/>
      </w:pPr>
      <w:r>
        <w:lastRenderedPageBreak/>
        <w:t>Innovation Metrics Scorecard</w:t>
      </w:r>
    </w:p>
    <w:p w14:paraId="59BB0CB3" w14:textId="2D9E89C6" w:rsidR="00042930" w:rsidRDefault="00042930" w:rsidP="003D00D8">
      <w:pPr>
        <w:rPr>
          <w:rFonts w:asciiTheme="majorHAnsi" w:eastAsiaTheme="majorEastAsia" w:hAnsiTheme="majorHAnsi" w:cstheme="majorBidi"/>
          <w:color w:val="2B4354" w:themeColor="accent1" w:themeShade="7F"/>
          <w:sz w:val="24"/>
          <w:szCs w:val="24"/>
        </w:rPr>
      </w:pPr>
      <w:r>
        <w:rPr>
          <w:rFonts w:asciiTheme="majorHAnsi" w:eastAsiaTheme="majorEastAsia" w:hAnsiTheme="majorHAnsi" w:cstheme="majorBidi"/>
          <w:noProof/>
          <w:color w:val="2B4354" w:themeColor="accent1" w:themeShade="7F"/>
          <w:sz w:val="24"/>
          <w:szCs w:val="24"/>
          <w:lang w:val="en-AU" w:eastAsia="en-AU"/>
        </w:rPr>
        <w:drawing>
          <wp:inline distT="0" distB="0" distL="0" distR="0" wp14:anchorId="36182D19" wp14:editId="405F901E">
            <wp:extent cx="8659594" cy="12175958"/>
            <wp:effectExtent l="0" t="0" r="0" b="0"/>
            <wp:docPr id="16" name="Picture 16" descr="This Scorecard identifies 19 metrics considered important for monitoring innovation driven productivity gains in the economy and provides a baseline of Australia’s innovation performance based on these metrics (pre-pandemic and bushfires). Based on the metrics identified in the Scorecard, it is important to highlight that no single country performs in the top quartile in every single metric. The Scorecard contains nineteen metrics, and of these, Australia is in the top quartile for four metrics." title="Innovation metrics Score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vation Metrics Scorecar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638" t="6465" r="3593" b="1333"/>
                    <a:stretch/>
                  </pic:blipFill>
                  <pic:spPr bwMode="auto">
                    <a:xfrm>
                      <a:off x="0" y="0"/>
                      <a:ext cx="8661890" cy="12179186"/>
                    </a:xfrm>
                    <a:prstGeom prst="rect">
                      <a:avLst/>
                    </a:prstGeom>
                    <a:noFill/>
                    <a:ln>
                      <a:noFill/>
                    </a:ln>
                    <a:extLst>
                      <a:ext uri="{53640926-AAD7-44D8-BBD7-CCE9431645EC}">
                        <a14:shadowObscured xmlns:a14="http://schemas.microsoft.com/office/drawing/2010/main"/>
                      </a:ext>
                    </a:extLst>
                  </pic:spPr>
                </pic:pic>
              </a:graphicData>
            </a:graphic>
          </wp:inline>
        </w:drawing>
      </w:r>
    </w:p>
    <w:p w14:paraId="68E7B41D" w14:textId="77777777" w:rsidR="00042930" w:rsidRDefault="00042930" w:rsidP="003D00D8">
      <w:pPr>
        <w:rPr>
          <w:rFonts w:asciiTheme="majorHAnsi" w:eastAsiaTheme="majorEastAsia" w:hAnsiTheme="majorHAnsi" w:cstheme="majorBidi"/>
          <w:color w:val="2B4354" w:themeColor="accent1" w:themeShade="7F"/>
          <w:sz w:val="24"/>
          <w:szCs w:val="24"/>
        </w:rPr>
        <w:sectPr w:rsidR="00042930" w:rsidSect="009D351E">
          <w:pgSz w:w="16839" w:h="23814" w:code="8"/>
          <w:pgMar w:top="1418" w:right="1418" w:bottom="1418" w:left="1418" w:header="709" w:footer="709" w:gutter="0"/>
          <w:cols w:space="708"/>
          <w:docGrid w:linePitch="360"/>
        </w:sectPr>
      </w:pPr>
    </w:p>
    <w:p w14:paraId="0C259841" w14:textId="04776B0D" w:rsidR="003D00D8" w:rsidRPr="00C638F8" w:rsidRDefault="003D00D8" w:rsidP="00F41450">
      <w:pPr>
        <w:pStyle w:val="Heading3"/>
      </w:pPr>
      <w:r w:rsidRPr="00C638F8">
        <w:lastRenderedPageBreak/>
        <w:t>Key Scorecard features</w:t>
      </w:r>
      <w:r w:rsidR="00F41450">
        <w:t xml:space="preserve"> and metric descriptions</w:t>
      </w:r>
    </w:p>
    <w:p w14:paraId="194EA858" w14:textId="77777777" w:rsidR="003D00D8" w:rsidRDefault="003D00D8" w:rsidP="003D00D8">
      <w:pPr>
        <w:jc w:val="both"/>
      </w:pPr>
      <w:r>
        <w:t>The framework used for the Scorecard is based on the Productivity Commission’s Productivity Growth Framework, which</w:t>
      </w:r>
      <w:r w:rsidRPr="00D7014F">
        <w:t xml:space="preserve"> conceptualis</w:t>
      </w:r>
      <w:r>
        <w:t xml:space="preserve">es </w:t>
      </w:r>
      <w:r w:rsidRPr="00D7014F">
        <w:t>the main drivers of productivity growth</w:t>
      </w:r>
      <w:r>
        <w:t>.</w:t>
      </w:r>
      <w:r>
        <w:rPr>
          <w:rStyle w:val="FootnoteReference"/>
        </w:rPr>
        <w:footnoteReference w:id="162"/>
      </w:r>
      <w:r>
        <w:t xml:space="preserve"> The Productivity Growth Framework</w:t>
      </w:r>
      <w:r w:rsidRPr="00F45F23">
        <w:t xml:space="preserve"> </w:t>
      </w:r>
      <w:r>
        <w:t xml:space="preserve">outlines the </w:t>
      </w:r>
      <w:r w:rsidRPr="00F45F23">
        <w:t>drivers or determinants of productivity growth</w:t>
      </w:r>
      <w:r>
        <w:t>, which</w:t>
      </w:r>
      <w:r w:rsidRPr="00F45F23">
        <w:t xml:space="preserve"> comprise a mix of factors at the microeconomic level (business or individual), as well as broader macroeconomic conditions that reflect policy settings that government</w:t>
      </w:r>
      <w:r>
        <w:t xml:space="preserve"> affects</w:t>
      </w:r>
      <w:r w:rsidRPr="00F45F23">
        <w:t>.</w:t>
      </w:r>
    </w:p>
    <w:p w14:paraId="799CEA51" w14:textId="0DE1DD4A" w:rsidR="003D00D8" w:rsidRDefault="003D00D8" w:rsidP="003D00D8">
      <w:pPr>
        <w:jc w:val="both"/>
      </w:pPr>
      <w:r>
        <w:t xml:space="preserve">Key Scorecard elements are explained in </w:t>
      </w:r>
      <w:r w:rsidR="00F41450">
        <w:rPr>
          <w:highlight w:val="yellow"/>
        </w:rPr>
        <w:fldChar w:fldCharType="begin"/>
      </w:r>
      <w:r w:rsidR="00F41450">
        <w:instrText xml:space="preserve"> REF _Ref57053772 \h </w:instrText>
      </w:r>
      <w:r w:rsidR="00F41450">
        <w:rPr>
          <w:highlight w:val="yellow"/>
        </w:rPr>
      </w:r>
      <w:r w:rsidR="00F41450">
        <w:rPr>
          <w:highlight w:val="yellow"/>
        </w:rPr>
        <w:fldChar w:fldCharType="separate"/>
      </w:r>
      <w:r w:rsidR="000A3AE7">
        <w:t xml:space="preserve">Figure </w:t>
      </w:r>
      <w:r w:rsidR="000A3AE7">
        <w:rPr>
          <w:noProof/>
        </w:rPr>
        <w:t>13</w:t>
      </w:r>
      <w:r w:rsidR="00F41450">
        <w:rPr>
          <w:highlight w:val="yellow"/>
        </w:rPr>
        <w:fldChar w:fldCharType="end"/>
      </w:r>
      <w:r>
        <w:t xml:space="preserve"> below. Detailed definitions and sources for each metric are available in </w:t>
      </w:r>
      <w:r w:rsidR="00F41450" w:rsidRPr="00F41450">
        <w:fldChar w:fldCharType="begin"/>
      </w:r>
      <w:r w:rsidR="00F41450" w:rsidRPr="00F41450">
        <w:instrText xml:space="preserve"> REF _Ref57053784 \h </w:instrText>
      </w:r>
      <w:r w:rsidR="00F41450">
        <w:instrText xml:space="preserve"> \* MERGEFORMAT </w:instrText>
      </w:r>
      <w:r w:rsidR="00F41450" w:rsidRPr="00F41450">
        <w:fldChar w:fldCharType="separate"/>
      </w:r>
      <w:r w:rsidR="000A3AE7">
        <w:t xml:space="preserve">Table </w:t>
      </w:r>
      <w:r w:rsidR="000A3AE7">
        <w:rPr>
          <w:noProof/>
        </w:rPr>
        <w:t>1</w:t>
      </w:r>
      <w:r w:rsidR="00F41450" w:rsidRPr="00F41450">
        <w:fldChar w:fldCharType="end"/>
      </w:r>
      <w:r w:rsidR="00F41450" w:rsidRPr="00F41450">
        <w:t>.</w:t>
      </w:r>
    </w:p>
    <w:p w14:paraId="033A13D5" w14:textId="27C5BAB9" w:rsidR="00F41450" w:rsidRDefault="00400295" w:rsidP="00F41450">
      <w:pPr>
        <w:keepNext/>
        <w:jc w:val="both"/>
      </w:pPr>
      <w:r>
        <w:pict w14:anchorId="5F1DE5B7">
          <v:shape id="_x0000_i1029" type="#_x0000_t75" alt="Figure 13 depicts the key elements of the scorecard, including some definitions. Full versions of definition are also provided in Table 1." style="width:453pt;height:230pt">
            <v:imagedata r:id="rId34" o:title="key scorecard features - New" croptop="3887f" cropbottom="2373f"/>
          </v:shape>
        </w:pict>
      </w:r>
    </w:p>
    <w:p w14:paraId="03AF11A9" w14:textId="2D8B119B" w:rsidR="003D00D8" w:rsidRDefault="00F41450" w:rsidP="00F41450">
      <w:pPr>
        <w:pStyle w:val="Caption"/>
        <w:jc w:val="both"/>
      </w:pPr>
      <w:bookmarkStart w:id="560" w:name="_Ref57053772"/>
      <w:r>
        <w:t xml:space="preserve">Figure </w:t>
      </w:r>
      <w:r>
        <w:fldChar w:fldCharType="begin"/>
      </w:r>
      <w:r>
        <w:instrText xml:space="preserve"> SEQ Figure \* ARABIC </w:instrText>
      </w:r>
      <w:r>
        <w:fldChar w:fldCharType="separate"/>
      </w:r>
      <w:r w:rsidR="000A3AE7">
        <w:rPr>
          <w:noProof/>
        </w:rPr>
        <w:t>13</w:t>
      </w:r>
      <w:r>
        <w:fldChar w:fldCharType="end"/>
      </w:r>
      <w:bookmarkEnd w:id="560"/>
      <w:r>
        <w:t xml:space="preserve"> </w:t>
      </w:r>
      <w:r w:rsidRPr="00F41450">
        <w:t>Key elements of the Scorecard</w:t>
      </w:r>
    </w:p>
    <w:p w14:paraId="67AB26EF" w14:textId="77777777" w:rsidR="00F41450" w:rsidRPr="00F41450" w:rsidRDefault="00F41450" w:rsidP="00F41450"/>
    <w:p w14:paraId="515DA9AF" w14:textId="77777777" w:rsidR="00F41450" w:rsidRPr="00F41450" w:rsidRDefault="00F41450" w:rsidP="00F41450">
      <w:pPr>
        <w:sectPr w:rsidR="00F41450" w:rsidRPr="00F41450" w:rsidSect="00F41450">
          <w:pgSz w:w="11906" w:h="16838"/>
          <w:pgMar w:top="1418" w:right="1418" w:bottom="1418" w:left="1418" w:header="709" w:footer="709" w:gutter="0"/>
          <w:cols w:space="708"/>
          <w:docGrid w:linePitch="360"/>
        </w:sectPr>
      </w:pPr>
    </w:p>
    <w:p w14:paraId="5289853A" w14:textId="1A6E2181" w:rsidR="00F41450" w:rsidRDefault="00F41450" w:rsidP="00D7216E">
      <w:pPr>
        <w:pStyle w:val="Caption"/>
        <w:spacing w:after="120"/>
      </w:pPr>
      <w:bookmarkStart w:id="561" w:name="_Ref57053784"/>
      <w:r>
        <w:lastRenderedPageBreak/>
        <w:t xml:space="preserve">Table </w:t>
      </w:r>
      <w:r>
        <w:fldChar w:fldCharType="begin"/>
      </w:r>
      <w:r>
        <w:instrText xml:space="preserve"> SEQ Table \* ARABIC </w:instrText>
      </w:r>
      <w:r>
        <w:fldChar w:fldCharType="separate"/>
      </w:r>
      <w:r w:rsidR="000A3AE7">
        <w:rPr>
          <w:noProof/>
        </w:rPr>
        <w:t>1</w:t>
      </w:r>
      <w:r>
        <w:fldChar w:fldCharType="end"/>
      </w:r>
      <w:bookmarkEnd w:id="561"/>
      <w:r>
        <w:t xml:space="preserve"> </w:t>
      </w:r>
      <w:r w:rsidR="00731368">
        <w:t>Scorecard metric</w:t>
      </w:r>
      <w:r w:rsidRPr="00F41450">
        <w:t xml:space="preserve"> descriptions</w:t>
      </w:r>
    </w:p>
    <w:tbl>
      <w:tblPr>
        <w:tblStyle w:val="TableGrid10"/>
        <w:tblW w:w="15304" w:type="dxa"/>
        <w:tblLayout w:type="fixed"/>
        <w:tblLook w:val="04A0" w:firstRow="1" w:lastRow="0" w:firstColumn="1" w:lastColumn="0" w:noHBand="0" w:noVBand="1"/>
        <w:tblCaption w:val="Scorecard metrics description"/>
        <w:tblDescription w:val="the Scorecard metrics description table contains details descriptions, definintions and source information for all ninenteen metrics contained in the Innovation Metrics Scorecard."/>
      </w:tblPr>
      <w:tblGrid>
        <w:gridCol w:w="562"/>
        <w:gridCol w:w="567"/>
        <w:gridCol w:w="3119"/>
        <w:gridCol w:w="6662"/>
        <w:gridCol w:w="4394"/>
      </w:tblGrid>
      <w:tr w:rsidR="00BA20A0" w:rsidRPr="00BA20A0" w14:paraId="2EC492AD" w14:textId="77777777" w:rsidTr="000A3AE7">
        <w:trPr>
          <w:cantSplit/>
          <w:trHeight w:val="389"/>
          <w:tblHeader/>
        </w:trPr>
        <w:tc>
          <w:tcPr>
            <w:tcW w:w="562" w:type="dxa"/>
            <w:tcBorders>
              <w:top w:val="single" w:sz="4" w:space="0" w:color="auto"/>
              <w:left w:val="single" w:sz="4" w:space="0" w:color="auto"/>
              <w:bottom w:val="single" w:sz="4" w:space="0" w:color="auto"/>
              <w:right w:val="nil"/>
            </w:tcBorders>
            <w:shd w:val="clear" w:color="auto" w:fill="2F5496"/>
          </w:tcPr>
          <w:p w14:paraId="6D8985E9" w14:textId="77777777" w:rsidR="00BA20A0" w:rsidRPr="00B3545D" w:rsidRDefault="00BA20A0" w:rsidP="00BA20A0">
            <w:pPr>
              <w:spacing w:after="0" w:line="240" w:lineRule="auto"/>
              <w:rPr>
                <w:rFonts w:ascii="Calibri" w:eastAsia="Calibri" w:hAnsi="Calibri" w:cs="Times New Roman"/>
                <w:b/>
                <w:color w:val="FFFFFF"/>
                <w:kern w:val="0"/>
                <w:sz w:val="22"/>
                <w:szCs w:val="22"/>
                <w:lang w:val="en-AU"/>
              </w:rPr>
            </w:pPr>
          </w:p>
        </w:tc>
        <w:tc>
          <w:tcPr>
            <w:tcW w:w="567" w:type="dxa"/>
            <w:tcBorders>
              <w:top w:val="single" w:sz="4" w:space="0" w:color="auto"/>
              <w:left w:val="nil"/>
              <w:bottom w:val="single" w:sz="4" w:space="0" w:color="auto"/>
              <w:right w:val="nil"/>
            </w:tcBorders>
            <w:shd w:val="clear" w:color="auto" w:fill="2F5496"/>
            <w:textDirection w:val="btLr"/>
            <w:vAlign w:val="center"/>
          </w:tcPr>
          <w:p w14:paraId="4FE31F4C" w14:textId="77777777" w:rsidR="00BA20A0" w:rsidRPr="00BA20A0" w:rsidRDefault="00BA20A0" w:rsidP="00BA20A0">
            <w:pPr>
              <w:spacing w:after="0" w:line="240" w:lineRule="auto"/>
              <w:ind w:left="113" w:right="113"/>
              <w:jc w:val="center"/>
              <w:rPr>
                <w:rFonts w:ascii="Calibri" w:eastAsia="Calibri" w:hAnsi="Calibri" w:cs="Times New Roman"/>
                <w:b/>
                <w:color w:val="FFFFFF"/>
                <w:kern w:val="0"/>
                <w:sz w:val="22"/>
                <w:szCs w:val="22"/>
                <w:lang w:val="en-AU"/>
              </w:rPr>
            </w:pPr>
          </w:p>
        </w:tc>
        <w:tc>
          <w:tcPr>
            <w:tcW w:w="3119" w:type="dxa"/>
            <w:tcBorders>
              <w:top w:val="single" w:sz="4" w:space="0" w:color="auto"/>
              <w:left w:val="nil"/>
              <w:bottom w:val="single" w:sz="4" w:space="0" w:color="auto"/>
              <w:right w:val="single" w:sz="4" w:space="0" w:color="auto"/>
            </w:tcBorders>
            <w:shd w:val="clear" w:color="auto" w:fill="2F5496"/>
            <w:vAlign w:val="center"/>
          </w:tcPr>
          <w:p w14:paraId="573496ED" w14:textId="77777777" w:rsidR="00BA20A0" w:rsidRPr="00BA20A0" w:rsidRDefault="00BA20A0" w:rsidP="00BA20A0">
            <w:pPr>
              <w:spacing w:after="0" w:line="240" w:lineRule="auto"/>
              <w:jc w:val="center"/>
              <w:rPr>
                <w:rFonts w:ascii="Calibri" w:eastAsia="Calibri" w:hAnsi="Calibri" w:cs="Times New Roman"/>
                <w:b/>
                <w:color w:val="FFFFFF"/>
                <w:kern w:val="0"/>
                <w:sz w:val="22"/>
                <w:szCs w:val="22"/>
                <w:lang w:val="en-AU"/>
              </w:rPr>
            </w:pPr>
            <w:r w:rsidRPr="00BA20A0">
              <w:rPr>
                <w:rFonts w:ascii="Calibri" w:eastAsia="Calibri" w:hAnsi="Calibri" w:cs="Times New Roman"/>
                <w:b/>
                <w:color w:val="FFFFFF"/>
                <w:kern w:val="0"/>
                <w:sz w:val="22"/>
                <w:szCs w:val="22"/>
                <w:lang w:val="en-AU"/>
              </w:rPr>
              <w:t>Innovation metrics</w:t>
            </w:r>
          </w:p>
        </w:tc>
        <w:tc>
          <w:tcPr>
            <w:tcW w:w="6662" w:type="dxa"/>
            <w:tcBorders>
              <w:top w:val="single" w:sz="4" w:space="0" w:color="auto"/>
              <w:left w:val="single" w:sz="4" w:space="0" w:color="auto"/>
              <w:bottom w:val="single" w:sz="4" w:space="0" w:color="auto"/>
              <w:right w:val="single" w:sz="4" w:space="0" w:color="auto"/>
            </w:tcBorders>
            <w:shd w:val="clear" w:color="auto" w:fill="2F5496"/>
            <w:vAlign w:val="center"/>
          </w:tcPr>
          <w:p w14:paraId="178EE6A7" w14:textId="77777777" w:rsidR="00BA20A0" w:rsidRPr="00BA20A0" w:rsidRDefault="00BA20A0" w:rsidP="00BA20A0">
            <w:pPr>
              <w:spacing w:after="0" w:line="240" w:lineRule="auto"/>
              <w:jc w:val="center"/>
              <w:rPr>
                <w:rFonts w:ascii="Calibri" w:eastAsia="Calibri" w:hAnsi="Calibri" w:cs="Times New Roman"/>
                <w:b/>
                <w:color w:val="FFFFFF"/>
                <w:kern w:val="0"/>
                <w:sz w:val="22"/>
                <w:szCs w:val="22"/>
                <w:lang w:val="en-AU"/>
              </w:rPr>
            </w:pPr>
            <w:r w:rsidRPr="00BA20A0">
              <w:rPr>
                <w:rFonts w:ascii="Calibri" w:eastAsia="Calibri" w:hAnsi="Calibri" w:cs="Times New Roman"/>
                <w:b/>
                <w:color w:val="FFFFFF"/>
                <w:kern w:val="0"/>
                <w:sz w:val="22"/>
                <w:szCs w:val="22"/>
                <w:lang w:val="en-AU"/>
              </w:rPr>
              <w:t>Definition</w:t>
            </w:r>
          </w:p>
        </w:tc>
        <w:tc>
          <w:tcPr>
            <w:tcW w:w="4394" w:type="dxa"/>
            <w:tcBorders>
              <w:top w:val="single" w:sz="4" w:space="0" w:color="auto"/>
              <w:left w:val="single" w:sz="4" w:space="0" w:color="auto"/>
              <w:bottom w:val="single" w:sz="4" w:space="0" w:color="auto"/>
              <w:right w:val="single" w:sz="4" w:space="0" w:color="auto"/>
            </w:tcBorders>
            <w:shd w:val="clear" w:color="auto" w:fill="2F5496"/>
            <w:vAlign w:val="center"/>
          </w:tcPr>
          <w:p w14:paraId="6033655D" w14:textId="77777777" w:rsidR="00BA20A0" w:rsidRPr="00BA20A0" w:rsidRDefault="00BA20A0" w:rsidP="00BA20A0">
            <w:pPr>
              <w:spacing w:after="0" w:line="240" w:lineRule="auto"/>
              <w:jc w:val="center"/>
              <w:rPr>
                <w:rFonts w:ascii="Calibri" w:eastAsia="Calibri" w:hAnsi="Calibri" w:cs="Times New Roman"/>
                <w:b/>
                <w:color w:val="FFFFFF"/>
                <w:kern w:val="0"/>
                <w:sz w:val="22"/>
                <w:szCs w:val="22"/>
                <w:lang w:val="en-AU"/>
              </w:rPr>
            </w:pPr>
            <w:r w:rsidRPr="00BA20A0">
              <w:rPr>
                <w:rFonts w:ascii="Calibri" w:eastAsia="Calibri" w:hAnsi="Calibri" w:cs="Times New Roman"/>
                <w:b/>
                <w:color w:val="FFFFFF"/>
                <w:kern w:val="0"/>
                <w:sz w:val="22"/>
                <w:szCs w:val="22"/>
                <w:lang w:val="en-AU"/>
              </w:rPr>
              <w:t>Source</w:t>
            </w:r>
          </w:p>
        </w:tc>
      </w:tr>
      <w:tr w:rsidR="006559D1" w:rsidRPr="00BA20A0" w14:paraId="57401140" w14:textId="77777777" w:rsidTr="00FC24CC">
        <w:tc>
          <w:tcPr>
            <w:tcW w:w="562" w:type="dxa"/>
            <w:vMerge w:val="restart"/>
            <w:tcBorders>
              <w:top w:val="single" w:sz="4" w:space="0" w:color="auto"/>
            </w:tcBorders>
            <w:shd w:val="clear" w:color="auto" w:fill="B79BC9"/>
            <w:textDirection w:val="btLr"/>
            <w:vAlign w:val="center"/>
          </w:tcPr>
          <w:p w14:paraId="1FA22EF2" w14:textId="0D47D54F" w:rsidR="006559D1" w:rsidRPr="00BA20A0" w:rsidRDefault="00FE710E" w:rsidP="00BA20A0">
            <w:pPr>
              <w:spacing w:after="0" w:line="240" w:lineRule="auto"/>
              <w:ind w:left="113" w:right="113"/>
              <w:jc w:val="center"/>
              <w:rPr>
                <w:rFonts w:ascii="Calibri" w:eastAsia="Calibri" w:hAnsi="Calibri" w:cs="Times New Roman"/>
                <w:b/>
                <w:kern w:val="0"/>
                <w:sz w:val="22"/>
                <w:szCs w:val="22"/>
                <w:lang w:val="en-AU"/>
              </w:rPr>
            </w:pPr>
            <w:r>
              <w:rPr>
                <w:rFonts w:ascii="Calibri" w:eastAsia="Calibri" w:hAnsi="Calibri" w:cs="Times New Roman"/>
                <w:b/>
                <w:color w:val="FFFFFF"/>
                <w:kern w:val="0"/>
                <w:sz w:val="22"/>
                <w:szCs w:val="22"/>
                <w:lang w:val="en-AU"/>
              </w:rPr>
              <w:t>Business a</w:t>
            </w:r>
            <w:r w:rsidR="006559D1" w:rsidRPr="00BA20A0">
              <w:rPr>
                <w:rFonts w:ascii="Calibri" w:eastAsia="Calibri" w:hAnsi="Calibri" w:cs="Times New Roman"/>
                <w:b/>
                <w:color w:val="FFFFFF"/>
                <w:kern w:val="0"/>
                <w:sz w:val="22"/>
                <w:szCs w:val="22"/>
                <w:lang w:val="en-AU"/>
              </w:rPr>
              <w:t>ctivities</w:t>
            </w:r>
          </w:p>
          <w:p w14:paraId="463BD448" w14:textId="0D232D8A" w:rsidR="006559D1" w:rsidRPr="00BA20A0" w:rsidRDefault="006559D1" w:rsidP="006559D1">
            <w:pPr>
              <w:spacing w:after="0" w:line="240" w:lineRule="auto"/>
              <w:ind w:left="113" w:right="113"/>
              <w:rPr>
                <w:rFonts w:ascii="Calibri" w:eastAsia="Calibri" w:hAnsi="Calibri" w:cs="Times New Roman"/>
                <w:b/>
                <w:kern w:val="0"/>
                <w:sz w:val="22"/>
                <w:szCs w:val="22"/>
                <w:lang w:val="en-AU"/>
              </w:rPr>
            </w:pPr>
          </w:p>
        </w:tc>
        <w:tc>
          <w:tcPr>
            <w:tcW w:w="567" w:type="dxa"/>
            <w:vMerge w:val="restart"/>
            <w:tcBorders>
              <w:top w:val="single" w:sz="4" w:space="0" w:color="auto"/>
            </w:tcBorders>
            <w:textDirection w:val="btLr"/>
            <w:vAlign w:val="center"/>
          </w:tcPr>
          <w:p w14:paraId="1C2E1328" w14:textId="77777777" w:rsidR="006559D1" w:rsidRPr="00BA20A0" w:rsidRDefault="006559D1" w:rsidP="00BA20A0">
            <w:pPr>
              <w:spacing w:after="0" w:line="240" w:lineRule="auto"/>
              <w:ind w:left="113" w:right="113"/>
              <w:jc w:val="center"/>
              <w:rPr>
                <w:rFonts w:ascii="Calibri" w:eastAsia="Calibri" w:hAnsi="Calibri" w:cs="Times New Roman"/>
                <w:b/>
                <w:kern w:val="0"/>
                <w:sz w:val="22"/>
                <w:szCs w:val="22"/>
                <w:lang w:val="en-AU"/>
              </w:rPr>
            </w:pPr>
            <w:r w:rsidRPr="00BA20A0">
              <w:rPr>
                <w:rFonts w:ascii="Calibri" w:eastAsia="Calibri" w:hAnsi="Calibri" w:cs="Times New Roman"/>
                <w:b/>
                <w:color w:val="B79BC9"/>
                <w:kern w:val="0"/>
                <w:sz w:val="22"/>
                <w:szCs w:val="22"/>
                <w:lang w:val="en-AU"/>
              </w:rPr>
              <w:t>Inputs</w:t>
            </w:r>
          </w:p>
          <w:p w14:paraId="004BBB68" w14:textId="2244E843" w:rsidR="006559D1" w:rsidRPr="00BA20A0" w:rsidRDefault="006559D1" w:rsidP="006559D1">
            <w:pPr>
              <w:spacing w:after="0" w:line="240" w:lineRule="auto"/>
              <w:ind w:left="113" w:right="113"/>
              <w:rPr>
                <w:rFonts w:ascii="Calibri" w:eastAsia="Calibri" w:hAnsi="Calibri" w:cs="Times New Roman"/>
                <w:b/>
                <w:kern w:val="0"/>
                <w:sz w:val="22"/>
                <w:szCs w:val="22"/>
                <w:lang w:val="en-AU"/>
              </w:rPr>
            </w:pPr>
          </w:p>
        </w:tc>
        <w:tc>
          <w:tcPr>
            <w:tcW w:w="3119" w:type="dxa"/>
            <w:tcBorders>
              <w:top w:val="single" w:sz="4" w:space="0" w:color="auto"/>
              <w:left w:val="single" w:sz="4" w:space="0" w:color="auto"/>
              <w:bottom w:val="single" w:sz="6" w:space="0" w:color="000000"/>
              <w:right w:val="single" w:sz="6" w:space="0" w:color="000000"/>
            </w:tcBorders>
          </w:tcPr>
          <w:p w14:paraId="746131CF" w14:textId="77777777" w:rsidR="006559D1" w:rsidRPr="00BA20A0" w:rsidRDefault="006559D1" w:rsidP="00D7216E">
            <w:pPr>
              <w:tabs>
                <w:tab w:val="left" w:pos="216"/>
                <w:tab w:val="left" w:pos="360"/>
              </w:tabs>
              <w:spacing w:after="0" w:line="240" w:lineRule="auto"/>
              <w:textAlignment w:val="baseline"/>
              <w:rPr>
                <w:rFonts w:ascii="Calibri" w:eastAsia="Arial" w:hAnsi="Calibri" w:cs="Times New Roman"/>
                <w:color w:val="373737"/>
                <w:kern w:val="0"/>
                <w:sz w:val="16"/>
                <w:szCs w:val="16"/>
                <w:lang w:val="en-US"/>
              </w:rPr>
            </w:pPr>
            <w:r w:rsidRPr="00BA20A0">
              <w:rPr>
                <w:rFonts w:ascii="Calibri" w:eastAsia="Arial" w:hAnsi="Calibri" w:cs="Times New Roman"/>
                <w:color w:val="373737"/>
                <w:kern w:val="0"/>
                <w:sz w:val="16"/>
                <w:szCs w:val="16"/>
                <w:lang w:val="en-US"/>
              </w:rPr>
              <w:t>1.</w:t>
            </w:r>
            <w:r w:rsidRPr="00BA20A0">
              <w:rPr>
                <w:rFonts w:ascii="Calibri" w:eastAsia="Calibri" w:hAnsi="Calibri" w:cs="Times New Roman"/>
                <w:kern w:val="0"/>
                <w:sz w:val="16"/>
                <w:szCs w:val="16"/>
                <w:lang w:val="en-US"/>
              </w:rPr>
              <w:t xml:space="preserve"> </w:t>
            </w:r>
            <w:r w:rsidRPr="00BA20A0">
              <w:rPr>
                <w:rFonts w:ascii="Calibri" w:eastAsia="Arial" w:hAnsi="Calibri" w:cs="Times New Roman"/>
                <w:color w:val="373737"/>
                <w:kern w:val="0"/>
                <w:sz w:val="16"/>
                <w:szCs w:val="16"/>
                <w:lang w:val="en-US"/>
              </w:rPr>
              <w:t>Total expenditure on innovation by businesses, % of GDP</w:t>
            </w:r>
          </w:p>
          <w:p w14:paraId="4FC0D8C5" w14:textId="77777777" w:rsidR="006559D1" w:rsidRPr="00BA20A0" w:rsidRDefault="006559D1" w:rsidP="00D7216E">
            <w:pPr>
              <w:spacing w:after="0" w:line="240" w:lineRule="auto"/>
              <w:textAlignment w:val="baseline"/>
              <w:rPr>
                <w:rFonts w:ascii="Calibri" w:eastAsia="Arial" w:hAnsi="Calibri" w:cs="Times New Roman"/>
                <w:color w:val="373737"/>
                <w:spacing w:val="3"/>
                <w:kern w:val="0"/>
                <w:sz w:val="16"/>
                <w:szCs w:val="16"/>
                <w:lang w:val="en-US"/>
              </w:rPr>
            </w:pPr>
            <w:r w:rsidRPr="00BA20A0">
              <w:rPr>
                <w:rFonts w:ascii="Calibri" w:eastAsia="Arial" w:hAnsi="Calibri" w:cs="Times New Roman"/>
                <w:color w:val="373737"/>
                <w:spacing w:val="3"/>
                <w:kern w:val="0"/>
                <w:sz w:val="16"/>
                <w:szCs w:val="16"/>
                <w:lang w:val="en-US"/>
              </w:rPr>
              <w:t>(this measure is a proxy for business investment in knowledge-based capital and physical capital as an input)</w:t>
            </w:r>
          </w:p>
        </w:tc>
        <w:tc>
          <w:tcPr>
            <w:tcW w:w="6662" w:type="dxa"/>
            <w:tcBorders>
              <w:top w:val="single" w:sz="4" w:space="0" w:color="auto"/>
              <w:left w:val="single" w:sz="6" w:space="0" w:color="000000"/>
              <w:bottom w:val="single" w:sz="6" w:space="0" w:color="000000"/>
              <w:right w:val="single" w:sz="6" w:space="0" w:color="000000"/>
            </w:tcBorders>
          </w:tcPr>
          <w:p w14:paraId="3448EE7C" w14:textId="77777777" w:rsidR="006559D1" w:rsidRPr="00BA20A0" w:rsidRDefault="006559D1" w:rsidP="00D7216E">
            <w:pPr>
              <w:spacing w:after="0" w:line="240" w:lineRule="auto"/>
              <w:ind w:right="432"/>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Total innovation expenditure incurred by Australian businesses includes both research and development (R&amp;D) and non-R&amp;D innovation.</w:t>
            </w:r>
          </w:p>
          <w:p w14:paraId="6CF1DA9E" w14:textId="77777777" w:rsidR="006559D1" w:rsidRPr="00BA20A0" w:rsidRDefault="006559D1" w:rsidP="00D7216E">
            <w:pPr>
              <w:spacing w:after="0" w:line="240" w:lineRule="auto"/>
              <w:ind w:right="431"/>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This is a calculation based on the total innovation expenditure incurred by Australian businesses, published by the ABS. It is sourced from the BCS. For the purposes of this scorecard, this value was then converted to a percentage of GDP.</w:t>
            </w:r>
          </w:p>
          <w:p w14:paraId="155CDBDB" w14:textId="77777777" w:rsidR="006559D1" w:rsidRPr="00BA20A0" w:rsidRDefault="006559D1" w:rsidP="00D7216E">
            <w:pPr>
              <w:spacing w:after="0" w:line="240" w:lineRule="auto"/>
              <w:ind w:right="432"/>
              <w:contextualSpacing/>
              <w:textAlignment w:val="baseline"/>
              <w:rPr>
                <w:rFonts w:ascii="Calibri" w:eastAsia="Arial" w:hAnsi="Calibri" w:cs="Calibri"/>
                <w:color w:val="373737"/>
                <w:spacing w:val="-2"/>
                <w:kern w:val="0"/>
                <w:sz w:val="16"/>
                <w:szCs w:val="16"/>
                <w:lang w:val="en-US"/>
              </w:rPr>
            </w:pPr>
            <w:r w:rsidRPr="00BA20A0">
              <w:rPr>
                <w:rFonts w:ascii="Calibri" w:eastAsia="Arial" w:hAnsi="Calibri" w:cs="Calibri"/>
                <w:color w:val="373737"/>
                <w:spacing w:val="-2"/>
                <w:kern w:val="0"/>
                <w:sz w:val="16"/>
                <w:szCs w:val="16"/>
                <w:lang w:val="en-US"/>
              </w:rPr>
              <w:t>An estimated total for innovation expenditure was derived by assigning a random value to each innovation-active business that reported expenditure within the bounded ranges. These data, and the values of those businesses that reported actual dollar values, were then weighted to derive an innovation expenditure total. This simulation was run multiple times and an average of these simulations provides an approximate value of innovation expenditure.</w:t>
            </w:r>
          </w:p>
          <w:p w14:paraId="266B2F29" w14:textId="77777777" w:rsidR="006559D1" w:rsidRPr="00BA20A0" w:rsidRDefault="006559D1" w:rsidP="00D7216E">
            <w:pPr>
              <w:spacing w:after="0" w:line="240" w:lineRule="auto"/>
              <w:ind w:right="432"/>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Australian data are presented as the median value of the upper and lower ranges for the innovation expenditure value published by the ABS.</w:t>
            </w:r>
          </w:p>
        </w:tc>
        <w:tc>
          <w:tcPr>
            <w:tcW w:w="4394" w:type="dxa"/>
            <w:tcBorders>
              <w:top w:val="single" w:sz="4" w:space="0" w:color="auto"/>
              <w:left w:val="single" w:sz="6" w:space="0" w:color="000000"/>
              <w:bottom w:val="single" w:sz="6" w:space="0" w:color="000000"/>
              <w:right w:val="single" w:sz="4" w:space="0" w:color="auto"/>
            </w:tcBorders>
          </w:tcPr>
          <w:p w14:paraId="78FD001F" w14:textId="77777777" w:rsidR="006559D1" w:rsidRPr="00BA20A0" w:rsidRDefault="006559D1" w:rsidP="00D7216E">
            <w:pPr>
              <w:spacing w:after="0" w:line="240" w:lineRule="auto"/>
              <w:ind w:right="288"/>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 xml:space="preserve">ABS BCS – Cat. No. 8158.0 – Innovation in Australian Business (further ABS calculation); Gross Domestic Product: Current prices; </w:t>
            </w:r>
          </w:p>
          <w:p w14:paraId="1CFAA95D" w14:textId="77777777" w:rsidR="006559D1" w:rsidRPr="00BA20A0" w:rsidRDefault="006559D1" w:rsidP="00D7216E">
            <w:pPr>
              <w:spacing w:after="0" w:line="240" w:lineRule="auto"/>
              <w:ind w:right="288"/>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ABS Cat No. 5206.0 – Australian System of National Accounts. International comparison data are available via Eurostat: Innovation activities and expenditures, Community Innovation Survey (CIS), Eurostat: Gross domestic product at current market prices.</w:t>
            </w:r>
          </w:p>
        </w:tc>
      </w:tr>
      <w:tr w:rsidR="006559D1" w:rsidRPr="00BA20A0" w14:paraId="509696AC" w14:textId="77777777" w:rsidTr="00FC24CC">
        <w:tc>
          <w:tcPr>
            <w:tcW w:w="562" w:type="dxa"/>
            <w:vMerge/>
            <w:shd w:val="clear" w:color="auto" w:fill="B79BC9"/>
          </w:tcPr>
          <w:p w14:paraId="4FE2B47E" w14:textId="11CDB924" w:rsidR="006559D1" w:rsidRPr="00BA20A0" w:rsidRDefault="006559D1" w:rsidP="00BA20A0">
            <w:pPr>
              <w:spacing w:after="0" w:line="240" w:lineRule="auto"/>
              <w:ind w:left="113" w:right="113"/>
              <w:jc w:val="center"/>
              <w:rPr>
                <w:rFonts w:ascii="Calibri" w:eastAsia="Calibri" w:hAnsi="Calibri" w:cs="Times New Roman"/>
                <w:kern w:val="0"/>
                <w:sz w:val="22"/>
                <w:szCs w:val="22"/>
                <w:lang w:val="en-AU"/>
              </w:rPr>
            </w:pPr>
          </w:p>
        </w:tc>
        <w:tc>
          <w:tcPr>
            <w:tcW w:w="567" w:type="dxa"/>
            <w:vMerge/>
            <w:textDirection w:val="btLr"/>
            <w:vAlign w:val="center"/>
          </w:tcPr>
          <w:p w14:paraId="4733235C" w14:textId="67848075" w:rsidR="006559D1" w:rsidRPr="00BA20A0" w:rsidRDefault="006559D1"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single" w:sz="6" w:space="0" w:color="000000"/>
              <w:left w:val="single" w:sz="4" w:space="0" w:color="auto"/>
              <w:bottom w:val="single" w:sz="6" w:space="0" w:color="000000"/>
              <w:right w:val="single" w:sz="6" w:space="0" w:color="000000"/>
            </w:tcBorders>
          </w:tcPr>
          <w:p w14:paraId="0FE0553E" w14:textId="77777777" w:rsidR="006559D1" w:rsidRPr="00BA20A0" w:rsidRDefault="006559D1" w:rsidP="00D7216E">
            <w:pPr>
              <w:tabs>
                <w:tab w:val="left" w:pos="216"/>
                <w:tab w:val="left" w:pos="360"/>
              </w:tabs>
              <w:spacing w:after="0" w:line="240" w:lineRule="auto"/>
              <w:ind w:right="612"/>
              <w:textAlignment w:val="baseline"/>
              <w:rPr>
                <w:rFonts w:ascii="Calibri" w:eastAsia="Arial" w:hAnsi="Calibri" w:cs="Times New Roman"/>
                <w:color w:val="373737"/>
                <w:spacing w:val="-3"/>
                <w:kern w:val="0"/>
                <w:sz w:val="16"/>
                <w:szCs w:val="16"/>
                <w:lang w:val="en-US"/>
              </w:rPr>
            </w:pPr>
            <w:r w:rsidRPr="00BA20A0">
              <w:rPr>
                <w:rFonts w:ascii="Calibri" w:eastAsia="Arial" w:hAnsi="Calibri" w:cs="Times New Roman"/>
                <w:color w:val="373737"/>
                <w:spacing w:val="-3"/>
                <w:kern w:val="0"/>
                <w:sz w:val="16"/>
                <w:szCs w:val="16"/>
                <w:lang w:val="en-US"/>
              </w:rPr>
              <w:t>2. Business expenditure on research and development (BERD), % of GDP</w:t>
            </w:r>
          </w:p>
          <w:p w14:paraId="2C32F6AE" w14:textId="77777777" w:rsidR="006559D1" w:rsidRPr="00BA20A0" w:rsidRDefault="006559D1" w:rsidP="00D7216E">
            <w:pPr>
              <w:spacing w:after="0" w:line="240" w:lineRule="auto"/>
              <w:ind w:right="396"/>
              <w:textAlignment w:val="baseline"/>
              <w:rPr>
                <w:rFonts w:ascii="Calibri" w:eastAsia="Arial" w:hAnsi="Calibri" w:cs="Times New Roman"/>
                <w:color w:val="373737"/>
                <w:kern w:val="0"/>
                <w:sz w:val="16"/>
                <w:szCs w:val="16"/>
                <w:lang w:val="en-US"/>
              </w:rPr>
            </w:pPr>
            <w:r w:rsidRPr="00BA20A0">
              <w:rPr>
                <w:rFonts w:ascii="Calibri" w:eastAsia="Arial" w:hAnsi="Calibri" w:cs="Times New Roman"/>
                <w:color w:val="373737"/>
                <w:kern w:val="0"/>
                <w:sz w:val="16"/>
                <w:szCs w:val="16"/>
                <w:lang w:val="en-US"/>
              </w:rPr>
              <w:t>(this measure is a proxy for business investment in knowledge-based capital as an input)</w:t>
            </w:r>
          </w:p>
        </w:tc>
        <w:tc>
          <w:tcPr>
            <w:tcW w:w="6662" w:type="dxa"/>
            <w:tcBorders>
              <w:top w:val="single" w:sz="6" w:space="0" w:color="000000"/>
              <w:left w:val="single" w:sz="6" w:space="0" w:color="000000"/>
              <w:bottom w:val="single" w:sz="6" w:space="0" w:color="000000"/>
              <w:right w:val="single" w:sz="6" w:space="0" w:color="000000"/>
            </w:tcBorders>
          </w:tcPr>
          <w:p w14:paraId="3A2E2BCE" w14:textId="77777777" w:rsidR="006559D1" w:rsidRPr="00BA20A0" w:rsidRDefault="006559D1" w:rsidP="00D7216E">
            <w:pPr>
              <w:spacing w:after="0" w:line="240" w:lineRule="auto"/>
              <w:ind w:right="108"/>
              <w:contextualSpacing/>
              <w:jc w:val="both"/>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Business expenditure on R&amp;D (BERD) includes all expenditure on R&amp;D performed by business enterprises, irrespective of funding sources.</w:t>
            </w:r>
          </w:p>
        </w:tc>
        <w:tc>
          <w:tcPr>
            <w:tcW w:w="4394" w:type="dxa"/>
            <w:tcBorders>
              <w:top w:val="single" w:sz="6" w:space="0" w:color="000000"/>
              <w:left w:val="single" w:sz="6" w:space="0" w:color="000000"/>
              <w:bottom w:val="single" w:sz="6" w:space="0" w:color="000000"/>
              <w:right w:val="single" w:sz="4" w:space="0" w:color="auto"/>
            </w:tcBorders>
          </w:tcPr>
          <w:p w14:paraId="18535953" w14:textId="77777777" w:rsidR="006559D1" w:rsidRPr="00BA20A0" w:rsidRDefault="006559D1" w:rsidP="00D7216E">
            <w:pPr>
              <w:spacing w:after="0" w:line="240" w:lineRule="auto"/>
              <w:ind w:right="504"/>
              <w:contextualSpacing/>
              <w:textAlignment w:val="baseline"/>
              <w:rPr>
                <w:rFonts w:ascii="Calibri" w:eastAsia="Arial" w:hAnsi="Calibri" w:cs="Calibri"/>
                <w:color w:val="373737"/>
                <w:spacing w:val="-1"/>
                <w:kern w:val="0"/>
                <w:sz w:val="16"/>
                <w:szCs w:val="16"/>
                <w:lang w:val="en-US"/>
              </w:rPr>
            </w:pPr>
            <w:r w:rsidRPr="00BA20A0">
              <w:rPr>
                <w:rFonts w:ascii="Calibri" w:eastAsia="Arial" w:hAnsi="Calibri" w:cs="Calibri"/>
                <w:color w:val="373737"/>
                <w:spacing w:val="-1"/>
                <w:kern w:val="0"/>
                <w:sz w:val="16"/>
                <w:szCs w:val="16"/>
                <w:lang w:val="en-US"/>
              </w:rPr>
              <w:t>ABS Cat. No. 8104.0 – Research and Experimental Development, Businesses, Australia. International comparison data are available via OECD MSTI.</w:t>
            </w:r>
          </w:p>
        </w:tc>
      </w:tr>
      <w:tr w:rsidR="006559D1" w:rsidRPr="00BA20A0" w14:paraId="2AF16E9C" w14:textId="77777777" w:rsidTr="00FC24CC">
        <w:tc>
          <w:tcPr>
            <w:tcW w:w="562" w:type="dxa"/>
            <w:vMerge/>
            <w:shd w:val="clear" w:color="auto" w:fill="B79BC9"/>
          </w:tcPr>
          <w:p w14:paraId="3C1F364D" w14:textId="7D5052EF" w:rsidR="006559D1" w:rsidRPr="00BA20A0" w:rsidRDefault="006559D1" w:rsidP="00BA20A0">
            <w:pPr>
              <w:spacing w:after="0" w:line="240" w:lineRule="auto"/>
              <w:ind w:left="113" w:right="113"/>
              <w:jc w:val="center"/>
              <w:rPr>
                <w:rFonts w:ascii="Calibri" w:eastAsia="Calibri" w:hAnsi="Calibri" w:cs="Times New Roman"/>
                <w:kern w:val="0"/>
                <w:sz w:val="22"/>
                <w:szCs w:val="22"/>
                <w:lang w:val="en-AU"/>
              </w:rPr>
            </w:pPr>
          </w:p>
        </w:tc>
        <w:tc>
          <w:tcPr>
            <w:tcW w:w="567" w:type="dxa"/>
            <w:vMerge/>
            <w:textDirection w:val="btLr"/>
            <w:vAlign w:val="center"/>
          </w:tcPr>
          <w:p w14:paraId="1472FE71" w14:textId="62F158C4" w:rsidR="006559D1" w:rsidRPr="00BA20A0" w:rsidRDefault="006559D1"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single" w:sz="6" w:space="0" w:color="000000"/>
              <w:left w:val="single" w:sz="4" w:space="0" w:color="auto"/>
              <w:bottom w:val="single" w:sz="6" w:space="0" w:color="000000"/>
              <w:right w:val="single" w:sz="6" w:space="0" w:color="000000"/>
            </w:tcBorders>
          </w:tcPr>
          <w:p w14:paraId="1A98000E" w14:textId="77777777" w:rsidR="006559D1" w:rsidRPr="00BA20A0" w:rsidRDefault="006559D1" w:rsidP="00D7216E">
            <w:pPr>
              <w:tabs>
                <w:tab w:val="left" w:pos="216"/>
                <w:tab w:val="left" w:pos="360"/>
              </w:tabs>
              <w:spacing w:after="0" w:line="240" w:lineRule="auto"/>
              <w:ind w:right="108"/>
              <w:textAlignment w:val="baseline"/>
              <w:rPr>
                <w:rFonts w:ascii="Calibri" w:eastAsia="Arial" w:hAnsi="Calibri" w:cs="Times New Roman"/>
                <w:color w:val="373737"/>
                <w:kern w:val="0"/>
                <w:sz w:val="16"/>
                <w:szCs w:val="16"/>
                <w:lang w:val="en-US"/>
              </w:rPr>
            </w:pPr>
            <w:r w:rsidRPr="00BA20A0">
              <w:rPr>
                <w:rFonts w:ascii="Calibri" w:eastAsia="Arial" w:hAnsi="Calibri" w:cs="Times New Roman"/>
                <w:color w:val="373737"/>
                <w:kern w:val="0"/>
                <w:sz w:val="16"/>
                <w:szCs w:val="16"/>
                <w:lang w:val="en-US"/>
              </w:rPr>
              <w:t>3. Investment in knowledge-based capital (ICT, R&amp;D and other intellectual property products), % of GDP</w:t>
            </w:r>
          </w:p>
          <w:p w14:paraId="5446EC1B" w14:textId="77777777" w:rsidR="006559D1" w:rsidRPr="00BA20A0" w:rsidRDefault="006559D1" w:rsidP="00D7216E">
            <w:pPr>
              <w:spacing w:after="0" w:line="240" w:lineRule="auto"/>
              <w:ind w:right="396"/>
              <w:textAlignment w:val="baseline"/>
              <w:rPr>
                <w:rFonts w:ascii="Calibri" w:eastAsia="Arial" w:hAnsi="Calibri" w:cs="Times New Roman"/>
                <w:color w:val="373737"/>
                <w:kern w:val="0"/>
                <w:sz w:val="16"/>
                <w:szCs w:val="16"/>
                <w:lang w:val="en-US"/>
              </w:rPr>
            </w:pPr>
            <w:r w:rsidRPr="00BA20A0">
              <w:rPr>
                <w:rFonts w:ascii="Calibri" w:eastAsia="Arial" w:hAnsi="Calibri" w:cs="Times New Roman"/>
                <w:color w:val="373737"/>
                <w:kern w:val="0"/>
                <w:sz w:val="16"/>
                <w:szCs w:val="16"/>
                <w:lang w:val="en-US"/>
              </w:rPr>
              <w:t>(this measure is a proxy for business investment in knowledge-based capital as an input)</w:t>
            </w:r>
          </w:p>
        </w:tc>
        <w:tc>
          <w:tcPr>
            <w:tcW w:w="6662" w:type="dxa"/>
            <w:tcBorders>
              <w:top w:val="single" w:sz="6" w:space="0" w:color="000000"/>
              <w:left w:val="single" w:sz="6" w:space="0" w:color="000000"/>
              <w:bottom w:val="single" w:sz="6" w:space="0" w:color="000000"/>
              <w:right w:val="single" w:sz="6" w:space="0" w:color="000000"/>
            </w:tcBorders>
          </w:tcPr>
          <w:p w14:paraId="3FDCAB8A" w14:textId="77777777" w:rsidR="006559D1" w:rsidRPr="00BA20A0" w:rsidRDefault="006559D1" w:rsidP="00D7216E">
            <w:pPr>
              <w:spacing w:after="0" w:line="240" w:lineRule="auto"/>
              <w:ind w:right="396"/>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ICT investment in the System of National Accounts includes the following key areas: investment in computer hardware, telecommunication equipment, computer software and databases, R&amp;D and other IP products.</w:t>
            </w:r>
          </w:p>
        </w:tc>
        <w:tc>
          <w:tcPr>
            <w:tcW w:w="4394" w:type="dxa"/>
            <w:tcBorders>
              <w:top w:val="single" w:sz="6" w:space="0" w:color="000000"/>
              <w:left w:val="single" w:sz="6" w:space="0" w:color="000000"/>
              <w:bottom w:val="single" w:sz="6" w:space="0" w:color="000000"/>
              <w:right w:val="single" w:sz="4" w:space="0" w:color="auto"/>
            </w:tcBorders>
          </w:tcPr>
          <w:p w14:paraId="0FAD9DE9" w14:textId="77777777" w:rsidR="006559D1" w:rsidRPr="00BA20A0" w:rsidRDefault="006559D1" w:rsidP="00D7216E">
            <w:pPr>
              <w:spacing w:after="0" w:line="240" w:lineRule="auto"/>
              <w:ind w:right="216"/>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 xml:space="preserve">ABS Cat. No. 5204.0 – Australian System of National Accounts. </w:t>
            </w:r>
          </w:p>
          <w:p w14:paraId="128F9FC8" w14:textId="77777777" w:rsidR="006559D1" w:rsidRPr="00BA20A0" w:rsidRDefault="006559D1" w:rsidP="00D7216E">
            <w:pPr>
              <w:spacing w:after="0" w:line="240" w:lineRule="auto"/>
              <w:ind w:right="216"/>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International comparison data are available from the</w:t>
            </w:r>
            <w:hyperlink r:id="rId35" w:history="1">
              <w:r w:rsidRPr="00BA20A0">
                <w:rPr>
                  <w:rFonts w:ascii="Calibri" w:eastAsia="Arial" w:hAnsi="Calibri" w:cs="Calibri"/>
                  <w:color w:val="0000FF"/>
                  <w:kern w:val="0"/>
                  <w:sz w:val="16"/>
                  <w:szCs w:val="16"/>
                  <w:u w:val="single"/>
                  <w:lang w:val="en-US"/>
                </w:rPr>
                <w:t xml:space="preserve"> Measuring the</w:t>
              </w:r>
            </w:hyperlink>
            <w:r w:rsidRPr="00BA20A0">
              <w:rPr>
                <w:rFonts w:ascii="Calibri" w:eastAsia="Arial" w:hAnsi="Calibri" w:cs="Calibri"/>
                <w:color w:val="005CAE"/>
                <w:kern w:val="0"/>
                <w:sz w:val="16"/>
                <w:szCs w:val="16"/>
                <w:lang w:val="en-US"/>
              </w:rPr>
              <w:t xml:space="preserve"> </w:t>
            </w:r>
            <w:hyperlink r:id="rId36" w:history="1">
              <w:r w:rsidRPr="00BA20A0">
                <w:rPr>
                  <w:rFonts w:ascii="Calibri" w:eastAsia="Arial" w:hAnsi="Calibri" w:cs="Calibri"/>
                  <w:color w:val="0000FF"/>
                  <w:kern w:val="0"/>
                  <w:sz w:val="16"/>
                  <w:szCs w:val="16"/>
                  <w:u w:val="single"/>
                  <w:lang w:val="en-US"/>
                </w:rPr>
                <w:t>Digital Transformation (OECD 2019).</w:t>
              </w:r>
            </w:hyperlink>
            <w:r w:rsidRPr="00BA20A0">
              <w:rPr>
                <w:rFonts w:ascii="Calibri" w:eastAsia="Arial" w:hAnsi="Calibri" w:cs="Calibri"/>
                <w:color w:val="005CAE"/>
                <w:kern w:val="0"/>
                <w:sz w:val="16"/>
                <w:szCs w:val="16"/>
                <w:lang w:val="en-US"/>
              </w:rPr>
              <w:t xml:space="preserve"> </w:t>
            </w:r>
          </w:p>
        </w:tc>
      </w:tr>
      <w:tr w:rsidR="006559D1" w:rsidRPr="00BA20A0" w14:paraId="4C3620A1" w14:textId="77777777" w:rsidTr="00FC24CC">
        <w:trPr>
          <w:cantSplit/>
        </w:trPr>
        <w:tc>
          <w:tcPr>
            <w:tcW w:w="562" w:type="dxa"/>
            <w:vMerge/>
            <w:shd w:val="clear" w:color="auto" w:fill="B79BC9"/>
            <w:textDirection w:val="btLr"/>
          </w:tcPr>
          <w:p w14:paraId="0B2D1DEF" w14:textId="5DE6D756" w:rsidR="006559D1" w:rsidRPr="00BA20A0" w:rsidRDefault="006559D1" w:rsidP="00BA20A0">
            <w:pPr>
              <w:spacing w:after="0" w:line="240" w:lineRule="auto"/>
              <w:ind w:left="113" w:right="113"/>
              <w:jc w:val="center"/>
              <w:rPr>
                <w:rFonts w:ascii="Calibri" w:eastAsia="Calibri" w:hAnsi="Calibri" w:cs="Times New Roman"/>
                <w:kern w:val="0"/>
                <w:sz w:val="22"/>
                <w:szCs w:val="22"/>
                <w:lang w:val="en-AU"/>
              </w:rPr>
            </w:pPr>
          </w:p>
        </w:tc>
        <w:tc>
          <w:tcPr>
            <w:tcW w:w="567" w:type="dxa"/>
            <w:vMerge/>
            <w:textDirection w:val="btLr"/>
            <w:vAlign w:val="center"/>
          </w:tcPr>
          <w:p w14:paraId="5CE20355" w14:textId="1EF97F4A" w:rsidR="006559D1" w:rsidRPr="00BA20A0" w:rsidRDefault="006559D1"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nil"/>
              <w:left w:val="single" w:sz="6" w:space="0" w:color="000000"/>
              <w:bottom w:val="single" w:sz="6" w:space="0" w:color="000000"/>
              <w:right w:val="single" w:sz="6" w:space="0" w:color="000000"/>
            </w:tcBorders>
          </w:tcPr>
          <w:p w14:paraId="65A6C5D8" w14:textId="77777777" w:rsidR="006559D1" w:rsidRPr="00BA20A0" w:rsidRDefault="006559D1" w:rsidP="00D7216E">
            <w:pPr>
              <w:tabs>
                <w:tab w:val="left" w:pos="216"/>
                <w:tab w:val="left" w:pos="360"/>
              </w:tabs>
              <w:spacing w:after="0" w:line="240" w:lineRule="auto"/>
              <w:ind w:right="180"/>
              <w:textAlignment w:val="baseline"/>
              <w:rPr>
                <w:rFonts w:ascii="Calibri" w:eastAsia="Arial" w:hAnsi="Calibri" w:cs="Times New Roman"/>
                <w:color w:val="373737"/>
                <w:spacing w:val="-2"/>
                <w:kern w:val="0"/>
                <w:sz w:val="16"/>
                <w:szCs w:val="18"/>
                <w:lang w:val="en-US"/>
              </w:rPr>
            </w:pPr>
            <w:r w:rsidRPr="00BA20A0">
              <w:rPr>
                <w:rFonts w:ascii="Calibri" w:eastAsia="Arial" w:hAnsi="Calibri" w:cs="Times New Roman"/>
                <w:color w:val="373737"/>
                <w:spacing w:val="-2"/>
                <w:kern w:val="0"/>
                <w:sz w:val="16"/>
                <w:szCs w:val="18"/>
                <w:lang w:val="en-US"/>
              </w:rPr>
              <w:t>4. Diffusion of selected ICT tools and activities in enterprises (cloud computing), % of all businesses with 10+ employees</w:t>
            </w:r>
          </w:p>
          <w:p w14:paraId="4A00D3DF" w14:textId="77777777" w:rsidR="006559D1" w:rsidRPr="00BA20A0" w:rsidRDefault="006559D1" w:rsidP="00D7216E">
            <w:pPr>
              <w:spacing w:after="0" w:line="240" w:lineRule="auto"/>
              <w:textAlignment w:val="baseline"/>
              <w:rPr>
                <w:rFonts w:ascii="Calibri" w:eastAsia="Arial" w:hAnsi="Calibri" w:cs="Times New Roman"/>
                <w:color w:val="373737"/>
                <w:kern w:val="0"/>
                <w:sz w:val="16"/>
                <w:szCs w:val="18"/>
                <w:lang w:val="en-US"/>
              </w:rPr>
            </w:pPr>
            <w:r w:rsidRPr="00BA20A0">
              <w:rPr>
                <w:rFonts w:ascii="Calibri" w:eastAsia="Arial" w:hAnsi="Calibri" w:cs="Times New Roman"/>
                <w:color w:val="373737"/>
                <w:kern w:val="0"/>
                <w:sz w:val="16"/>
                <w:szCs w:val="18"/>
                <w:lang w:val="en-US"/>
              </w:rPr>
              <w:t>(this measure is a proxy for the diffusion of digital technologies in business as an input)</w:t>
            </w:r>
          </w:p>
        </w:tc>
        <w:tc>
          <w:tcPr>
            <w:tcW w:w="6662" w:type="dxa"/>
            <w:tcBorders>
              <w:top w:val="nil"/>
              <w:left w:val="single" w:sz="6" w:space="0" w:color="000000"/>
              <w:bottom w:val="single" w:sz="6" w:space="0" w:color="000000"/>
              <w:right w:val="single" w:sz="6" w:space="0" w:color="000000"/>
            </w:tcBorders>
          </w:tcPr>
          <w:p w14:paraId="1CCCFB23" w14:textId="77777777" w:rsidR="006559D1" w:rsidRPr="00BA20A0" w:rsidRDefault="006559D1" w:rsidP="00D7216E">
            <w:pPr>
              <w:spacing w:after="0" w:line="240" w:lineRule="auto"/>
              <w:ind w:right="144"/>
              <w:contextualSpacing/>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Diffusion of selected ICT tools and activities in enterprises provides the percentage of businesses that reported using selected ICT tools, in this case, the metric specifies the use of paid cloud computing.</w:t>
            </w:r>
          </w:p>
          <w:p w14:paraId="7ECB417B" w14:textId="77777777" w:rsidR="006559D1" w:rsidRPr="00BA20A0" w:rsidRDefault="006559D1" w:rsidP="00D7216E">
            <w:pPr>
              <w:spacing w:after="0" w:line="240" w:lineRule="auto"/>
              <w:ind w:right="144"/>
              <w:contextualSpacing/>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Data on cloud computing services are gathered through direct surveys of ICT usage by businesses through the BCS. The reported data specifies the percentage of businesses that reported they used paid cloud computing. This is being used as a proxy for the diffusion of ICT tools.</w:t>
            </w:r>
          </w:p>
          <w:p w14:paraId="569C0EBB" w14:textId="77777777" w:rsidR="006559D1" w:rsidRPr="00BA20A0" w:rsidRDefault="006559D1" w:rsidP="00D7216E">
            <w:pPr>
              <w:spacing w:after="0" w:line="240" w:lineRule="auto"/>
              <w:ind w:right="144"/>
              <w:contextualSpacing/>
              <w:textAlignment w:val="baseline"/>
              <w:rPr>
                <w:rFonts w:ascii="Calibri" w:eastAsia="Arial" w:hAnsi="Calibri" w:cs="Calibri"/>
                <w:color w:val="373737"/>
                <w:spacing w:val="-2"/>
                <w:kern w:val="0"/>
                <w:sz w:val="16"/>
                <w:szCs w:val="22"/>
                <w:lang w:val="en-US"/>
              </w:rPr>
            </w:pPr>
            <w:r w:rsidRPr="00BA20A0">
              <w:rPr>
                <w:rFonts w:ascii="Calibri" w:eastAsia="Arial" w:hAnsi="Calibri" w:cs="Calibri"/>
                <w:color w:val="373737"/>
                <w:spacing w:val="-2"/>
                <w:kern w:val="0"/>
                <w:sz w:val="16"/>
                <w:szCs w:val="22"/>
                <w:lang w:val="en-US"/>
              </w:rPr>
              <w:t>Cloud computing is the only advanced metric that Australia currently has a time series available to measure ICT diffusion. However, it is expected this indicator will be revised after mid 2022 if improvements are made to capture the diffusion of other ICT tools, such as Big Data, the Internet of Things, and other items in accordance with international practices, as recommended in Chapter 4.</w:t>
            </w:r>
          </w:p>
          <w:p w14:paraId="3BEE104C" w14:textId="77777777" w:rsidR="006559D1" w:rsidRPr="00BA20A0" w:rsidRDefault="006559D1" w:rsidP="00D7216E">
            <w:pPr>
              <w:spacing w:after="0" w:line="240" w:lineRule="auto"/>
              <w:ind w:right="144"/>
              <w:contextualSpacing/>
              <w:textAlignment w:val="baseline"/>
              <w:rPr>
                <w:rFonts w:ascii="Calibri" w:eastAsia="Arial" w:hAnsi="Calibri" w:cs="Calibri"/>
                <w:color w:val="373737"/>
                <w:spacing w:val="-1"/>
                <w:kern w:val="0"/>
                <w:sz w:val="16"/>
                <w:szCs w:val="22"/>
                <w:lang w:val="en-US"/>
              </w:rPr>
            </w:pPr>
            <w:r w:rsidRPr="00BA20A0">
              <w:rPr>
                <w:rFonts w:ascii="Calibri" w:eastAsia="Arial" w:hAnsi="Calibri" w:cs="Calibri"/>
                <w:color w:val="373737"/>
                <w:spacing w:val="-1"/>
                <w:kern w:val="0"/>
                <w:sz w:val="16"/>
                <w:szCs w:val="22"/>
                <w:lang w:val="en-US"/>
              </w:rPr>
              <w:t>This metric looks at businesses with 10 or more employees, as do a number of others below, because the Community Innovation Surveys used internationally collect data on businesses with 10 or more employees. International comparison data on businesses with 9 or fewer employees are generally not available.</w:t>
            </w:r>
          </w:p>
        </w:tc>
        <w:tc>
          <w:tcPr>
            <w:tcW w:w="4394" w:type="dxa"/>
            <w:tcBorders>
              <w:top w:val="nil"/>
              <w:left w:val="single" w:sz="6" w:space="0" w:color="000000"/>
              <w:bottom w:val="single" w:sz="6" w:space="0" w:color="000000"/>
              <w:right w:val="single" w:sz="4" w:space="0" w:color="auto"/>
            </w:tcBorders>
          </w:tcPr>
          <w:p w14:paraId="36F410D2" w14:textId="77777777" w:rsidR="006559D1" w:rsidRPr="00BA20A0" w:rsidRDefault="006559D1" w:rsidP="00D7216E">
            <w:pPr>
              <w:spacing w:after="0" w:line="240" w:lineRule="auto"/>
              <w:ind w:right="144"/>
              <w:contextualSpacing/>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ABS BCS – Cat. No. 8129.0 – Business Use of Information Technology and 8167.0 – Selected Characteristics of Australian Businesses. Australian data are sourced from ABS customised data and are for businesses with 10+ employees. International comparison data are available via the OECD, ICT Access and Usage by Businesses Database, 2018.</w:t>
            </w:r>
          </w:p>
        </w:tc>
      </w:tr>
      <w:tr w:rsidR="006559D1" w:rsidRPr="00BA20A0" w14:paraId="7E191F38" w14:textId="77777777" w:rsidTr="00FC24CC">
        <w:tc>
          <w:tcPr>
            <w:tcW w:w="562" w:type="dxa"/>
            <w:vMerge/>
            <w:shd w:val="clear" w:color="auto" w:fill="B79BC9"/>
            <w:textDirection w:val="btLr"/>
            <w:vAlign w:val="center"/>
          </w:tcPr>
          <w:p w14:paraId="538EA03F" w14:textId="77777777" w:rsidR="006559D1" w:rsidRPr="00BA20A0" w:rsidRDefault="006559D1" w:rsidP="00BA20A0">
            <w:pPr>
              <w:spacing w:after="0" w:line="240" w:lineRule="auto"/>
              <w:ind w:left="113" w:right="113"/>
              <w:jc w:val="center"/>
              <w:rPr>
                <w:rFonts w:ascii="Calibri" w:eastAsia="Calibri" w:hAnsi="Calibri" w:cs="Times New Roman"/>
                <w:kern w:val="0"/>
                <w:sz w:val="22"/>
                <w:szCs w:val="22"/>
                <w:lang w:val="en-AU"/>
              </w:rPr>
            </w:pPr>
          </w:p>
        </w:tc>
        <w:tc>
          <w:tcPr>
            <w:tcW w:w="567" w:type="dxa"/>
            <w:vMerge/>
            <w:textDirection w:val="btLr"/>
            <w:vAlign w:val="center"/>
          </w:tcPr>
          <w:p w14:paraId="21A66FF9" w14:textId="77777777" w:rsidR="006559D1" w:rsidRPr="00BA20A0" w:rsidRDefault="006559D1"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single" w:sz="6" w:space="0" w:color="000000"/>
              <w:left w:val="single" w:sz="6" w:space="0" w:color="000000"/>
              <w:bottom w:val="single" w:sz="4" w:space="0" w:color="auto"/>
              <w:right w:val="single" w:sz="6" w:space="0" w:color="000000"/>
            </w:tcBorders>
          </w:tcPr>
          <w:p w14:paraId="08509F43" w14:textId="11C40E24" w:rsidR="006559D1" w:rsidRPr="00FC24CC" w:rsidRDefault="006559D1" w:rsidP="00FC24CC">
            <w:pPr>
              <w:tabs>
                <w:tab w:val="left" w:pos="216"/>
                <w:tab w:val="left" w:pos="360"/>
              </w:tabs>
              <w:spacing w:after="0" w:line="240" w:lineRule="auto"/>
              <w:ind w:right="360"/>
              <w:textAlignment w:val="baseline"/>
              <w:rPr>
                <w:rFonts w:ascii="Calibri" w:eastAsia="Arial" w:hAnsi="Calibri" w:cs="Times New Roman"/>
                <w:color w:val="373737"/>
                <w:spacing w:val="-2"/>
                <w:kern w:val="0"/>
                <w:sz w:val="16"/>
                <w:szCs w:val="18"/>
                <w:lang w:val="en-US"/>
              </w:rPr>
            </w:pPr>
            <w:r w:rsidRPr="00BA20A0">
              <w:rPr>
                <w:rFonts w:ascii="Calibri" w:eastAsia="Arial" w:hAnsi="Calibri" w:cs="Times New Roman"/>
                <w:color w:val="373737"/>
                <w:spacing w:val="-2"/>
                <w:kern w:val="0"/>
                <w:sz w:val="16"/>
                <w:szCs w:val="18"/>
                <w:lang w:val="en-US"/>
              </w:rPr>
              <w:t>5. Businesses collaborating on innovation, % of all businesses with 10+ employees</w:t>
            </w:r>
            <w:r>
              <w:rPr>
                <w:rFonts w:ascii="Calibri" w:eastAsia="Arial" w:hAnsi="Calibri" w:cs="Times New Roman"/>
                <w:color w:val="373737"/>
                <w:spacing w:val="-2"/>
                <w:kern w:val="0"/>
                <w:sz w:val="16"/>
                <w:szCs w:val="18"/>
                <w:lang w:val="en-US"/>
              </w:rPr>
              <w:t xml:space="preserve">  </w:t>
            </w:r>
            <w:r w:rsidRPr="00BA20A0">
              <w:rPr>
                <w:rFonts w:ascii="Calibri" w:eastAsia="Arial" w:hAnsi="Calibri" w:cs="Times New Roman"/>
                <w:color w:val="373737"/>
                <w:kern w:val="0"/>
                <w:sz w:val="16"/>
                <w:szCs w:val="18"/>
                <w:lang w:val="en-US"/>
              </w:rPr>
              <w:t>(this measure is a proxy for inputs into business investment in management practices and business organisation)</w:t>
            </w:r>
          </w:p>
        </w:tc>
        <w:tc>
          <w:tcPr>
            <w:tcW w:w="6662" w:type="dxa"/>
            <w:tcBorders>
              <w:top w:val="single" w:sz="6" w:space="0" w:color="000000"/>
              <w:left w:val="single" w:sz="6" w:space="0" w:color="000000"/>
              <w:bottom w:val="single" w:sz="4" w:space="0" w:color="auto"/>
              <w:right w:val="single" w:sz="6" w:space="0" w:color="000000"/>
            </w:tcBorders>
          </w:tcPr>
          <w:p w14:paraId="17FA8F6E" w14:textId="77777777" w:rsidR="006559D1" w:rsidRPr="00BA20A0" w:rsidRDefault="006559D1" w:rsidP="00D7216E">
            <w:pPr>
              <w:spacing w:after="0" w:line="240" w:lineRule="auto"/>
              <w:ind w:right="360"/>
              <w:contextualSpacing/>
              <w:textAlignment w:val="baseline"/>
              <w:rPr>
                <w:rFonts w:ascii="Calibri" w:eastAsia="Arial" w:hAnsi="Calibri" w:cs="Calibri"/>
                <w:color w:val="373737"/>
                <w:spacing w:val="-1"/>
                <w:kern w:val="0"/>
                <w:sz w:val="16"/>
                <w:szCs w:val="22"/>
                <w:lang w:val="en-US"/>
              </w:rPr>
            </w:pPr>
            <w:r w:rsidRPr="00BA20A0">
              <w:rPr>
                <w:rFonts w:ascii="Calibri" w:eastAsia="Arial" w:hAnsi="Calibri" w:cs="Calibri"/>
                <w:color w:val="373737"/>
                <w:spacing w:val="-1"/>
                <w:kern w:val="0"/>
                <w:sz w:val="16"/>
                <w:szCs w:val="22"/>
                <w:lang w:val="en-US"/>
              </w:rPr>
              <w:t>This reports on the proportion of businesses with 10 or more employees that collaborated for the purposes of innovation as a percentage of all businesses.</w:t>
            </w:r>
          </w:p>
          <w:p w14:paraId="025D2A62" w14:textId="77777777" w:rsidR="006559D1" w:rsidRPr="00BA20A0" w:rsidRDefault="006559D1" w:rsidP="00D7216E">
            <w:pPr>
              <w:spacing w:after="0" w:line="240" w:lineRule="auto"/>
              <w:ind w:right="360"/>
              <w:contextualSpacing/>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This annual figure on the scorecard is calculated based on the proportion of all businesses that are innovative (55.9% – OECD table 1). This proportion is multiplied with the proportion of innovative businesses that have collaborated for the purposes of innovation (22.5% – OECD table 15) = (12.6% of all businesses with 10+ employees).</w:t>
            </w:r>
          </w:p>
        </w:tc>
        <w:tc>
          <w:tcPr>
            <w:tcW w:w="4394" w:type="dxa"/>
            <w:tcBorders>
              <w:top w:val="single" w:sz="6" w:space="0" w:color="000000"/>
              <w:left w:val="single" w:sz="6" w:space="0" w:color="000000"/>
              <w:bottom w:val="single" w:sz="4" w:space="0" w:color="auto"/>
              <w:right w:val="single" w:sz="4" w:space="0" w:color="auto"/>
            </w:tcBorders>
          </w:tcPr>
          <w:p w14:paraId="4B2FA6A7" w14:textId="707D3A2F" w:rsidR="006559D1" w:rsidRPr="00BA20A0" w:rsidRDefault="006559D1" w:rsidP="00D7216E">
            <w:pPr>
              <w:spacing w:after="0" w:line="240" w:lineRule="auto"/>
              <w:ind w:right="252"/>
              <w:contextualSpacing/>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ABS Cat. No.8158.0 (superceded by 8167.0) – Australian data are sourced from ABS customised data and are for businesses with 10+ employees. International comparison data are available via OECD innovation indicators (</w:t>
            </w:r>
            <w:hyperlink r:id="rId37" w:history="1">
              <w:r w:rsidRPr="00521D51">
                <w:rPr>
                  <w:rStyle w:val="Hyperlink"/>
                  <w:rFonts w:ascii="Calibri" w:eastAsia="Arial" w:hAnsi="Calibri" w:cs="Calibri"/>
                  <w:kern w:val="0"/>
                  <w:sz w:val="16"/>
                  <w:szCs w:val="22"/>
                  <w:lang w:val="en-US"/>
                </w:rPr>
                <w:t>www.oecd.org/sti/inno-stats.htm).</w:t>
              </w:r>
            </w:hyperlink>
            <w:r w:rsidRPr="00BA20A0">
              <w:rPr>
                <w:rFonts w:ascii="Calibri" w:eastAsia="Arial" w:hAnsi="Calibri" w:cs="Calibri"/>
                <w:color w:val="373737"/>
                <w:kern w:val="0"/>
                <w:sz w:val="16"/>
                <w:szCs w:val="22"/>
                <w:lang w:val="en-US"/>
              </w:rPr>
              <w:t xml:space="preserve"> </w:t>
            </w:r>
          </w:p>
        </w:tc>
      </w:tr>
      <w:tr w:rsidR="003B50EF" w:rsidRPr="00BA20A0" w14:paraId="56DAF659" w14:textId="77777777" w:rsidTr="003B50EF">
        <w:trPr>
          <w:cantSplit/>
          <w:trHeight w:val="1134"/>
        </w:trPr>
        <w:tc>
          <w:tcPr>
            <w:tcW w:w="562" w:type="dxa"/>
            <w:vMerge w:val="restart"/>
            <w:shd w:val="clear" w:color="auto" w:fill="B79BC9"/>
            <w:textDirection w:val="btLr"/>
          </w:tcPr>
          <w:p w14:paraId="24CFB449" w14:textId="59107FA0" w:rsidR="003B50EF" w:rsidRPr="00BA20A0" w:rsidRDefault="00FE710E" w:rsidP="00FE710E">
            <w:pPr>
              <w:spacing w:after="0" w:line="240" w:lineRule="auto"/>
              <w:ind w:left="113" w:right="113"/>
              <w:jc w:val="center"/>
              <w:rPr>
                <w:rFonts w:ascii="Calibri" w:eastAsia="Calibri" w:hAnsi="Calibri" w:cs="Times New Roman"/>
                <w:kern w:val="0"/>
                <w:sz w:val="22"/>
                <w:szCs w:val="22"/>
                <w:lang w:val="en-AU"/>
              </w:rPr>
            </w:pPr>
            <w:r>
              <w:rPr>
                <w:rFonts w:ascii="Calibri" w:eastAsia="Calibri" w:hAnsi="Calibri" w:cs="Times New Roman"/>
                <w:b/>
                <w:color w:val="FFFFFF"/>
                <w:kern w:val="0"/>
                <w:sz w:val="22"/>
                <w:szCs w:val="22"/>
                <w:lang w:val="en-AU"/>
              </w:rPr>
              <w:lastRenderedPageBreak/>
              <w:t>Business ac</w:t>
            </w:r>
            <w:r w:rsidR="003B50EF" w:rsidRPr="00BA20A0">
              <w:rPr>
                <w:rFonts w:ascii="Calibri" w:eastAsia="Calibri" w:hAnsi="Calibri" w:cs="Times New Roman"/>
                <w:b/>
                <w:color w:val="FFFFFF"/>
                <w:kern w:val="0"/>
                <w:sz w:val="22"/>
                <w:szCs w:val="22"/>
                <w:lang w:val="en-AU"/>
              </w:rPr>
              <w:t>tivities</w:t>
            </w:r>
          </w:p>
        </w:tc>
        <w:tc>
          <w:tcPr>
            <w:tcW w:w="567" w:type="dxa"/>
            <w:vMerge w:val="restart"/>
            <w:textDirection w:val="btLr"/>
            <w:vAlign w:val="center"/>
          </w:tcPr>
          <w:p w14:paraId="4F44219F" w14:textId="326A4BB0" w:rsidR="003B50EF" w:rsidRPr="00BA20A0" w:rsidRDefault="003B50EF" w:rsidP="00BA20A0">
            <w:pPr>
              <w:spacing w:after="0" w:line="240" w:lineRule="auto"/>
              <w:ind w:left="113" w:right="113"/>
              <w:jc w:val="center"/>
              <w:rPr>
                <w:rFonts w:ascii="Calibri" w:eastAsia="Calibri" w:hAnsi="Calibri" w:cs="Times New Roman"/>
                <w:b/>
                <w:kern w:val="0"/>
                <w:sz w:val="22"/>
                <w:szCs w:val="22"/>
                <w:lang w:val="en-AU"/>
              </w:rPr>
            </w:pPr>
            <w:r w:rsidRPr="00BA20A0">
              <w:rPr>
                <w:rFonts w:ascii="Calibri" w:eastAsia="Calibri" w:hAnsi="Calibri" w:cs="Times New Roman"/>
                <w:b/>
                <w:color w:val="B79BC9"/>
                <w:kern w:val="0"/>
                <w:sz w:val="22"/>
                <w:szCs w:val="22"/>
                <w:lang w:val="en-AU"/>
              </w:rPr>
              <w:t>Outputs</w:t>
            </w:r>
          </w:p>
        </w:tc>
        <w:tc>
          <w:tcPr>
            <w:tcW w:w="3119" w:type="dxa"/>
            <w:tcBorders>
              <w:top w:val="single" w:sz="4" w:space="0" w:color="auto"/>
              <w:left w:val="single" w:sz="4" w:space="0" w:color="auto"/>
              <w:bottom w:val="single" w:sz="4" w:space="0" w:color="auto"/>
              <w:right w:val="single" w:sz="6" w:space="0" w:color="000000"/>
            </w:tcBorders>
          </w:tcPr>
          <w:p w14:paraId="03CAA715" w14:textId="77777777" w:rsidR="003B50EF" w:rsidRPr="00BA20A0" w:rsidRDefault="003B50EF" w:rsidP="00D7216E">
            <w:pPr>
              <w:tabs>
                <w:tab w:val="left" w:pos="216"/>
                <w:tab w:val="left" w:pos="360"/>
              </w:tabs>
              <w:spacing w:after="0" w:line="240" w:lineRule="auto"/>
              <w:textAlignment w:val="baseline"/>
              <w:rPr>
                <w:rFonts w:ascii="Calibri" w:eastAsia="Arial" w:hAnsi="Calibri" w:cs="Times New Roman"/>
                <w:color w:val="373737"/>
                <w:kern w:val="0"/>
                <w:sz w:val="16"/>
                <w:szCs w:val="16"/>
                <w:lang w:val="en-US"/>
              </w:rPr>
            </w:pPr>
            <w:r w:rsidRPr="00BA20A0">
              <w:rPr>
                <w:rFonts w:ascii="Calibri" w:eastAsia="Arial" w:hAnsi="Calibri" w:cs="Times New Roman"/>
                <w:color w:val="373737"/>
                <w:kern w:val="0"/>
                <w:sz w:val="16"/>
                <w:szCs w:val="16"/>
                <w:lang w:val="en-US"/>
              </w:rPr>
              <w:t>6. Proportion of businesses with more than 25% of income from sales due to innovation, % of all businesses with 10+ employees</w:t>
            </w:r>
          </w:p>
          <w:p w14:paraId="1C260229" w14:textId="30C4D48A"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Times New Roman"/>
                <w:color w:val="373737"/>
                <w:kern w:val="0"/>
                <w:sz w:val="16"/>
                <w:szCs w:val="16"/>
                <w:lang w:val="en-US"/>
              </w:rPr>
              <w:t>(this measure is a proxy for multiple productivity drivers including physical, human and knowledge-based capital as outputs)</w:t>
            </w:r>
          </w:p>
        </w:tc>
        <w:tc>
          <w:tcPr>
            <w:tcW w:w="6662" w:type="dxa"/>
            <w:tcBorders>
              <w:top w:val="single" w:sz="4" w:space="0" w:color="auto"/>
              <w:left w:val="single" w:sz="6" w:space="0" w:color="000000"/>
              <w:bottom w:val="single" w:sz="4" w:space="0" w:color="auto"/>
              <w:right w:val="single" w:sz="6" w:space="0" w:color="000000"/>
            </w:tcBorders>
          </w:tcPr>
          <w:p w14:paraId="792D94EA" w14:textId="77777777" w:rsidR="003B50EF" w:rsidRPr="00BA20A0" w:rsidRDefault="003B50EF" w:rsidP="00D7216E">
            <w:pPr>
              <w:spacing w:after="0" w:line="240" w:lineRule="auto"/>
              <w:ind w:right="180"/>
              <w:textAlignment w:val="baseline"/>
              <w:rPr>
                <w:rFonts w:ascii="Calibri" w:eastAsia="Arial" w:hAnsi="Calibri" w:cs="Times New Roman"/>
                <w:color w:val="373737"/>
                <w:kern w:val="0"/>
                <w:sz w:val="16"/>
                <w:szCs w:val="16"/>
                <w:lang w:val="en-US"/>
              </w:rPr>
            </w:pPr>
            <w:r w:rsidRPr="00BA20A0">
              <w:rPr>
                <w:rFonts w:ascii="Calibri" w:eastAsia="Arial" w:hAnsi="Calibri" w:cs="Times New Roman"/>
                <w:color w:val="373737"/>
                <w:kern w:val="0"/>
                <w:sz w:val="16"/>
                <w:szCs w:val="16"/>
                <w:lang w:val="en-US"/>
              </w:rPr>
              <w:t>This reports the proportion of businesses with 10 or more employees that have reported more than 25% income from sales from innovative products introduced by the company in the previous year.</w:t>
            </w:r>
          </w:p>
          <w:p w14:paraId="64B6D3C9"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Times New Roman"/>
                <w:color w:val="373737"/>
                <w:kern w:val="0"/>
                <w:sz w:val="16"/>
                <w:szCs w:val="16"/>
                <w:lang w:val="en-US"/>
              </w:rPr>
              <w:t>While the data is based on self-assessment, it is the best that is currently available. The OECD will be investigating similar intensity-based metrics in their forthcoming release (Q4 2019) and this may provide an internationally comparable data source for future Scorecards. The metric will be reviewed when further international data is available.</w:t>
            </w:r>
          </w:p>
        </w:tc>
        <w:tc>
          <w:tcPr>
            <w:tcW w:w="4394" w:type="dxa"/>
            <w:tcBorders>
              <w:top w:val="single" w:sz="4" w:space="0" w:color="auto"/>
              <w:left w:val="single" w:sz="6" w:space="0" w:color="000000"/>
              <w:bottom w:val="single" w:sz="4" w:space="0" w:color="auto"/>
              <w:right w:val="single" w:sz="4" w:space="0" w:color="auto"/>
            </w:tcBorders>
          </w:tcPr>
          <w:p w14:paraId="54E7ACBF"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Times New Roman"/>
                <w:color w:val="373737"/>
                <w:spacing w:val="1"/>
                <w:kern w:val="0"/>
                <w:sz w:val="16"/>
                <w:szCs w:val="16"/>
                <w:lang w:val="en-US"/>
              </w:rPr>
              <w:t>ABS Cat. No.8158.0 (superseded by 8167.0) – Australian data are sourced from ABS customised data and are for businesses with 10+ employees. (Goods and Services Innovation Cube, table 6, further ABS calculation)</w:t>
            </w:r>
          </w:p>
        </w:tc>
      </w:tr>
      <w:tr w:rsidR="003B50EF" w:rsidRPr="00BA20A0" w14:paraId="587E5302" w14:textId="77777777" w:rsidTr="003B50EF">
        <w:tc>
          <w:tcPr>
            <w:tcW w:w="562" w:type="dxa"/>
            <w:vMerge/>
            <w:shd w:val="clear" w:color="auto" w:fill="B79BC9"/>
            <w:textDirection w:val="btLr"/>
            <w:vAlign w:val="center"/>
          </w:tcPr>
          <w:p w14:paraId="2929A1CE" w14:textId="65636BE9"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567" w:type="dxa"/>
            <w:vMerge/>
            <w:textDirection w:val="btLr"/>
            <w:vAlign w:val="center"/>
          </w:tcPr>
          <w:p w14:paraId="3D311DC6" w14:textId="16FCD956"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single" w:sz="4" w:space="0" w:color="auto"/>
              <w:left w:val="single" w:sz="4" w:space="0" w:color="auto"/>
              <w:bottom w:val="single" w:sz="4" w:space="0" w:color="auto"/>
              <w:right w:val="single" w:sz="6" w:space="0" w:color="000000"/>
            </w:tcBorders>
          </w:tcPr>
          <w:p w14:paraId="205008C7" w14:textId="77777777" w:rsidR="003B50EF" w:rsidRPr="00BA20A0" w:rsidRDefault="003B50EF" w:rsidP="00D7216E">
            <w:pPr>
              <w:tabs>
                <w:tab w:val="left" w:pos="216"/>
                <w:tab w:val="left" w:pos="360"/>
              </w:tabs>
              <w:spacing w:after="0" w:line="240" w:lineRule="auto"/>
              <w:textAlignment w:val="baseline"/>
              <w:rPr>
                <w:rFonts w:ascii="Calibri" w:eastAsia="Arial" w:hAnsi="Calibri" w:cs="Times New Roman"/>
                <w:color w:val="373737"/>
                <w:kern w:val="0"/>
                <w:sz w:val="16"/>
                <w:szCs w:val="16"/>
                <w:lang w:val="en-US"/>
              </w:rPr>
            </w:pPr>
            <w:r w:rsidRPr="00BA20A0">
              <w:rPr>
                <w:rFonts w:ascii="Calibri" w:eastAsia="Arial" w:hAnsi="Calibri" w:cs="Times New Roman"/>
                <w:color w:val="373737"/>
                <w:kern w:val="0"/>
                <w:sz w:val="16"/>
                <w:szCs w:val="16"/>
                <w:lang w:val="en-US"/>
              </w:rPr>
              <w:t xml:space="preserve">7. High-growth enterprise rate </w:t>
            </w:r>
            <w:r w:rsidRPr="00BA20A0">
              <w:rPr>
                <w:rFonts w:ascii="Calibri" w:eastAsia="Arial" w:hAnsi="Calibri" w:cs="Times New Roman"/>
                <w:color w:val="373737"/>
                <w:kern w:val="0"/>
                <w:sz w:val="16"/>
                <w:szCs w:val="16"/>
                <w:lang w:val="en-US"/>
              </w:rPr>
              <w:br/>
              <w:t xml:space="preserve">based on sales growth, % of all </w:t>
            </w:r>
            <w:r w:rsidRPr="00BA20A0">
              <w:rPr>
                <w:rFonts w:ascii="Calibri" w:eastAsia="Arial" w:hAnsi="Calibri" w:cs="Times New Roman"/>
                <w:color w:val="373737"/>
                <w:kern w:val="0"/>
                <w:sz w:val="16"/>
                <w:szCs w:val="16"/>
                <w:lang w:val="en-US"/>
              </w:rPr>
              <w:br/>
              <w:t>businesses with 10+ employees</w:t>
            </w:r>
          </w:p>
          <w:p w14:paraId="396D7796"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Times New Roman"/>
                <w:color w:val="373737"/>
                <w:kern w:val="0"/>
                <w:sz w:val="16"/>
                <w:szCs w:val="16"/>
                <w:lang w:val="en-US"/>
              </w:rPr>
              <w:t>(this measure is a proxy for economies of scale and scope)</w:t>
            </w:r>
          </w:p>
        </w:tc>
        <w:tc>
          <w:tcPr>
            <w:tcW w:w="6662" w:type="dxa"/>
            <w:tcBorders>
              <w:top w:val="single" w:sz="4" w:space="0" w:color="auto"/>
              <w:left w:val="single" w:sz="6" w:space="0" w:color="000000"/>
              <w:bottom w:val="single" w:sz="4" w:space="0" w:color="auto"/>
              <w:right w:val="single" w:sz="6" w:space="0" w:color="000000"/>
            </w:tcBorders>
          </w:tcPr>
          <w:p w14:paraId="37917F4C"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Times New Roman"/>
                <w:color w:val="373737"/>
                <w:kern w:val="0"/>
                <w:sz w:val="16"/>
                <w:szCs w:val="16"/>
                <w:lang w:val="en-US"/>
              </w:rPr>
              <w:t>High-growth enterprises have an average annualised sales revenue growth of over 20% per year over a 3-year period, and had 10 or more employees at the beginning of the observation period.</w:t>
            </w:r>
          </w:p>
        </w:tc>
        <w:tc>
          <w:tcPr>
            <w:tcW w:w="4394" w:type="dxa"/>
            <w:tcBorders>
              <w:top w:val="single" w:sz="4" w:space="0" w:color="auto"/>
              <w:left w:val="single" w:sz="6" w:space="0" w:color="000000"/>
              <w:bottom w:val="single" w:sz="4" w:space="0" w:color="auto"/>
              <w:right w:val="single" w:sz="4" w:space="0" w:color="auto"/>
            </w:tcBorders>
          </w:tcPr>
          <w:p w14:paraId="63CD5D3A"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Times New Roman"/>
                <w:color w:val="373737"/>
                <w:kern w:val="0"/>
                <w:sz w:val="16"/>
                <w:szCs w:val="16"/>
                <w:lang w:val="en-US"/>
              </w:rPr>
              <w:t>Australian data are sourced from ABS BLADE customised data. A summary of these data is available on the</w:t>
            </w:r>
            <w:hyperlink r:id="rId38" w:history="1">
              <w:r w:rsidRPr="00BA20A0">
                <w:rPr>
                  <w:rFonts w:ascii="Calibri" w:eastAsia="Arial" w:hAnsi="Calibri" w:cs="Times New Roman"/>
                  <w:color w:val="0000FF"/>
                  <w:kern w:val="0"/>
                  <w:sz w:val="16"/>
                  <w:szCs w:val="16"/>
                  <w:u w:val="single"/>
                  <w:lang w:val="en-US"/>
                </w:rPr>
                <w:t xml:space="preserve"> AIS </w:t>
              </w:r>
            </w:hyperlink>
            <w:r w:rsidRPr="00BA20A0">
              <w:rPr>
                <w:rFonts w:ascii="Calibri" w:eastAsia="Arial" w:hAnsi="Calibri" w:cs="Times New Roman"/>
                <w:color w:val="005CAE"/>
                <w:kern w:val="0"/>
                <w:sz w:val="16"/>
                <w:szCs w:val="16"/>
                <w:lang w:val="en-US"/>
              </w:rPr>
              <w:t>Monitor.</w:t>
            </w:r>
            <w:r w:rsidRPr="00BA20A0">
              <w:rPr>
                <w:rFonts w:ascii="Calibri" w:eastAsia="Arial" w:hAnsi="Calibri" w:cs="Times New Roman"/>
                <w:color w:val="373737"/>
                <w:kern w:val="0"/>
                <w:sz w:val="16"/>
                <w:szCs w:val="16"/>
                <w:lang w:val="en-US"/>
              </w:rPr>
              <w:t xml:space="preserve"> International comparison data are available at the OECD Structural and Demographic Business Statistics (SDBS) database on high growth enterprise rates.</w:t>
            </w:r>
          </w:p>
        </w:tc>
      </w:tr>
      <w:tr w:rsidR="003B50EF" w:rsidRPr="00BA20A0" w14:paraId="2BA11424" w14:textId="77777777" w:rsidTr="00FC24CC">
        <w:tc>
          <w:tcPr>
            <w:tcW w:w="562" w:type="dxa"/>
            <w:vMerge/>
            <w:shd w:val="clear" w:color="auto" w:fill="B79BC9"/>
          </w:tcPr>
          <w:p w14:paraId="014364DF" w14:textId="77777777" w:rsidR="003B50EF" w:rsidRPr="00BA20A0" w:rsidRDefault="003B50EF" w:rsidP="00BA20A0">
            <w:pPr>
              <w:spacing w:after="0" w:line="240" w:lineRule="auto"/>
              <w:rPr>
                <w:rFonts w:ascii="Calibri" w:eastAsia="Calibri" w:hAnsi="Calibri" w:cs="Times New Roman"/>
                <w:kern w:val="0"/>
                <w:sz w:val="22"/>
                <w:szCs w:val="22"/>
                <w:lang w:val="en-AU"/>
              </w:rPr>
            </w:pPr>
          </w:p>
        </w:tc>
        <w:tc>
          <w:tcPr>
            <w:tcW w:w="567" w:type="dxa"/>
            <w:vMerge/>
            <w:textDirection w:val="btLr"/>
            <w:vAlign w:val="center"/>
          </w:tcPr>
          <w:p w14:paraId="11817D21" w14:textId="77777777"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single" w:sz="4" w:space="0" w:color="auto"/>
              <w:left w:val="single" w:sz="4" w:space="0" w:color="auto"/>
              <w:bottom w:val="single" w:sz="4" w:space="0" w:color="auto"/>
              <w:right w:val="single" w:sz="6" w:space="0" w:color="000000"/>
            </w:tcBorders>
          </w:tcPr>
          <w:p w14:paraId="2FAA24B8"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8. Intellectual property rights filed overseas per billion GDP (constant 2010 US$)</w:t>
            </w:r>
          </w:p>
          <w:p w14:paraId="2D4F81FF"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(this measure is a proxy for business investment in knowledge-based capital as an output)</w:t>
            </w:r>
          </w:p>
        </w:tc>
        <w:tc>
          <w:tcPr>
            <w:tcW w:w="6662" w:type="dxa"/>
            <w:tcBorders>
              <w:top w:val="single" w:sz="4" w:space="0" w:color="auto"/>
              <w:left w:val="single" w:sz="6" w:space="0" w:color="000000"/>
              <w:bottom w:val="single" w:sz="4" w:space="0" w:color="auto"/>
              <w:right w:val="single" w:sz="6" w:space="0" w:color="000000"/>
            </w:tcBorders>
          </w:tcPr>
          <w:p w14:paraId="5E3AD8FB"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The sum of the number of patent, trade mark (by class), industrial design (by class) and plant breeders’ rights applications filed at another country’s IP office by a country’s residents in a given year, divided by the country’s GDP (constant 2010 US$).</w:t>
            </w:r>
          </w:p>
          <w:p w14:paraId="12A3065E"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The filing of IP rights abroad signals export intentions, which in turn suggests the production of globally competitive products and services. Counting all IP rights includes innovative ideas across the economy, enabling comparison of a country’s performance in generating innovation</w:t>
            </w:r>
          </w:p>
          <w:p w14:paraId="1337F29B" w14:textId="77777777" w:rsidR="003B50EF" w:rsidRPr="00BA20A0" w:rsidRDefault="003B50EF" w:rsidP="00D7216E">
            <w:pPr>
              <w:spacing w:after="0" w:line="240" w:lineRule="auto"/>
              <w:textAlignment w:val="baseline"/>
              <w:rPr>
                <w:rFonts w:ascii="Calibri" w:eastAsia="Arial" w:hAnsi="Calibri" w:cs="Calibri"/>
                <w:color w:val="373737"/>
                <w:spacing w:val="1"/>
                <w:kern w:val="0"/>
                <w:sz w:val="16"/>
                <w:szCs w:val="16"/>
                <w:lang w:val="en-US"/>
              </w:rPr>
            </w:pPr>
            <w:r w:rsidRPr="00BA20A0">
              <w:rPr>
                <w:rFonts w:ascii="Calibri" w:eastAsia="Arial" w:hAnsi="Calibri" w:cs="Calibri"/>
                <w:color w:val="373737"/>
                <w:spacing w:val="1"/>
                <w:kern w:val="0"/>
                <w:sz w:val="16"/>
                <w:szCs w:val="16"/>
                <w:lang w:val="en-US"/>
              </w:rPr>
              <w:t>For trade mark and industrial design applications, some offices allow single-class filing only, meaning that applicants have to file a separate application for each class. Others permit multi-class filings, enabling applicants to file a single application in which a number of classes can be specified. To improve international comparisons of the numbers of applications received, each trade mark and industrial design application will be counted for each class they relate to.</w:t>
            </w:r>
          </w:p>
          <w:p w14:paraId="6462EF76"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Applicants that file IP rights into the corresponding European IP office are counted once, despite the right being applicable for each member country signatory to that IP arrangement.</w:t>
            </w:r>
          </w:p>
        </w:tc>
        <w:tc>
          <w:tcPr>
            <w:tcW w:w="4394" w:type="dxa"/>
            <w:tcBorders>
              <w:top w:val="single" w:sz="4" w:space="0" w:color="auto"/>
              <w:left w:val="single" w:sz="6" w:space="0" w:color="000000"/>
              <w:bottom w:val="single" w:sz="4" w:space="0" w:color="auto"/>
              <w:right w:val="single" w:sz="4" w:space="0" w:color="auto"/>
            </w:tcBorders>
          </w:tcPr>
          <w:p w14:paraId="428962D3"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WIPO IP Statistics Data Center. Total foreign oriented patent applications (direct and PCT) by applicant origin. Total foreign oriented trade mark applications by class (direct and Madrid) by applicant origin. Total foreign oriented industrial design applications by class (direct and the Hague) by applicant origin. Total foreign oriented plant breeders rights applications (UPOV). GDP (constant 2010 US$) from the World Bank.</w:t>
            </w:r>
          </w:p>
        </w:tc>
      </w:tr>
      <w:tr w:rsidR="003B50EF" w:rsidRPr="00BA20A0" w14:paraId="7579E64D" w14:textId="77777777" w:rsidTr="003B50EF">
        <w:trPr>
          <w:cantSplit/>
          <w:trHeight w:val="1134"/>
        </w:trPr>
        <w:tc>
          <w:tcPr>
            <w:tcW w:w="562" w:type="dxa"/>
            <w:vMerge w:val="restart"/>
            <w:shd w:val="clear" w:color="auto" w:fill="8556A1"/>
            <w:textDirection w:val="btLr"/>
            <w:vAlign w:val="center"/>
          </w:tcPr>
          <w:p w14:paraId="5D8E7A99" w14:textId="6AD2F29D" w:rsidR="003B50EF" w:rsidRPr="00BA20A0" w:rsidRDefault="00FE710E" w:rsidP="00BA20A0">
            <w:pPr>
              <w:spacing w:after="0" w:line="240" w:lineRule="auto"/>
              <w:ind w:left="113" w:right="113"/>
              <w:jc w:val="center"/>
              <w:rPr>
                <w:rFonts w:ascii="Calibri" w:eastAsia="Calibri" w:hAnsi="Calibri" w:cs="Times New Roman"/>
                <w:b/>
                <w:kern w:val="0"/>
                <w:sz w:val="22"/>
                <w:szCs w:val="22"/>
                <w:lang w:val="en-AU"/>
              </w:rPr>
            </w:pPr>
            <w:r>
              <w:rPr>
                <w:rFonts w:ascii="Calibri" w:eastAsia="Calibri" w:hAnsi="Calibri" w:cs="Times New Roman"/>
                <w:b/>
                <w:color w:val="FFFFFF"/>
                <w:kern w:val="0"/>
                <w:sz w:val="22"/>
                <w:szCs w:val="22"/>
                <w:lang w:val="en-AU"/>
              </w:rPr>
              <w:t>Business e</w:t>
            </w:r>
            <w:r w:rsidR="003B50EF" w:rsidRPr="00BA20A0">
              <w:rPr>
                <w:rFonts w:ascii="Calibri" w:eastAsia="Calibri" w:hAnsi="Calibri" w:cs="Times New Roman"/>
                <w:b/>
                <w:color w:val="FFFFFF"/>
                <w:kern w:val="0"/>
                <w:sz w:val="22"/>
                <w:szCs w:val="22"/>
                <w:lang w:val="en-AU"/>
              </w:rPr>
              <w:t>nvironment</w:t>
            </w:r>
          </w:p>
        </w:tc>
        <w:tc>
          <w:tcPr>
            <w:tcW w:w="567" w:type="dxa"/>
            <w:vMerge w:val="restart"/>
            <w:textDirection w:val="btLr"/>
            <w:vAlign w:val="center"/>
          </w:tcPr>
          <w:p w14:paraId="3E023166" w14:textId="398DBC5B" w:rsidR="003B50EF" w:rsidRPr="00BA20A0" w:rsidRDefault="003B50EF" w:rsidP="00BA20A0">
            <w:pPr>
              <w:spacing w:after="0" w:line="240" w:lineRule="auto"/>
              <w:ind w:left="113" w:right="113"/>
              <w:jc w:val="center"/>
              <w:rPr>
                <w:rFonts w:ascii="Calibri" w:eastAsia="Calibri" w:hAnsi="Calibri" w:cs="Times New Roman"/>
                <w:b/>
                <w:kern w:val="0"/>
                <w:sz w:val="22"/>
                <w:szCs w:val="22"/>
                <w:lang w:val="en-AU"/>
              </w:rPr>
            </w:pPr>
            <w:r w:rsidRPr="00BA20A0">
              <w:rPr>
                <w:rFonts w:ascii="Calibri" w:eastAsia="Calibri" w:hAnsi="Calibri" w:cs="Times New Roman"/>
                <w:b/>
                <w:color w:val="8556A1"/>
                <w:kern w:val="0"/>
                <w:sz w:val="22"/>
                <w:szCs w:val="22"/>
                <w:lang w:val="en-AU"/>
              </w:rPr>
              <w:t>Inputs</w:t>
            </w:r>
          </w:p>
        </w:tc>
        <w:tc>
          <w:tcPr>
            <w:tcW w:w="3119" w:type="dxa"/>
            <w:tcBorders>
              <w:top w:val="single" w:sz="4" w:space="0" w:color="auto"/>
              <w:left w:val="single" w:sz="4" w:space="0" w:color="auto"/>
              <w:bottom w:val="single" w:sz="4" w:space="0" w:color="auto"/>
              <w:right w:val="single" w:sz="6" w:space="0" w:color="000000"/>
            </w:tcBorders>
          </w:tcPr>
          <w:p w14:paraId="752DEC85" w14:textId="77777777" w:rsidR="003B50EF" w:rsidRPr="00BA20A0" w:rsidRDefault="003B50EF" w:rsidP="00D7216E">
            <w:pPr>
              <w:tabs>
                <w:tab w:val="left" w:pos="216"/>
                <w:tab w:val="left" w:pos="360"/>
              </w:tabs>
              <w:spacing w:after="0" w:line="240" w:lineRule="auto"/>
              <w:ind w:right="180"/>
              <w:textAlignment w:val="baseline"/>
              <w:rPr>
                <w:rFonts w:ascii="Calibri" w:eastAsia="Arial" w:hAnsi="Calibri" w:cs="Calibri"/>
                <w:color w:val="373737"/>
                <w:spacing w:val="-2"/>
                <w:kern w:val="0"/>
                <w:sz w:val="16"/>
                <w:szCs w:val="16"/>
                <w:lang w:val="en-US"/>
              </w:rPr>
            </w:pPr>
            <w:r w:rsidRPr="00BA20A0">
              <w:rPr>
                <w:rFonts w:ascii="Calibri" w:eastAsia="Arial" w:hAnsi="Calibri" w:cs="Calibri"/>
                <w:color w:val="373737"/>
                <w:spacing w:val="-2"/>
                <w:kern w:val="0"/>
                <w:sz w:val="16"/>
                <w:szCs w:val="16"/>
                <w:lang w:val="en-US"/>
              </w:rPr>
              <w:t>9. Level of regulatory barriers to firm entry and competition – OECD Product Market Regulation</w:t>
            </w:r>
          </w:p>
          <w:p w14:paraId="7DD79BAE" w14:textId="77777777" w:rsidR="003B50EF" w:rsidRPr="00BA20A0" w:rsidRDefault="003B50EF" w:rsidP="00D7216E">
            <w:pPr>
              <w:tabs>
                <w:tab w:val="left" w:pos="216"/>
                <w:tab w:val="left" w:pos="360"/>
              </w:tabs>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(this measure is a proxy for the inputs into regulation and competition of businesses)</w:t>
            </w:r>
          </w:p>
        </w:tc>
        <w:tc>
          <w:tcPr>
            <w:tcW w:w="6662" w:type="dxa"/>
            <w:tcBorders>
              <w:top w:val="single" w:sz="4" w:space="0" w:color="auto"/>
              <w:left w:val="single" w:sz="6" w:space="0" w:color="000000"/>
              <w:bottom w:val="single" w:sz="4" w:space="0" w:color="auto"/>
              <w:right w:val="single" w:sz="6" w:space="0" w:color="000000"/>
            </w:tcBorders>
          </w:tcPr>
          <w:p w14:paraId="537C5BAB" w14:textId="77777777" w:rsidR="003B50EF" w:rsidRPr="00BA20A0" w:rsidRDefault="003B50EF" w:rsidP="00D7216E">
            <w:pPr>
              <w:spacing w:after="0" w:line="240" w:lineRule="auto"/>
              <w:ind w:right="468"/>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The OECD Product Market Regulation (PMR) measures the degree to which policies promote or inhibit competition in areas of the product market where competition is viable.</w:t>
            </w:r>
          </w:p>
          <w:p w14:paraId="64D599E4" w14:textId="77777777" w:rsidR="003B50EF" w:rsidRPr="00BA20A0" w:rsidRDefault="003B50EF" w:rsidP="00D7216E">
            <w:pPr>
              <w:spacing w:after="0" w:line="240" w:lineRule="auto"/>
              <w:ind w:right="180"/>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The PMR score is constructed from 18 base indicators that are grouped into two main components; Distortions induced by state involvement, and Barriers to domestic and Foreign Entry.</w:t>
            </w:r>
          </w:p>
          <w:p w14:paraId="717DB9CF"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A lower value indicates a better Product Market Regulation environment.</w:t>
            </w:r>
          </w:p>
        </w:tc>
        <w:tc>
          <w:tcPr>
            <w:tcW w:w="4394" w:type="dxa"/>
            <w:tcBorders>
              <w:top w:val="single" w:sz="4" w:space="0" w:color="auto"/>
              <w:left w:val="single" w:sz="6" w:space="0" w:color="000000"/>
              <w:bottom w:val="single" w:sz="4" w:space="0" w:color="auto"/>
              <w:right w:val="single" w:sz="4" w:space="0" w:color="auto"/>
            </w:tcBorders>
          </w:tcPr>
          <w:p w14:paraId="7F4E2F4F"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OECD Product Market Regulation database</w:t>
            </w:r>
          </w:p>
        </w:tc>
      </w:tr>
      <w:tr w:rsidR="003B50EF" w:rsidRPr="00BA20A0" w14:paraId="395BCC39" w14:textId="77777777" w:rsidTr="003B50EF">
        <w:trPr>
          <w:cantSplit/>
          <w:trHeight w:val="1134"/>
        </w:trPr>
        <w:tc>
          <w:tcPr>
            <w:tcW w:w="562" w:type="dxa"/>
            <w:vMerge/>
            <w:shd w:val="clear" w:color="auto" w:fill="8556A1"/>
            <w:textDirection w:val="btLr"/>
          </w:tcPr>
          <w:p w14:paraId="60851ADF" w14:textId="1689485B"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567" w:type="dxa"/>
            <w:vMerge/>
            <w:textDirection w:val="btLr"/>
            <w:vAlign w:val="center"/>
          </w:tcPr>
          <w:p w14:paraId="6D64C370" w14:textId="521B334F"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single" w:sz="4" w:space="0" w:color="auto"/>
              <w:left w:val="single" w:sz="4" w:space="0" w:color="auto"/>
              <w:bottom w:val="single" w:sz="4" w:space="0" w:color="auto"/>
              <w:right w:val="single" w:sz="4" w:space="0" w:color="auto"/>
            </w:tcBorders>
          </w:tcPr>
          <w:p w14:paraId="4DAA8524" w14:textId="77777777" w:rsidR="003B50EF" w:rsidRPr="00BA20A0" w:rsidRDefault="003B50EF" w:rsidP="00D7216E">
            <w:pPr>
              <w:tabs>
                <w:tab w:val="left" w:pos="288"/>
                <w:tab w:val="left" w:pos="432"/>
              </w:tabs>
              <w:spacing w:after="0" w:line="240" w:lineRule="auto"/>
              <w:ind w:right="180"/>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10. Venture capital investment (funds invested in businesses), % of GDP</w:t>
            </w:r>
          </w:p>
          <w:p w14:paraId="21C28DD2" w14:textId="77777777" w:rsidR="003B50EF" w:rsidRPr="00BA20A0" w:rsidRDefault="003B50EF" w:rsidP="00D7216E">
            <w:pPr>
              <w:spacing w:after="0" w:line="240" w:lineRule="auto"/>
              <w:ind w:right="180"/>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(this measure is a proxy for inputs into trade and investment for business)</w:t>
            </w:r>
          </w:p>
        </w:tc>
        <w:tc>
          <w:tcPr>
            <w:tcW w:w="6662" w:type="dxa"/>
            <w:tcBorders>
              <w:top w:val="single" w:sz="6" w:space="0" w:color="000000"/>
              <w:left w:val="single" w:sz="6" w:space="0" w:color="000000"/>
              <w:bottom w:val="single" w:sz="6" w:space="0" w:color="000000"/>
              <w:right w:val="single" w:sz="6" w:space="0" w:color="000000"/>
            </w:tcBorders>
          </w:tcPr>
          <w:p w14:paraId="3FC77FAA" w14:textId="77777777" w:rsidR="003B50EF" w:rsidRPr="00BA20A0" w:rsidRDefault="003B50EF" w:rsidP="00D7216E">
            <w:pPr>
              <w:spacing w:after="0" w:line="240" w:lineRule="auto"/>
              <w:ind w:right="432"/>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The ABS defines VC as investment at the pre-seed, seed, start-up, and early expansion stages of business development. This is a measure of new investment by funds into businesses during the financial year.</w:t>
            </w:r>
          </w:p>
          <w:p w14:paraId="63797672" w14:textId="77777777" w:rsidR="003B50EF" w:rsidRPr="00BA20A0" w:rsidRDefault="003B50EF" w:rsidP="00D7216E">
            <w:pPr>
              <w:spacing w:after="0" w:line="240" w:lineRule="auto"/>
              <w:ind w:right="432"/>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Capital investment is vital to help innovative start-ups and young businesses commercialise technologies and turn research into new products. This measures the annual amount of equity investments made to support the pre-seed, seed, start-up and early expansion stages of business development, measured as a percentage of national GDP.</w:t>
            </w:r>
          </w:p>
        </w:tc>
        <w:tc>
          <w:tcPr>
            <w:tcW w:w="4394" w:type="dxa"/>
            <w:tcBorders>
              <w:top w:val="single" w:sz="6" w:space="0" w:color="000000"/>
              <w:left w:val="single" w:sz="6" w:space="0" w:color="000000"/>
              <w:bottom w:val="single" w:sz="6" w:space="0" w:color="000000"/>
              <w:right w:val="single" w:sz="4" w:space="0" w:color="auto"/>
            </w:tcBorders>
          </w:tcPr>
          <w:p w14:paraId="45C1DD83" w14:textId="77777777" w:rsidR="003B50EF" w:rsidRPr="00BA20A0" w:rsidRDefault="003B50EF" w:rsidP="00D7216E">
            <w:pPr>
              <w:spacing w:after="0" w:line="240" w:lineRule="auto"/>
              <w:ind w:right="252"/>
              <w:contextualSpacing/>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ABS Cat. No, 5678.0 – VC&amp;LSPE. International comparison data are from OECD Entrepreneurship at a Glance.</w:t>
            </w:r>
          </w:p>
        </w:tc>
      </w:tr>
      <w:tr w:rsidR="003B50EF" w:rsidRPr="00BA20A0" w14:paraId="7F139FD3" w14:textId="77777777" w:rsidTr="003B50EF">
        <w:trPr>
          <w:cantSplit/>
          <w:trHeight w:val="1134"/>
        </w:trPr>
        <w:tc>
          <w:tcPr>
            <w:tcW w:w="562" w:type="dxa"/>
            <w:vMerge/>
            <w:shd w:val="clear" w:color="auto" w:fill="8556A1"/>
            <w:textDirection w:val="btLr"/>
            <w:vAlign w:val="center"/>
          </w:tcPr>
          <w:p w14:paraId="11B67430" w14:textId="0C1E1E59"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567" w:type="dxa"/>
            <w:vMerge/>
            <w:textDirection w:val="btLr"/>
            <w:vAlign w:val="center"/>
          </w:tcPr>
          <w:p w14:paraId="1F9401DF" w14:textId="41456B4F"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single" w:sz="4" w:space="0" w:color="auto"/>
              <w:left w:val="single" w:sz="4" w:space="0" w:color="auto"/>
              <w:bottom w:val="single" w:sz="4" w:space="0" w:color="auto"/>
              <w:right w:val="single" w:sz="4" w:space="0" w:color="auto"/>
            </w:tcBorders>
          </w:tcPr>
          <w:p w14:paraId="0C1896D7" w14:textId="77777777" w:rsidR="003B50EF" w:rsidRPr="00BA20A0" w:rsidRDefault="003B50EF" w:rsidP="00D7216E">
            <w:pPr>
              <w:tabs>
                <w:tab w:val="left" w:pos="216"/>
                <w:tab w:val="left" w:pos="360"/>
              </w:tabs>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11. Permanent migrants and non-student temporary entrants with higher education qualifications, % of the labour force</w:t>
            </w:r>
          </w:p>
          <w:p w14:paraId="265F6CE1" w14:textId="77777777" w:rsidR="003B50EF" w:rsidRPr="00BA20A0" w:rsidRDefault="003B50EF" w:rsidP="00D7216E">
            <w:pPr>
              <w:tabs>
                <w:tab w:val="left" w:pos="216"/>
                <w:tab w:val="left" w:pos="360"/>
              </w:tabs>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(this measure is a proxy for inputs into demand and supply conditions for labour resources)</w:t>
            </w:r>
          </w:p>
        </w:tc>
        <w:tc>
          <w:tcPr>
            <w:tcW w:w="6662" w:type="dxa"/>
            <w:tcBorders>
              <w:top w:val="single" w:sz="4" w:space="0" w:color="auto"/>
              <w:left w:val="single" w:sz="4" w:space="0" w:color="auto"/>
              <w:bottom w:val="single" w:sz="4" w:space="0" w:color="auto"/>
              <w:right w:val="single" w:sz="4" w:space="0" w:color="auto"/>
            </w:tcBorders>
          </w:tcPr>
          <w:p w14:paraId="35E0C51D"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The proportion of entrants into Australia, either non-student temporary or permanent, with higher education qualifications. Higher education attainment includes bachelors, masters, doctorates, or equivalent (does not include short- cycle tertiary).</w:t>
            </w:r>
          </w:p>
          <w:p w14:paraId="0AF6A70E"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Relates to temporary entrants who were present in Australia on 9 August, 2016 (Census night) and held a temporary visa that was not a student visa.</w:t>
            </w:r>
          </w:p>
          <w:p w14:paraId="33737C6F"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Relates to migrants who have migrated to Australia under a permanent Skilled, Family, Humanitarian or Other Permanent visa stream and arrived in Australia between 1 January, 2000 and 9 August 2016.</w:t>
            </w:r>
          </w:p>
        </w:tc>
        <w:tc>
          <w:tcPr>
            <w:tcW w:w="4394" w:type="dxa"/>
            <w:tcBorders>
              <w:top w:val="single" w:sz="4" w:space="0" w:color="auto"/>
              <w:left w:val="single" w:sz="4" w:space="0" w:color="auto"/>
              <w:bottom w:val="single" w:sz="4" w:space="0" w:color="auto"/>
              <w:right w:val="single" w:sz="4" w:space="0" w:color="auto"/>
            </w:tcBorders>
          </w:tcPr>
          <w:p w14:paraId="70797893" w14:textId="77777777" w:rsidR="003B50EF" w:rsidRPr="00BA20A0" w:rsidRDefault="003B50EF" w:rsidP="00D7216E">
            <w:pPr>
              <w:spacing w:after="0" w:line="240" w:lineRule="auto"/>
              <w:textAlignment w:val="baseline"/>
              <w:rPr>
                <w:rFonts w:ascii="Calibri" w:eastAsia="Arial" w:hAnsi="Calibri" w:cs="Calibri"/>
                <w:color w:val="373737"/>
                <w:kern w:val="0"/>
                <w:sz w:val="16"/>
                <w:szCs w:val="16"/>
                <w:lang w:val="en-US"/>
              </w:rPr>
            </w:pPr>
            <w:r w:rsidRPr="00BA20A0">
              <w:rPr>
                <w:rFonts w:ascii="Calibri" w:eastAsia="Arial" w:hAnsi="Calibri" w:cs="Calibri"/>
                <w:color w:val="373737"/>
                <w:kern w:val="0"/>
                <w:sz w:val="16"/>
                <w:szCs w:val="16"/>
                <w:lang w:val="en-US"/>
              </w:rPr>
              <w:t>ABS: Cat. No. 3419.0 – Insights from the Australian Census and Temporary Entrants Integrated Dataset, 2016 &amp; ABS Cat. No. 3417.0 – Understanding Migrant Outcomes – Insights from the Australian Census and Migrants Integrated Dataset, Australia, 2016.</w:t>
            </w:r>
          </w:p>
        </w:tc>
      </w:tr>
      <w:tr w:rsidR="00847CE2" w:rsidRPr="00BA20A0" w14:paraId="790FEC7C" w14:textId="77777777" w:rsidTr="003B50EF">
        <w:trPr>
          <w:cantSplit/>
          <w:trHeight w:val="1134"/>
        </w:trPr>
        <w:tc>
          <w:tcPr>
            <w:tcW w:w="562" w:type="dxa"/>
            <w:tcBorders>
              <w:bottom w:val="single" w:sz="4" w:space="0" w:color="auto"/>
            </w:tcBorders>
            <w:shd w:val="clear" w:color="auto" w:fill="8556A1"/>
            <w:textDirection w:val="btLr"/>
          </w:tcPr>
          <w:p w14:paraId="2EE76EBE" w14:textId="1FE5E3A6" w:rsidR="00847CE2" w:rsidRPr="00BA20A0" w:rsidRDefault="00FE710E" w:rsidP="003B50EF">
            <w:pPr>
              <w:spacing w:after="0" w:line="240" w:lineRule="auto"/>
              <w:ind w:left="113" w:right="113"/>
              <w:jc w:val="center"/>
              <w:rPr>
                <w:rFonts w:ascii="Calibri" w:eastAsia="Calibri" w:hAnsi="Calibri" w:cs="Times New Roman"/>
                <w:kern w:val="0"/>
                <w:sz w:val="22"/>
                <w:szCs w:val="22"/>
                <w:lang w:val="en-AU"/>
              </w:rPr>
            </w:pPr>
            <w:r>
              <w:rPr>
                <w:rFonts w:ascii="Calibri" w:eastAsia="Calibri" w:hAnsi="Calibri" w:cs="Times New Roman"/>
                <w:b/>
                <w:color w:val="FFFFFF"/>
                <w:kern w:val="0"/>
                <w:sz w:val="22"/>
                <w:szCs w:val="22"/>
                <w:lang w:val="en-AU"/>
              </w:rPr>
              <w:lastRenderedPageBreak/>
              <w:t>Business e</w:t>
            </w:r>
            <w:r w:rsidR="003B50EF" w:rsidRPr="00BA20A0">
              <w:rPr>
                <w:rFonts w:ascii="Calibri" w:eastAsia="Calibri" w:hAnsi="Calibri" w:cs="Times New Roman"/>
                <w:b/>
                <w:color w:val="FFFFFF"/>
                <w:kern w:val="0"/>
                <w:sz w:val="22"/>
                <w:szCs w:val="22"/>
                <w:lang w:val="en-AU"/>
              </w:rPr>
              <w:t>nvironment</w:t>
            </w:r>
          </w:p>
        </w:tc>
        <w:tc>
          <w:tcPr>
            <w:tcW w:w="567" w:type="dxa"/>
            <w:tcBorders>
              <w:bottom w:val="single" w:sz="4" w:space="0" w:color="auto"/>
            </w:tcBorders>
            <w:textDirection w:val="btLr"/>
            <w:vAlign w:val="center"/>
          </w:tcPr>
          <w:p w14:paraId="7F904A0F" w14:textId="77777777" w:rsidR="00847CE2" w:rsidRPr="00BA20A0" w:rsidRDefault="00847CE2" w:rsidP="00BA20A0">
            <w:pPr>
              <w:spacing w:after="0" w:line="240" w:lineRule="auto"/>
              <w:ind w:left="113" w:right="113"/>
              <w:jc w:val="center"/>
              <w:rPr>
                <w:rFonts w:ascii="Calibri" w:eastAsia="Calibri" w:hAnsi="Calibri" w:cs="Times New Roman"/>
                <w:b/>
                <w:kern w:val="0"/>
                <w:sz w:val="22"/>
                <w:szCs w:val="22"/>
                <w:lang w:val="en-AU"/>
              </w:rPr>
            </w:pPr>
            <w:r w:rsidRPr="00BA20A0">
              <w:rPr>
                <w:rFonts w:ascii="Calibri" w:eastAsia="Calibri" w:hAnsi="Calibri" w:cs="Times New Roman"/>
                <w:b/>
                <w:color w:val="8556A1"/>
                <w:kern w:val="0"/>
                <w:sz w:val="22"/>
                <w:szCs w:val="22"/>
                <w:lang w:val="en-AU"/>
              </w:rPr>
              <w:t>Outputs</w:t>
            </w:r>
          </w:p>
        </w:tc>
        <w:tc>
          <w:tcPr>
            <w:tcW w:w="3119" w:type="dxa"/>
            <w:tcBorders>
              <w:top w:val="single" w:sz="4" w:space="0" w:color="auto"/>
              <w:left w:val="single" w:sz="6" w:space="0" w:color="000000"/>
              <w:bottom w:val="single" w:sz="4" w:space="0" w:color="auto"/>
              <w:right w:val="single" w:sz="6" w:space="0" w:color="000000"/>
            </w:tcBorders>
          </w:tcPr>
          <w:p w14:paraId="5D7615E3" w14:textId="77777777" w:rsidR="00847CE2" w:rsidRPr="00BA20A0" w:rsidRDefault="00847CE2" w:rsidP="00D7216E">
            <w:pPr>
              <w:tabs>
                <w:tab w:val="left" w:pos="216"/>
                <w:tab w:val="left" w:pos="360"/>
              </w:tabs>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12. Birth rate of employing enterprises, % of business economy</w:t>
            </w:r>
          </w:p>
          <w:p w14:paraId="163289CC" w14:textId="77777777" w:rsidR="00847CE2" w:rsidRPr="00BA20A0" w:rsidRDefault="00847CE2" w:rsidP="00D7216E">
            <w:pPr>
              <w:tabs>
                <w:tab w:val="left" w:pos="216"/>
                <w:tab w:val="left" w:pos="360"/>
              </w:tabs>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(this measure is a proxy for outputs of competition and regulation)</w:t>
            </w:r>
          </w:p>
        </w:tc>
        <w:tc>
          <w:tcPr>
            <w:tcW w:w="6662" w:type="dxa"/>
            <w:tcBorders>
              <w:top w:val="single" w:sz="4" w:space="0" w:color="auto"/>
              <w:left w:val="single" w:sz="6" w:space="0" w:color="000000"/>
              <w:bottom w:val="single" w:sz="4" w:space="0" w:color="auto"/>
              <w:right w:val="single" w:sz="6" w:space="0" w:color="000000"/>
            </w:tcBorders>
          </w:tcPr>
          <w:p w14:paraId="2BDD12E7" w14:textId="77777777" w:rsidR="00847CE2" w:rsidRPr="00BA20A0" w:rsidRDefault="00847CE2"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The OECD’s definition of an employing enterprise birth is the establishment of an enterprise with at least one employee (headcount). This population consists of new enterprises that have at least one employee in the birth year. Enterprises that existed before the year in consideration that did not have one employee but then subsequently established themselves as an employee enterprise are included in the population for the year that they became an employee enterprise (the birth year). Employment excludes non-salaried directors, volunteers, persons paid by commission only, and self-employed persons, such as consultants and contractors.</w:t>
            </w:r>
          </w:p>
          <w:p w14:paraId="5B2AFFCF" w14:textId="77777777" w:rsidR="00847CE2" w:rsidRPr="00BA20A0" w:rsidRDefault="00847CE2"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 xml:space="preserve">OECD’s Entrepreneurship at a Glance 2017 indicates that for Australia and the Republic of Korea, enterprise births do not take into account the transition of enterprises from zero employees to one or more employees. </w:t>
            </w:r>
          </w:p>
          <w:p w14:paraId="1BA48483" w14:textId="77777777" w:rsidR="00847CE2" w:rsidRPr="00BA20A0" w:rsidRDefault="00847CE2"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spacing w:val="-1"/>
                <w:kern w:val="0"/>
                <w:sz w:val="16"/>
                <w:szCs w:val="22"/>
                <w:lang w:val="en-US"/>
              </w:rPr>
              <w:t>For Australian data, employing enterprise entries into the population do not include entries due to: mergers, break-ups, split-offs or restructuring of a set of enterprises. The scope is limited to only include businesses that are actively trading in the market sector. Business entities with a turnover below $75,000 do not have to register for GST and hence those who have not registered will not be included in these counts. Businesses that have not submitted a Business Activity</w:t>
            </w:r>
            <w:r w:rsidRPr="00BA20A0">
              <w:rPr>
                <w:rFonts w:ascii="Calibri" w:eastAsia="Arial" w:hAnsi="Calibri" w:cs="Calibri"/>
                <w:color w:val="373737"/>
                <w:kern w:val="0"/>
                <w:sz w:val="16"/>
                <w:szCs w:val="22"/>
                <w:lang w:val="en-US"/>
              </w:rPr>
              <w:t xml:space="preserve"> Statement or have reported zero dollar amounts over five consecutive quarters (or three consecutive years for annual remitters) are treated as 'long-term non-remitters'. These businesses are not considered to be actively trading and are excluded from the counts, as they are not remitting GST (see</w:t>
            </w:r>
            <w:hyperlink r:id="rId39" w:history="1">
              <w:r w:rsidRPr="00BA20A0">
                <w:rPr>
                  <w:rFonts w:ascii="Calibri" w:eastAsia="Arial" w:hAnsi="Calibri" w:cs="Calibri"/>
                  <w:color w:val="0000FF"/>
                  <w:kern w:val="0"/>
                  <w:sz w:val="16"/>
                  <w:szCs w:val="22"/>
                  <w:u w:val="single"/>
                  <w:lang w:val="en-US"/>
                </w:rPr>
                <w:t xml:space="preserve"> ABS explanatory notes</w:t>
              </w:r>
            </w:hyperlink>
            <w:r w:rsidRPr="00BA20A0">
              <w:rPr>
                <w:rFonts w:ascii="Calibri" w:eastAsia="Arial" w:hAnsi="Calibri" w:cs="Calibri"/>
                <w:color w:val="0000FF"/>
                <w:kern w:val="0"/>
                <w:sz w:val="16"/>
                <w:szCs w:val="22"/>
                <w:u w:val="single"/>
                <w:lang w:val="en-US"/>
              </w:rPr>
              <w:t xml:space="preserve"> </w:t>
            </w:r>
            <w:r w:rsidRPr="00BA20A0">
              <w:rPr>
                <w:rFonts w:ascii="Calibri" w:eastAsia="Arial" w:hAnsi="Calibri" w:cs="Calibri"/>
                <w:color w:val="373737"/>
                <w:kern w:val="0"/>
                <w:sz w:val="16"/>
                <w:szCs w:val="22"/>
                <w:lang w:val="en-US"/>
              </w:rPr>
              <w:t>for more information).</w:t>
            </w:r>
          </w:p>
          <w:p w14:paraId="117C670A" w14:textId="77777777" w:rsidR="00847CE2" w:rsidRPr="00BA20A0" w:rsidRDefault="00847CE2" w:rsidP="00D7216E">
            <w:pPr>
              <w:spacing w:after="0" w:line="240" w:lineRule="auto"/>
              <w:textAlignment w:val="baseline"/>
              <w:rPr>
                <w:rFonts w:ascii="Calibri" w:eastAsia="Arial" w:hAnsi="Calibri" w:cs="Calibri"/>
                <w:color w:val="373737"/>
                <w:spacing w:val="-1"/>
                <w:kern w:val="0"/>
                <w:sz w:val="16"/>
                <w:szCs w:val="22"/>
                <w:lang w:val="en-US"/>
              </w:rPr>
            </w:pPr>
            <w:r w:rsidRPr="00BA20A0">
              <w:rPr>
                <w:rFonts w:ascii="Calibri" w:eastAsia="Arial" w:hAnsi="Calibri" w:cs="Calibri"/>
                <w:color w:val="373737"/>
                <w:spacing w:val="-1"/>
                <w:kern w:val="0"/>
                <w:sz w:val="16"/>
                <w:szCs w:val="22"/>
                <w:lang w:val="en-US"/>
              </w:rPr>
              <w:t>The employing enterprise birth rate corresponds to the number of births of employing enterprises as a percentage of the population of active enterprises with at least one employee (see</w:t>
            </w:r>
            <w:hyperlink r:id="rId40" w:history="1">
              <w:r w:rsidRPr="00BA20A0">
                <w:rPr>
                  <w:rFonts w:ascii="Calibri" w:eastAsia="Arial" w:hAnsi="Calibri" w:cs="Calibri"/>
                  <w:color w:val="0000FF"/>
                  <w:spacing w:val="-1"/>
                  <w:kern w:val="0"/>
                  <w:sz w:val="16"/>
                  <w:szCs w:val="22"/>
                  <w:u w:val="single"/>
                  <w:lang w:val="en-US"/>
                </w:rPr>
                <w:t xml:space="preserve"> OECD Manual on Business Demography</w:t>
              </w:r>
            </w:hyperlink>
            <w:r w:rsidRPr="00BA20A0">
              <w:rPr>
                <w:rFonts w:ascii="Calibri" w:eastAsia="Arial" w:hAnsi="Calibri" w:cs="Calibri"/>
                <w:color w:val="005CAE"/>
                <w:spacing w:val="-1"/>
                <w:kern w:val="0"/>
                <w:sz w:val="16"/>
                <w:szCs w:val="22"/>
                <w:lang w:val="en-US"/>
              </w:rPr>
              <w:t xml:space="preserve"> </w:t>
            </w:r>
            <w:hyperlink r:id="rId41" w:history="1">
              <w:r w:rsidRPr="00BA20A0">
                <w:rPr>
                  <w:rFonts w:ascii="Calibri" w:eastAsia="Arial" w:hAnsi="Calibri" w:cs="Calibri"/>
                  <w:color w:val="0000FF"/>
                  <w:kern w:val="0"/>
                  <w:sz w:val="16"/>
                  <w:szCs w:val="22"/>
                  <w:u w:val="single"/>
                  <w:lang w:val="en-US"/>
                </w:rPr>
                <w:t>Statistics)</w:t>
              </w:r>
            </w:hyperlink>
            <w:r w:rsidRPr="00BA20A0">
              <w:rPr>
                <w:rFonts w:ascii="Calibri" w:eastAsia="Arial" w:hAnsi="Calibri" w:cs="Calibri"/>
                <w:color w:val="005CAE"/>
                <w:kern w:val="0"/>
                <w:sz w:val="16"/>
                <w:szCs w:val="22"/>
                <w:lang w:val="en-US"/>
              </w:rPr>
              <w:t>.</w:t>
            </w:r>
            <w:r w:rsidRPr="00BA20A0">
              <w:rPr>
                <w:rFonts w:ascii="Calibri" w:eastAsia="Arial" w:hAnsi="Calibri" w:cs="Calibri"/>
                <w:color w:val="373737"/>
                <w:kern w:val="0"/>
                <w:sz w:val="16"/>
                <w:szCs w:val="22"/>
                <w:lang w:val="en-US"/>
              </w:rPr>
              <w:t xml:space="preserve"> The SDBS category is the total industry, construction and market services, except holding companies.</w:t>
            </w:r>
          </w:p>
        </w:tc>
        <w:tc>
          <w:tcPr>
            <w:tcW w:w="4394" w:type="dxa"/>
            <w:tcBorders>
              <w:top w:val="single" w:sz="4" w:space="0" w:color="auto"/>
              <w:left w:val="single" w:sz="6" w:space="0" w:color="000000"/>
              <w:bottom w:val="single" w:sz="4" w:space="0" w:color="auto"/>
              <w:right w:val="single" w:sz="4" w:space="0" w:color="auto"/>
            </w:tcBorders>
          </w:tcPr>
          <w:p w14:paraId="6C89AF1D" w14:textId="77777777" w:rsidR="00847CE2" w:rsidRPr="00BA20A0" w:rsidRDefault="00847CE2"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ABS Cat No. 8165.0 – Counts of Australian Businesses, International comparison data are from OECD Structural and Demographic Business Statistics (SDBS). OECD Entrepreneurship at a Glance (2017).</w:t>
            </w:r>
          </w:p>
        </w:tc>
      </w:tr>
      <w:tr w:rsidR="003B50EF" w:rsidRPr="00BA20A0" w14:paraId="6A08D51E" w14:textId="77777777" w:rsidTr="003B50EF">
        <w:trPr>
          <w:cantSplit/>
          <w:trHeight w:val="1134"/>
        </w:trPr>
        <w:tc>
          <w:tcPr>
            <w:tcW w:w="562" w:type="dxa"/>
            <w:vMerge w:val="restart"/>
            <w:shd w:val="clear" w:color="auto" w:fill="4B355F"/>
            <w:textDirection w:val="btLr"/>
            <w:vAlign w:val="center"/>
          </w:tcPr>
          <w:p w14:paraId="72F0421C" w14:textId="20366AB2" w:rsidR="003B50EF" w:rsidRPr="00BA20A0" w:rsidRDefault="00A5450F" w:rsidP="00BA20A0">
            <w:pPr>
              <w:spacing w:after="0" w:line="240" w:lineRule="auto"/>
              <w:ind w:left="113" w:right="113"/>
              <w:jc w:val="center"/>
              <w:rPr>
                <w:rFonts w:ascii="Calibri" w:eastAsia="Calibri" w:hAnsi="Calibri" w:cs="Times New Roman"/>
                <w:b/>
                <w:kern w:val="0"/>
                <w:sz w:val="20"/>
                <w:szCs w:val="22"/>
                <w:lang w:val="en-AU"/>
              </w:rPr>
            </w:pPr>
            <w:r>
              <w:rPr>
                <w:rFonts w:ascii="Calibri" w:eastAsia="Calibri" w:hAnsi="Calibri" w:cs="Times New Roman"/>
                <w:b/>
                <w:color w:val="FFFFFF"/>
                <w:kern w:val="0"/>
                <w:sz w:val="22"/>
                <w:szCs w:val="22"/>
                <w:lang w:val="en-AU"/>
              </w:rPr>
              <w:t>National e</w:t>
            </w:r>
            <w:r w:rsidR="003B50EF" w:rsidRPr="00BA20A0">
              <w:rPr>
                <w:rFonts w:ascii="Calibri" w:eastAsia="Calibri" w:hAnsi="Calibri" w:cs="Times New Roman"/>
                <w:b/>
                <w:color w:val="FFFFFF"/>
                <w:kern w:val="0"/>
                <w:sz w:val="22"/>
                <w:szCs w:val="22"/>
                <w:lang w:val="en-AU"/>
              </w:rPr>
              <w:t>nvironment</w:t>
            </w:r>
          </w:p>
        </w:tc>
        <w:tc>
          <w:tcPr>
            <w:tcW w:w="567" w:type="dxa"/>
            <w:vMerge w:val="restart"/>
            <w:textDirection w:val="btLr"/>
            <w:vAlign w:val="center"/>
          </w:tcPr>
          <w:p w14:paraId="06253020" w14:textId="157F6FB0" w:rsidR="003B50EF" w:rsidRPr="00BA20A0" w:rsidRDefault="003B50EF" w:rsidP="00847CE2">
            <w:pPr>
              <w:spacing w:after="0" w:line="240" w:lineRule="auto"/>
              <w:ind w:left="113" w:right="113"/>
              <w:jc w:val="center"/>
              <w:rPr>
                <w:rFonts w:ascii="Calibri" w:eastAsia="Calibri" w:hAnsi="Calibri" w:cs="Times New Roman"/>
                <w:b/>
                <w:kern w:val="0"/>
                <w:sz w:val="22"/>
                <w:szCs w:val="22"/>
                <w:lang w:val="en-AU"/>
              </w:rPr>
            </w:pPr>
            <w:r w:rsidRPr="00BA20A0">
              <w:rPr>
                <w:rFonts w:ascii="Calibri" w:eastAsia="Calibri" w:hAnsi="Calibri" w:cs="Times New Roman"/>
                <w:b/>
                <w:color w:val="4B355F"/>
                <w:kern w:val="0"/>
                <w:sz w:val="22"/>
                <w:szCs w:val="22"/>
                <w:lang w:val="en-AU"/>
              </w:rPr>
              <w:t>Inputs</w:t>
            </w:r>
          </w:p>
        </w:tc>
        <w:tc>
          <w:tcPr>
            <w:tcW w:w="3119" w:type="dxa"/>
            <w:tcBorders>
              <w:top w:val="single" w:sz="4" w:space="0" w:color="auto"/>
              <w:left w:val="single" w:sz="6" w:space="0" w:color="000000"/>
              <w:bottom w:val="single" w:sz="4" w:space="0" w:color="auto"/>
              <w:right w:val="single" w:sz="6" w:space="0" w:color="000000"/>
            </w:tcBorders>
            <w:shd w:val="clear" w:color="auto" w:fill="auto"/>
          </w:tcPr>
          <w:p w14:paraId="59D62840" w14:textId="440A4A2B" w:rsidR="003B50EF" w:rsidRPr="00D7216E" w:rsidRDefault="003B50EF" w:rsidP="00D7216E">
            <w:pPr>
              <w:tabs>
                <w:tab w:val="left" w:pos="216"/>
                <w:tab w:val="left" w:pos="360"/>
              </w:tabs>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13. Total expenditure on educational institutions (primary to tertiary), % of GDP (this measure is a proxy for economy level investment inputs into education)</w:t>
            </w:r>
          </w:p>
        </w:tc>
        <w:tc>
          <w:tcPr>
            <w:tcW w:w="6662" w:type="dxa"/>
            <w:tcBorders>
              <w:top w:val="single" w:sz="4" w:space="0" w:color="auto"/>
              <w:left w:val="single" w:sz="6" w:space="0" w:color="000000"/>
              <w:bottom w:val="single" w:sz="4" w:space="0" w:color="auto"/>
              <w:right w:val="single" w:sz="6" w:space="0" w:color="000000"/>
            </w:tcBorders>
            <w:shd w:val="clear" w:color="auto" w:fill="auto"/>
          </w:tcPr>
          <w:p w14:paraId="07D2F798" w14:textId="77777777" w:rsidR="003B50EF" w:rsidRPr="00BA20A0" w:rsidRDefault="003B50EF" w:rsidP="00D7216E">
            <w:pPr>
              <w:spacing w:after="0" w:line="240" w:lineRule="auto"/>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Financial resources invested in education includes primary, secondary, post- secondary non-tertiary and tertiary sectors. This data includes both general government and private sector expenditure.</w:t>
            </w:r>
          </w:p>
        </w:tc>
        <w:tc>
          <w:tcPr>
            <w:tcW w:w="4394" w:type="dxa"/>
            <w:tcBorders>
              <w:top w:val="single" w:sz="4" w:space="0" w:color="auto"/>
              <w:left w:val="single" w:sz="6" w:space="0" w:color="000000"/>
              <w:bottom w:val="single" w:sz="4" w:space="0" w:color="auto"/>
              <w:right w:val="single" w:sz="4" w:space="0" w:color="auto"/>
            </w:tcBorders>
          </w:tcPr>
          <w:p w14:paraId="43713B9D" w14:textId="77777777" w:rsidR="003B50EF" w:rsidRPr="00BA20A0" w:rsidRDefault="003B50EF" w:rsidP="00D7216E">
            <w:pPr>
              <w:spacing w:after="0" w:line="240" w:lineRule="auto"/>
              <w:ind w:right="288"/>
              <w:textAlignment w:val="baseline"/>
              <w:rPr>
                <w:rFonts w:ascii="Calibri" w:eastAsia="Arial" w:hAnsi="Calibri" w:cs="Calibri"/>
                <w:color w:val="373737"/>
                <w:spacing w:val="-1"/>
                <w:kern w:val="0"/>
                <w:sz w:val="16"/>
                <w:szCs w:val="22"/>
                <w:lang w:val="en-US"/>
              </w:rPr>
            </w:pPr>
            <w:r w:rsidRPr="00BA20A0">
              <w:rPr>
                <w:rFonts w:ascii="Calibri" w:eastAsia="Arial" w:hAnsi="Calibri" w:cs="Calibri"/>
                <w:color w:val="373737"/>
                <w:spacing w:val="-1"/>
                <w:kern w:val="0"/>
                <w:sz w:val="16"/>
                <w:szCs w:val="22"/>
                <w:lang w:val="en-US"/>
              </w:rPr>
              <w:t>Data are sourced from national statistics and harmonised by the OECD for international comparison. OECD Education at a Glance.</w:t>
            </w:r>
          </w:p>
        </w:tc>
      </w:tr>
      <w:tr w:rsidR="003B50EF" w:rsidRPr="00BA20A0" w14:paraId="21BC5AA4" w14:textId="77777777" w:rsidTr="003B50EF">
        <w:trPr>
          <w:cantSplit/>
          <w:trHeight w:val="1134"/>
        </w:trPr>
        <w:tc>
          <w:tcPr>
            <w:tcW w:w="562" w:type="dxa"/>
            <w:vMerge/>
            <w:shd w:val="clear" w:color="auto" w:fill="4B355F"/>
            <w:textDirection w:val="btLr"/>
            <w:vAlign w:val="center"/>
          </w:tcPr>
          <w:p w14:paraId="6FE4CCFE" w14:textId="2F4DBE44"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567" w:type="dxa"/>
            <w:vMerge/>
            <w:textDirection w:val="btLr"/>
            <w:vAlign w:val="center"/>
          </w:tcPr>
          <w:p w14:paraId="37991819" w14:textId="3912961B"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single" w:sz="4" w:space="0" w:color="auto"/>
              <w:left w:val="single" w:sz="6" w:space="0" w:color="000000"/>
              <w:bottom w:val="single" w:sz="4" w:space="0" w:color="auto"/>
              <w:right w:val="single" w:sz="6" w:space="0" w:color="000000"/>
            </w:tcBorders>
            <w:shd w:val="clear" w:color="auto" w:fill="auto"/>
          </w:tcPr>
          <w:p w14:paraId="073E393F" w14:textId="77777777" w:rsidR="003B50EF" w:rsidRPr="00BA20A0" w:rsidRDefault="003B50EF" w:rsidP="00D7216E">
            <w:pPr>
              <w:tabs>
                <w:tab w:val="left" w:pos="288"/>
                <w:tab w:val="left" w:pos="432"/>
              </w:tabs>
              <w:spacing w:after="0" w:line="240" w:lineRule="auto"/>
              <w:ind w:right="648"/>
              <w:textAlignment w:val="baseline"/>
              <w:rPr>
                <w:rFonts w:ascii="Calibri" w:eastAsia="Arial" w:hAnsi="Calibri" w:cs="Calibri"/>
                <w:color w:val="373737"/>
                <w:spacing w:val="-1"/>
                <w:kern w:val="0"/>
                <w:sz w:val="16"/>
                <w:szCs w:val="22"/>
                <w:lang w:val="en-US"/>
              </w:rPr>
            </w:pPr>
            <w:r w:rsidRPr="00BA20A0">
              <w:rPr>
                <w:rFonts w:ascii="Calibri" w:eastAsia="Arial" w:hAnsi="Calibri" w:cs="Calibri"/>
                <w:color w:val="373737"/>
                <w:spacing w:val="-1"/>
                <w:kern w:val="0"/>
                <w:sz w:val="16"/>
                <w:szCs w:val="22"/>
                <w:lang w:val="en-US"/>
              </w:rPr>
              <w:t>14. Gross expenditure on research and development (GERD), % of GDP</w:t>
            </w:r>
          </w:p>
          <w:p w14:paraId="7926E845" w14:textId="77777777" w:rsidR="003B50EF" w:rsidRPr="00BA20A0" w:rsidRDefault="003B50EF" w:rsidP="00D7216E">
            <w:pPr>
              <w:spacing w:after="0" w:line="240" w:lineRule="auto"/>
              <w:ind w:right="252"/>
              <w:textAlignment w:val="baseline"/>
              <w:rPr>
                <w:rFonts w:ascii="Calibri" w:eastAsia="Arial" w:hAnsi="Calibri" w:cs="Calibri"/>
                <w:color w:val="373737"/>
                <w:spacing w:val="-2"/>
                <w:kern w:val="0"/>
                <w:sz w:val="16"/>
                <w:szCs w:val="22"/>
                <w:lang w:val="en-US"/>
              </w:rPr>
            </w:pPr>
            <w:r w:rsidRPr="00BA20A0">
              <w:rPr>
                <w:rFonts w:ascii="Calibri" w:eastAsia="Arial" w:hAnsi="Calibri" w:cs="Calibri"/>
                <w:color w:val="373737"/>
                <w:spacing w:val="-2"/>
                <w:kern w:val="0"/>
                <w:sz w:val="16"/>
                <w:szCs w:val="22"/>
                <w:lang w:val="en-US"/>
              </w:rPr>
              <w:t>(this measure is a proxy for economy level investment inputs into education and infrastructure)</w:t>
            </w:r>
          </w:p>
        </w:tc>
        <w:tc>
          <w:tcPr>
            <w:tcW w:w="6662" w:type="dxa"/>
            <w:tcBorders>
              <w:top w:val="single" w:sz="4" w:space="0" w:color="auto"/>
              <w:left w:val="single" w:sz="6" w:space="0" w:color="000000"/>
              <w:bottom w:val="single" w:sz="4" w:space="0" w:color="auto"/>
              <w:right w:val="single" w:sz="6" w:space="0" w:color="000000"/>
            </w:tcBorders>
            <w:shd w:val="clear" w:color="auto" w:fill="auto"/>
          </w:tcPr>
          <w:p w14:paraId="64A99CB8" w14:textId="77777777" w:rsidR="003B50EF" w:rsidRPr="00BA20A0" w:rsidRDefault="003B50EF" w:rsidP="00D7216E">
            <w:pPr>
              <w:spacing w:after="0" w:line="240" w:lineRule="auto"/>
              <w:ind w:right="216"/>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Gross expenditure on R&amp;D (GERD) represents the total expenditure devoted to R&amp;D by the business, government, higher education and private non-profit sectors.</w:t>
            </w:r>
          </w:p>
        </w:tc>
        <w:tc>
          <w:tcPr>
            <w:tcW w:w="4394" w:type="dxa"/>
            <w:tcBorders>
              <w:top w:val="single" w:sz="4" w:space="0" w:color="auto"/>
              <w:left w:val="single" w:sz="6" w:space="0" w:color="000000"/>
              <w:bottom w:val="single" w:sz="4" w:space="0" w:color="auto"/>
              <w:right w:val="single" w:sz="4" w:space="0" w:color="auto"/>
            </w:tcBorders>
          </w:tcPr>
          <w:p w14:paraId="59EE3036" w14:textId="77777777" w:rsidR="003B50EF" w:rsidRPr="00BA20A0" w:rsidRDefault="003B50EF" w:rsidP="00D7216E">
            <w:pPr>
              <w:spacing w:after="0" w:line="240" w:lineRule="auto"/>
              <w:ind w:right="504"/>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ABS Cat. No. 8104.0 – Research and Experimental Development, Businesses, Australia. International comparison data at OECD MSTI.</w:t>
            </w:r>
          </w:p>
        </w:tc>
      </w:tr>
      <w:tr w:rsidR="003B50EF" w:rsidRPr="00BA20A0" w14:paraId="19E903BF" w14:textId="77777777" w:rsidTr="003B50EF">
        <w:trPr>
          <w:cantSplit/>
          <w:trHeight w:val="1134"/>
        </w:trPr>
        <w:tc>
          <w:tcPr>
            <w:tcW w:w="562" w:type="dxa"/>
            <w:vMerge/>
            <w:shd w:val="clear" w:color="auto" w:fill="4B355F"/>
            <w:textDirection w:val="btLr"/>
          </w:tcPr>
          <w:p w14:paraId="51EE02F2" w14:textId="77777777" w:rsidR="003B50EF" w:rsidRPr="00BA20A0" w:rsidRDefault="003B50EF" w:rsidP="003B50EF">
            <w:pPr>
              <w:spacing w:after="0" w:line="240" w:lineRule="auto"/>
              <w:ind w:left="113" w:right="113"/>
              <w:rPr>
                <w:rFonts w:ascii="Calibri" w:eastAsia="Calibri" w:hAnsi="Calibri" w:cs="Times New Roman"/>
                <w:kern w:val="0"/>
                <w:sz w:val="22"/>
                <w:szCs w:val="22"/>
                <w:lang w:val="en-AU"/>
              </w:rPr>
            </w:pPr>
          </w:p>
        </w:tc>
        <w:tc>
          <w:tcPr>
            <w:tcW w:w="567" w:type="dxa"/>
            <w:vMerge/>
            <w:textDirection w:val="btLr"/>
            <w:vAlign w:val="center"/>
          </w:tcPr>
          <w:p w14:paraId="32F3CEB0" w14:textId="77777777"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left w:val="single" w:sz="6" w:space="0" w:color="000000"/>
              <w:right w:val="single" w:sz="6" w:space="0" w:color="000000"/>
            </w:tcBorders>
          </w:tcPr>
          <w:p w14:paraId="4E4D086F" w14:textId="77777777" w:rsidR="003B50EF" w:rsidRPr="00BA20A0" w:rsidRDefault="003B50EF" w:rsidP="00D7216E">
            <w:pPr>
              <w:tabs>
                <w:tab w:val="left" w:pos="216"/>
                <w:tab w:val="left" w:pos="360"/>
              </w:tabs>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15. Fixed broadband</w:t>
            </w:r>
          </w:p>
          <w:p w14:paraId="7C4963A3" w14:textId="77777777" w:rsidR="003B50EF" w:rsidRPr="00BA20A0" w:rsidRDefault="003B50EF" w:rsidP="00D7216E">
            <w:pPr>
              <w:spacing w:after="0" w:line="240" w:lineRule="auto"/>
              <w:ind w:right="180"/>
              <w:textAlignment w:val="baseline"/>
              <w:rPr>
                <w:rFonts w:ascii="Calibri" w:eastAsia="Arial" w:hAnsi="Calibri" w:cs="Calibri"/>
                <w:color w:val="373737"/>
                <w:spacing w:val="-2"/>
                <w:kern w:val="0"/>
                <w:sz w:val="16"/>
                <w:szCs w:val="22"/>
                <w:lang w:val="en-US"/>
              </w:rPr>
            </w:pPr>
            <w:r w:rsidRPr="00BA20A0">
              <w:rPr>
                <w:rFonts w:ascii="Calibri" w:eastAsia="Arial" w:hAnsi="Calibri" w:cs="Calibri"/>
                <w:color w:val="373737"/>
                <w:spacing w:val="-2"/>
                <w:kern w:val="0"/>
                <w:sz w:val="16"/>
                <w:szCs w:val="22"/>
                <w:lang w:val="en-US"/>
              </w:rPr>
              <w:t>subscriptions per 100 inhabitants, by speed faster than 100 Mbps</w:t>
            </w:r>
          </w:p>
          <w:p w14:paraId="268051D6" w14:textId="77777777" w:rsidR="003B50EF" w:rsidRPr="00BA20A0" w:rsidRDefault="003B50EF" w:rsidP="00D7216E">
            <w:pPr>
              <w:spacing w:after="0" w:line="240" w:lineRule="auto"/>
              <w:ind w:right="180"/>
              <w:textAlignment w:val="baseline"/>
              <w:rPr>
                <w:rFonts w:ascii="Calibri" w:eastAsia="Arial" w:hAnsi="Calibri" w:cs="Calibri"/>
                <w:color w:val="373737"/>
                <w:spacing w:val="-2"/>
                <w:kern w:val="0"/>
                <w:sz w:val="16"/>
                <w:szCs w:val="22"/>
                <w:lang w:val="en-US"/>
              </w:rPr>
            </w:pPr>
            <w:r w:rsidRPr="00BA20A0">
              <w:rPr>
                <w:rFonts w:ascii="Calibri" w:eastAsia="Arial" w:hAnsi="Calibri" w:cs="Calibri"/>
                <w:color w:val="373737"/>
                <w:spacing w:val="-2"/>
                <w:kern w:val="0"/>
                <w:sz w:val="16"/>
                <w:szCs w:val="22"/>
                <w:lang w:val="en-US"/>
              </w:rPr>
              <w:t>(this measure is a proxy for inputs into the development of innovation infrastructure)</w:t>
            </w:r>
          </w:p>
        </w:tc>
        <w:tc>
          <w:tcPr>
            <w:tcW w:w="6662" w:type="dxa"/>
            <w:tcBorders>
              <w:left w:val="single" w:sz="6" w:space="0" w:color="000000"/>
              <w:right w:val="single" w:sz="6" w:space="0" w:color="000000"/>
            </w:tcBorders>
          </w:tcPr>
          <w:p w14:paraId="23D04EB1" w14:textId="77777777" w:rsidR="003B50EF" w:rsidRPr="00BA20A0" w:rsidRDefault="003B50EF" w:rsidP="00D7216E">
            <w:pPr>
              <w:spacing w:after="0" w:line="240" w:lineRule="auto"/>
              <w:ind w:right="252"/>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The data cover quality of broadband infrastructure as measured by the number of subscriptions for fixed broadband service based on speed of connection expressed in megabits per second (Mbps). This measure is a proxy for network capability but it does not provide the actual performance of broadband connections experienced by subscribers.</w:t>
            </w:r>
          </w:p>
          <w:p w14:paraId="0967AEE0" w14:textId="77777777" w:rsidR="003B50EF" w:rsidRPr="00BA20A0" w:rsidRDefault="003B50EF"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This metric uses fixed broadband because a technology neutral broadband</w:t>
            </w:r>
          </w:p>
        </w:tc>
        <w:tc>
          <w:tcPr>
            <w:tcW w:w="4394" w:type="dxa"/>
            <w:tcBorders>
              <w:left w:val="single" w:sz="6" w:space="0" w:color="000000"/>
              <w:right w:val="single" w:sz="4" w:space="0" w:color="auto"/>
            </w:tcBorders>
          </w:tcPr>
          <w:p w14:paraId="69AC814B" w14:textId="77777777" w:rsidR="003B50EF" w:rsidRPr="00BA20A0" w:rsidRDefault="003B50EF" w:rsidP="00D7216E">
            <w:pPr>
              <w:spacing w:after="0" w:line="240" w:lineRule="auto"/>
              <w:ind w:right="180"/>
              <w:textAlignment w:val="baseline"/>
              <w:rPr>
                <w:rFonts w:ascii="Calibri" w:eastAsia="Arial" w:hAnsi="Calibri" w:cs="Calibri"/>
                <w:color w:val="373737"/>
                <w:spacing w:val="-1"/>
                <w:kern w:val="0"/>
                <w:sz w:val="16"/>
                <w:szCs w:val="22"/>
                <w:lang w:val="en-US"/>
              </w:rPr>
            </w:pPr>
            <w:r w:rsidRPr="00BA20A0">
              <w:rPr>
                <w:rFonts w:ascii="Calibri" w:eastAsia="Arial" w:hAnsi="Calibri" w:cs="Calibri"/>
                <w:color w:val="373737"/>
                <w:spacing w:val="-1"/>
                <w:kern w:val="0"/>
                <w:sz w:val="16"/>
                <w:szCs w:val="22"/>
                <w:lang w:val="en-US"/>
              </w:rPr>
              <w:t>ABS Cat. No. 8153.0 Internet Activity; Table 2 – Internet Subscribers by advertised download speed; ABS Cat. No. 3101.0 – Australian Demographic Statistics: Table 1 – Population Change summary: ERP Change Over Previous Year. International comparison data are sourced from the OECD broadband portal, ‘Fixed</w:t>
            </w:r>
          </w:p>
        </w:tc>
      </w:tr>
      <w:tr w:rsidR="003B50EF" w:rsidRPr="00BA20A0" w14:paraId="5FAE82C7" w14:textId="77777777" w:rsidTr="003B50EF">
        <w:trPr>
          <w:cantSplit/>
          <w:trHeight w:val="1134"/>
        </w:trPr>
        <w:tc>
          <w:tcPr>
            <w:tcW w:w="562" w:type="dxa"/>
            <w:vMerge/>
            <w:shd w:val="clear" w:color="auto" w:fill="4B355F"/>
            <w:textDirection w:val="btLr"/>
          </w:tcPr>
          <w:p w14:paraId="1B4186A3" w14:textId="77777777" w:rsidR="003B50EF" w:rsidRPr="00BA20A0" w:rsidRDefault="003B50EF" w:rsidP="003B50EF">
            <w:pPr>
              <w:spacing w:after="0" w:line="240" w:lineRule="auto"/>
              <w:ind w:left="113" w:right="113"/>
              <w:rPr>
                <w:rFonts w:ascii="Calibri" w:eastAsia="Calibri" w:hAnsi="Calibri" w:cs="Times New Roman"/>
                <w:kern w:val="0"/>
                <w:sz w:val="22"/>
                <w:szCs w:val="22"/>
                <w:lang w:val="en-AU"/>
              </w:rPr>
            </w:pPr>
          </w:p>
        </w:tc>
        <w:tc>
          <w:tcPr>
            <w:tcW w:w="567" w:type="dxa"/>
            <w:textDirection w:val="btLr"/>
            <w:vAlign w:val="center"/>
          </w:tcPr>
          <w:p w14:paraId="3BD6E34C" w14:textId="77777777" w:rsidR="003B50EF" w:rsidRPr="00BA20A0" w:rsidRDefault="003B50EF" w:rsidP="00BA20A0">
            <w:pPr>
              <w:spacing w:after="0" w:line="240" w:lineRule="auto"/>
              <w:ind w:left="113" w:right="113"/>
              <w:jc w:val="center"/>
              <w:rPr>
                <w:rFonts w:ascii="Calibri" w:eastAsia="Calibri" w:hAnsi="Calibri" w:cs="Times New Roman"/>
                <w:b/>
                <w:kern w:val="0"/>
                <w:sz w:val="22"/>
                <w:szCs w:val="22"/>
                <w:lang w:val="en-AU"/>
              </w:rPr>
            </w:pPr>
            <w:r w:rsidRPr="00BA20A0">
              <w:rPr>
                <w:rFonts w:ascii="Calibri" w:eastAsia="Calibri" w:hAnsi="Calibri" w:cs="Times New Roman"/>
                <w:b/>
                <w:color w:val="4B355F"/>
                <w:kern w:val="0"/>
                <w:sz w:val="22"/>
                <w:szCs w:val="22"/>
                <w:lang w:val="en-AU"/>
              </w:rPr>
              <w:t>Outputs</w:t>
            </w:r>
          </w:p>
        </w:tc>
        <w:tc>
          <w:tcPr>
            <w:tcW w:w="3119" w:type="dxa"/>
            <w:tcBorders>
              <w:top w:val="single" w:sz="6" w:space="0" w:color="000000"/>
              <w:left w:val="single" w:sz="6" w:space="0" w:color="000000"/>
              <w:bottom w:val="single" w:sz="6" w:space="0" w:color="000000"/>
              <w:right w:val="single" w:sz="6" w:space="0" w:color="000000"/>
            </w:tcBorders>
          </w:tcPr>
          <w:p w14:paraId="3DDAAA69" w14:textId="77777777" w:rsidR="003B50EF" w:rsidRPr="00BA20A0" w:rsidRDefault="003B50EF" w:rsidP="00D7216E">
            <w:pPr>
              <w:tabs>
                <w:tab w:val="left" w:pos="288"/>
                <w:tab w:val="left" w:pos="432"/>
              </w:tabs>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16. Scores of students in mathematics – OECD PISA</w:t>
            </w:r>
          </w:p>
          <w:p w14:paraId="08C842C8" w14:textId="77777777" w:rsidR="003B50EF" w:rsidRPr="00BA20A0" w:rsidRDefault="003B50EF" w:rsidP="00D7216E">
            <w:pPr>
              <w:spacing w:after="0" w:line="240" w:lineRule="auto"/>
              <w:ind w:right="360"/>
              <w:textAlignment w:val="baseline"/>
              <w:rPr>
                <w:rFonts w:ascii="Calibri" w:eastAsia="Arial" w:hAnsi="Calibri" w:cs="Calibri"/>
                <w:color w:val="373737"/>
                <w:spacing w:val="-2"/>
                <w:kern w:val="0"/>
                <w:sz w:val="16"/>
                <w:szCs w:val="22"/>
                <w:lang w:val="en-US"/>
              </w:rPr>
            </w:pPr>
            <w:r w:rsidRPr="00BA20A0">
              <w:rPr>
                <w:rFonts w:ascii="Calibri" w:eastAsia="Arial" w:hAnsi="Calibri" w:cs="Calibri"/>
                <w:color w:val="373737"/>
                <w:spacing w:val="-2"/>
                <w:kern w:val="0"/>
                <w:sz w:val="16"/>
                <w:szCs w:val="22"/>
                <w:lang w:val="en-US"/>
              </w:rPr>
              <w:t>(this measure is a proxy for the output of investment into education at an economy level)</w:t>
            </w:r>
          </w:p>
        </w:tc>
        <w:tc>
          <w:tcPr>
            <w:tcW w:w="6662" w:type="dxa"/>
            <w:tcBorders>
              <w:top w:val="single" w:sz="6" w:space="0" w:color="000000"/>
              <w:left w:val="single" w:sz="6" w:space="0" w:color="000000"/>
              <w:bottom w:val="single" w:sz="6" w:space="0" w:color="000000"/>
              <w:right w:val="single" w:sz="6" w:space="0" w:color="000000"/>
            </w:tcBorders>
          </w:tcPr>
          <w:p w14:paraId="05B6B4D2" w14:textId="77777777" w:rsidR="003B50EF" w:rsidRPr="00BA20A0" w:rsidRDefault="003B50EF" w:rsidP="00D7216E">
            <w:pPr>
              <w:spacing w:after="0" w:line="240" w:lineRule="auto"/>
              <w:ind w:right="288"/>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PISA is a triennial international survey that aims to evaluate education systems worldwide by testing the skills and knowledge of 15-year-old students in the subjects of reading, mathematics and science.</w:t>
            </w:r>
          </w:p>
          <w:p w14:paraId="4D439EAD" w14:textId="77777777" w:rsidR="003B50EF" w:rsidRPr="00BA20A0" w:rsidRDefault="003B50EF" w:rsidP="00D7216E">
            <w:pPr>
              <w:spacing w:after="0" w:line="240" w:lineRule="auto"/>
              <w:ind w:right="144"/>
              <w:textAlignment w:val="baseline"/>
              <w:rPr>
                <w:rFonts w:ascii="Calibri" w:eastAsia="Arial" w:hAnsi="Calibri" w:cs="Calibri"/>
                <w:color w:val="373737"/>
                <w:spacing w:val="-2"/>
                <w:kern w:val="0"/>
                <w:sz w:val="16"/>
                <w:szCs w:val="22"/>
                <w:lang w:val="en-US"/>
              </w:rPr>
            </w:pPr>
            <w:r w:rsidRPr="00BA20A0">
              <w:rPr>
                <w:rFonts w:ascii="Calibri" w:eastAsia="Arial" w:hAnsi="Calibri" w:cs="Calibri"/>
                <w:color w:val="373737"/>
                <w:spacing w:val="-2"/>
                <w:kern w:val="0"/>
                <w:sz w:val="16"/>
                <w:szCs w:val="22"/>
                <w:lang w:val="en-US"/>
              </w:rPr>
              <w:t xml:space="preserve">The results for science and mathematics at country level are highly correlated. Mathematics has been tracked as Australia’s current educational challenges with regard to mathematics were deemed to be more acute than those for science. </w:t>
            </w:r>
          </w:p>
        </w:tc>
        <w:tc>
          <w:tcPr>
            <w:tcW w:w="4394" w:type="dxa"/>
            <w:tcBorders>
              <w:top w:val="single" w:sz="6" w:space="0" w:color="000000"/>
              <w:left w:val="single" w:sz="6" w:space="0" w:color="000000"/>
              <w:bottom w:val="single" w:sz="6" w:space="0" w:color="000000"/>
              <w:right w:val="single" w:sz="4" w:space="0" w:color="auto"/>
            </w:tcBorders>
          </w:tcPr>
          <w:p w14:paraId="362B2A24" w14:textId="585488D4" w:rsidR="003B50EF" w:rsidRPr="00682E85" w:rsidRDefault="00400295" w:rsidP="00D7216E">
            <w:pPr>
              <w:spacing w:after="0" w:line="240" w:lineRule="auto"/>
              <w:ind w:right="144"/>
              <w:textAlignment w:val="baseline"/>
              <w:rPr>
                <w:rFonts w:ascii="Calibri" w:eastAsia="Arial" w:hAnsi="Calibri" w:cs="Calibri"/>
                <w:kern w:val="0"/>
                <w:sz w:val="16"/>
                <w:szCs w:val="22"/>
                <w:lang w:val="en-US"/>
              </w:rPr>
            </w:pPr>
            <w:hyperlink r:id="rId42" w:history="1">
              <w:r w:rsidR="003B50EF" w:rsidRPr="00682E85">
                <w:rPr>
                  <w:rFonts w:ascii="Calibri" w:eastAsia="Arial" w:hAnsi="Calibri" w:cs="Calibri"/>
                  <w:kern w:val="0"/>
                  <w:sz w:val="16"/>
                  <w:szCs w:val="22"/>
                  <w:lang w:val="en-US"/>
                </w:rPr>
                <w:t>OECD PISA database</w:t>
              </w:r>
            </w:hyperlink>
            <w:r w:rsidR="00D24F31">
              <w:rPr>
                <w:rFonts w:ascii="Calibri" w:eastAsia="Arial" w:hAnsi="Calibri" w:cs="Calibri"/>
                <w:kern w:val="0"/>
                <w:sz w:val="16"/>
                <w:szCs w:val="22"/>
                <w:lang w:val="en-US"/>
              </w:rPr>
              <w:t>:</w:t>
            </w:r>
          </w:p>
          <w:p w14:paraId="30FC7202" w14:textId="2B60C8D2" w:rsidR="003B50EF" w:rsidRPr="00BA20A0" w:rsidRDefault="00D24F31" w:rsidP="00D24F31">
            <w:pPr>
              <w:spacing w:after="0" w:line="240" w:lineRule="auto"/>
              <w:ind w:right="144"/>
              <w:textAlignment w:val="baseline"/>
              <w:rPr>
                <w:rFonts w:ascii="Calibri" w:eastAsia="Arial" w:hAnsi="Calibri" w:cs="Calibri"/>
                <w:color w:val="005CAE"/>
                <w:kern w:val="0"/>
                <w:sz w:val="16"/>
                <w:szCs w:val="22"/>
                <w:lang w:val="en-US"/>
              </w:rPr>
            </w:pPr>
            <w:r w:rsidRPr="00D24F31">
              <w:rPr>
                <w:rFonts w:ascii="Calibri" w:eastAsia="Arial" w:hAnsi="Calibri" w:cs="Calibri"/>
                <w:color w:val="0000FF"/>
                <w:kern w:val="0"/>
                <w:sz w:val="16"/>
                <w:szCs w:val="22"/>
                <w:u w:val="single"/>
                <w:lang w:val="en-US"/>
              </w:rPr>
              <w:t>www.oecd.org/pisa/data/</w:t>
            </w:r>
          </w:p>
        </w:tc>
      </w:tr>
      <w:tr w:rsidR="003B50EF" w:rsidRPr="00BA20A0" w14:paraId="3371DCD1" w14:textId="77777777" w:rsidTr="003B50EF">
        <w:trPr>
          <w:cantSplit/>
          <w:trHeight w:val="1134"/>
        </w:trPr>
        <w:tc>
          <w:tcPr>
            <w:tcW w:w="562" w:type="dxa"/>
            <w:vMerge w:val="restart"/>
            <w:shd w:val="clear" w:color="auto" w:fill="4B355F"/>
            <w:textDirection w:val="btLr"/>
          </w:tcPr>
          <w:p w14:paraId="44DBF425" w14:textId="7EA87409" w:rsidR="003B50EF" w:rsidRPr="00BA20A0" w:rsidRDefault="00A5450F" w:rsidP="003B50EF">
            <w:pPr>
              <w:spacing w:after="0" w:line="240" w:lineRule="auto"/>
              <w:ind w:left="113" w:right="113"/>
              <w:jc w:val="center"/>
              <w:rPr>
                <w:rFonts w:ascii="Calibri" w:eastAsia="Calibri" w:hAnsi="Calibri" w:cs="Times New Roman"/>
                <w:kern w:val="0"/>
                <w:sz w:val="22"/>
                <w:szCs w:val="22"/>
                <w:lang w:val="en-AU"/>
              </w:rPr>
            </w:pPr>
            <w:r>
              <w:rPr>
                <w:rFonts w:ascii="Calibri" w:eastAsia="Calibri" w:hAnsi="Calibri" w:cs="Times New Roman"/>
                <w:b/>
                <w:color w:val="FFFFFF"/>
                <w:kern w:val="0"/>
                <w:sz w:val="22"/>
                <w:szCs w:val="22"/>
                <w:lang w:val="en-AU"/>
              </w:rPr>
              <w:lastRenderedPageBreak/>
              <w:t>National e</w:t>
            </w:r>
            <w:r w:rsidR="003B50EF" w:rsidRPr="00BA20A0">
              <w:rPr>
                <w:rFonts w:ascii="Calibri" w:eastAsia="Calibri" w:hAnsi="Calibri" w:cs="Times New Roman"/>
                <w:b/>
                <w:color w:val="FFFFFF"/>
                <w:kern w:val="0"/>
                <w:sz w:val="22"/>
                <w:szCs w:val="22"/>
                <w:lang w:val="en-AU"/>
              </w:rPr>
              <w:t>nvironment</w:t>
            </w:r>
          </w:p>
        </w:tc>
        <w:tc>
          <w:tcPr>
            <w:tcW w:w="567" w:type="dxa"/>
            <w:vMerge w:val="restart"/>
            <w:textDirection w:val="btLr"/>
            <w:vAlign w:val="center"/>
          </w:tcPr>
          <w:p w14:paraId="4531FFD7" w14:textId="0B7128AD"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r w:rsidRPr="00BA20A0">
              <w:rPr>
                <w:rFonts w:ascii="Calibri" w:eastAsia="Calibri" w:hAnsi="Calibri" w:cs="Times New Roman"/>
                <w:b/>
                <w:color w:val="4B355F"/>
                <w:kern w:val="0"/>
                <w:sz w:val="22"/>
                <w:szCs w:val="22"/>
                <w:lang w:val="en-AU"/>
              </w:rPr>
              <w:t>Outputs</w:t>
            </w:r>
          </w:p>
        </w:tc>
        <w:tc>
          <w:tcPr>
            <w:tcW w:w="3119" w:type="dxa"/>
            <w:tcBorders>
              <w:top w:val="single" w:sz="6" w:space="0" w:color="000000"/>
              <w:left w:val="single" w:sz="6" w:space="0" w:color="000000"/>
              <w:bottom w:val="single" w:sz="6" w:space="0" w:color="000000"/>
              <w:right w:val="single" w:sz="6" w:space="0" w:color="000000"/>
            </w:tcBorders>
          </w:tcPr>
          <w:p w14:paraId="2A30B120" w14:textId="77777777" w:rsidR="003B50EF" w:rsidRPr="00BA20A0" w:rsidRDefault="003B50EF" w:rsidP="00D7216E">
            <w:pPr>
              <w:tabs>
                <w:tab w:val="left" w:pos="216"/>
                <w:tab w:val="left" w:pos="360"/>
              </w:tabs>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17. Quality-adjusted labour input (qualifications and experience), five-year compound annual growth rate, % of total economy (this measure is a proxy for the output of investment into</w:t>
            </w:r>
          </w:p>
          <w:p w14:paraId="2907E02F" w14:textId="77777777" w:rsidR="003B50EF" w:rsidRPr="00BA20A0" w:rsidRDefault="003B50EF"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education and skills at an economy level)</w:t>
            </w:r>
          </w:p>
        </w:tc>
        <w:tc>
          <w:tcPr>
            <w:tcW w:w="6662" w:type="dxa"/>
            <w:tcBorders>
              <w:top w:val="single" w:sz="6" w:space="0" w:color="000000"/>
              <w:left w:val="single" w:sz="6" w:space="0" w:color="000000"/>
              <w:bottom w:val="single" w:sz="6" w:space="0" w:color="000000"/>
              <w:right w:val="single" w:sz="6" w:space="0" w:color="000000"/>
            </w:tcBorders>
          </w:tcPr>
          <w:p w14:paraId="2E303076" w14:textId="77777777" w:rsidR="003B50EF" w:rsidRPr="00BA20A0" w:rsidRDefault="003B50EF" w:rsidP="00D7216E">
            <w:pPr>
              <w:spacing w:after="0" w:line="240" w:lineRule="auto"/>
              <w:textAlignment w:val="baseline"/>
              <w:rPr>
                <w:rFonts w:ascii="Calibri" w:eastAsia="Arial" w:hAnsi="Calibri" w:cs="Calibri"/>
                <w:color w:val="373737"/>
                <w:spacing w:val="-1"/>
                <w:kern w:val="0"/>
                <w:sz w:val="16"/>
                <w:szCs w:val="22"/>
                <w:lang w:val="en-US"/>
              </w:rPr>
            </w:pPr>
            <w:r w:rsidRPr="00BA20A0">
              <w:rPr>
                <w:rFonts w:ascii="Calibri" w:eastAsia="Arial" w:hAnsi="Calibri" w:cs="Calibri"/>
                <w:color w:val="373737"/>
                <w:kern w:val="0"/>
                <w:sz w:val="16"/>
                <w:szCs w:val="22"/>
                <w:lang w:val="en-US"/>
              </w:rPr>
              <w:t xml:space="preserve">Quality-adjusted labour input is a measure of the skill composition of workers, usually based on the level of educational attainment and labour market experience. Changes in the quality of labour are calculated using data on </w:t>
            </w:r>
            <w:r w:rsidRPr="00BA20A0">
              <w:rPr>
                <w:rFonts w:ascii="Calibri" w:eastAsia="Arial" w:hAnsi="Calibri" w:cs="Calibri"/>
                <w:color w:val="373737"/>
                <w:spacing w:val="-1"/>
                <w:kern w:val="0"/>
                <w:sz w:val="16"/>
                <w:szCs w:val="22"/>
                <w:lang w:val="en-US"/>
              </w:rPr>
              <w:t xml:space="preserve">employment (number of hours actually worked) and compensation of workers (hourly income) by educational attainment, to determine the annual growth rate. </w:t>
            </w:r>
          </w:p>
          <w:p w14:paraId="09BFD9FD" w14:textId="77777777" w:rsidR="003B50EF" w:rsidRPr="00BA20A0" w:rsidRDefault="003B50EF"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 xml:space="preserve">Changes in labour quality (the quality-adjusted labour input) therefore reflects the changing labour market conditions, which impacts labour input contribution to </w:t>
            </w:r>
            <w:r w:rsidRPr="00BA20A0">
              <w:rPr>
                <w:rFonts w:ascii="Calibri" w:eastAsia="Arial" w:hAnsi="Calibri" w:cs="Calibri"/>
                <w:color w:val="373737"/>
                <w:spacing w:val="-1"/>
                <w:kern w:val="0"/>
                <w:sz w:val="16"/>
                <w:szCs w:val="22"/>
                <w:lang w:val="en-US"/>
              </w:rPr>
              <w:t>productivity and growth. For example, an increase in the share of workers with tertiary education and those in their prime age – typically defined as those aged</w:t>
            </w:r>
            <w:r w:rsidRPr="00BA20A0">
              <w:rPr>
                <w:rFonts w:ascii="Calibri" w:eastAsia="Arial" w:hAnsi="Calibri" w:cs="Calibri"/>
                <w:color w:val="373737"/>
                <w:kern w:val="0"/>
                <w:sz w:val="16"/>
                <w:szCs w:val="22"/>
                <w:lang w:val="en-US"/>
              </w:rPr>
              <w:t xml:space="preserve"> 25 to 54 years (which reflect experience of workers) would result in increased labour productivity.</w:t>
            </w:r>
          </w:p>
        </w:tc>
        <w:tc>
          <w:tcPr>
            <w:tcW w:w="4394" w:type="dxa"/>
            <w:tcBorders>
              <w:top w:val="single" w:sz="6" w:space="0" w:color="000000"/>
              <w:left w:val="single" w:sz="6" w:space="0" w:color="000000"/>
              <w:bottom w:val="single" w:sz="6" w:space="0" w:color="000000"/>
              <w:right w:val="single" w:sz="4" w:space="0" w:color="auto"/>
            </w:tcBorders>
          </w:tcPr>
          <w:p w14:paraId="201A7E74" w14:textId="77777777" w:rsidR="003B50EF" w:rsidRPr="00BA20A0" w:rsidRDefault="003B50EF"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 xml:space="preserve">Conference Board Total Economy Database showing the growth rate of labour input, adjusted for quality (labour quality). The data can be accessed from the </w:t>
            </w:r>
            <w:r w:rsidRPr="00BA20A0">
              <w:rPr>
                <w:rFonts w:ascii="Calibri" w:eastAsia="Arial" w:hAnsi="Calibri" w:cs="Calibri"/>
                <w:color w:val="373737"/>
                <w:spacing w:val="-1"/>
                <w:kern w:val="0"/>
                <w:sz w:val="16"/>
                <w:szCs w:val="22"/>
                <w:lang w:val="en-US"/>
              </w:rPr>
              <w:t xml:space="preserve">Growth Accounting and Total Factor Productivity, 1990–2018, series. The data source provides the level of </w:t>
            </w:r>
            <w:r w:rsidRPr="00BA20A0">
              <w:rPr>
                <w:rFonts w:ascii="Calibri" w:eastAsia="Arial" w:hAnsi="Calibri" w:cs="Calibri"/>
                <w:color w:val="373737"/>
                <w:kern w:val="0"/>
                <w:sz w:val="16"/>
                <w:szCs w:val="22"/>
                <w:lang w:val="en-US"/>
              </w:rPr>
              <w:t>growth in labour quality in the total economy only, not by sector.</w:t>
            </w:r>
            <w:r w:rsidRPr="00BA20A0">
              <w:rPr>
                <w:rFonts w:ascii="Calibri" w:eastAsia="Arial" w:hAnsi="Calibri" w:cs="Calibri"/>
                <w:color w:val="000000"/>
                <w:kern w:val="0"/>
                <w:sz w:val="24"/>
                <w:szCs w:val="22"/>
                <w:lang w:val="en-US"/>
              </w:rPr>
              <w:t xml:space="preserve"> </w:t>
            </w:r>
          </w:p>
        </w:tc>
      </w:tr>
      <w:tr w:rsidR="003B50EF" w:rsidRPr="00BA20A0" w14:paraId="71510BE5" w14:textId="77777777" w:rsidTr="003B50EF">
        <w:trPr>
          <w:cantSplit/>
          <w:trHeight w:val="1134"/>
        </w:trPr>
        <w:tc>
          <w:tcPr>
            <w:tcW w:w="562" w:type="dxa"/>
            <w:vMerge/>
            <w:shd w:val="clear" w:color="auto" w:fill="4B355F"/>
            <w:textDirection w:val="btLr"/>
          </w:tcPr>
          <w:p w14:paraId="32310C01" w14:textId="77777777" w:rsidR="003B50EF" w:rsidRPr="00BA20A0" w:rsidRDefault="003B50EF" w:rsidP="003B50EF">
            <w:pPr>
              <w:spacing w:after="0" w:line="240" w:lineRule="auto"/>
              <w:ind w:left="113" w:right="113"/>
              <w:rPr>
                <w:rFonts w:ascii="Calibri" w:eastAsia="Calibri" w:hAnsi="Calibri" w:cs="Times New Roman"/>
                <w:kern w:val="0"/>
                <w:sz w:val="22"/>
                <w:szCs w:val="22"/>
                <w:lang w:val="en-AU"/>
              </w:rPr>
            </w:pPr>
          </w:p>
        </w:tc>
        <w:tc>
          <w:tcPr>
            <w:tcW w:w="567" w:type="dxa"/>
            <w:vMerge/>
            <w:textDirection w:val="btLr"/>
            <w:vAlign w:val="center"/>
          </w:tcPr>
          <w:p w14:paraId="1EA6402E" w14:textId="77777777" w:rsidR="003B50EF" w:rsidRPr="00BA20A0" w:rsidRDefault="003B50EF" w:rsidP="00BA20A0">
            <w:pPr>
              <w:spacing w:after="0" w:line="240" w:lineRule="auto"/>
              <w:ind w:left="113" w:right="113"/>
              <w:jc w:val="center"/>
              <w:rPr>
                <w:rFonts w:ascii="Calibri" w:eastAsia="Calibri" w:hAnsi="Calibri" w:cs="Times New Roman"/>
                <w:kern w:val="0"/>
                <w:sz w:val="22"/>
                <w:szCs w:val="22"/>
                <w:lang w:val="en-AU"/>
              </w:rPr>
            </w:pPr>
          </w:p>
        </w:tc>
        <w:tc>
          <w:tcPr>
            <w:tcW w:w="3119" w:type="dxa"/>
            <w:tcBorders>
              <w:top w:val="single" w:sz="6" w:space="0" w:color="000000"/>
              <w:left w:val="single" w:sz="6" w:space="0" w:color="000000"/>
              <w:bottom w:val="single" w:sz="6" w:space="0" w:color="000000"/>
              <w:right w:val="single" w:sz="6" w:space="0" w:color="000000"/>
            </w:tcBorders>
          </w:tcPr>
          <w:p w14:paraId="6AF8F8EE" w14:textId="77777777" w:rsidR="003B50EF" w:rsidRPr="00BA20A0" w:rsidRDefault="003B50EF" w:rsidP="00D7216E">
            <w:pPr>
              <w:tabs>
                <w:tab w:val="left" w:pos="216"/>
                <w:tab w:val="left" w:pos="360"/>
              </w:tabs>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 xml:space="preserve">18. Proportion of population aged 25–34 with higher education, % </w:t>
            </w:r>
          </w:p>
          <w:p w14:paraId="6C72A297" w14:textId="77777777" w:rsidR="003B50EF" w:rsidRPr="00BA20A0" w:rsidRDefault="003B50EF" w:rsidP="00D7216E">
            <w:pPr>
              <w:tabs>
                <w:tab w:val="left" w:pos="216"/>
                <w:tab w:val="left" w:pos="360"/>
              </w:tabs>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(this measure is a proxy for investment outputs into education at an economy level)</w:t>
            </w:r>
          </w:p>
        </w:tc>
        <w:tc>
          <w:tcPr>
            <w:tcW w:w="6662" w:type="dxa"/>
            <w:tcBorders>
              <w:top w:val="single" w:sz="6" w:space="0" w:color="000000"/>
              <w:left w:val="single" w:sz="6" w:space="0" w:color="000000"/>
              <w:bottom w:val="single" w:sz="6" w:space="0" w:color="000000"/>
              <w:right w:val="single" w:sz="6" w:space="0" w:color="000000"/>
            </w:tcBorders>
          </w:tcPr>
          <w:p w14:paraId="04D47CDC" w14:textId="77777777" w:rsidR="003B50EF" w:rsidRPr="00BA20A0" w:rsidRDefault="003B50EF"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Higher education attainment includes bachelors, masters, doctorates, or equivalent (not short-cycle tertiary)</w:t>
            </w:r>
          </w:p>
        </w:tc>
        <w:tc>
          <w:tcPr>
            <w:tcW w:w="4394" w:type="dxa"/>
            <w:tcBorders>
              <w:top w:val="single" w:sz="6" w:space="0" w:color="000000"/>
              <w:left w:val="single" w:sz="6" w:space="0" w:color="000000"/>
              <w:bottom w:val="single" w:sz="6" w:space="0" w:color="000000"/>
              <w:right w:val="single" w:sz="4" w:space="0" w:color="auto"/>
            </w:tcBorders>
          </w:tcPr>
          <w:p w14:paraId="66C6BD17" w14:textId="77777777" w:rsidR="003B50EF" w:rsidRPr="00BA20A0" w:rsidRDefault="003B50EF" w:rsidP="00D7216E">
            <w:pPr>
              <w:spacing w:after="0" w:line="240" w:lineRule="auto"/>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ABS Cat. No. 6227.0 – Education and Work, Australia, May 2018, Table 14. International comparison data at OECD Education at a Glance.</w:t>
            </w:r>
          </w:p>
        </w:tc>
      </w:tr>
      <w:tr w:rsidR="00BA20A0" w:rsidRPr="00BA20A0" w14:paraId="010C7DE9" w14:textId="77777777" w:rsidTr="00847CE2">
        <w:trPr>
          <w:cantSplit/>
          <w:trHeight w:val="1000"/>
        </w:trPr>
        <w:tc>
          <w:tcPr>
            <w:tcW w:w="562" w:type="dxa"/>
            <w:shd w:val="clear" w:color="auto" w:fill="BFBFBF"/>
            <w:textDirection w:val="btLr"/>
            <w:vAlign w:val="center"/>
          </w:tcPr>
          <w:p w14:paraId="4D4249A6" w14:textId="77777777" w:rsidR="00BA20A0" w:rsidRPr="00BA20A0" w:rsidRDefault="00BA20A0" w:rsidP="00BA20A0">
            <w:pPr>
              <w:spacing w:after="0" w:line="240" w:lineRule="auto"/>
              <w:ind w:left="113" w:right="113"/>
              <w:jc w:val="center"/>
              <w:rPr>
                <w:rFonts w:ascii="Calibri" w:eastAsia="Calibri" w:hAnsi="Calibri" w:cs="Times New Roman"/>
                <w:b/>
                <w:kern w:val="0"/>
                <w:sz w:val="22"/>
                <w:szCs w:val="22"/>
                <w:lang w:val="en-AU"/>
              </w:rPr>
            </w:pPr>
            <w:r w:rsidRPr="00BA20A0">
              <w:rPr>
                <w:rFonts w:ascii="Calibri" w:eastAsia="Calibri" w:hAnsi="Calibri" w:cs="Times New Roman"/>
                <w:b/>
                <w:color w:val="FFFFFF"/>
                <w:kern w:val="0"/>
                <w:sz w:val="22"/>
                <w:szCs w:val="22"/>
                <w:lang w:val="en-AU"/>
              </w:rPr>
              <w:t>Impacts</w:t>
            </w:r>
          </w:p>
        </w:tc>
        <w:tc>
          <w:tcPr>
            <w:tcW w:w="567" w:type="dxa"/>
            <w:textDirection w:val="btLr"/>
            <w:vAlign w:val="center"/>
          </w:tcPr>
          <w:p w14:paraId="03105015" w14:textId="77777777" w:rsidR="00BA20A0" w:rsidRPr="00BA20A0" w:rsidRDefault="00BA20A0" w:rsidP="00BA20A0">
            <w:pPr>
              <w:spacing w:after="0" w:line="240" w:lineRule="auto"/>
              <w:ind w:left="113" w:right="113"/>
              <w:rPr>
                <w:rFonts w:ascii="Calibri" w:eastAsia="Calibri" w:hAnsi="Calibri" w:cs="Times New Roman"/>
                <w:kern w:val="0"/>
                <w:sz w:val="22"/>
                <w:szCs w:val="22"/>
                <w:lang w:val="en-AU"/>
              </w:rPr>
            </w:pPr>
          </w:p>
        </w:tc>
        <w:tc>
          <w:tcPr>
            <w:tcW w:w="3119" w:type="dxa"/>
            <w:tcBorders>
              <w:top w:val="single" w:sz="6" w:space="0" w:color="000000"/>
              <w:left w:val="single" w:sz="4" w:space="0" w:color="auto"/>
              <w:bottom w:val="single" w:sz="4" w:space="0" w:color="auto"/>
              <w:right w:val="single" w:sz="6" w:space="0" w:color="000000"/>
            </w:tcBorders>
          </w:tcPr>
          <w:p w14:paraId="23DCE2E3" w14:textId="77777777" w:rsidR="00BA20A0" w:rsidRPr="00BA20A0" w:rsidRDefault="00BA20A0" w:rsidP="00D7216E">
            <w:pPr>
              <w:tabs>
                <w:tab w:val="left" w:pos="288"/>
                <w:tab w:val="left" w:pos="432"/>
              </w:tabs>
              <w:spacing w:after="0" w:line="240" w:lineRule="auto"/>
              <w:ind w:right="576"/>
              <w:textAlignment w:val="baseline"/>
              <w:rPr>
                <w:rFonts w:ascii="Calibri" w:eastAsia="Arial" w:hAnsi="Calibri" w:cs="Calibri"/>
                <w:color w:val="373737"/>
                <w:spacing w:val="-3"/>
                <w:kern w:val="0"/>
                <w:sz w:val="16"/>
                <w:szCs w:val="22"/>
                <w:lang w:val="en-US"/>
              </w:rPr>
            </w:pPr>
            <w:r w:rsidRPr="00BA20A0">
              <w:rPr>
                <w:rFonts w:ascii="Calibri" w:eastAsia="Arial" w:hAnsi="Calibri" w:cs="Calibri"/>
                <w:color w:val="373737"/>
                <w:spacing w:val="-3"/>
                <w:kern w:val="0"/>
                <w:sz w:val="16"/>
                <w:szCs w:val="22"/>
                <w:lang w:val="en-US"/>
              </w:rPr>
              <w:t>19. Multifactor productivity change, five year compound annual growth rate, %</w:t>
            </w:r>
          </w:p>
        </w:tc>
        <w:tc>
          <w:tcPr>
            <w:tcW w:w="6662" w:type="dxa"/>
            <w:tcBorders>
              <w:top w:val="single" w:sz="6" w:space="0" w:color="000000"/>
              <w:left w:val="single" w:sz="6" w:space="0" w:color="000000"/>
              <w:bottom w:val="single" w:sz="4" w:space="0" w:color="auto"/>
              <w:right w:val="single" w:sz="6" w:space="0" w:color="000000"/>
            </w:tcBorders>
          </w:tcPr>
          <w:p w14:paraId="6BF8ED37" w14:textId="77777777" w:rsidR="00BA20A0" w:rsidRPr="00BA20A0" w:rsidRDefault="00BA20A0" w:rsidP="00D7216E">
            <w:pPr>
              <w:spacing w:after="0" w:line="240" w:lineRule="auto"/>
              <w:ind w:right="108"/>
              <w:textAlignment w:val="baseline"/>
              <w:rPr>
                <w:rFonts w:ascii="Calibri" w:eastAsia="Arial" w:hAnsi="Calibri" w:cs="Calibri"/>
                <w:color w:val="373737"/>
                <w:kern w:val="0"/>
                <w:sz w:val="16"/>
                <w:szCs w:val="22"/>
                <w:lang w:val="en-US"/>
              </w:rPr>
            </w:pPr>
            <w:r w:rsidRPr="00BA20A0">
              <w:rPr>
                <w:rFonts w:ascii="Calibri" w:eastAsia="Arial" w:hAnsi="Calibri" w:cs="Calibri"/>
                <w:color w:val="373737"/>
                <w:kern w:val="0"/>
                <w:sz w:val="16"/>
                <w:szCs w:val="22"/>
                <w:lang w:val="en-US"/>
              </w:rPr>
              <w:t>MFP measures the changes in output per unit of combined inputs of labour and capital. The change or growth in MFP is measured as a 5-year compound annual growth rate.</w:t>
            </w:r>
          </w:p>
        </w:tc>
        <w:tc>
          <w:tcPr>
            <w:tcW w:w="4394" w:type="dxa"/>
            <w:tcBorders>
              <w:top w:val="single" w:sz="6" w:space="0" w:color="000000"/>
              <w:left w:val="single" w:sz="6" w:space="0" w:color="000000"/>
              <w:bottom w:val="single" w:sz="4" w:space="0" w:color="auto"/>
              <w:right w:val="single" w:sz="4" w:space="0" w:color="auto"/>
            </w:tcBorders>
          </w:tcPr>
          <w:p w14:paraId="47B14427" w14:textId="3B04D7F6" w:rsidR="00BA20A0" w:rsidRPr="00682E85" w:rsidRDefault="00D24F31" w:rsidP="00D7216E">
            <w:pPr>
              <w:spacing w:after="0" w:line="240" w:lineRule="auto"/>
              <w:textAlignment w:val="baseline"/>
              <w:rPr>
                <w:rFonts w:ascii="Calibri" w:eastAsia="Arial" w:hAnsi="Calibri" w:cs="Calibri"/>
                <w:kern w:val="0"/>
                <w:sz w:val="16"/>
                <w:szCs w:val="22"/>
                <w:lang w:val="en-US"/>
              </w:rPr>
            </w:pPr>
            <w:r w:rsidRPr="00682E85">
              <w:rPr>
                <w:rFonts w:ascii="Calibri" w:eastAsia="Arial" w:hAnsi="Calibri" w:cs="Calibri"/>
                <w:kern w:val="0"/>
                <w:sz w:val="16"/>
                <w:szCs w:val="22"/>
                <w:lang w:val="en-US"/>
              </w:rPr>
              <w:t>OECD Multifactor Productivity</w:t>
            </w:r>
          </w:p>
          <w:p w14:paraId="1AA6836C" w14:textId="168A439E" w:rsidR="00BA20A0" w:rsidRPr="00D7216E" w:rsidRDefault="00400295" w:rsidP="00D7216E">
            <w:pPr>
              <w:spacing w:after="0" w:line="240" w:lineRule="auto"/>
              <w:textAlignment w:val="baseline"/>
              <w:rPr>
                <w:rFonts w:ascii="Calibri" w:eastAsia="Arial" w:hAnsi="Calibri" w:cs="Calibri"/>
                <w:color w:val="0000FF"/>
                <w:kern w:val="0"/>
                <w:sz w:val="16"/>
                <w:szCs w:val="22"/>
                <w:u w:val="single"/>
                <w:lang w:val="en-US"/>
              </w:rPr>
            </w:pPr>
            <w:hyperlink r:id="rId43" w:history="1">
              <w:r w:rsidR="00C73D5F" w:rsidRPr="00521D51">
                <w:rPr>
                  <w:rStyle w:val="Hyperlink"/>
                  <w:rFonts w:ascii="Calibri" w:eastAsia="Arial" w:hAnsi="Calibri" w:cs="Calibri"/>
                  <w:kern w:val="0"/>
                  <w:sz w:val="16"/>
                  <w:szCs w:val="22"/>
                  <w:lang w:val="en-US"/>
                </w:rPr>
                <w:t>https://data.oecd.org/lprdty/multifactor-productivity.htm</w:t>
              </w:r>
            </w:hyperlink>
            <w:r w:rsidR="00C73D5F">
              <w:rPr>
                <w:rFonts w:ascii="Calibri" w:eastAsia="Arial" w:hAnsi="Calibri" w:cs="Calibri"/>
                <w:color w:val="373737"/>
                <w:kern w:val="0"/>
                <w:sz w:val="16"/>
                <w:szCs w:val="22"/>
                <w:lang w:val="en-US"/>
              </w:rPr>
              <w:t xml:space="preserve"> </w:t>
            </w:r>
          </w:p>
        </w:tc>
      </w:tr>
    </w:tbl>
    <w:p w14:paraId="6ADCECC8" w14:textId="77777777" w:rsidR="003474B1" w:rsidRDefault="003474B1" w:rsidP="003D00D8">
      <w:pPr>
        <w:sectPr w:rsidR="003474B1" w:rsidSect="003D00D8">
          <w:headerReference w:type="default" r:id="rId44"/>
          <w:footerReference w:type="default" r:id="rId45"/>
          <w:pgSz w:w="16838" w:h="11906" w:orient="landscape"/>
          <w:pgMar w:top="720" w:right="720" w:bottom="720" w:left="720" w:header="708" w:footer="708" w:gutter="0"/>
          <w:cols w:space="708"/>
          <w:docGrid w:linePitch="360"/>
        </w:sectPr>
      </w:pPr>
    </w:p>
    <w:p w14:paraId="1D823BB1" w14:textId="15EE9439" w:rsidR="003838CF" w:rsidRPr="009150DC" w:rsidRDefault="00BA15EB" w:rsidP="00066E5A">
      <w:pPr>
        <w:pStyle w:val="Heading1"/>
      </w:pPr>
      <w:bookmarkStart w:id="562" w:name="_Toc34919475"/>
      <w:bookmarkStart w:id="563" w:name="_Toc34921761"/>
      <w:bookmarkStart w:id="564" w:name="_Toc34924079"/>
      <w:bookmarkStart w:id="565" w:name="_Toc34925403"/>
      <w:bookmarkStart w:id="566" w:name="_Toc34925415"/>
      <w:bookmarkStart w:id="567" w:name="_Ref34986530"/>
      <w:bookmarkStart w:id="568" w:name="_Toc34989550"/>
      <w:bookmarkStart w:id="569" w:name="_Toc35006828"/>
      <w:bookmarkStart w:id="570" w:name="_Toc35011763"/>
      <w:bookmarkStart w:id="571" w:name="_Toc35015790"/>
      <w:bookmarkStart w:id="572" w:name="_Toc35356400"/>
      <w:bookmarkStart w:id="573" w:name="_Toc36651070"/>
      <w:bookmarkStart w:id="574" w:name="_Toc36806827"/>
      <w:bookmarkStart w:id="575" w:name="_Toc42868696"/>
      <w:bookmarkStart w:id="576" w:name="_Toc42872716"/>
      <w:bookmarkStart w:id="577" w:name="_Toc43996725"/>
      <w:bookmarkStart w:id="578" w:name="_Toc43999101"/>
      <w:bookmarkStart w:id="579" w:name="_Toc44071653"/>
      <w:bookmarkStart w:id="580" w:name="_Toc44074727"/>
      <w:bookmarkStart w:id="581" w:name="_Toc44076162"/>
      <w:bookmarkStart w:id="582" w:name="_Toc44079145"/>
      <w:bookmarkStart w:id="583" w:name="_Toc44317964"/>
      <w:bookmarkStart w:id="584" w:name="_Toc44320760"/>
      <w:bookmarkStart w:id="585" w:name="_Toc44312297"/>
      <w:bookmarkStart w:id="586" w:name="_Toc44322396"/>
      <w:bookmarkStart w:id="587" w:name="_Toc44322585"/>
      <w:bookmarkStart w:id="588" w:name="_Toc44323388"/>
      <w:bookmarkStart w:id="589" w:name="_Toc44323475"/>
      <w:bookmarkStart w:id="590" w:name="_Toc44324985"/>
      <w:bookmarkStart w:id="591" w:name="_Toc44326055"/>
      <w:bookmarkStart w:id="592" w:name="_Toc44330379"/>
      <w:bookmarkStart w:id="593" w:name="_Toc44331829"/>
      <w:bookmarkStart w:id="594" w:name="_Toc44331942"/>
      <w:bookmarkStart w:id="595" w:name="_Toc44339039"/>
      <w:bookmarkStart w:id="596" w:name="_Toc44340739"/>
      <w:bookmarkStart w:id="597" w:name="_Toc44419468"/>
      <w:bookmarkStart w:id="598" w:name="_Toc44420425"/>
      <w:bookmarkStart w:id="599" w:name="_Toc56073622"/>
      <w:bookmarkStart w:id="600" w:name="_Toc57113519"/>
      <w:bookmarkStart w:id="601" w:name="_Toc57113702"/>
      <w:bookmarkStart w:id="602" w:name="_Toc57641039"/>
      <w:r>
        <w:lastRenderedPageBreak/>
        <w:t>Appendix I</w:t>
      </w:r>
      <w:r w:rsidR="00066E5A">
        <w:t xml:space="preserve">: </w:t>
      </w:r>
      <w:r w:rsidR="00007155" w:rsidRPr="009150DC">
        <w:t>Glossary</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24E9A5BF" w14:textId="70ABC316" w:rsidR="00F07C7A" w:rsidRPr="009150DC" w:rsidRDefault="00F07C7A" w:rsidP="00080764">
      <w:pPr>
        <w:rPr>
          <w:lang w:val="en-AU"/>
        </w:rPr>
      </w:pPr>
      <w:r w:rsidRPr="009150DC">
        <w:rPr>
          <w:lang w:val="en-AU"/>
        </w:rPr>
        <w:t>The table below provides definitions of key term</w:t>
      </w:r>
      <w:r w:rsidR="00C33396" w:rsidRPr="009150DC">
        <w:rPr>
          <w:lang w:val="en-AU"/>
        </w:rPr>
        <w:t>s as used by I</w:t>
      </w:r>
      <w:r w:rsidR="00523472">
        <w:rPr>
          <w:lang w:val="en-AU"/>
        </w:rPr>
        <w:t>I</w:t>
      </w:r>
      <w:r w:rsidR="00C33396" w:rsidRPr="009150DC">
        <w:rPr>
          <w:lang w:val="en-AU"/>
        </w:rPr>
        <w:t xml:space="preserve">SA in this </w:t>
      </w:r>
      <w:r w:rsidR="001447F7" w:rsidRPr="009150DC">
        <w:rPr>
          <w:lang w:val="en-AU"/>
        </w:rPr>
        <w:t>report.</w:t>
      </w:r>
      <w:bookmarkStart w:id="603" w:name="_Toc24037975"/>
      <w:bookmarkStart w:id="604" w:name="_Toc24363542"/>
      <w:bookmarkStart w:id="605" w:name="_Toc24384983"/>
      <w:bookmarkStart w:id="606" w:name="_Toc24037976"/>
      <w:bookmarkStart w:id="607" w:name="_Toc24363543"/>
      <w:bookmarkStart w:id="608" w:name="_Toc24384984"/>
      <w:bookmarkStart w:id="609" w:name="_Toc24037977"/>
      <w:bookmarkStart w:id="610" w:name="_Toc24363544"/>
      <w:bookmarkStart w:id="611" w:name="_Toc24384985"/>
      <w:bookmarkEnd w:id="603"/>
      <w:bookmarkEnd w:id="604"/>
      <w:bookmarkEnd w:id="605"/>
      <w:bookmarkEnd w:id="606"/>
      <w:bookmarkEnd w:id="607"/>
      <w:bookmarkEnd w:id="608"/>
      <w:bookmarkEnd w:id="609"/>
      <w:bookmarkEnd w:id="610"/>
      <w:bookmarkEnd w:id="611"/>
      <w:r w:rsidR="00C33396" w:rsidRPr="009150DC">
        <w:rPr>
          <w:lang w:val="en-AU"/>
        </w:rPr>
        <w:t xml:space="preserve"> Additional useful definitions can be found in </w:t>
      </w:r>
      <w:r w:rsidR="00E83837" w:rsidRPr="009150DC">
        <w:rPr>
          <w:lang w:val="en-AU"/>
        </w:rPr>
        <w:t xml:space="preserve">ISA’s 2016 </w:t>
      </w:r>
      <w:r w:rsidR="00E83837" w:rsidRPr="009150DC" w:rsidDel="000D6835">
        <w:rPr>
          <w:lang w:val="en-AU"/>
        </w:rPr>
        <w:t>Performance review of the Australian Innovation, Science and Research System</w:t>
      </w:r>
      <w:r w:rsidR="00B712EB" w:rsidRPr="009150DC">
        <w:rPr>
          <w:lang w:val="en-AU"/>
        </w:rPr>
        <w:t>.</w:t>
      </w:r>
      <w:r w:rsidR="00E83837" w:rsidRPr="009150DC">
        <w:rPr>
          <w:vertAlign w:val="superscript"/>
          <w:lang w:val="en-AU"/>
        </w:rPr>
        <w:footnoteReference w:id="163"/>
      </w:r>
    </w:p>
    <w:tbl>
      <w:tblPr>
        <w:tblStyle w:val="TableGrid"/>
        <w:tblW w:w="9209" w:type="dxa"/>
        <w:tblLayout w:type="fixed"/>
        <w:tblCellMar>
          <w:top w:w="57" w:type="dxa"/>
          <w:left w:w="57" w:type="dxa"/>
          <w:bottom w:w="57" w:type="dxa"/>
          <w:right w:w="57" w:type="dxa"/>
        </w:tblCellMar>
        <w:tblLook w:val="04A0" w:firstRow="1" w:lastRow="0" w:firstColumn="1" w:lastColumn="0" w:noHBand="0" w:noVBand="1"/>
        <w:tblCaption w:val="Glossary table"/>
        <w:tblDescription w:val="Definition of terms used in this report"/>
      </w:tblPr>
      <w:tblGrid>
        <w:gridCol w:w="1696"/>
        <w:gridCol w:w="7513"/>
      </w:tblGrid>
      <w:tr w:rsidR="00964268" w:rsidRPr="000A3AE7" w14:paraId="07641580" w14:textId="77777777" w:rsidTr="000A3AE7">
        <w:trPr>
          <w:tblHeader/>
        </w:trPr>
        <w:tc>
          <w:tcPr>
            <w:tcW w:w="1696" w:type="dxa"/>
            <w:shd w:val="clear" w:color="auto" w:fill="DCE2EC" w:themeFill="accent2" w:themeFillTint="33"/>
            <w:vAlign w:val="center"/>
          </w:tcPr>
          <w:p w14:paraId="0828AC6D" w14:textId="77777777" w:rsidR="00964268" w:rsidRPr="000A3AE7" w:rsidRDefault="00964268" w:rsidP="000A3AE7">
            <w:pPr>
              <w:spacing w:after="0" w:line="240" w:lineRule="auto"/>
              <w:rPr>
                <w:b/>
                <w:sz w:val="20"/>
                <w:szCs w:val="20"/>
                <w:lang w:val="en-AU"/>
              </w:rPr>
            </w:pPr>
            <w:r w:rsidRPr="000A3AE7">
              <w:rPr>
                <w:b/>
                <w:sz w:val="20"/>
                <w:szCs w:val="20"/>
                <w:lang w:val="en-AU"/>
              </w:rPr>
              <w:t>Term</w:t>
            </w:r>
          </w:p>
        </w:tc>
        <w:tc>
          <w:tcPr>
            <w:tcW w:w="7513" w:type="dxa"/>
            <w:shd w:val="clear" w:color="auto" w:fill="DCE2EC" w:themeFill="accent2" w:themeFillTint="33"/>
            <w:vAlign w:val="center"/>
          </w:tcPr>
          <w:p w14:paraId="1B6B8899" w14:textId="77777777" w:rsidR="00964268" w:rsidRPr="000A3AE7" w:rsidRDefault="00964268" w:rsidP="000A3AE7">
            <w:pPr>
              <w:spacing w:after="0" w:line="240" w:lineRule="auto"/>
              <w:rPr>
                <w:b/>
                <w:sz w:val="20"/>
                <w:szCs w:val="20"/>
                <w:lang w:val="en-AU"/>
              </w:rPr>
            </w:pPr>
            <w:r w:rsidRPr="000A3AE7">
              <w:rPr>
                <w:b/>
                <w:sz w:val="20"/>
                <w:szCs w:val="20"/>
                <w:lang w:val="en-AU"/>
              </w:rPr>
              <w:t>Definition</w:t>
            </w:r>
          </w:p>
        </w:tc>
      </w:tr>
      <w:tr w:rsidR="00964268" w:rsidRPr="000A3AE7" w14:paraId="41BCAD02" w14:textId="77777777" w:rsidTr="000A3AE7">
        <w:tc>
          <w:tcPr>
            <w:tcW w:w="1696" w:type="dxa"/>
          </w:tcPr>
          <w:p w14:paraId="7961C04B" w14:textId="7E45FE23" w:rsidR="00964268" w:rsidRPr="000A3AE7" w:rsidRDefault="00964268" w:rsidP="000A3AE7">
            <w:pPr>
              <w:spacing w:after="0" w:line="240" w:lineRule="auto"/>
              <w:rPr>
                <w:b/>
                <w:sz w:val="20"/>
                <w:szCs w:val="20"/>
                <w:lang w:val="en-AU"/>
              </w:rPr>
            </w:pPr>
            <w:r w:rsidRPr="000A3AE7">
              <w:rPr>
                <w:b/>
                <w:sz w:val="20"/>
                <w:szCs w:val="20"/>
                <w:lang w:val="en-AU"/>
              </w:rPr>
              <w:t>Applied research</w:t>
            </w:r>
          </w:p>
        </w:tc>
        <w:tc>
          <w:tcPr>
            <w:tcW w:w="7513" w:type="dxa"/>
          </w:tcPr>
          <w:p w14:paraId="361AEB2B" w14:textId="4DE6393D" w:rsidR="00964268" w:rsidRPr="000A3AE7" w:rsidRDefault="00964268" w:rsidP="000A3AE7">
            <w:pPr>
              <w:spacing w:after="0" w:line="240" w:lineRule="auto"/>
              <w:rPr>
                <w:sz w:val="20"/>
                <w:szCs w:val="20"/>
                <w:lang w:val="en-AU"/>
              </w:rPr>
            </w:pPr>
            <w:r w:rsidRPr="000A3AE7">
              <w:rPr>
                <w:sz w:val="20"/>
                <w:szCs w:val="20"/>
                <w:lang w:val="en-AU"/>
              </w:rPr>
              <w:t>Applied research is original work undertaken primarily to acquire new knowledge with a specific application in view. It is undertaken either to determine possible uses for the findings of basic research or to determine new ways of achieving some specific a</w:t>
            </w:r>
            <w:r w:rsidR="000D2F06" w:rsidRPr="000A3AE7">
              <w:rPr>
                <w:sz w:val="20"/>
                <w:szCs w:val="20"/>
                <w:lang w:val="en-AU"/>
              </w:rPr>
              <w:t xml:space="preserve">nd predetermined objectives. </w:t>
            </w:r>
            <w:r w:rsidRPr="000A3AE7">
              <w:rPr>
                <w:rStyle w:val="FootnoteReference"/>
                <w:sz w:val="20"/>
                <w:szCs w:val="20"/>
                <w:lang w:val="en-AU"/>
              </w:rPr>
              <w:footnoteReference w:id="164"/>
            </w:r>
          </w:p>
        </w:tc>
      </w:tr>
      <w:tr w:rsidR="00964268" w:rsidRPr="000A3AE7" w14:paraId="710E228D" w14:textId="77777777" w:rsidTr="000A3AE7">
        <w:tc>
          <w:tcPr>
            <w:tcW w:w="1696" w:type="dxa"/>
          </w:tcPr>
          <w:p w14:paraId="259980A8" w14:textId="77777777" w:rsidR="00964268" w:rsidRPr="000A3AE7" w:rsidRDefault="00964268" w:rsidP="000A3AE7">
            <w:pPr>
              <w:spacing w:after="0" w:line="240" w:lineRule="auto"/>
              <w:rPr>
                <w:b/>
                <w:sz w:val="20"/>
                <w:szCs w:val="20"/>
                <w:lang w:val="en-AU"/>
              </w:rPr>
            </w:pPr>
            <w:r w:rsidRPr="000A3AE7">
              <w:rPr>
                <w:b/>
                <w:sz w:val="20"/>
                <w:szCs w:val="20"/>
                <w:lang w:val="en-AU"/>
              </w:rPr>
              <w:t>Broad-based allocation</w:t>
            </w:r>
          </w:p>
        </w:tc>
        <w:tc>
          <w:tcPr>
            <w:tcW w:w="7513" w:type="dxa"/>
          </w:tcPr>
          <w:p w14:paraId="0CE96681" w14:textId="7C0B2D16" w:rsidR="00964268" w:rsidRPr="000A3AE7" w:rsidRDefault="00964268" w:rsidP="000A3AE7">
            <w:pPr>
              <w:spacing w:after="0" w:line="240" w:lineRule="auto"/>
              <w:rPr>
                <w:sz w:val="20"/>
                <w:szCs w:val="20"/>
                <w:lang w:val="en-AU"/>
              </w:rPr>
            </w:pPr>
            <w:r w:rsidRPr="000A3AE7">
              <w:rPr>
                <w:sz w:val="20"/>
                <w:szCs w:val="20"/>
                <w:lang w:val="en-AU"/>
              </w:rPr>
              <w:t xml:space="preserve">For this analysis, broad-based investment allocations were taken from SRI Budget Tables categorisations and included entitlement funding (where an organisation undertaking eligible activities receives pre-specified levels of financial assistance from the </w:t>
            </w:r>
            <w:r w:rsidR="003E51DA" w:rsidRPr="000A3AE7">
              <w:rPr>
                <w:sz w:val="20"/>
                <w:szCs w:val="20"/>
                <w:lang w:val="en-AU"/>
              </w:rPr>
              <w:t>Commonwealth</w:t>
            </w:r>
            <w:r w:rsidRPr="000A3AE7">
              <w:rPr>
                <w:sz w:val="20"/>
                <w:szCs w:val="20"/>
                <w:lang w:val="en-AU"/>
              </w:rPr>
              <w:t xml:space="preserve"> Government, such as the R&amp;D Tax Measures) and formula funding (where organisations receive an allocation calculated according to a formula based upon their performance against specified metrics, such as performance-based block funding to universities).</w:t>
            </w:r>
          </w:p>
        </w:tc>
      </w:tr>
      <w:tr w:rsidR="00964268" w:rsidRPr="000A3AE7" w14:paraId="24369439" w14:textId="77777777" w:rsidTr="000A3AE7">
        <w:tc>
          <w:tcPr>
            <w:tcW w:w="1696" w:type="dxa"/>
          </w:tcPr>
          <w:p w14:paraId="46506432" w14:textId="77777777" w:rsidR="00964268" w:rsidRPr="000A3AE7" w:rsidRDefault="00964268" w:rsidP="000A3AE7">
            <w:pPr>
              <w:spacing w:after="0" w:line="240" w:lineRule="auto"/>
              <w:rPr>
                <w:b/>
                <w:sz w:val="20"/>
                <w:szCs w:val="20"/>
                <w:lang w:val="en-AU"/>
              </w:rPr>
            </w:pPr>
            <w:r w:rsidRPr="000A3AE7">
              <w:rPr>
                <w:b/>
                <w:color w:val="000000"/>
                <w:sz w:val="20"/>
                <w:szCs w:val="20"/>
                <w:lang w:val="en-AU"/>
              </w:rPr>
              <w:t>Business Expenditure on R&amp;D</w:t>
            </w:r>
          </w:p>
        </w:tc>
        <w:tc>
          <w:tcPr>
            <w:tcW w:w="7513" w:type="dxa"/>
          </w:tcPr>
          <w:p w14:paraId="1520BE70" w14:textId="3E7045F8" w:rsidR="00964268" w:rsidRPr="000A3AE7" w:rsidRDefault="00964268" w:rsidP="000A3AE7">
            <w:pPr>
              <w:pStyle w:val="Pa21"/>
              <w:spacing w:line="240" w:lineRule="auto"/>
              <w:rPr>
                <w:rFonts w:cs="Microsoft New Tai Lue"/>
                <w:color w:val="000000"/>
                <w:sz w:val="20"/>
                <w:szCs w:val="20"/>
              </w:rPr>
            </w:pPr>
            <w:r w:rsidRPr="000A3AE7">
              <w:rPr>
                <w:rFonts w:cs="Microsoft New Tai Lue"/>
                <w:color w:val="000000"/>
                <w:sz w:val="20"/>
                <w:szCs w:val="20"/>
              </w:rPr>
              <w:t>Business Expenditure on R&amp;D (BERD) is intramural expenditure on creative and systematic work undertaken in order to increase knowledge or to devise new applications of available knowledge by businesses. This includes all businesses whose primary activity is the production of goods and services for sale to the general public; private non-profit institutions; and government.</w:t>
            </w:r>
            <w:r w:rsidRPr="000A3AE7">
              <w:rPr>
                <w:rStyle w:val="FootnoteReference"/>
                <w:rFonts w:cs="Microsoft New Tai Lue"/>
                <w:color w:val="000000"/>
                <w:sz w:val="20"/>
                <w:szCs w:val="20"/>
              </w:rPr>
              <w:footnoteReference w:id="165"/>
            </w:r>
            <w:r w:rsidR="000D71FF" w:rsidRPr="000A3AE7">
              <w:rPr>
                <w:rFonts w:cs="Microsoft New Tai Lue"/>
                <w:color w:val="000000"/>
                <w:sz w:val="20"/>
                <w:szCs w:val="20"/>
              </w:rPr>
              <w:t xml:space="preserve"> For a full technical definition and explanatory notes please defer to the Australian Bureau of Statistics.</w:t>
            </w:r>
          </w:p>
        </w:tc>
      </w:tr>
      <w:tr w:rsidR="00964268" w:rsidRPr="000A3AE7" w14:paraId="7C641749" w14:textId="77777777" w:rsidTr="000A3AE7">
        <w:tc>
          <w:tcPr>
            <w:tcW w:w="1696" w:type="dxa"/>
          </w:tcPr>
          <w:p w14:paraId="5CE117C3" w14:textId="77777777" w:rsidR="00964268" w:rsidRPr="000A3AE7" w:rsidRDefault="00964268" w:rsidP="000A3AE7">
            <w:pPr>
              <w:spacing w:after="0" w:line="240" w:lineRule="auto"/>
              <w:rPr>
                <w:b/>
                <w:sz w:val="20"/>
                <w:szCs w:val="20"/>
                <w:lang w:val="en-AU"/>
              </w:rPr>
            </w:pPr>
            <w:r w:rsidRPr="000A3AE7">
              <w:rPr>
                <w:b/>
                <w:sz w:val="20"/>
                <w:szCs w:val="20"/>
                <w:lang w:val="en-AU"/>
              </w:rPr>
              <w:t>Effectiveness</w:t>
            </w:r>
          </w:p>
        </w:tc>
        <w:tc>
          <w:tcPr>
            <w:tcW w:w="7513" w:type="dxa"/>
          </w:tcPr>
          <w:p w14:paraId="42597180" w14:textId="77777777" w:rsidR="00964268" w:rsidRPr="000A3AE7" w:rsidRDefault="00964268" w:rsidP="000A3AE7">
            <w:pPr>
              <w:pStyle w:val="FootnoteText"/>
              <w:rPr>
                <w:sz w:val="20"/>
                <w:szCs w:val="20"/>
                <w:lang w:val="en-AU"/>
              </w:rPr>
            </w:pPr>
            <w:r w:rsidRPr="000A3AE7">
              <w:rPr>
                <w:sz w:val="20"/>
                <w:szCs w:val="20"/>
                <w:lang w:val="en-AU"/>
              </w:rPr>
              <w:t>For this assessment, effectiveness is defined as the ability of public resources to achieve a given set of objectives, as defined by the European Commission.</w:t>
            </w:r>
            <w:r w:rsidRPr="000A3AE7">
              <w:rPr>
                <w:rStyle w:val="FootnoteReference"/>
                <w:sz w:val="20"/>
                <w:szCs w:val="20"/>
                <w:lang w:val="en-AU"/>
              </w:rPr>
              <w:footnoteReference w:id="166"/>
            </w:r>
          </w:p>
        </w:tc>
      </w:tr>
      <w:tr w:rsidR="00964268" w:rsidRPr="000A3AE7" w14:paraId="7542C391" w14:textId="77777777" w:rsidTr="000A3AE7">
        <w:tc>
          <w:tcPr>
            <w:tcW w:w="1696" w:type="dxa"/>
          </w:tcPr>
          <w:p w14:paraId="26DE38EB" w14:textId="54563A61" w:rsidR="00964268" w:rsidRPr="000A3AE7" w:rsidRDefault="00964268" w:rsidP="000A3AE7">
            <w:pPr>
              <w:spacing w:after="0" w:line="240" w:lineRule="auto"/>
              <w:rPr>
                <w:b/>
                <w:sz w:val="20"/>
                <w:szCs w:val="20"/>
                <w:lang w:val="en-AU"/>
              </w:rPr>
            </w:pPr>
            <w:r w:rsidRPr="000A3AE7">
              <w:rPr>
                <w:b/>
                <w:sz w:val="20"/>
                <w:szCs w:val="20"/>
                <w:lang w:val="en-AU"/>
              </w:rPr>
              <w:t>Experimental development</w:t>
            </w:r>
          </w:p>
        </w:tc>
        <w:tc>
          <w:tcPr>
            <w:tcW w:w="7513" w:type="dxa"/>
          </w:tcPr>
          <w:p w14:paraId="363A4A57" w14:textId="142EC97B" w:rsidR="00964268" w:rsidRPr="000A3AE7" w:rsidRDefault="00964268" w:rsidP="000A3AE7">
            <w:pPr>
              <w:spacing w:after="0" w:line="240" w:lineRule="auto"/>
              <w:rPr>
                <w:sz w:val="20"/>
                <w:szCs w:val="20"/>
                <w:lang w:val="en-AU"/>
              </w:rPr>
            </w:pPr>
            <w:r w:rsidRPr="000A3AE7">
              <w:rPr>
                <w:sz w:val="20"/>
                <w:szCs w:val="20"/>
                <w:lang w:val="en-AU"/>
              </w:rPr>
              <w:t>Systematic work, using existing knowledge gained from research or practical experience, which is directed to producing new materials, products, devices, policies, behaviours or outlooks; to installing new processes, systems and services; or to improving substantially those already produced or installed.</w:t>
            </w:r>
            <w:r w:rsidRPr="000A3AE7">
              <w:rPr>
                <w:rStyle w:val="FootnoteReference"/>
                <w:sz w:val="20"/>
                <w:szCs w:val="20"/>
                <w:lang w:val="en-AU"/>
              </w:rPr>
              <w:footnoteReference w:id="167"/>
            </w:r>
          </w:p>
        </w:tc>
      </w:tr>
      <w:tr w:rsidR="00964268" w:rsidRPr="000A3AE7" w14:paraId="0D4131A2" w14:textId="77777777" w:rsidTr="000A3AE7">
        <w:tc>
          <w:tcPr>
            <w:tcW w:w="1696" w:type="dxa"/>
          </w:tcPr>
          <w:p w14:paraId="1D559B52"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Field of research</w:t>
            </w:r>
          </w:p>
        </w:tc>
        <w:tc>
          <w:tcPr>
            <w:tcW w:w="7513" w:type="dxa"/>
          </w:tcPr>
          <w:p w14:paraId="78346630" w14:textId="77777777" w:rsidR="00964268" w:rsidRPr="000A3AE7" w:rsidRDefault="00964268" w:rsidP="000A3AE7">
            <w:pPr>
              <w:pStyle w:val="ListBullet"/>
              <w:spacing w:after="0"/>
              <w:ind w:firstLine="0"/>
              <w:rPr>
                <w:sz w:val="20"/>
                <w:szCs w:val="20"/>
                <w:lang w:val="en-AU"/>
              </w:rPr>
            </w:pPr>
            <w:r w:rsidRPr="000A3AE7">
              <w:rPr>
                <w:sz w:val="20"/>
                <w:szCs w:val="20"/>
                <w:lang w:val="en-AU"/>
              </w:rPr>
              <w:t>Field of Research (FOR) is a hierarchical classification system that allows for the categorisation of research activity within Australia and New Zealand. The FOR allows for R&amp;D activity to be categorised according to the methodology used in the R&amp;D, rather than the activity of the unit performing the R&amp;D or the purpose of the R&amp;D.</w:t>
            </w:r>
            <w:r w:rsidRPr="000A3AE7">
              <w:rPr>
                <w:rStyle w:val="FootnoteReference"/>
                <w:sz w:val="20"/>
                <w:szCs w:val="20"/>
                <w:lang w:val="en-AU"/>
              </w:rPr>
              <w:footnoteReference w:id="168"/>
            </w:r>
            <w:r w:rsidRPr="000A3AE7">
              <w:rPr>
                <w:sz w:val="20"/>
                <w:szCs w:val="20"/>
                <w:lang w:val="en-AU"/>
              </w:rPr>
              <w:t xml:space="preserve"> </w:t>
            </w:r>
          </w:p>
        </w:tc>
      </w:tr>
      <w:tr w:rsidR="00964268" w:rsidRPr="000A3AE7" w14:paraId="4D9903E3" w14:textId="77777777" w:rsidTr="000A3AE7">
        <w:tc>
          <w:tcPr>
            <w:tcW w:w="1696" w:type="dxa"/>
          </w:tcPr>
          <w:p w14:paraId="1919C070" w14:textId="3FABF350" w:rsidR="00964268" w:rsidRPr="000A3AE7" w:rsidRDefault="00A5450F" w:rsidP="000A3AE7">
            <w:pPr>
              <w:spacing w:after="0" w:line="240" w:lineRule="auto"/>
              <w:rPr>
                <w:b/>
                <w:sz w:val="20"/>
                <w:szCs w:val="20"/>
                <w:lang w:val="en-AU"/>
              </w:rPr>
            </w:pPr>
            <w:r>
              <w:rPr>
                <w:b/>
                <w:color w:val="000000"/>
                <w:sz w:val="20"/>
                <w:szCs w:val="20"/>
                <w:lang w:val="en-AU"/>
              </w:rPr>
              <w:lastRenderedPageBreak/>
              <w:t>Government e</w:t>
            </w:r>
            <w:r w:rsidR="00964268" w:rsidRPr="000A3AE7">
              <w:rPr>
                <w:b/>
                <w:color w:val="000000"/>
                <w:sz w:val="20"/>
                <w:szCs w:val="20"/>
                <w:lang w:val="en-AU"/>
              </w:rPr>
              <w:t>xpenditure on R&amp;D</w:t>
            </w:r>
          </w:p>
        </w:tc>
        <w:tc>
          <w:tcPr>
            <w:tcW w:w="7513" w:type="dxa"/>
          </w:tcPr>
          <w:p w14:paraId="0BF83F17" w14:textId="789DDC20" w:rsidR="00964268" w:rsidRPr="000A3AE7" w:rsidRDefault="00964268" w:rsidP="000A3AE7">
            <w:pPr>
              <w:pStyle w:val="Pa21"/>
              <w:spacing w:line="240" w:lineRule="auto"/>
              <w:rPr>
                <w:rFonts w:cs="Microsoft New Tai Lue"/>
                <w:color w:val="000000"/>
                <w:sz w:val="20"/>
                <w:szCs w:val="20"/>
              </w:rPr>
            </w:pPr>
            <w:r w:rsidRPr="000A3AE7">
              <w:rPr>
                <w:rFonts w:cs="Microsoft New Tai Lue"/>
                <w:color w:val="000000"/>
                <w:sz w:val="20"/>
                <w:szCs w:val="20"/>
              </w:rPr>
              <w:t>Government expenditure on R&amp;D (GOVERD) is intramural expenditure on creative and systematic work undertaken in order to increase knowledge or to devise new approaches of applying knowledge from all units of the Australian government (excluding local governments, higher education institutions and government entities involved in market production or financial activities) and all organisations that are mainly financed by and operate for those government units.</w:t>
            </w:r>
            <w:r w:rsidRPr="000A3AE7">
              <w:rPr>
                <w:rStyle w:val="FootnoteReference"/>
                <w:rFonts w:cs="Microsoft New Tai Lue"/>
                <w:color w:val="000000"/>
                <w:sz w:val="20"/>
                <w:szCs w:val="20"/>
              </w:rPr>
              <w:footnoteReference w:id="169"/>
            </w:r>
            <w:r w:rsidR="000D71FF" w:rsidRPr="000A3AE7">
              <w:rPr>
                <w:rFonts w:cs="Microsoft New Tai Lue"/>
                <w:color w:val="000000"/>
                <w:sz w:val="20"/>
                <w:szCs w:val="20"/>
              </w:rPr>
              <w:t xml:space="preserve"> For a full technical definition and explanatory notes please defer to the Australian Bureau of Statistics.</w:t>
            </w:r>
          </w:p>
        </w:tc>
      </w:tr>
      <w:tr w:rsidR="00964268" w:rsidRPr="000A3AE7" w14:paraId="52F32261" w14:textId="77777777" w:rsidTr="000A3AE7">
        <w:tc>
          <w:tcPr>
            <w:tcW w:w="1696" w:type="dxa"/>
          </w:tcPr>
          <w:p w14:paraId="0236ED97" w14:textId="77777777" w:rsidR="00964268" w:rsidRPr="000A3AE7" w:rsidRDefault="00964268" w:rsidP="000A3AE7">
            <w:pPr>
              <w:spacing w:after="0" w:line="240" w:lineRule="auto"/>
              <w:rPr>
                <w:b/>
                <w:sz w:val="20"/>
                <w:szCs w:val="20"/>
                <w:lang w:val="en-AU"/>
              </w:rPr>
            </w:pPr>
            <w:r w:rsidRPr="000A3AE7">
              <w:rPr>
                <w:b/>
                <w:sz w:val="20"/>
                <w:szCs w:val="20"/>
                <w:lang w:val="en-AU"/>
              </w:rPr>
              <w:t>Government ISR investment</w:t>
            </w:r>
          </w:p>
        </w:tc>
        <w:tc>
          <w:tcPr>
            <w:tcW w:w="7513" w:type="dxa"/>
          </w:tcPr>
          <w:p w14:paraId="10457055" w14:textId="084DF46E" w:rsidR="00964268" w:rsidRPr="000A3AE7" w:rsidRDefault="00964268" w:rsidP="000A3AE7">
            <w:pPr>
              <w:spacing w:after="0" w:line="240" w:lineRule="auto"/>
              <w:rPr>
                <w:sz w:val="20"/>
                <w:szCs w:val="20"/>
                <w:lang w:val="en-AU"/>
              </w:rPr>
            </w:pPr>
            <w:r w:rsidRPr="000A3AE7" w:rsidDel="000D6835">
              <w:rPr>
                <w:sz w:val="20"/>
                <w:szCs w:val="20"/>
                <w:lang w:val="en-AU"/>
              </w:rPr>
              <w:t xml:space="preserve">For the purposes of this </w:t>
            </w:r>
            <w:r w:rsidRPr="000A3AE7">
              <w:rPr>
                <w:sz w:val="20"/>
                <w:szCs w:val="20"/>
                <w:lang w:val="en-AU"/>
              </w:rPr>
              <w:t>report</w:t>
            </w:r>
            <w:r w:rsidRPr="000A3AE7" w:rsidDel="000D6835">
              <w:rPr>
                <w:sz w:val="20"/>
                <w:szCs w:val="20"/>
                <w:lang w:val="en-AU"/>
              </w:rPr>
              <w:t xml:space="preserve">, </w:t>
            </w:r>
            <w:r w:rsidR="00523472">
              <w:rPr>
                <w:sz w:val="20"/>
                <w:szCs w:val="20"/>
                <w:lang w:val="en-AU"/>
              </w:rPr>
              <w:t>I</w:t>
            </w:r>
            <w:r w:rsidRPr="000A3AE7">
              <w:rPr>
                <w:sz w:val="20"/>
                <w:szCs w:val="20"/>
                <w:lang w:val="en-AU"/>
              </w:rPr>
              <w:t xml:space="preserve">ISA has focused on the </w:t>
            </w:r>
            <w:r w:rsidR="003E51DA" w:rsidRPr="000A3AE7">
              <w:rPr>
                <w:sz w:val="20"/>
                <w:szCs w:val="20"/>
                <w:lang w:val="en-AU"/>
              </w:rPr>
              <w:t>Commonwealth</w:t>
            </w:r>
            <w:r w:rsidRPr="000A3AE7">
              <w:rPr>
                <w:sz w:val="20"/>
                <w:szCs w:val="20"/>
                <w:lang w:val="en-AU"/>
              </w:rPr>
              <w:t xml:space="preserve"> Government’s </w:t>
            </w:r>
            <w:r w:rsidRPr="000A3AE7">
              <w:rPr>
                <w:i/>
                <w:sz w:val="20"/>
                <w:szCs w:val="20"/>
                <w:lang w:val="en-AU"/>
              </w:rPr>
              <w:t>investment</w:t>
            </w:r>
            <w:r w:rsidRPr="000A3AE7">
              <w:rPr>
                <w:sz w:val="20"/>
                <w:szCs w:val="20"/>
                <w:lang w:val="en-AU"/>
              </w:rPr>
              <w:t xml:space="preserve"> in ISR programs and activities in the ISR system which are resourced through a budgetary appropriation and targeted at delivering an ISR policy outcome.</w:t>
            </w:r>
            <w:r w:rsidRPr="000A3AE7" w:rsidDel="000D6835">
              <w:rPr>
                <w:sz w:val="20"/>
                <w:szCs w:val="20"/>
                <w:lang w:val="en-AU"/>
              </w:rPr>
              <w:t xml:space="preserve"> </w:t>
            </w:r>
            <w:r w:rsidRPr="000A3AE7">
              <w:rPr>
                <w:sz w:val="20"/>
                <w:szCs w:val="20"/>
                <w:lang w:val="en-AU"/>
              </w:rPr>
              <w:t>This investment also includes indirect support provided to businesses through measures which forgo revenues by the Government, for example, the R&amp;D Tax Incentive.</w:t>
            </w:r>
            <w:r w:rsidRPr="000A3AE7">
              <w:rPr>
                <w:sz w:val="20"/>
                <w:szCs w:val="20"/>
                <w:lang w:val="en-AU"/>
              </w:rPr>
              <w:br/>
              <w:t>Government investment in ISR</w:t>
            </w:r>
            <w:r w:rsidRPr="000A3AE7" w:rsidDel="00343C58">
              <w:rPr>
                <w:sz w:val="20"/>
                <w:szCs w:val="20"/>
                <w:lang w:val="en-AU"/>
              </w:rPr>
              <w:t xml:space="preserve"> </w:t>
            </w:r>
            <w:r w:rsidRPr="000A3AE7">
              <w:rPr>
                <w:sz w:val="20"/>
                <w:szCs w:val="20"/>
                <w:lang w:val="en-AU"/>
              </w:rPr>
              <w:t>includes allocation of public monies to support both R&amp;D and non-R&amp;D innovation. Non-R&amp;D innovation are innovation activities that do not stem from a scientific method or involve R&amp;D. Examples of non</w:t>
            </w:r>
            <w:r w:rsidRPr="000A3AE7">
              <w:rPr>
                <w:sz w:val="20"/>
                <w:szCs w:val="20"/>
                <w:lang w:val="en-AU"/>
              </w:rPr>
              <w:noBreakHyphen/>
              <w:t>R&amp;D innovation cited in a recently released I</w:t>
            </w:r>
            <w:r w:rsidR="00523472">
              <w:rPr>
                <w:sz w:val="20"/>
                <w:szCs w:val="20"/>
                <w:lang w:val="en-AU"/>
              </w:rPr>
              <w:t>I</w:t>
            </w:r>
            <w:r w:rsidRPr="000A3AE7">
              <w:rPr>
                <w:sz w:val="20"/>
                <w:szCs w:val="20"/>
                <w:lang w:val="en-AU"/>
              </w:rPr>
              <w:t>SA report</w:t>
            </w:r>
            <w:r w:rsidRPr="000A3AE7">
              <w:rPr>
                <w:sz w:val="20"/>
                <w:szCs w:val="20"/>
                <w:vertAlign w:val="superscript"/>
                <w:lang w:val="en-AU"/>
              </w:rPr>
              <w:footnoteReference w:id="170"/>
            </w:r>
            <w:r w:rsidRPr="000A3AE7">
              <w:rPr>
                <w:sz w:val="20"/>
                <w:szCs w:val="20"/>
                <w:vertAlign w:val="superscript"/>
                <w:lang w:val="en-AU"/>
              </w:rPr>
              <w:t xml:space="preserve"> </w:t>
            </w:r>
            <w:r w:rsidRPr="000A3AE7">
              <w:rPr>
                <w:sz w:val="20"/>
                <w:szCs w:val="20"/>
                <w:lang w:val="en-AU"/>
              </w:rPr>
              <w:t>include the development of new or improved business models as well as organisation or marketing practices. The report notes that non-R&amp;D innovation is less well measured than R&amp;D and is a less well-established target for public policy interventions.</w:t>
            </w:r>
            <w:r w:rsidRPr="000A3AE7">
              <w:rPr>
                <w:sz w:val="20"/>
                <w:szCs w:val="20"/>
                <w:lang w:val="en-AU"/>
              </w:rPr>
              <w:br/>
              <w:t xml:space="preserve">Further, the focus of this report is the </w:t>
            </w:r>
            <w:r w:rsidR="003E51DA" w:rsidRPr="000A3AE7">
              <w:rPr>
                <w:i/>
                <w:sz w:val="20"/>
                <w:szCs w:val="20"/>
                <w:lang w:val="en-AU"/>
              </w:rPr>
              <w:t>Commonwealth</w:t>
            </w:r>
            <w:r w:rsidRPr="000A3AE7">
              <w:rPr>
                <w:i/>
                <w:sz w:val="20"/>
                <w:szCs w:val="20"/>
                <w:lang w:val="en-AU"/>
              </w:rPr>
              <w:t xml:space="preserve"> Government’s</w:t>
            </w:r>
            <w:r w:rsidRPr="000A3AE7">
              <w:rPr>
                <w:sz w:val="20"/>
                <w:szCs w:val="20"/>
                <w:lang w:val="en-AU"/>
              </w:rPr>
              <w:t xml:space="preserve"> investment in ISR. While state and territory governments are important contributors to the Australia ISR, a detailed examination of these issues is beyond the scope of this report. Reference to state and territory activities and investments are for comparative or illustrative purposes only or to highlight a potential strategic opportunity that the Government may wish to consider.</w:t>
            </w:r>
            <w:r w:rsidRPr="000A3AE7">
              <w:rPr>
                <w:sz w:val="20"/>
                <w:szCs w:val="20"/>
                <w:lang w:val="en-AU"/>
              </w:rPr>
              <w:br/>
              <w:t>Within the Government’s investment activities, there are ISR investments that are targeted at delivering a particular policy outcome for the ISR system but also intramural ISR investments that the Government makes for its own ISR needs. These intramural investments are not always funded by a specific appropriation outlined in the Government’s Portfolio Budget Statements,</w:t>
            </w:r>
            <w:r w:rsidRPr="000A3AE7">
              <w:rPr>
                <w:rStyle w:val="FootnoteReference"/>
                <w:sz w:val="20"/>
                <w:szCs w:val="20"/>
                <w:lang w:val="en-AU"/>
              </w:rPr>
              <w:footnoteReference w:id="171"/>
            </w:r>
            <w:r w:rsidRPr="000A3AE7">
              <w:rPr>
                <w:sz w:val="20"/>
                <w:szCs w:val="20"/>
                <w:lang w:val="en-AU"/>
              </w:rPr>
              <w:t xml:space="preserve"> but instead resourced from within general departmental funding making them less visible for analysis purposes. While we have observed many investments of this type within the Government during the course of this project, given the challenge of comprehensively capturing all investments of this nature, this </w:t>
            </w:r>
            <w:r w:rsidRPr="000A3AE7" w:rsidDel="000D6835">
              <w:rPr>
                <w:sz w:val="20"/>
                <w:szCs w:val="20"/>
                <w:lang w:val="en-AU"/>
              </w:rPr>
              <w:t xml:space="preserve">review </w:t>
            </w:r>
            <w:r w:rsidRPr="000A3AE7">
              <w:rPr>
                <w:sz w:val="20"/>
                <w:szCs w:val="20"/>
                <w:lang w:val="en-AU"/>
              </w:rPr>
              <w:t>does</w:t>
            </w:r>
            <w:r w:rsidRPr="000A3AE7" w:rsidDel="000D6835">
              <w:rPr>
                <w:sz w:val="20"/>
                <w:szCs w:val="20"/>
                <w:lang w:val="en-AU"/>
              </w:rPr>
              <w:t xml:space="preserve"> not include investment in </w:t>
            </w:r>
            <w:r w:rsidRPr="000A3AE7">
              <w:rPr>
                <w:sz w:val="20"/>
                <w:szCs w:val="20"/>
                <w:lang w:val="en-AU"/>
              </w:rPr>
              <w:t>innovative practices within the</w:t>
            </w:r>
            <w:r w:rsidRPr="000A3AE7" w:rsidDel="000D6835">
              <w:rPr>
                <w:sz w:val="20"/>
                <w:szCs w:val="20"/>
                <w:lang w:val="en-AU"/>
              </w:rPr>
              <w:t xml:space="preserve"> public sector or </w:t>
            </w:r>
            <w:r w:rsidRPr="000A3AE7">
              <w:rPr>
                <w:sz w:val="20"/>
                <w:szCs w:val="20"/>
                <w:lang w:val="en-AU"/>
              </w:rPr>
              <w:t xml:space="preserve">innovative </w:t>
            </w:r>
            <w:r w:rsidRPr="000A3AE7" w:rsidDel="000D6835">
              <w:rPr>
                <w:sz w:val="20"/>
                <w:szCs w:val="20"/>
                <w:lang w:val="en-AU"/>
              </w:rPr>
              <w:t>government processes</w:t>
            </w:r>
            <w:r w:rsidRPr="000A3AE7">
              <w:rPr>
                <w:sz w:val="20"/>
                <w:szCs w:val="20"/>
                <w:lang w:val="en-AU"/>
              </w:rPr>
              <w:t>.</w:t>
            </w:r>
          </w:p>
        </w:tc>
      </w:tr>
      <w:tr w:rsidR="00964268" w:rsidRPr="000A3AE7" w14:paraId="6CB26749" w14:textId="77777777" w:rsidTr="000A3AE7">
        <w:tc>
          <w:tcPr>
            <w:tcW w:w="1696" w:type="dxa"/>
          </w:tcPr>
          <w:p w14:paraId="547AC83E" w14:textId="77777777" w:rsidR="00964268" w:rsidRPr="000A3AE7" w:rsidRDefault="00964268" w:rsidP="000A3AE7">
            <w:pPr>
              <w:spacing w:after="0" w:line="240" w:lineRule="auto"/>
              <w:rPr>
                <w:b/>
                <w:sz w:val="20"/>
                <w:szCs w:val="20"/>
                <w:lang w:val="en-AU"/>
              </w:rPr>
            </w:pPr>
            <w:r w:rsidRPr="000A3AE7">
              <w:rPr>
                <w:b/>
                <w:sz w:val="20"/>
                <w:szCs w:val="20"/>
                <w:lang w:val="en-AU"/>
              </w:rPr>
              <w:t>Gross expenditure in R&amp;D</w:t>
            </w:r>
          </w:p>
        </w:tc>
        <w:tc>
          <w:tcPr>
            <w:tcW w:w="7513" w:type="dxa"/>
          </w:tcPr>
          <w:p w14:paraId="0560C6AC" w14:textId="277A2BCA" w:rsidR="00964268" w:rsidRPr="000A3AE7" w:rsidDel="000D6835" w:rsidRDefault="00964268" w:rsidP="000A3AE7">
            <w:pPr>
              <w:spacing w:after="0" w:line="240" w:lineRule="auto"/>
              <w:rPr>
                <w:sz w:val="20"/>
                <w:szCs w:val="20"/>
                <w:lang w:val="en-AU"/>
              </w:rPr>
            </w:pPr>
            <w:r w:rsidRPr="000A3AE7">
              <w:rPr>
                <w:sz w:val="20"/>
                <w:szCs w:val="20"/>
                <w:lang w:val="en-AU"/>
              </w:rPr>
              <w:t>Gross expenditure on R&amp;D (GERD) represents the total expenditure devoted to R&amp;D by the Business, Government, Higher Education and Private Non-Profit sectors.</w:t>
            </w:r>
            <w:r w:rsidRPr="000A3AE7">
              <w:rPr>
                <w:rStyle w:val="FootnoteReference"/>
                <w:color w:val="000000"/>
                <w:sz w:val="20"/>
                <w:szCs w:val="20"/>
                <w:lang w:val="en-AU"/>
              </w:rPr>
              <w:footnoteReference w:id="172"/>
            </w:r>
            <w:r w:rsidR="000D71FF" w:rsidRPr="000A3AE7">
              <w:rPr>
                <w:sz w:val="20"/>
                <w:szCs w:val="20"/>
                <w:lang w:val="en-AU"/>
              </w:rPr>
              <w:t xml:space="preserve"> </w:t>
            </w:r>
            <w:r w:rsidR="000D71FF" w:rsidRPr="000A3AE7">
              <w:rPr>
                <w:color w:val="000000"/>
                <w:sz w:val="20"/>
                <w:szCs w:val="20"/>
                <w:lang w:val="en-AU"/>
              </w:rPr>
              <w:t>For a full technical definition and explanatory notes please defer to the Australian Bureau of Statistics.</w:t>
            </w:r>
          </w:p>
        </w:tc>
      </w:tr>
      <w:tr w:rsidR="00964268" w:rsidRPr="000A3AE7" w14:paraId="70F78173" w14:textId="77777777" w:rsidTr="000A3AE7">
        <w:tc>
          <w:tcPr>
            <w:tcW w:w="1696" w:type="dxa"/>
          </w:tcPr>
          <w:p w14:paraId="13313B35" w14:textId="77777777" w:rsidR="00964268" w:rsidRPr="000A3AE7" w:rsidRDefault="00964268" w:rsidP="000A3AE7">
            <w:pPr>
              <w:spacing w:after="0" w:line="240" w:lineRule="auto"/>
              <w:rPr>
                <w:b/>
                <w:sz w:val="20"/>
                <w:szCs w:val="20"/>
                <w:lang w:val="en-AU"/>
              </w:rPr>
            </w:pPr>
            <w:r w:rsidRPr="000A3AE7">
              <w:rPr>
                <w:b/>
                <w:color w:val="000000"/>
                <w:sz w:val="20"/>
                <w:szCs w:val="20"/>
                <w:lang w:val="en-AU"/>
              </w:rPr>
              <w:lastRenderedPageBreak/>
              <w:t>Higher Education Expenditure on R&amp;D</w:t>
            </w:r>
          </w:p>
        </w:tc>
        <w:tc>
          <w:tcPr>
            <w:tcW w:w="7513" w:type="dxa"/>
          </w:tcPr>
          <w:p w14:paraId="62B91214" w14:textId="20BEAEF7" w:rsidR="00964268" w:rsidRPr="000A3AE7" w:rsidRDefault="00964268" w:rsidP="000A3AE7">
            <w:pPr>
              <w:spacing w:after="0" w:line="240" w:lineRule="auto"/>
              <w:rPr>
                <w:sz w:val="20"/>
                <w:szCs w:val="20"/>
                <w:lang w:val="en-AU"/>
              </w:rPr>
            </w:pPr>
            <w:r w:rsidRPr="000A3AE7">
              <w:rPr>
                <w:sz w:val="20"/>
                <w:szCs w:val="20"/>
                <w:lang w:val="en-AU"/>
              </w:rPr>
              <w:t>Higher Education expenditure on R&amp;D (HERD) is intramural expenditure on creative and systematic work undertaken in order to increase knowledge or to devise new applications of available knowledge by universities and other institutions of post-secondary education regardless of their source of finance or legal status. Note: ABS data exclude colleges of Technical and Further Education.</w:t>
            </w:r>
            <w:r w:rsidRPr="000A3AE7">
              <w:rPr>
                <w:rStyle w:val="FootnoteReference"/>
                <w:color w:val="000000"/>
                <w:sz w:val="20"/>
                <w:szCs w:val="20"/>
                <w:lang w:val="en-AU"/>
              </w:rPr>
              <w:footnoteReference w:id="173"/>
            </w:r>
            <w:r w:rsidR="000D71FF" w:rsidRPr="000A3AE7">
              <w:rPr>
                <w:sz w:val="20"/>
                <w:szCs w:val="20"/>
                <w:lang w:val="en-AU"/>
              </w:rPr>
              <w:t xml:space="preserve"> </w:t>
            </w:r>
            <w:r w:rsidR="000D71FF" w:rsidRPr="000A3AE7">
              <w:rPr>
                <w:color w:val="000000"/>
                <w:sz w:val="20"/>
                <w:szCs w:val="20"/>
                <w:lang w:val="en-AU"/>
              </w:rPr>
              <w:t>For a full technical definition and explanatory notes please defer to the Australian Bureau of Statistics.</w:t>
            </w:r>
          </w:p>
        </w:tc>
      </w:tr>
      <w:tr w:rsidR="00964268" w:rsidRPr="000A3AE7" w14:paraId="7B6E051E" w14:textId="77777777" w:rsidTr="000A3AE7">
        <w:tc>
          <w:tcPr>
            <w:tcW w:w="1696" w:type="dxa"/>
          </w:tcPr>
          <w:p w14:paraId="622E001A" w14:textId="77777777" w:rsidR="00964268" w:rsidRPr="000A3AE7" w:rsidDel="000D6835" w:rsidRDefault="00964268" w:rsidP="000A3AE7">
            <w:pPr>
              <w:spacing w:after="0" w:line="240" w:lineRule="auto"/>
              <w:rPr>
                <w:b/>
                <w:sz w:val="20"/>
                <w:szCs w:val="20"/>
                <w:lang w:val="en-AU"/>
              </w:rPr>
            </w:pPr>
            <w:r w:rsidRPr="000A3AE7">
              <w:rPr>
                <w:b/>
                <w:sz w:val="20"/>
                <w:szCs w:val="20"/>
                <w:lang w:val="en-AU"/>
              </w:rPr>
              <w:t>Innovation</w:t>
            </w:r>
          </w:p>
        </w:tc>
        <w:tc>
          <w:tcPr>
            <w:tcW w:w="7513" w:type="dxa"/>
          </w:tcPr>
          <w:p w14:paraId="19C6D1DF" w14:textId="77777777" w:rsidR="002B328C" w:rsidRPr="000A3AE7" w:rsidDel="000D6835" w:rsidRDefault="00964268" w:rsidP="000A3AE7">
            <w:pPr>
              <w:pStyle w:val="ListBullet"/>
              <w:spacing w:after="0"/>
              <w:ind w:firstLine="0"/>
              <w:rPr>
                <w:sz w:val="20"/>
                <w:szCs w:val="20"/>
                <w:lang w:val="en-AU"/>
              </w:rPr>
            </w:pPr>
            <w:r w:rsidRPr="000A3AE7">
              <w:rPr>
                <w:sz w:val="20"/>
                <w:szCs w:val="20"/>
                <w:lang w:val="en-AU"/>
              </w:rPr>
              <w:t>Innovation is doing something differently and creating value as a result. The value it creates can be economic, social or environmental. At the organisational level, innovation can refer to a clearly defined strategy and process, which often involve stages and gates, to guide activity, manage risk and allocate investment.</w:t>
            </w:r>
            <w:r w:rsidRPr="000A3AE7">
              <w:rPr>
                <w:rStyle w:val="FootnoteReference"/>
                <w:sz w:val="20"/>
                <w:szCs w:val="20"/>
                <w:lang w:val="en-AU"/>
              </w:rPr>
              <w:footnoteReference w:id="174"/>
            </w:r>
            <w:r w:rsidRPr="000A3AE7">
              <w:rPr>
                <w:sz w:val="20"/>
                <w:szCs w:val="20"/>
                <w:lang w:val="en-AU"/>
              </w:rPr>
              <w:t xml:space="preserve"> The OECD defines innovation as four types of innovation: Product innovation, process, innovation, marketing innovation and organisational innovation (see separate entries).</w:t>
            </w:r>
            <w:r w:rsidRPr="000A3AE7">
              <w:rPr>
                <w:rStyle w:val="FootnoteReference"/>
                <w:sz w:val="20"/>
                <w:szCs w:val="20"/>
                <w:lang w:val="en-AU"/>
              </w:rPr>
              <w:footnoteReference w:id="175"/>
            </w:r>
          </w:p>
        </w:tc>
      </w:tr>
      <w:tr w:rsidR="00964268" w:rsidRPr="000A3AE7" w14:paraId="2E417568" w14:textId="77777777" w:rsidTr="000A3AE7">
        <w:tc>
          <w:tcPr>
            <w:tcW w:w="1696" w:type="dxa"/>
          </w:tcPr>
          <w:p w14:paraId="4F27E5AD" w14:textId="77777777" w:rsidR="00964268" w:rsidRPr="000A3AE7" w:rsidRDefault="00964268" w:rsidP="000A3AE7">
            <w:pPr>
              <w:spacing w:after="0" w:line="240" w:lineRule="auto"/>
              <w:rPr>
                <w:b/>
                <w:sz w:val="20"/>
                <w:szCs w:val="20"/>
                <w:lang w:val="en-AU"/>
              </w:rPr>
            </w:pPr>
            <w:r w:rsidRPr="000A3AE7" w:rsidDel="000D6835">
              <w:rPr>
                <w:b/>
                <w:sz w:val="20"/>
                <w:szCs w:val="20"/>
                <w:lang w:val="en-AU"/>
              </w:rPr>
              <w:t>ISR system</w:t>
            </w:r>
          </w:p>
        </w:tc>
        <w:tc>
          <w:tcPr>
            <w:tcW w:w="7513" w:type="dxa"/>
          </w:tcPr>
          <w:p w14:paraId="48A2F297" w14:textId="77777777" w:rsidR="00964268" w:rsidRPr="000A3AE7" w:rsidRDefault="00964268" w:rsidP="000A3AE7">
            <w:pPr>
              <w:spacing w:after="0" w:line="240" w:lineRule="auto"/>
              <w:rPr>
                <w:sz w:val="20"/>
                <w:szCs w:val="20"/>
                <w:lang w:val="en-AU"/>
              </w:rPr>
            </w:pPr>
            <w:r w:rsidRPr="000A3AE7" w:rsidDel="000D6835">
              <w:rPr>
                <w:sz w:val="20"/>
                <w:szCs w:val="20"/>
                <w:lang w:val="en-AU"/>
              </w:rPr>
              <w:t>The ISR system is an open network of many diverse individuals and bodies who interact with the broader environment to produce and diffuse innovations that have economic, social and/or environmental value. These individuals and bodies generate ideas and knowledge; fund, develop and commercialise or apply new ideas and knowledge; and adopt innovative ways of doing things, purchase new products or support do</w:t>
            </w:r>
            <w:r w:rsidRPr="000A3AE7">
              <w:rPr>
                <w:sz w:val="20"/>
                <w:szCs w:val="20"/>
                <w:lang w:val="en-AU"/>
              </w:rPr>
              <w:t>ing</w:t>
            </w:r>
            <w:r w:rsidRPr="000A3AE7" w:rsidDel="000D6835">
              <w:rPr>
                <w:sz w:val="20"/>
                <w:szCs w:val="20"/>
                <w:lang w:val="en-AU"/>
              </w:rPr>
              <w:t xml:space="preserve"> things differently. The ISR system is complex and constantly changing</w:t>
            </w:r>
            <w:r w:rsidRPr="000A3AE7">
              <w:rPr>
                <w:sz w:val="20"/>
                <w:szCs w:val="20"/>
                <w:lang w:val="en-AU"/>
              </w:rPr>
              <w:t xml:space="preserve"> and </w:t>
            </w:r>
            <w:r w:rsidRPr="000A3AE7" w:rsidDel="000D6835">
              <w:rPr>
                <w:sz w:val="20"/>
                <w:szCs w:val="20"/>
                <w:lang w:val="en-AU"/>
              </w:rPr>
              <w:t>include</w:t>
            </w:r>
            <w:r w:rsidRPr="000A3AE7">
              <w:rPr>
                <w:sz w:val="20"/>
                <w:szCs w:val="20"/>
                <w:lang w:val="en-AU"/>
              </w:rPr>
              <w:t>s</w:t>
            </w:r>
            <w:r w:rsidRPr="000A3AE7" w:rsidDel="000D6835">
              <w:rPr>
                <w:sz w:val="20"/>
                <w:szCs w:val="20"/>
                <w:lang w:val="en-AU"/>
              </w:rPr>
              <w:t xml:space="preserve"> businesses; entrepreneurs and start-ups; universities and vocational education and training institutions; </w:t>
            </w:r>
            <w:r w:rsidRPr="000A3AE7">
              <w:rPr>
                <w:sz w:val="20"/>
                <w:szCs w:val="20"/>
                <w:lang w:val="en-AU"/>
              </w:rPr>
              <w:t>g</w:t>
            </w:r>
            <w:r w:rsidRPr="000A3AE7" w:rsidDel="000D6835">
              <w:rPr>
                <w:sz w:val="20"/>
                <w:szCs w:val="20"/>
                <w:lang w:val="en-AU"/>
              </w:rPr>
              <w:t>overnment policy and delivery agencies, along with publicly funded research agencies; investors; not for profit bodies and researchers.</w:t>
            </w:r>
            <w:r w:rsidRPr="000A3AE7" w:rsidDel="000D6835">
              <w:rPr>
                <w:rStyle w:val="FootnoteReference"/>
                <w:sz w:val="20"/>
                <w:szCs w:val="20"/>
                <w:lang w:val="en-AU"/>
              </w:rPr>
              <w:footnoteReference w:id="176"/>
            </w:r>
          </w:p>
        </w:tc>
      </w:tr>
      <w:tr w:rsidR="00964268" w:rsidRPr="000A3AE7" w14:paraId="0A4F204C" w14:textId="77777777" w:rsidTr="000A3AE7">
        <w:tc>
          <w:tcPr>
            <w:tcW w:w="1696" w:type="dxa"/>
          </w:tcPr>
          <w:p w14:paraId="2041D580"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Marketing innovation</w:t>
            </w:r>
          </w:p>
        </w:tc>
        <w:tc>
          <w:tcPr>
            <w:tcW w:w="7513" w:type="dxa"/>
          </w:tcPr>
          <w:p w14:paraId="18A84441" w14:textId="77777777" w:rsidR="00964268" w:rsidRPr="000A3AE7" w:rsidRDefault="00964268" w:rsidP="000A3AE7">
            <w:pPr>
              <w:spacing w:after="0" w:line="240" w:lineRule="auto"/>
              <w:rPr>
                <w:sz w:val="20"/>
                <w:szCs w:val="20"/>
                <w:lang w:val="en-AU"/>
              </w:rPr>
            </w:pPr>
            <w:r w:rsidRPr="000A3AE7">
              <w:rPr>
                <w:sz w:val="20"/>
                <w:szCs w:val="20"/>
                <w:lang w:val="en-AU"/>
              </w:rPr>
              <w:t>A new marketing method involving significant changes in product design or packaging, product placement, product promotion or pricing.</w:t>
            </w:r>
            <w:r w:rsidRPr="000A3AE7">
              <w:rPr>
                <w:rStyle w:val="FootnoteReference"/>
                <w:sz w:val="20"/>
                <w:szCs w:val="20"/>
                <w:lang w:val="en-AU"/>
              </w:rPr>
              <w:t xml:space="preserve"> </w:t>
            </w:r>
            <w:r w:rsidRPr="000A3AE7">
              <w:rPr>
                <w:rStyle w:val="FootnoteReference"/>
                <w:sz w:val="20"/>
                <w:szCs w:val="20"/>
                <w:lang w:val="en-AU"/>
              </w:rPr>
              <w:footnoteReference w:id="177"/>
            </w:r>
          </w:p>
        </w:tc>
      </w:tr>
      <w:tr w:rsidR="00964268" w:rsidRPr="000A3AE7" w14:paraId="3193E013" w14:textId="77777777" w:rsidTr="000A3AE7">
        <w:tc>
          <w:tcPr>
            <w:tcW w:w="1696" w:type="dxa"/>
          </w:tcPr>
          <w:p w14:paraId="1896BD4F" w14:textId="77777777" w:rsidR="00964268" w:rsidRPr="000A3AE7" w:rsidRDefault="00964268" w:rsidP="000A3AE7">
            <w:pPr>
              <w:spacing w:after="0" w:line="240" w:lineRule="auto"/>
              <w:rPr>
                <w:b/>
                <w:sz w:val="20"/>
                <w:szCs w:val="20"/>
                <w:lang w:val="en-AU"/>
              </w:rPr>
            </w:pPr>
            <w:r w:rsidRPr="000A3AE7">
              <w:rPr>
                <w:b/>
                <w:sz w:val="20"/>
                <w:szCs w:val="20"/>
                <w:lang w:val="en-AU"/>
              </w:rPr>
              <w:t>Non-R&amp;D innovation</w:t>
            </w:r>
          </w:p>
        </w:tc>
        <w:tc>
          <w:tcPr>
            <w:tcW w:w="7513" w:type="dxa"/>
          </w:tcPr>
          <w:p w14:paraId="69E92DEE" w14:textId="77777777" w:rsidR="00964268" w:rsidRPr="000A3AE7" w:rsidRDefault="00964268" w:rsidP="000A3AE7">
            <w:pPr>
              <w:pStyle w:val="FootnoteText"/>
              <w:rPr>
                <w:sz w:val="20"/>
                <w:szCs w:val="20"/>
                <w:lang w:val="en-AU"/>
              </w:rPr>
            </w:pPr>
            <w:r w:rsidRPr="000A3AE7">
              <w:rPr>
                <w:sz w:val="20"/>
                <w:szCs w:val="20"/>
                <w:lang w:val="en-AU"/>
              </w:rPr>
              <w:t xml:space="preserve">Non-R&amp;D innovation as defined in this analysis is investment in new or significantly improved product, process, marketing and organisational practices that are broader than </w:t>
            </w:r>
            <w:r w:rsidRPr="000A3AE7">
              <w:rPr>
                <w:color w:val="000000"/>
                <w:sz w:val="20"/>
                <w:szCs w:val="20"/>
                <w:lang w:val="en-AU"/>
              </w:rPr>
              <w:t xml:space="preserve">R&amp;D alone. More information about the economic benefits of non-R&amp;D innovation can be found in </w:t>
            </w:r>
            <w:r w:rsidRPr="000A3AE7">
              <w:rPr>
                <w:sz w:val="20"/>
                <w:szCs w:val="20"/>
                <w:lang w:val="en-AU"/>
              </w:rPr>
              <w:t>Innovation and Science Australia. (2020).</w:t>
            </w:r>
            <w:r w:rsidRPr="000A3AE7">
              <w:rPr>
                <w:rStyle w:val="FootnoteReference"/>
                <w:sz w:val="20"/>
                <w:szCs w:val="20"/>
                <w:lang w:val="en-AU"/>
              </w:rPr>
              <w:footnoteReference w:id="178"/>
            </w:r>
          </w:p>
        </w:tc>
      </w:tr>
      <w:tr w:rsidR="00964268" w:rsidRPr="000A3AE7" w14:paraId="4F734D9B" w14:textId="77777777" w:rsidTr="000A3AE7">
        <w:tc>
          <w:tcPr>
            <w:tcW w:w="1696" w:type="dxa"/>
          </w:tcPr>
          <w:p w14:paraId="1107FFDD"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Organisational innovation</w:t>
            </w:r>
          </w:p>
        </w:tc>
        <w:tc>
          <w:tcPr>
            <w:tcW w:w="7513" w:type="dxa"/>
          </w:tcPr>
          <w:p w14:paraId="7AEF7548" w14:textId="77777777" w:rsidR="00964268" w:rsidRPr="000A3AE7" w:rsidRDefault="00964268" w:rsidP="000A3AE7">
            <w:pPr>
              <w:spacing w:after="0" w:line="240" w:lineRule="auto"/>
              <w:rPr>
                <w:sz w:val="20"/>
                <w:szCs w:val="20"/>
                <w:lang w:val="en-AU"/>
              </w:rPr>
            </w:pPr>
            <w:r w:rsidRPr="000A3AE7">
              <w:rPr>
                <w:sz w:val="20"/>
                <w:szCs w:val="20"/>
                <w:lang w:val="en-AU"/>
              </w:rPr>
              <w:t>A new organisational method in business practices, workplace organisation or external relations.</w:t>
            </w:r>
            <w:r w:rsidRPr="000A3AE7">
              <w:rPr>
                <w:rStyle w:val="FootnoteReference"/>
                <w:sz w:val="20"/>
                <w:szCs w:val="20"/>
                <w:lang w:val="en-AU"/>
              </w:rPr>
              <w:t xml:space="preserve"> </w:t>
            </w:r>
            <w:r w:rsidRPr="000A3AE7">
              <w:rPr>
                <w:rStyle w:val="FootnoteReference"/>
                <w:sz w:val="20"/>
                <w:szCs w:val="20"/>
                <w:lang w:val="en-AU"/>
              </w:rPr>
              <w:footnoteReference w:id="179"/>
            </w:r>
          </w:p>
        </w:tc>
      </w:tr>
      <w:tr w:rsidR="00964268" w:rsidRPr="000A3AE7" w14:paraId="3459645F" w14:textId="77777777" w:rsidTr="000A3AE7">
        <w:tc>
          <w:tcPr>
            <w:tcW w:w="1696" w:type="dxa"/>
          </w:tcPr>
          <w:p w14:paraId="1575164B"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Process innovation</w:t>
            </w:r>
          </w:p>
        </w:tc>
        <w:tc>
          <w:tcPr>
            <w:tcW w:w="7513" w:type="dxa"/>
          </w:tcPr>
          <w:p w14:paraId="47E4ECB3" w14:textId="77777777" w:rsidR="00964268" w:rsidRPr="000A3AE7" w:rsidRDefault="00964268" w:rsidP="000A3AE7">
            <w:pPr>
              <w:spacing w:after="0" w:line="240" w:lineRule="auto"/>
              <w:rPr>
                <w:sz w:val="20"/>
                <w:szCs w:val="20"/>
                <w:lang w:val="en-AU"/>
              </w:rPr>
            </w:pPr>
            <w:r w:rsidRPr="000A3AE7">
              <w:rPr>
                <w:sz w:val="20"/>
                <w:szCs w:val="20"/>
                <w:lang w:val="en-AU"/>
              </w:rPr>
              <w:t>A new or significantly improved production or delivery method. This includes significant changes in techniques, equipment and/or software.</w:t>
            </w:r>
            <w:r w:rsidRPr="000A3AE7">
              <w:rPr>
                <w:rStyle w:val="FootnoteReference"/>
                <w:sz w:val="20"/>
                <w:szCs w:val="20"/>
                <w:lang w:val="en-AU"/>
              </w:rPr>
              <w:footnoteReference w:id="180"/>
            </w:r>
          </w:p>
        </w:tc>
      </w:tr>
      <w:tr w:rsidR="00964268" w:rsidRPr="000A3AE7" w14:paraId="46F0EBC5" w14:textId="77777777" w:rsidTr="000A3AE7">
        <w:tc>
          <w:tcPr>
            <w:tcW w:w="1696" w:type="dxa"/>
          </w:tcPr>
          <w:p w14:paraId="646C6614"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lastRenderedPageBreak/>
              <w:t>Product innovation</w:t>
            </w:r>
          </w:p>
        </w:tc>
        <w:tc>
          <w:tcPr>
            <w:tcW w:w="7513" w:type="dxa"/>
          </w:tcPr>
          <w:p w14:paraId="2D94F7BD" w14:textId="77777777" w:rsidR="00964268" w:rsidRPr="000A3AE7" w:rsidRDefault="00964268" w:rsidP="000A3AE7">
            <w:pPr>
              <w:spacing w:after="0" w:line="240" w:lineRule="auto"/>
              <w:rPr>
                <w:sz w:val="20"/>
                <w:szCs w:val="20"/>
                <w:lang w:val="en-AU"/>
              </w:rPr>
            </w:pPr>
            <w:r w:rsidRPr="000A3AE7">
              <w:rPr>
                <w:sz w:val="20"/>
                <w:szCs w:val="20"/>
                <w:lang w:val="en-AU"/>
              </w:rPr>
              <w:t>A good or service that is new or significantly improved. This includes significant improvements in technical specifications, components and materials, software in the product, user friendliness or other functional characteristics.</w:t>
            </w:r>
            <w:r w:rsidRPr="000A3AE7">
              <w:rPr>
                <w:rStyle w:val="FootnoteReference"/>
                <w:sz w:val="20"/>
                <w:szCs w:val="20"/>
                <w:lang w:val="en-AU"/>
              </w:rPr>
              <w:footnoteReference w:id="181"/>
            </w:r>
          </w:p>
        </w:tc>
      </w:tr>
      <w:tr w:rsidR="00964268" w:rsidRPr="000A3AE7" w14:paraId="783B9CA8" w14:textId="77777777" w:rsidTr="000A3AE7">
        <w:tc>
          <w:tcPr>
            <w:tcW w:w="1696" w:type="dxa"/>
          </w:tcPr>
          <w:p w14:paraId="2391C3CD" w14:textId="77777777" w:rsidR="00964268" w:rsidRPr="000A3AE7" w:rsidRDefault="00964268" w:rsidP="000A3AE7">
            <w:pPr>
              <w:spacing w:after="0" w:line="240" w:lineRule="auto"/>
              <w:rPr>
                <w:b/>
                <w:sz w:val="20"/>
                <w:szCs w:val="20"/>
                <w:lang w:val="en-AU"/>
              </w:rPr>
            </w:pPr>
            <w:r w:rsidRPr="000A3AE7">
              <w:rPr>
                <w:b/>
                <w:sz w:val="20"/>
                <w:szCs w:val="20"/>
                <w:lang w:val="en-AU"/>
              </w:rPr>
              <w:t>Pure basic research</w:t>
            </w:r>
          </w:p>
        </w:tc>
        <w:tc>
          <w:tcPr>
            <w:tcW w:w="7513" w:type="dxa"/>
          </w:tcPr>
          <w:p w14:paraId="2A116425" w14:textId="57C37435" w:rsidR="00964268" w:rsidRPr="000A3AE7" w:rsidRDefault="00964268" w:rsidP="000A3AE7">
            <w:pPr>
              <w:spacing w:after="0" w:line="240" w:lineRule="auto"/>
              <w:rPr>
                <w:sz w:val="20"/>
                <w:szCs w:val="20"/>
                <w:lang w:val="en-AU"/>
              </w:rPr>
            </w:pPr>
            <w:r w:rsidRPr="000A3AE7">
              <w:rPr>
                <w:sz w:val="20"/>
                <w:szCs w:val="20"/>
                <w:lang w:val="en-AU"/>
              </w:rPr>
              <w:t>Experimental and theoretical work undertaken to acquire new knowledge without looking for long-term benefits other than the advancement of knowledge.</w:t>
            </w:r>
            <w:bookmarkStart w:id="612" w:name="_Ref34055469"/>
            <w:r w:rsidRPr="000A3AE7">
              <w:rPr>
                <w:rStyle w:val="FootnoteReference"/>
                <w:b/>
                <w:sz w:val="20"/>
                <w:szCs w:val="20"/>
                <w:lang w:val="en-AU"/>
              </w:rPr>
              <w:t xml:space="preserve"> </w:t>
            </w:r>
            <w:bookmarkEnd w:id="612"/>
            <w:r w:rsidRPr="000A3AE7">
              <w:rPr>
                <w:rStyle w:val="FootnoteReference"/>
                <w:sz w:val="20"/>
                <w:szCs w:val="20"/>
                <w:lang w:val="en-AU"/>
              </w:rPr>
              <w:footnoteReference w:id="182"/>
            </w:r>
          </w:p>
        </w:tc>
      </w:tr>
      <w:tr w:rsidR="00964268" w:rsidRPr="000A3AE7" w14:paraId="02906C8E" w14:textId="77777777" w:rsidTr="000A3AE7">
        <w:tc>
          <w:tcPr>
            <w:tcW w:w="1696" w:type="dxa"/>
          </w:tcPr>
          <w:p w14:paraId="21F5C23C"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Research</w:t>
            </w:r>
          </w:p>
        </w:tc>
        <w:tc>
          <w:tcPr>
            <w:tcW w:w="7513" w:type="dxa"/>
          </w:tcPr>
          <w:p w14:paraId="6C292C2B" w14:textId="331D4903" w:rsidR="00964268" w:rsidRPr="000A3AE7" w:rsidRDefault="00964268" w:rsidP="000A3AE7">
            <w:pPr>
              <w:spacing w:after="0" w:line="240" w:lineRule="auto"/>
              <w:rPr>
                <w:sz w:val="20"/>
                <w:szCs w:val="20"/>
                <w:lang w:val="en-AU"/>
              </w:rPr>
            </w:pPr>
            <w:r w:rsidRPr="000A3AE7">
              <w:rPr>
                <w:sz w:val="20"/>
                <w:szCs w:val="20"/>
                <w:lang w:val="en-AU"/>
              </w:rPr>
              <w:t>Research is the creation of new knowledge, creating in turn the expanded capabilities that enable the development of novel technologies, skilled jobs and new products. Research in all disciplines, produces knowledge that enhances our culture and civilisation and can be used for the public good. It is aimed at generating knowledge of the natural world and of ourselves, and also at developing that knowledge into useful applications, including driving innovation for sustainable productive economic growth and better public services, improving health, prosperity and the quality of life, and protecting the environment.</w:t>
            </w:r>
            <w:r w:rsidRPr="000A3AE7">
              <w:rPr>
                <w:rStyle w:val="FootnoteReference"/>
                <w:sz w:val="20"/>
                <w:szCs w:val="20"/>
                <w:lang w:val="en-AU"/>
              </w:rPr>
              <w:footnoteReference w:id="183"/>
            </w:r>
          </w:p>
        </w:tc>
      </w:tr>
      <w:tr w:rsidR="00964268" w:rsidRPr="000A3AE7" w14:paraId="4630D022" w14:textId="77777777" w:rsidTr="000A3AE7">
        <w:tc>
          <w:tcPr>
            <w:tcW w:w="1696" w:type="dxa"/>
          </w:tcPr>
          <w:p w14:paraId="79A12BAB"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Science</w:t>
            </w:r>
          </w:p>
        </w:tc>
        <w:tc>
          <w:tcPr>
            <w:tcW w:w="7513" w:type="dxa"/>
          </w:tcPr>
          <w:p w14:paraId="37154625" w14:textId="77777777" w:rsidR="00964268" w:rsidRPr="000A3AE7" w:rsidRDefault="00964268" w:rsidP="000A3AE7">
            <w:pPr>
              <w:spacing w:after="0" w:line="240" w:lineRule="auto"/>
              <w:rPr>
                <w:sz w:val="20"/>
                <w:szCs w:val="20"/>
                <w:lang w:val="en-AU"/>
              </w:rPr>
            </w:pPr>
            <w:r w:rsidRPr="000A3AE7">
              <w:rPr>
                <w:sz w:val="20"/>
                <w:szCs w:val="20"/>
                <w:lang w:val="en-AU"/>
              </w:rPr>
              <w:t>Historically, science was the study of individual natural systems, from which we came to understand the fundamental characteristics of our world such as the nature of light, movement and chemical reactions. Today, science is dominated by the need to understand complex systems and to predict their behaviours. Research in science increasingly takes into account interactions with society and the economy. In the light of such complexities and responsibilities, scientists collaborate with the humanities, social sciences and other disciplines. They must communicate to the public the uncertainties, consequences and benefits of their research. Most importantly, scientists have a duty to contribute to teaching science and mathematics to our youth. This will ensure the broader ability of our population to understand the world around them and be equipped with the skills increasingly demanded for the jobs of today and the future.</w:t>
            </w:r>
            <w:r w:rsidRPr="000A3AE7">
              <w:rPr>
                <w:rStyle w:val="FootnoteReference"/>
                <w:sz w:val="20"/>
                <w:szCs w:val="20"/>
                <w:lang w:val="en-AU"/>
              </w:rPr>
              <w:footnoteReference w:id="184"/>
            </w:r>
          </w:p>
        </w:tc>
      </w:tr>
      <w:tr w:rsidR="00964268" w:rsidRPr="000A3AE7" w14:paraId="5404737D" w14:textId="77777777" w:rsidTr="000A3AE7">
        <w:tc>
          <w:tcPr>
            <w:tcW w:w="1696" w:type="dxa"/>
          </w:tcPr>
          <w:p w14:paraId="59AD8842"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Animal Production and Animal Primary Products</w:t>
            </w:r>
          </w:p>
        </w:tc>
        <w:tc>
          <w:tcPr>
            <w:tcW w:w="7513" w:type="dxa"/>
          </w:tcPr>
          <w:p w14:paraId="715138FF" w14:textId="77777777" w:rsidR="00964268" w:rsidRPr="000A3AE7" w:rsidRDefault="00964268" w:rsidP="000A3AE7">
            <w:pPr>
              <w:spacing w:after="0" w:line="240" w:lineRule="auto"/>
              <w:rPr>
                <w:sz w:val="20"/>
                <w:szCs w:val="20"/>
                <w:lang w:val="en-AU"/>
              </w:rPr>
            </w:pPr>
            <w:r w:rsidRPr="000A3AE7">
              <w:rPr>
                <w:sz w:val="20"/>
                <w:szCs w:val="20"/>
                <w:lang w:val="en-AU"/>
              </w:rPr>
              <w:t>Animal Production and Animal Primary Products covers R&amp;D directed towards breeding and farming livestock and the production of associated primary livestock products; growing pasture, browse and fodder crops; commercial (incl. aquaculture) and recreational fishing; the preparation, transportation and storage of primary livestock products and developing sustainable animal production systems.</w:t>
            </w:r>
          </w:p>
        </w:tc>
      </w:tr>
      <w:tr w:rsidR="00964268" w:rsidRPr="000A3AE7" w14:paraId="01CF7793" w14:textId="77777777" w:rsidTr="000A3AE7">
        <w:tc>
          <w:tcPr>
            <w:tcW w:w="1696" w:type="dxa"/>
          </w:tcPr>
          <w:p w14:paraId="49CF6F21"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Commercial Services and Tourism</w:t>
            </w:r>
          </w:p>
        </w:tc>
        <w:tc>
          <w:tcPr>
            <w:tcW w:w="7513" w:type="dxa"/>
          </w:tcPr>
          <w:p w14:paraId="35E73455" w14:textId="77777777" w:rsidR="00964268" w:rsidRPr="000A3AE7" w:rsidRDefault="00964268" w:rsidP="000A3AE7">
            <w:pPr>
              <w:spacing w:after="0" w:line="240" w:lineRule="auto"/>
              <w:rPr>
                <w:sz w:val="20"/>
                <w:szCs w:val="20"/>
                <w:lang w:val="en-AU"/>
              </w:rPr>
            </w:pPr>
            <w:r w:rsidRPr="000A3AE7">
              <w:rPr>
                <w:sz w:val="20"/>
                <w:szCs w:val="20"/>
                <w:lang w:val="en-AU"/>
              </w:rPr>
              <w:t>Commercial Services and Tourism covers R&amp;D directed towards the provision of commercial services to all areas of economic and social development. This subdivision includes R&amp;D directed towards the provision of electricity and gas services to consumers, provision of water, sewerage and drainage services; management and recycling of wastes or waste products as a discrete process or as a service to consumers; wholesale and retail trade services, finance, property and business services; tourism; recreational and personal services and other commercial services not elsewhere classified. It includes R&amp;D directed towards 'clean production' to minimise emissions to the environment from commercial services or tourism or towards protection of the production site.</w:t>
            </w:r>
          </w:p>
        </w:tc>
      </w:tr>
      <w:tr w:rsidR="00964268" w:rsidRPr="000A3AE7" w14:paraId="323D4FAF" w14:textId="77777777" w:rsidTr="000A3AE7">
        <w:tc>
          <w:tcPr>
            <w:tcW w:w="1696" w:type="dxa"/>
          </w:tcPr>
          <w:p w14:paraId="0F2AFBF3"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lastRenderedPageBreak/>
              <w:t>Socioeconomic objective: Construction</w:t>
            </w:r>
          </w:p>
        </w:tc>
        <w:tc>
          <w:tcPr>
            <w:tcW w:w="7513" w:type="dxa"/>
          </w:tcPr>
          <w:p w14:paraId="7F105FEF" w14:textId="77777777" w:rsidR="00964268" w:rsidRPr="000A3AE7" w:rsidRDefault="00964268" w:rsidP="000A3AE7">
            <w:pPr>
              <w:spacing w:after="0" w:line="240" w:lineRule="auto"/>
              <w:rPr>
                <w:sz w:val="20"/>
                <w:szCs w:val="20"/>
                <w:lang w:val="en-AU"/>
              </w:rPr>
            </w:pPr>
            <w:r w:rsidRPr="000A3AE7">
              <w:rPr>
                <w:sz w:val="20"/>
                <w:szCs w:val="20"/>
                <w:lang w:val="en-AU"/>
              </w:rPr>
              <w:t>Construction covers R&amp;D directed towards improving the use and performance of building materials, the processes for which they are used and the functions of engineering, planning, design, management and building services in the construction industry; testing on construction sites the performance, durability and life cycle of materials used in the construction industry; the planning component of the construction up to the stage of developing sketch plans; design component, specifically turning sketch plans into working drawings and specifications; the development and supply of components and materials which are assembled and placed on site to form buildings, but manufactured off</w:t>
            </w:r>
            <w:r w:rsidRPr="000A3AE7">
              <w:rPr>
                <w:sz w:val="20"/>
                <w:szCs w:val="20"/>
                <w:lang w:val="en-AU"/>
              </w:rPr>
              <w:noBreakHyphen/>
              <w:t>site; and the design, supply and installation of building services; safety in construction projects; and 'clean production' to minimise emissions from these activities.</w:t>
            </w:r>
          </w:p>
        </w:tc>
      </w:tr>
      <w:tr w:rsidR="00964268" w:rsidRPr="000A3AE7" w14:paraId="7FC695DD" w14:textId="77777777" w:rsidTr="000A3AE7">
        <w:tc>
          <w:tcPr>
            <w:tcW w:w="1696" w:type="dxa"/>
          </w:tcPr>
          <w:p w14:paraId="7526A9CA"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Defence</w:t>
            </w:r>
          </w:p>
        </w:tc>
        <w:tc>
          <w:tcPr>
            <w:tcW w:w="7513" w:type="dxa"/>
          </w:tcPr>
          <w:p w14:paraId="674C9394" w14:textId="77777777" w:rsidR="00964268" w:rsidRPr="000A3AE7" w:rsidRDefault="00964268" w:rsidP="000A3AE7">
            <w:pPr>
              <w:spacing w:after="0" w:line="240" w:lineRule="auto"/>
              <w:rPr>
                <w:sz w:val="20"/>
                <w:szCs w:val="20"/>
                <w:lang w:val="en-AU"/>
              </w:rPr>
            </w:pPr>
            <w:r w:rsidRPr="000A3AE7">
              <w:rPr>
                <w:sz w:val="20"/>
                <w:szCs w:val="20"/>
                <w:lang w:val="en-AU"/>
              </w:rPr>
              <w:t>Defence covers R&amp;D directed towards the development of defence or national security, including R&amp;D undertaken for military reasons regardless of their content or whether they have secondary civil applications; and towards the development and testing of military or defence related equipment and materials.</w:t>
            </w:r>
          </w:p>
        </w:tc>
      </w:tr>
      <w:tr w:rsidR="00964268" w:rsidRPr="000A3AE7" w14:paraId="097166A0" w14:textId="77777777" w:rsidTr="000A3AE7">
        <w:tc>
          <w:tcPr>
            <w:tcW w:w="1696" w:type="dxa"/>
          </w:tcPr>
          <w:p w14:paraId="00703E38"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Economic Framework</w:t>
            </w:r>
          </w:p>
        </w:tc>
        <w:tc>
          <w:tcPr>
            <w:tcW w:w="7513" w:type="dxa"/>
          </w:tcPr>
          <w:p w14:paraId="6D0F926E" w14:textId="77777777" w:rsidR="00964268" w:rsidRPr="000A3AE7" w:rsidRDefault="00964268" w:rsidP="000A3AE7">
            <w:pPr>
              <w:spacing w:after="0" w:line="240" w:lineRule="auto"/>
              <w:rPr>
                <w:sz w:val="20"/>
                <w:szCs w:val="20"/>
                <w:lang w:val="en-AU"/>
              </w:rPr>
            </w:pPr>
            <w:r w:rsidRPr="000A3AE7">
              <w:rPr>
                <w:sz w:val="20"/>
                <w:szCs w:val="20"/>
                <w:lang w:val="en-AU"/>
              </w:rPr>
              <w:t>Economic Framework covers R&amp;D directed towards the understanding of the economic framework of development or the application of economic theory to assist development; understanding macroeconomic, microeconomic, international trade, management and productivity issues; and developing measurement standards and calibrations services which make a contribution to economic framework.</w:t>
            </w:r>
          </w:p>
        </w:tc>
      </w:tr>
      <w:tr w:rsidR="00964268" w:rsidRPr="000A3AE7" w14:paraId="2CAF7838" w14:textId="77777777" w:rsidTr="000A3AE7">
        <w:tc>
          <w:tcPr>
            <w:tcW w:w="1696" w:type="dxa"/>
          </w:tcPr>
          <w:p w14:paraId="5E7AACEA"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Education and Training</w:t>
            </w:r>
          </w:p>
        </w:tc>
        <w:tc>
          <w:tcPr>
            <w:tcW w:w="7513" w:type="dxa"/>
          </w:tcPr>
          <w:p w14:paraId="23486DF8" w14:textId="77777777" w:rsidR="00964268" w:rsidRPr="000A3AE7" w:rsidRDefault="00964268" w:rsidP="000A3AE7">
            <w:pPr>
              <w:spacing w:after="0" w:line="240" w:lineRule="auto"/>
              <w:rPr>
                <w:sz w:val="20"/>
                <w:szCs w:val="20"/>
                <w:lang w:val="en-AU"/>
              </w:rPr>
            </w:pPr>
            <w:r w:rsidRPr="000A3AE7">
              <w:rPr>
                <w:sz w:val="20"/>
                <w:szCs w:val="20"/>
                <w:lang w:val="en-AU"/>
              </w:rPr>
              <w:t>Education and Training covers R&amp;D directed towards general education and training.</w:t>
            </w:r>
          </w:p>
        </w:tc>
      </w:tr>
      <w:tr w:rsidR="00964268" w:rsidRPr="000A3AE7" w14:paraId="252180EA" w14:textId="77777777" w:rsidTr="000A3AE7">
        <w:tc>
          <w:tcPr>
            <w:tcW w:w="1696" w:type="dxa"/>
          </w:tcPr>
          <w:p w14:paraId="62A3CDDD"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Energy</w:t>
            </w:r>
          </w:p>
        </w:tc>
        <w:tc>
          <w:tcPr>
            <w:tcW w:w="7513" w:type="dxa"/>
          </w:tcPr>
          <w:p w14:paraId="411D891A" w14:textId="77777777" w:rsidR="00964268" w:rsidRPr="000A3AE7" w:rsidRDefault="00964268" w:rsidP="000A3AE7">
            <w:pPr>
              <w:spacing w:after="0" w:line="240" w:lineRule="auto"/>
              <w:rPr>
                <w:sz w:val="20"/>
                <w:szCs w:val="20"/>
                <w:lang w:val="en-AU"/>
              </w:rPr>
            </w:pPr>
            <w:r w:rsidRPr="000A3AE7">
              <w:rPr>
                <w:sz w:val="20"/>
                <w:szCs w:val="20"/>
                <w:lang w:val="en-AU"/>
              </w:rPr>
              <w:t>Energy covers R&amp;D directed towards energy resources and energy supply. Energy resources covers R&amp;D directed towards the exploration, mining, extraction, preparation and supply of energy mineral resources. Energy Supply covers R&amp;D directed towards renewable energy, energy production and supply, energy transformation, energy distribution and the conservation or efficient use of energy in the form of derived fuels such as petroleum products, electricity, town gas, coke and briquettes and in the form of heat energy. It includes R&amp;D directed towards 'clean production' to minimise emissions from these activities or towards protection of the production site.</w:t>
            </w:r>
          </w:p>
        </w:tc>
      </w:tr>
      <w:tr w:rsidR="00964268" w:rsidRPr="000A3AE7" w14:paraId="1EEEBFE7" w14:textId="77777777" w:rsidTr="000A3AE7">
        <w:tc>
          <w:tcPr>
            <w:tcW w:w="1696" w:type="dxa"/>
          </w:tcPr>
          <w:p w14:paraId="115B5C04"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Environment</w:t>
            </w:r>
          </w:p>
        </w:tc>
        <w:tc>
          <w:tcPr>
            <w:tcW w:w="7513" w:type="dxa"/>
          </w:tcPr>
          <w:p w14:paraId="78E5B21B" w14:textId="77777777" w:rsidR="00964268" w:rsidRPr="000A3AE7" w:rsidRDefault="00964268" w:rsidP="000A3AE7">
            <w:pPr>
              <w:spacing w:after="0" w:line="240" w:lineRule="auto"/>
              <w:rPr>
                <w:b/>
                <w:sz w:val="20"/>
                <w:szCs w:val="20"/>
                <w:lang w:val="en-AU"/>
              </w:rPr>
            </w:pPr>
            <w:r w:rsidRPr="000A3AE7">
              <w:rPr>
                <w:sz w:val="20"/>
                <w:szCs w:val="20"/>
                <w:lang w:val="en-AU"/>
              </w:rPr>
              <w:t>Environment covers R&amp;D directed towards assessing and sustaining the quality of the environment and its natural resources; the study of the environment conducted in the context of developing management strategies to sustain the quality of environmental attributes; and studies of the environmental impact of socio-economic activities as well as R&amp;D for the development of social and economic environmental policies.</w:t>
            </w:r>
          </w:p>
        </w:tc>
      </w:tr>
      <w:tr w:rsidR="00964268" w:rsidRPr="000A3AE7" w14:paraId="3921E651" w14:textId="77777777" w:rsidTr="000A3AE7">
        <w:tc>
          <w:tcPr>
            <w:tcW w:w="1696" w:type="dxa"/>
          </w:tcPr>
          <w:p w14:paraId="4844D1C4"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Expanding Knowledge</w:t>
            </w:r>
          </w:p>
        </w:tc>
        <w:tc>
          <w:tcPr>
            <w:tcW w:w="7513" w:type="dxa"/>
          </w:tcPr>
          <w:p w14:paraId="133025AC" w14:textId="77777777" w:rsidR="00964268" w:rsidRPr="000A3AE7" w:rsidRDefault="00964268" w:rsidP="000A3AE7">
            <w:pPr>
              <w:spacing w:after="0" w:line="240" w:lineRule="auto"/>
              <w:rPr>
                <w:sz w:val="20"/>
                <w:szCs w:val="20"/>
                <w:lang w:val="en-AU"/>
              </w:rPr>
            </w:pPr>
            <w:r w:rsidRPr="000A3AE7">
              <w:rPr>
                <w:sz w:val="20"/>
                <w:szCs w:val="20"/>
                <w:lang w:val="en-AU"/>
              </w:rPr>
              <w:t>Expanding Knowledge is the categorisation of R&amp;D which does not have an identifiable socio-economic objective. This is usually the case for pure basic research or strategic basic research.</w:t>
            </w:r>
          </w:p>
        </w:tc>
      </w:tr>
      <w:tr w:rsidR="00964268" w:rsidRPr="000A3AE7" w14:paraId="57AD95D5" w14:textId="77777777" w:rsidTr="000A3AE7">
        <w:tc>
          <w:tcPr>
            <w:tcW w:w="1696" w:type="dxa"/>
          </w:tcPr>
          <w:p w14:paraId="648D790E"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Health</w:t>
            </w:r>
          </w:p>
        </w:tc>
        <w:tc>
          <w:tcPr>
            <w:tcW w:w="7513" w:type="dxa"/>
          </w:tcPr>
          <w:p w14:paraId="226A00CE" w14:textId="77777777" w:rsidR="00964268" w:rsidRPr="000A3AE7" w:rsidRDefault="00964268" w:rsidP="000A3AE7">
            <w:pPr>
              <w:spacing w:after="0" w:line="240" w:lineRule="auto"/>
              <w:rPr>
                <w:sz w:val="20"/>
                <w:szCs w:val="20"/>
                <w:lang w:val="en-AU"/>
              </w:rPr>
            </w:pPr>
            <w:r w:rsidRPr="000A3AE7">
              <w:rPr>
                <w:sz w:val="20"/>
                <w:szCs w:val="20"/>
                <w:lang w:val="en-AU"/>
              </w:rPr>
              <w:t>Health covers R&amp;D directed towards human health, including the understanding and treatment of clinical diseases and conditions and the provision of public health and associated support services.</w:t>
            </w:r>
          </w:p>
        </w:tc>
      </w:tr>
      <w:tr w:rsidR="00964268" w:rsidRPr="000A3AE7" w14:paraId="19D250B2" w14:textId="77777777" w:rsidTr="000A3AE7">
        <w:tc>
          <w:tcPr>
            <w:tcW w:w="1696" w:type="dxa"/>
          </w:tcPr>
          <w:p w14:paraId="3959F2A8"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lastRenderedPageBreak/>
              <w:t>Socioeconomic objective: Information and Communication Services</w:t>
            </w:r>
          </w:p>
        </w:tc>
        <w:tc>
          <w:tcPr>
            <w:tcW w:w="7513" w:type="dxa"/>
          </w:tcPr>
          <w:p w14:paraId="4ABEEE8C" w14:textId="77777777" w:rsidR="00964268" w:rsidRPr="000A3AE7" w:rsidRDefault="00964268" w:rsidP="000A3AE7">
            <w:pPr>
              <w:spacing w:after="0" w:line="240" w:lineRule="auto"/>
              <w:rPr>
                <w:sz w:val="20"/>
                <w:szCs w:val="20"/>
                <w:lang w:val="en-AU"/>
              </w:rPr>
            </w:pPr>
            <w:r w:rsidRPr="000A3AE7">
              <w:rPr>
                <w:sz w:val="20"/>
                <w:szCs w:val="20"/>
                <w:lang w:val="en-AU"/>
              </w:rPr>
              <w:t>Information and Communication Services covers R&amp;D directed towards the support and provision of information and communication services, computer programming or software services, library and library database services, presentations of educational displays for museums, art galleries or other such institutions; printing and publishing newspapers and the provision, processing, presentation or dissemination of information not classified elsewhere; and the prevention and treatment of pollution by information and communication services.</w:t>
            </w:r>
          </w:p>
        </w:tc>
      </w:tr>
      <w:tr w:rsidR="00964268" w:rsidRPr="000A3AE7" w14:paraId="1F069952" w14:textId="77777777" w:rsidTr="000A3AE7">
        <w:tc>
          <w:tcPr>
            <w:tcW w:w="1696" w:type="dxa"/>
          </w:tcPr>
          <w:p w14:paraId="346E7C5B"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Manufacturing</w:t>
            </w:r>
          </w:p>
        </w:tc>
        <w:tc>
          <w:tcPr>
            <w:tcW w:w="7513" w:type="dxa"/>
          </w:tcPr>
          <w:p w14:paraId="0DA571AC" w14:textId="77777777" w:rsidR="00964268" w:rsidRPr="000A3AE7" w:rsidRDefault="00964268" w:rsidP="000A3AE7">
            <w:pPr>
              <w:spacing w:after="0" w:line="240" w:lineRule="auto"/>
              <w:rPr>
                <w:sz w:val="20"/>
                <w:szCs w:val="20"/>
                <w:lang w:val="en-AU"/>
              </w:rPr>
            </w:pPr>
            <w:r w:rsidRPr="000A3AE7">
              <w:rPr>
                <w:sz w:val="20"/>
                <w:szCs w:val="20"/>
                <w:lang w:val="en-AU"/>
              </w:rPr>
              <w:t>Manufacturing covers R&amp;D directed towards refining and developing processes or strategies for transforming processed or unprocessed materials or components into new products; the manufacture of safe products; and 'clean production' to minimise emissions to the environment from manufacturing processes or towards protection of the production site.</w:t>
            </w:r>
          </w:p>
        </w:tc>
      </w:tr>
      <w:tr w:rsidR="00964268" w:rsidRPr="000A3AE7" w14:paraId="7788D014" w14:textId="77777777" w:rsidTr="000A3AE7">
        <w:tc>
          <w:tcPr>
            <w:tcW w:w="1696" w:type="dxa"/>
          </w:tcPr>
          <w:p w14:paraId="5B349D5A"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Mineral Resources</w:t>
            </w:r>
          </w:p>
        </w:tc>
        <w:tc>
          <w:tcPr>
            <w:tcW w:w="7513" w:type="dxa"/>
          </w:tcPr>
          <w:p w14:paraId="0C85793D" w14:textId="77777777" w:rsidR="00964268" w:rsidRPr="000A3AE7" w:rsidRDefault="00964268" w:rsidP="000A3AE7">
            <w:pPr>
              <w:spacing w:after="0" w:line="240" w:lineRule="auto"/>
              <w:rPr>
                <w:sz w:val="20"/>
                <w:szCs w:val="20"/>
                <w:lang w:val="en-AU"/>
              </w:rPr>
            </w:pPr>
            <w:r w:rsidRPr="000A3AE7">
              <w:rPr>
                <w:sz w:val="20"/>
                <w:szCs w:val="20"/>
                <w:lang w:val="en-AU"/>
              </w:rPr>
              <w:t>Mineral Resources (excluding Energy) covers R&amp;D which primarily benefits or has application to the exploration, mining, extraction and processing of mineral resources; and includes 'clean production' to minimise emissions to the environment from these activities or towards protection of the production site.</w:t>
            </w:r>
          </w:p>
        </w:tc>
      </w:tr>
      <w:tr w:rsidR="00964268" w:rsidRPr="000A3AE7" w14:paraId="71C7FC1C" w14:textId="77777777" w:rsidTr="000A3AE7">
        <w:tc>
          <w:tcPr>
            <w:tcW w:w="1696" w:type="dxa"/>
          </w:tcPr>
          <w:p w14:paraId="56A394F0"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Plant Production and Plant Primary Products</w:t>
            </w:r>
          </w:p>
        </w:tc>
        <w:tc>
          <w:tcPr>
            <w:tcW w:w="7513" w:type="dxa"/>
          </w:tcPr>
          <w:p w14:paraId="5C9596D3" w14:textId="77777777" w:rsidR="00964268" w:rsidRPr="000A3AE7" w:rsidRDefault="00964268" w:rsidP="000A3AE7">
            <w:pPr>
              <w:spacing w:after="0" w:line="240" w:lineRule="auto"/>
              <w:rPr>
                <w:sz w:val="20"/>
                <w:szCs w:val="20"/>
                <w:lang w:val="en-AU"/>
              </w:rPr>
            </w:pPr>
            <w:r w:rsidRPr="000A3AE7">
              <w:rPr>
                <w:sz w:val="20"/>
                <w:szCs w:val="20"/>
                <w:lang w:val="en-AU"/>
              </w:rPr>
              <w:t>Plant Production and Plant Primary Products covers R&amp;D directed towards improving the characteristics, propagation and growing of field and horticultural crops, native forest, hardwood and softwood plantations, and the production of associated primary plant products; improving the post</w:t>
            </w:r>
            <w:r w:rsidRPr="000A3AE7">
              <w:rPr>
                <w:sz w:val="20"/>
                <w:szCs w:val="20"/>
                <w:lang w:val="en-AU"/>
              </w:rPr>
              <w:noBreakHyphen/>
              <w:t>harvest processing, preparation, handling, storage and marketing of primary plant products; and developing sustainable plant production systems.</w:t>
            </w:r>
          </w:p>
        </w:tc>
      </w:tr>
      <w:tr w:rsidR="00964268" w:rsidRPr="000A3AE7" w14:paraId="50DFDB23" w14:textId="77777777" w:rsidTr="000A3AE7">
        <w:tc>
          <w:tcPr>
            <w:tcW w:w="1696" w:type="dxa"/>
          </w:tcPr>
          <w:p w14:paraId="201FA7C0"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Social Development and Community Services</w:t>
            </w:r>
          </w:p>
        </w:tc>
        <w:tc>
          <w:tcPr>
            <w:tcW w:w="7513" w:type="dxa"/>
          </w:tcPr>
          <w:p w14:paraId="797321AD" w14:textId="77777777" w:rsidR="00964268" w:rsidRPr="000A3AE7" w:rsidRDefault="00964268" w:rsidP="000A3AE7">
            <w:pPr>
              <w:spacing w:after="0" w:line="240" w:lineRule="auto"/>
              <w:rPr>
                <w:sz w:val="20"/>
                <w:szCs w:val="20"/>
                <w:lang w:val="en-AU"/>
              </w:rPr>
            </w:pPr>
            <w:r w:rsidRPr="000A3AE7">
              <w:rPr>
                <w:sz w:val="20"/>
                <w:szCs w:val="20"/>
                <w:lang w:val="en-AU"/>
              </w:rPr>
              <w:t>Social Development and Community Services covers R&amp;D directed towards community and social services (incl. welfare) to individuals or community groups (e.g. disabled, unemployed) and towards social justice and general equity. This subdivision includes R&amp;D directed towards arts and leisure, justice and the law, government and politics, international relations, heritage, communication, religion and the understanding of past societies and ethical issues relating to social development.</w:t>
            </w:r>
          </w:p>
        </w:tc>
      </w:tr>
      <w:tr w:rsidR="00964268" w:rsidRPr="000A3AE7" w14:paraId="4DCB9D81" w14:textId="77777777" w:rsidTr="000A3AE7">
        <w:tc>
          <w:tcPr>
            <w:tcW w:w="1696" w:type="dxa"/>
          </w:tcPr>
          <w:p w14:paraId="36E6C022"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 Transport</w:t>
            </w:r>
          </w:p>
        </w:tc>
        <w:tc>
          <w:tcPr>
            <w:tcW w:w="7513" w:type="dxa"/>
          </w:tcPr>
          <w:p w14:paraId="4D6599D7" w14:textId="77777777" w:rsidR="00964268" w:rsidRPr="000A3AE7" w:rsidRDefault="00964268" w:rsidP="000A3AE7">
            <w:pPr>
              <w:spacing w:after="0" w:line="240" w:lineRule="auto"/>
              <w:rPr>
                <w:sz w:val="20"/>
                <w:szCs w:val="20"/>
                <w:lang w:val="en-AU"/>
              </w:rPr>
            </w:pPr>
            <w:r w:rsidRPr="000A3AE7">
              <w:rPr>
                <w:sz w:val="20"/>
                <w:szCs w:val="20"/>
                <w:lang w:val="en-AU"/>
              </w:rPr>
              <w:t>Transport covers R&amp;D directed towards improving the efficiency and safety of transport systems for moving freight, passengers or livestock by ground, water, air or any combinations of these or by any other means; oceanic currents and processes that impinge on sea safety or navigation; and minimising emissions from transport.</w:t>
            </w:r>
          </w:p>
        </w:tc>
      </w:tr>
      <w:tr w:rsidR="00964268" w:rsidRPr="000A3AE7" w14:paraId="477B14C7" w14:textId="77777777" w:rsidTr="000A3AE7">
        <w:tc>
          <w:tcPr>
            <w:tcW w:w="1696" w:type="dxa"/>
          </w:tcPr>
          <w:p w14:paraId="176633E2" w14:textId="77777777" w:rsidR="00964268" w:rsidRPr="000A3AE7" w:rsidRDefault="00964268" w:rsidP="000A3AE7">
            <w:pPr>
              <w:pStyle w:val="ListBullet"/>
              <w:spacing w:after="0"/>
              <w:ind w:firstLine="0"/>
              <w:contextualSpacing w:val="0"/>
              <w:rPr>
                <w:b/>
                <w:sz w:val="20"/>
                <w:szCs w:val="20"/>
                <w:lang w:val="en-AU"/>
              </w:rPr>
            </w:pPr>
            <w:r w:rsidRPr="000A3AE7">
              <w:rPr>
                <w:b/>
                <w:sz w:val="20"/>
                <w:szCs w:val="20"/>
                <w:lang w:val="en-AU"/>
              </w:rPr>
              <w:t>Socioeconomic objectives</w:t>
            </w:r>
          </w:p>
        </w:tc>
        <w:tc>
          <w:tcPr>
            <w:tcW w:w="7513" w:type="dxa"/>
          </w:tcPr>
          <w:p w14:paraId="46E12CA8" w14:textId="77777777" w:rsidR="00964268" w:rsidRPr="000A3AE7" w:rsidRDefault="00964268" w:rsidP="000A3AE7">
            <w:pPr>
              <w:spacing w:after="0" w:line="240" w:lineRule="auto"/>
              <w:rPr>
                <w:sz w:val="20"/>
                <w:szCs w:val="20"/>
                <w:lang w:val="en-AU"/>
              </w:rPr>
            </w:pPr>
            <w:r w:rsidRPr="000A3AE7">
              <w:rPr>
                <w:sz w:val="20"/>
                <w:szCs w:val="20"/>
                <w:lang w:val="en-AU"/>
              </w:rPr>
              <w:t>There are many different definitions of socioeconomic objectives. The 14 used herein through the 2019-20 SRI Budget Tables as described in Frascati Manual 2015. The definitions following have been taken from the ABS.</w:t>
            </w:r>
            <w:r w:rsidRPr="000A3AE7">
              <w:rPr>
                <w:rStyle w:val="FootnoteReference"/>
                <w:sz w:val="20"/>
                <w:szCs w:val="20"/>
                <w:lang w:val="en-AU"/>
              </w:rPr>
              <w:footnoteReference w:id="185"/>
            </w:r>
            <w:r w:rsidRPr="000A3AE7">
              <w:rPr>
                <w:sz w:val="20"/>
                <w:szCs w:val="20"/>
                <w:lang w:val="en-AU"/>
              </w:rPr>
              <w:t xml:space="preserve"> </w:t>
            </w:r>
          </w:p>
        </w:tc>
      </w:tr>
      <w:tr w:rsidR="00964268" w:rsidRPr="000A3AE7" w14:paraId="3BDE626B" w14:textId="77777777" w:rsidTr="000A3AE7">
        <w:tc>
          <w:tcPr>
            <w:tcW w:w="1696" w:type="dxa"/>
          </w:tcPr>
          <w:p w14:paraId="57D8F7C6" w14:textId="77777777" w:rsidR="00964268" w:rsidRPr="000A3AE7" w:rsidRDefault="00964268" w:rsidP="000A3AE7">
            <w:pPr>
              <w:spacing w:after="0" w:line="240" w:lineRule="auto"/>
              <w:rPr>
                <w:b/>
                <w:sz w:val="20"/>
                <w:szCs w:val="20"/>
                <w:lang w:val="en-AU"/>
              </w:rPr>
            </w:pPr>
            <w:r w:rsidRPr="000A3AE7">
              <w:rPr>
                <w:b/>
                <w:sz w:val="20"/>
                <w:szCs w:val="20"/>
                <w:lang w:val="en-AU"/>
              </w:rPr>
              <w:t>Space</w:t>
            </w:r>
          </w:p>
        </w:tc>
        <w:tc>
          <w:tcPr>
            <w:tcW w:w="7513" w:type="dxa"/>
          </w:tcPr>
          <w:p w14:paraId="39A64CD5" w14:textId="77777777" w:rsidR="00964268" w:rsidRPr="000A3AE7" w:rsidRDefault="00964268" w:rsidP="000A3AE7">
            <w:pPr>
              <w:spacing w:after="0" w:line="240" w:lineRule="auto"/>
              <w:rPr>
                <w:sz w:val="20"/>
                <w:szCs w:val="20"/>
                <w:lang w:val="en-AU"/>
              </w:rPr>
            </w:pPr>
            <w:r w:rsidRPr="000A3AE7">
              <w:rPr>
                <w:sz w:val="20"/>
                <w:szCs w:val="20"/>
                <w:lang w:val="en-AU"/>
              </w:rPr>
              <w:t>For this report and its analysis on the Government’s ISR investment in the space sector, ‘space’ was defined as including earth observation, precision navigation and timing, satellite communications, space situational awareness and debris monitoring, access to space, robotics and automation, leapfrog R&amp;D, and relevant fundamental research.</w:t>
            </w:r>
          </w:p>
        </w:tc>
      </w:tr>
      <w:tr w:rsidR="00357A9F" w:rsidRPr="000A3AE7" w14:paraId="2B4B823A" w14:textId="77777777" w:rsidTr="000A3AE7">
        <w:tc>
          <w:tcPr>
            <w:tcW w:w="1696" w:type="dxa"/>
          </w:tcPr>
          <w:p w14:paraId="4728E6E6" w14:textId="26A08D29" w:rsidR="00357A9F" w:rsidRPr="000A3AE7" w:rsidRDefault="00357A9F" w:rsidP="000A3AE7">
            <w:pPr>
              <w:spacing w:after="0" w:line="240" w:lineRule="auto"/>
              <w:rPr>
                <w:b/>
                <w:sz w:val="20"/>
                <w:szCs w:val="20"/>
                <w:lang w:val="en-AU"/>
              </w:rPr>
            </w:pPr>
            <w:r w:rsidRPr="000A3AE7">
              <w:rPr>
                <w:b/>
                <w:sz w:val="20"/>
                <w:szCs w:val="20"/>
                <w:lang w:val="en-AU"/>
              </w:rPr>
              <w:t>Strategic basic research</w:t>
            </w:r>
          </w:p>
        </w:tc>
        <w:tc>
          <w:tcPr>
            <w:tcW w:w="7513" w:type="dxa"/>
          </w:tcPr>
          <w:p w14:paraId="072ED91B" w14:textId="77CC3A72" w:rsidR="00357A9F" w:rsidRPr="000A3AE7" w:rsidRDefault="00357A9F" w:rsidP="00674735">
            <w:pPr>
              <w:spacing w:after="0" w:line="240" w:lineRule="auto"/>
              <w:rPr>
                <w:sz w:val="20"/>
                <w:szCs w:val="20"/>
                <w:lang w:val="en-AU"/>
              </w:rPr>
            </w:pPr>
            <w:r w:rsidRPr="000A3AE7">
              <w:rPr>
                <w:sz w:val="20"/>
                <w:szCs w:val="20"/>
                <w:lang w:val="en-AU"/>
              </w:rPr>
              <w:t xml:space="preserve">Experimental and theoretical work undertaken to acquire new knowledge directed into specified broad areas in the expectation of practical discoveries. It provides the </w:t>
            </w:r>
            <w:r w:rsidRPr="000A3AE7">
              <w:rPr>
                <w:sz w:val="20"/>
                <w:szCs w:val="20"/>
                <w:lang w:val="en-AU"/>
              </w:rPr>
              <w:lastRenderedPageBreak/>
              <w:t>broad base of knowledge necessary for the solution of recognised practical problems.</w:t>
            </w:r>
            <w:bookmarkStart w:id="613" w:name="_GoBack"/>
            <w:bookmarkEnd w:id="613"/>
            <w:r w:rsidRPr="000A3AE7">
              <w:rPr>
                <w:rStyle w:val="FootnoteReference"/>
                <w:sz w:val="20"/>
                <w:szCs w:val="20"/>
                <w:lang w:val="en-AU"/>
              </w:rPr>
              <w:footnoteReference w:id="186"/>
            </w:r>
          </w:p>
        </w:tc>
      </w:tr>
      <w:tr w:rsidR="00047C40" w:rsidRPr="000A3AE7" w14:paraId="0833E132" w14:textId="77777777" w:rsidTr="000A3AE7">
        <w:tc>
          <w:tcPr>
            <w:tcW w:w="1696" w:type="dxa"/>
          </w:tcPr>
          <w:p w14:paraId="4DACED09" w14:textId="2072EB6B" w:rsidR="00047C40" w:rsidRPr="000A3AE7" w:rsidRDefault="00047C40" w:rsidP="000A3AE7">
            <w:pPr>
              <w:spacing w:after="0" w:line="240" w:lineRule="auto"/>
              <w:rPr>
                <w:b/>
                <w:sz w:val="20"/>
                <w:szCs w:val="20"/>
                <w:lang w:val="en-AU"/>
              </w:rPr>
            </w:pPr>
            <w:r w:rsidRPr="000A3AE7">
              <w:rPr>
                <w:b/>
                <w:sz w:val="20"/>
                <w:szCs w:val="20"/>
                <w:lang w:val="en-AU"/>
              </w:rPr>
              <w:lastRenderedPageBreak/>
              <w:t>Targeted allocation</w:t>
            </w:r>
          </w:p>
        </w:tc>
        <w:tc>
          <w:tcPr>
            <w:tcW w:w="7513" w:type="dxa"/>
          </w:tcPr>
          <w:p w14:paraId="41EA9EC1" w14:textId="77777777" w:rsidR="00047C40" w:rsidRPr="000A3AE7" w:rsidRDefault="00047C40" w:rsidP="000A3AE7">
            <w:pPr>
              <w:spacing w:after="0" w:line="240" w:lineRule="auto"/>
              <w:rPr>
                <w:sz w:val="20"/>
                <w:szCs w:val="20"/>
                <w:lang w:val="en-AU"/>
              </w:rPr>
            </w:pPr>
            <w:r w:rsidRPr="000A3AE7">
              <w:rPr>
                <w:sz w:val="20"/>
                <w:szCs w:val="20"/>
                <w:lang w:val="en-AU"/>
              </w:rPr>
              <w:t>For this analysis, targeted investment allocations were taken from SRI Budget Tables categorisations and included competitive funding (where applications for funding or entries to a competition are judged by a panel against selection criteria), targeted funding (where funding is allocated in order to address particular challenges or to accomplish particular objectives), and competitive/targeted funding (a combination of the previous) competitive and targeted funding). Additionally, programs classified as annual, restricted non-competitive, or other or were uncategorised in the SRI Budget Tables were assessed as targeted investments.</w:t>
            </w:r>
          </w:p>
          <w:p w14:paraId="7E0E5DDD" w14:textId="60D93C6F" w:rsidR="00047C40" w:rsidRPr="000A3AE7" w:rsidRDefault="00047C40" w:rsidP="000A3AE7">
            <w:pPr>
              <w:spacing w:after="0" w:line="240" w:lineRule="auto"/>
              <w:rPr>
                <w:sz w:val="20"/>
                <w:szCs w:val="20"/>
                <w:lang w:val="en-AU"/>
              </w:rPr>
            </w:pPr>
            <w:r w:rsidRPr="000A3AE7">
              <w:rPr>
                <w:sz w:val="20"/>
                <w:szCs w:val="20"/>
                <w:lang w:val="en-AU"/>
              </w:rPr>
              <w:t>There were a few exceptions for some competitive funding investments, which were assessed as being broad-based measures. These included: CRC, ARC National Competitive Grants Program, Innovation Investment Fund, Inspiring Australia, Public Sector Modernisation Fund, Global Innovation Strategy, and Oversight of Significant Digital and ICT Initiatives programs.</w:t>
            </w:r>
          </w:p>
        </w:tc>
      </w:tr>
    </w:tbl>
    <w:p w14:paraId="3D8F4324" w14:textId="434A4CF7" w:rsidR="00E915B2" w:rsidRPr="009150DC" w:rsidRDefault="00E915B2" w:rsidP="006C1A50">
      <w:pPr>
        <w:rPr>
          <w:lang w:val="en-AU"/>
        </w:rPr>
      </w:pPr>
    </w:p>
    <w:sectPr w:rsidR="00E915B2" w:rsidRPr="009150DC" w:rsidSect="006260B7">
      <w:headerReference w:type="even" r:id="rId46"/>
      <w:footerReference w:type="even" r:id="rId47"/>
      <w:footerReference w:type="default" r:id="rId48"/>
      <w:pgSz w:w="11907" w:h="16839" w:code="9"/>
      <w:pgMar w:top="1418" w:right="1418" w:bottom="1134" w:left="1418" w:header="85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20940" w14:textId="77777777" w:rsidR="00400295" w:rsidRDefault="00400295" w:rsidP="00564151">
      <w:r>
        <w:separator/>
      </w:r>
    </w:p>
    <w:p w14:paraId="5DC9AD65" w14:textId="77777777" w:rsidR="00400295" w:rsidRDefault="00400295" w:rsidP="00564151"/>
    <w:p w14:paraId="1D0DF108" w14:textId="77777777" w:rsidR="00400295" w:rsidRDefault="00400295" w:rsidP="00564151"/>
  </w:endnote>
  <w:endnote w:type="continuationSeparator" w:id="0">
    <w:p w14:paraId="6BC06A87" w14:textId="77777777" w:rsidR="00400295" w:rsidRDefault="00400295" w:rsidP="00564151">
      <w:r>
        <w:continuationSeparator/>
      </w:r>
    </w:p>
    <w:p w14:paraId="4FC3A1AC" w14:textId="77777777" w:rsidR="00400295" w:rsidRDefault="00400295" w:rsidP="00564151"/>
    <w:p w14:paraId="1F1E1B3A" w14:textId="77777777" w:rsidR="00400295" w:rsidRDefault="00400295" w:rsidP="00564151"/>
  </w:endnote>
  <w:endnote w:type="continuationNotice" w:id="1">
    <w:p w14:paraId="7059451A" w14:textId="77777777" w:rsidR="00400295" w:rsidRDefault="004002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taOT-Book">
    <w:altName w:val="MetaOT-Book"/>
    <w:panose1 w:val="00000000000000000000"/>
    <w:charset w:val="00"/>
    <w:family w:val="swiss"/>
    <w:notTrueType/>
    <w:pitch w:val="default"/>
    <w:sig w:usb0="00000003" w:usb1="00000000" w:usb2="00000000" w:usb3="00000000" w:csb0="00000001"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D93D4" w14:textId="645CD137" w:rsidR="00400295" w:rsidRPr="00DD2086" w:rsidRDefault="00400295" w:rsidP="00DD2086">
    <w:pPr>
      <w:pStyle w:val="Footer"/>
      <w:jc w:val="both"/>
    </w:pPr>
    <w:r w:rsidRPr="005C205C">
      <w:t xml:space="preserve">| </w:t>
    </w:r>
    <w:r w:rsidRPr="00BC2741">
      <w:rPr>
        <w:sz w:val="18"/>
        <w:szCs w:val="18"/>
      </w:rPr>
      <w:t>Driving effective Government investment in ISR</w:t>
    </w:r>
    <w:r>
      <w:rPr>
        <w:sz w:val="18"/>
        <w:szCs w:val="18"/>
      </w:rPr>
      <w:t>—</w:t>
    </w:r>
    <w:r w:rsidRPr="00F5294A">
      <w:rPr>
        <w:sz w:val="18"/>
        <w:szCs w:val="18"/>
      </w:rPr>
      <w:t>Appendices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2873D" w14:textId="3EA8A979" w:rsidR="00400295" w:rsidRDefault="00400295">
    <w:pPr>
      <w:pStyle w:val="Footer"/>
      <w:jc w:val="right"/>
    </w:pPr>
    <w:r w:rsidRPr="00F5294A">
      <w:rPr>
        <w:sz w:val="18"/>
        <w:szCs w:val="18"/>
      </w:rPr>
      <w:t>Driving effective Government investment in ISR</w:t>
    </w:r>
    <w:r>
      <w:rPr>
        <w:sz w:val="18"/>
        <w:szCs w:val="18"/>
      </w:rPr>
      <w:t>—</w:t>
    </w:r>
    <w:r w:rsidRPr="00F5294A">
      <w:rPr>
        <w:sz w:val="18"/>
        <w:szCs w:val="18"/>
      </w:rPr>
      <w:t>Appendices</w:t>
    </w:r>
    <w:r w:rsidRPr="005C205C">
      <w:t xml:space="preserve"> | </w:t>
    </w:r>
    <w:r w:rsidRPr="005C205C">
      <w:fldChar w:fldCharType="begin"/>
    </w:r>
    <w:r w:rsidRPr="005C205C">
      <w:instrText xml:space="preserve"> page </w:instrText>
    </w:r>
    <w:r w:rsidRPr="005C205C">
      <w:fldChar w:fldCharType="separate"/>
    </w:r>
    <w:r w:rsidR="00674735">
      <w:rPr>
        <w:noProof/>
      </w:rPr>
      <w:t>48</w:t>
    </w:r>
    <w:r w:rsidRPr="005C205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FFD03" w14:textId="2C641B57" w:rsidR="00400295" w:rsidRPr="00DD2086" w:rsidRDefault="00400295" w:rsidP="00BD7FEE">
    <w:pPr>
      <w:pStyle w:val="Footer"/>
    </w:pPr>
    <w:r w:rsidRPr="005C205C">
      <w:fldChar w:fldCharType="begin"/>
    </w:r>
    <w:r w:rsidRPr="005C205C">
      <w:instrText xml:space="preserve"> page </w:instrText>
    </w:r>
    <w:r w:rsidRPr="005C205C">
      <w:fldChar w:fldCharType="separate"/>
    </w:r>
    <w:r w:rsidR="00674735">
      <w:rPr>
        <w:noProof/>
      </w:rPr>
      <w:t>45</w:t>
    </w:r>
    <w:r w:rsidRPr="005C205C">
      <w:fldChar w:fldCharType="end"/>
    </w:r>
    <w:r>
      <w:t xml:space="preserve"> </w:t>
    </w:r>
    <w:r w:rsidRPr="005C205C">
      <w:t xml:space="preserve">| </w:t>
    </w:r>
    <w:r w:rsidRPr="00BC2741">
      <w:rPr>
        <w:sz w:val="18"/>
        <w:szCs w:val="18"/>
      </w:rPr>
      <w:t>Driving effective Government investment in ISR</w:t>
    </w:r>
    <w:r>
      <w:rPr>
        <w:sz w:val="18"/>
        <w:szCs w:val="18"/>
      </w:rPr>
      <w:t>—</w:t>
    </w:r>
    <w:r w:rsidRPr="00F5294A">
      <w:rPr>
        <w:sz w:val="18"/>
        <w:szCs w:val="18"/>
      </w:rPr>
      <w:t>Appendices</w:t>
    </w:r>
    <w:r w:rsidRPr="005C205C">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0074112"/>
      <w:docPartObj>
        <w:docPartGallery w:val="Page Numbers (Bottom of Page)"/>
        <w:docPartUnique/>
      </w:docPartObj>
    </w:sdtPr>
    <w:sdtEndPr>
      <w:rPr>
        <w:noProof/>
      </w:rPr>
    </w:sdtEndPr>
    <w:sdtContent>
      <w:p w14:paraId="2C03E6E2" w14:textId="77777777" w:rsidR="00400295" w:rsidRDefault="00400295">
        <w:pPr>
          <w:pStyle w:val="Footer"/>
          <w:jc w:val="right"/>
        </w:pPr>
        <w:r>
          <w:fldChar w:fldCharType="begin"/>
        </w:r>
        <w:r>
          <w:instrText xml:space="preserve"> PAGE   \* MERGEFORMAT </w:instrText>
        </w:r>
        <w:r>
          <w:fldChar w:fldCharType="separate"/>
        </w:r>
        <w:r w:rsidR="00674735">
          <w:rPr>
            <w:noProof/>
          </w:rPr>
          <w:t>49</w:t>
        </w:r>
        <w:r>
          <w:rPr>
            <w:noProof/>
          </w:rPr>
          <w:fldChar w:fldCharType="end"/>
        </w:r>
      </w:p>
    </w:sdtContent>
  </w:sdt>
  <w:p w14:paraId="2CBD408C" w14:textId="77777777" w:rsidR="00400295" w:rsidRDefault="0040029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B058E" w14:textId="1559B4E5" w:rsidR="00400295" w:rsidRPr="00514634" w:rsidRDefault="00400295" w:rsidP="00514634">
    <w:pPr>
      <w:pStyle w:val="Footer"/>
    </w:pPr>
    <w:r w:rsidRPr="005C205C">
      <w:fldChar w:fldCharType="begin"/>
    </w:r>
    <w:r w:rsidRPr="005C205C">
      <w:instrText xml:space="preserve"> page </w:instrText>
    </w:r>
    <w:r w:rsidRPr="005C205C">
      <w:fldChar w:fldCharType="separate"/>
    </w:r>
    <w:r w:rsidR="00674735">
      <w:rPr>
        <w:noProof/>
      </w:rPr>
      <w:t>54</w:t>
    </w:r>
    <w:r w:rsidRPr="005C205C">
      <w:fldChar w:fldCharType="end"/>
    </w:r>
    <w:r>
      <w:t xml:space="preserve"> </w:t>
    </w:r>
    <w:r w:rsidRPr="005C205C">
      <w:t xml:space="preserve">| </w:t>
    </w:r>
    <w:r w:rsidRPr="00BC2741">
      <w:rPr>
        <w:sz w:val="18"/>
        <w:szCs w:val="18"/>
      </w:rPr>
      <w:t>Driving effective Government investment in ISR</w:t>
    </w:r>
    <w:r>
      <w:rPr>
        <w:sz w:val="18"/>
        <w:szCs w:val="18"/>
      </w:rPr>
      <w:t>—</w:t>
    </w:r>
    <w:r w:rsidRPr="00F5294A">
      <w:rPr>
        <w:sz w:val="18"/>
        <w:szCs w:val="18"/>
      </w:rPr>
      <w:t>Appendices</w:t>
    </w:r>
    <w:r w:rsidRPr="005C205C">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B7F6F" w14:textId="77777777" w:rsidR="00400295" w:rsidRPr="00DD2086" w:rsidRDefault="00400295" w:rsidP="00DD2086">
    <w:pPr>
      <w:pStyle w:val="Footer"/>
      <w:jc w:val="right"/>
    </w:pPr>
    <w:r w:rsidRPr="00BC2741">
      <w:rPr>
        <w:sz w:val="18"/>
        <w:szCs w:val="18"/>
      </w:rPr>
      <w:t>Driving effective Government investment in ISR</w:t>
    </w:r>
    <w:r w:rsidRPr="005C205C">
      <w:t xml:space="preserve"> | </w:t>
    </w:r>
    <w:r w:rsidRPr="005C205C">
      <w:fldChar w:fldCharType="begin"/>
    </w:r>
    <w:r w:rsidRPr="005C205C">
      <w:instrText xml:space="preserve"> page </w:instrText>
    </w:r>
    <w:r w:rsidRPr="005C205C">
      <w:fldChar w:fldCharType="separate"/>
    </w:r>
    <w:r w:rsidR="00674735">
      <w:rPr>
        <w:noProof/>
      </w:rPr>
      <w:t>55</w:t>
    </w:r>
    <w:r w:rsidRPr="005C205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55ED8" w14:textId="77777777" w:rsidR="00400295" w:rsidRPr="004B2774" w:rsidRDefault="00400295" w:rsidP="00C075A3">
      <w:pPr>
        <w:spacing w:after="0" w:line="120" w:lineRule="auto"/>
        <w:rPr>
          <w:sz w:val="16"/>
          <w:szCs w:val="16"/>
        </w:rPr>
      </w:pPr>
      <w:r>
        <w:separator/>
      </w:r>
    </w:p>
  </w:footnote>
  <w:footnote w:type="continuationSeparator" w:id="0">
    <w:p w14:paraId="16B1446F" w14:textId="77777777" w:rsidR="00400295" w:rsidRPr="004B2774" w:rsidRDefault="00400295" w:rsidP="00C075A3">
      <w:pPr>
        <w:spacing w:after="0" w:line="120" w:lineRule="auto"/>
        <w:rPr>
          <w:sz w:val="16"/>
          <w:szCs w:val="16"/>
        </w:rPr>
      </w:pPr>
      <w:r>
        <w:continuationSeparator/>
      </w:r>
    </w:p>
  </w:footnote>
  <w:footnote w:type="continuationNotice" w:id="1">
    <w:p w14:paraId="3B32D663" w14:textId="77777777" w:rsidR="00400295" w:rsidRDefault="00400295">
      <w:pPr>
        <w:spacing w:after="0" w:line="240" w:lineRule="auto"/>
      </w:pPr>
    </w:p>
  </w:footnote>
  <w:footnote w:id="2">
    <w:p w14:paraId="4526A80B" w14:textId="0DD0D09E" w:rsidR="00400295" w:rsidRPr="002A61BC" w:rsidRDefault="00400295">
      <w:pPr>
        <w:pStyle w:val="FootnoteText"/>
        <w:rPr>
          <w:sz w:val="16"/>
          <w:szCs w:val="16"/>
          <w:lang w:val="en-AU"/>
        </w:rPr>
      </w:pPr>
      <w:r w:rsidRPr="002A61BC">
        <w:rPr>
          <w:rStyle w:val="FootnoteReference"/>
          <w:sz w:val="16"/>
          <w:szCs w:val="16"/>
        </w:rPr>
        <w:footnoteRef/>
      </w:r>
      <w:r w:rsidRPr="002A61BC">
        <w:rPr>
          <w:sz w:val="16"/>
          <w:szCs w:val="16"/>
        </w:rPr>
        <w:t xml:space="preserve"> </w:t>
      </w:r>
      <w:r>
        <w:rPr>
          <w:sz w:val="16"/>
          <w:szCs w:val="16"/>
        </w:rPr>
        <w:t xml:space="preserve">Industry Innovation and Science Australia. (2020). </w:t>
      </w:r>
      <w:r w:rsidRPr="00A70FC9">
        <w:rPr>
          <w:sz w:val="16"/>
          <w:szCs w:val="16"/>
        </w:rPr>
        <w:t>Driving effective Government investment in innovation, science and research</w:t>
      </w:r>
      <w:r>
        <w:rPr>
          <w:sz w:val="16"/>
          <w:szCs w:val="16"/>
        </w:rPr>
        <w:t xml:space="preserve">. </w:t>
      </w:r>
    </w:p>
  </w:footnote>
  <w:footnote w:id="3">
    <w:p w14:paraId="13144EEE" w14:textId="000CC9A4" w:rsidR="00400295" w:rsidRPr="00AD3C83" w:rsidRDefault="00400295" w:rsidP="007B6964">
      <w:pPr>
        <w:pStyle w:val="FootnoteText"/>
        <w:rPr>
          <w:sz w:val="16"/>
          <w:szCs w:val="16"/>
          <w:lang w:val="en-AU"/>
        </w:rPr>
      </w:pPr>
      <w:r w:rsidRPr="002B55B9">
        <w:rPr>
          <w:rStyle w:val="FootnoteReference"/>
          <w:sz w:val="16"/>
          <w:szCs w:val="16"/>
        </w:rPr>
        <w:footnoteRef/>
      </w:r>
      <w:r w:rsidRPr="002B55B9">
        <w:rPr>
          <w:sz w:val="16"/>
          <w:szCs w:val="16"/>
        </w:rPr>
        <w:t xml:space="preserve"> </w:t>
      </w:r>
      <w:r w:rsidRPr="002B55B9">
        <w:rPr>
          <w:sz w:val="16"/>
          <w:szCs w:val="16"/>
          <w:lang w:val="en-AU"/>
        </w:rPr>
        <w:t xml:space="preserve">OECD. (2015). The Innovation Imperative: Contributing to </w:t>
      </w:r>
      <w:r w:rsidRPr="00AD3C83">
        <w:rPr>
          <w:sz w:val="16"/>
          <w:szCs w:val="16"/>
          <w:lang w:val="en-AU"/>
        </w:rPr>
        <w:t>Productivity, Growth and well-being</w:t>
      </w:r>
      <w:r>
        <w:rPr>
          <w:sz w:val="16"/>
          <w:szCs w:val="16"/>
          <w:lang w:val="en-AU"/>
        </w:rPr>
        <w:t xml:space="preserve">. </w:t>
      </w:r>
      <w:hyperlink r:id="rId1" w:anchor="page92" w:tooltip="Link to the OECD's Innovation imperative report" w:history="1">
        <w:r w:rsidRPr="00AD3C83">
          <w:rPr>
            <w:rStyle w:val="Hyperlink"/>
            <w:sz w:val="16"/>
            <w:szCs w:val="16"/>
            <w:lang w:val="en-AU"/>
          </w:rPr>
          <w:t>https://read.oecd-ilibrary.org/science-and-technology/the-innovation-imperative_9789264239814-en#page92</w:t>
        </w:r>
      </w:hyperlink>
      <w:r w:rsidRPr="00AD3C83">
        <w:rPr>
          <w:sz w:val="16"/>
          <w:szCs w:val="16"/>
          <w:lang w:val="en-AU"/>
        </w:rPr>
        <w:t xml:space="preserve"> </w:t>
      </w:r>
    </w:p>
  </w:footnote>
  <w:footnote w:id="4">
    <w:p w14:paraId="29E18794" w14:textId="22DCA682" w:rsidR="00400295" w:rsidRPr="00AD3C83" w:rsidRDefault="00400295">
      <w:pPr>
        <w:pStyle w:val="FootnoteText"/>
        <w:rPr>
          <w:sz w:val="16"/>
          <w:szCs w:val="16"/>
          <w:lang w:val="en-AU"/>
        </w:rPr>
      </w:pPr>
      <w:r w:rsidRPr="003D19C4">
        <w:rPr>
          <w:rStyle w:val="FootnoteReference"/>
          <w:sz w:val="16"/>
          <w:szCs w:val="16"/>
        </w:rPr>
        <w:footnoteRef/>
      </w:r>
      <w:r w:rsidRPr="003D19C4">
        <w:rPr>
          <w:sz w:val="16"/>
          <w:szCs w:val="16"/>
        </w:rPr>
        <w:t xml:space="preserve"> </w:t>
      </w:r>
      <w:r w:rsidRPr="00A72992">
        <w:rPr>
          <w:sz w:val="16"/>
          <w:szCs w:val="16"/>
          <w:lang w:val="en-AU"/>
        </w:rPr>
        <w:t>OECD. (2019). Governance of Science and Technology Policies—Case Studies. OECD Science, Technology and Industry Policy Papers.</w:t>
      </w:r>
      <w:r w:rsidRPr="003D19C4">
        <w:rPr>
          <w:sz w:val="16"/>
          <w:szCs w:val="16"/>
          <w:lang w:val="en-AU"/>
        </w:rPr>
        <w:t xml:space="preserve"> </w:t>
      </w:r>
      <w:hyperlink r:id="rId2" w:tooltip="Link to OECD report: Governance of Science and Technology Policies" w:history="1">
        <w:r w:rsidRPr="00A15D27">
          <w:rPr>
            <w:rStyle w:val="Hyperlink"/>
            <w:sz w:val="16"/>
            <w:szCs w:val="16"/>
          </w:rPr>
          <w:t>https://community.oecd.org/docs/DOC-161275</w:t>
        </w:r>
      </w:hyperlink>
      <w:r w:rsidRPr="00A15D27">
        <w:rPr>
          <w:rStyle w:val="Hyperlink"/>
          <w:sz w:val="16"/>
          <w:szCs w:val="16"/>
        </w:rPr>
        <w:t xml:space="preserve"> </w:t>
      </w:r>
    </w:p>
  </w:footnote>
  <w:footnote w:id="5">
    <w:p w14:paraId="4E22261C" w14:textId="2F14EE42" w:rsidR="00400295" w:rsidRPr="00AD3C83" w:rsidRDefault="00400295" w:rsidP="004B083F">
      <w:pPr>
        <w:pStyle w:val="FootnoteText"/>
        <w:rPr>
          <w:sz w:val="16"/>
          <w:szCs w:val="16"/>
        </w:rPr>
      </w:pPr>
      <w:r w:rsidRPr="00AD3C83">
        <w:rPr>
          <w:rStyle w:val="FootnoteReference"/>
          <w:sz w:val="16"/>
          <w:szCs w:val="16"/>
        </w:rPr>
        <w:footnoteRef/>
      </w:r>
      <w:r w:rsidRPr="00AD3C83">
        <w:rPr>
          <w:sz w:val="16"/>
          <w:szCs w:val="16"/>
        </w:rPr>
        <w:t xml:space="preserve"> Nurse</w:t>
      </w:r>
      <w:r>
        <w:rPr>
          <w:sz w:val="16"/>
          <w:szCs w:val="16"/>
        </w:rPr>
        <w:t>, P</w:t>
      </w:r>
      <w:r w:rsidRPr="00AD3C83">
        <w:rPr>
          <w:sz w:val="16"/>
          <w:szCs w:val="16"/>
        </w:rPr>
        <w:t>. (2014). Ensuring a successful research endeavour: revi</w:t>
      </w:r>
      <w:r>
        <w:rPr>
          <w:sz w:val="16"/>
          <w:szCs w:val="16"/>
        </w:rPr>
        <w:t xml:space="preserve">ew of the UK research councils. </w:t>
      </w:r>
      <w:hyperlink r:id="rId3" w:tooltip="Link to Nurse Review of UK research councils" w:history="1">
        <w:r w:rsidRPr="00104986">
          <w:rPr>
            <w:rStyle w:val="Hyperlink"/>
            <w:sz w:val="16"/>
            <w:szCs w:val="16"/>
          </w:rPr>
          <w:t>www.gov.uk/government/‌collections/nurse-review-of-research-councils</w:t>
        </w:r>
      </w:hyperlink>
      <w:r w:rsidRPr="00AD3C83">
        <w:rPr>
          <w:sz w:val="16"/>
          <w:szCs w:val="16"/>
        </w:rPr>
        <w:t xml:space="preserve">; UK House of Commons., (2019). Report on the review of Balance and Effectiveness of Research and Innovation Spending. </w:t>
      </w:r>
      <w:hyperlink r:id="rId4" w:tooltip="Link to UK House of Commons' report on the review of Balance and Effectiveness of Research and Innovation Spending" w:history="1">
        <w:r w:rsidRPr="00A15D27">
          <w:rPr>
            <w:rStyle w:val="Hyperlink"/>
            <w:sz w:val="16"/>
            <w:szCs w:val="16"/>
          </w:rPr>
          <w:t>https://publications.parliament.uk/pa/cm201719/cmselect/cmsctech/1453/1453.pdf</w:t>
        </w:r>
      </w:hyperlink>
      <w:r>
        <w:rPr>
          <w:rStyle w:val="Hyperlink"/>
          <w:sz w:val="16"/>
          <w:szCs w:val="16"/>
        </w:rPr>
        <w:t xml:space="preserve"> </w:t>
      </w:r>
    </w:p>
  </w:footnote>
  <w:footnote w:id="6">
    <w:p w14:paraId="0F1CE567" w14:textId="1490A591" w:rsidR="00400295" w:rsidRPr="00AD3C83" w:rsidRDefault="00400295" w:rsidP="004B083F">
      <w:pPr>
        <w:pStyle w:val="FootnoteText"/>
        <w:rPr>
          <w:sz w:val="16"/>
          <w:szCs w:val="16"/>
          <w:lang w:val="en-AU"/>
        </w:rPr>
      </w:pPr>
      <w:r w:rsidRPr="00AD3C83">
        <w:rPr>
          <w:rStyle w:val="FootnoteReference"/>
          <w:sz w:val="16"/>
          <w:szCs w:val="16"/>
        </w:rPr>
        <w:footnoteRef/>
      </w:r>
      <w:r w:rsidRPr="00AD3C83">
        <w:rPr>
          <w:sz w:val="16"/>
          <w:szCs w:val="16"/>
        </w:rPr>
        <w:t xml:space="preserve"> </w:t>
      </w:r>
      <w:r w:rsidRPr="00AD3C83">
        <w:rPr>
          <w:sz w:val="16"/>
          <w:szCs w:val="16"/>
          <w:lang w:val="en-AU"/>
        </w:rPr>
        <w:t>UK Government. (2017). Industrial Strategy: building a Britain fit for the future.</w:t>
      </w:r>
      <w:r>
        <w:rPr>
          <w:sz w:val="16"/>
          <w:szCs w:val="16"/>
          <w:lang w:val="en-AU"/>
        </w:rPr>
        <w:t xml:space="preserve"> </w:t>
      </w:r>
      <w:hyperlink r:id="rId5" w:history="1">
        <w:r w:rsidRPr="00521D51">
          <w:rPr>
            <w:rStyle w:val="Hyperlink"/>
            <w:sz w:val="16"/>
            <w:szCs w:val="16"/>
            <w:lang w:val="en-AU"/>
          </w:rPr>
          <w:t>www.gov.uk/government/publications/industrial-strategy-building-a-britain-fit-for-the-future</w:t>
        </w:r>
      </w:hyperlink>
      <w:r>
        <w:rPr>
          <w:sz w:val="16"/>
          <w:szCs w:val="16"/>
          <w:lang w:val="en-AU"/>
        </w:rPr>
        <w:t xml:space="preserve"> </w:t>
      </w:r>
    </w:p>
  </w:footnote>
  <w:footnote w:id="7">
    <w:p w14:paraId="787C11B9" w14:textId="44063833" w:rsidR="00400295" w:rsidRPr="00AD3C83" w:rsidRDefault="00400295">
      <w:pPr>
        <w:pStyle w:val="FootnoteText"/>
        <w:rPr>
          <w:sz w:val="16"/>
          <w:szCs w:val="16"/>
          <w:lang w:val="en-AU"/>
        </w:rPr>
      </w:pPr>
      <w:r w:rsidRPr="00757F35">
        <w:rPr>
          <w:rStyle w:val="FootnoteReference"/>
          <w:sz w:val="16"/>
          <w:szCs w:val="16"/>
        </w:rPr>
        <w:footnoteRef/>
      </w:r>
      <w:r w:rsidRPr="00757F35">
        <w:rPr>
          <w:sz w:val="16"/>
          <w:szCs w:val="16"/>
        </w:rPr>
        <w:t xml:space="preserve"> </w:t>
      </w:r>
      <w:r w:rsidRPr="00757F35">
        <w:rPr>
          <w:sz w:val="16"/>
          <w:szCs w:val="16"/>
          <w:lang w:val="en-AU"/>
        </w:rPr>
        <w:t xml:space="preserve">OECD. (2019). Governance of Science and Technology Policies—Case Studies. OECD Science, Technology and Industry Policy Papers. </w:t>
      </w:r>
      <w:hyperlink r:id="rId6" w:tooltip="Link to OECD report: Governance of Science and Technology Policies" w:history="1">
        <w:r w:rsidRPr="00A15D27">
          <w:rPr>
            <w:rStyle w:val="Hyperlink"/>
            <w:sz w:val="16"/>
            <w:szCs w:val="16"/>
          </w:rPr>
          <w:t>https://community.oecd.org/docs/DOC-161275</w:t>
        </w:r>
      </w:hyperlink>
      <w:r>
        <w:rPr>
          <w:rStyle w:val="Hyperlink"/>
          <w:sz w:val="16"/>
          <w:szCs w:val="16"/>
        </w:rPr>
        <w:t xml:space="preserve"> </w:t>
      </w:r>
    </w:p>
  </w:footnote>
  <w:footnote w:id="8">
    <w:p w14:paraId="7571A5DB" w14:textId="00463BB6" w:rsidR="00400295" w:rsidRPr="00DB5B4C" w:rsidRDefault="00400295" w:rsidP="004B083F">
      <w:pPr>
        <w:pStyle w:val="FootnoteText"/>
        <w:rPr>
          <w:sz w:val="16"/>
          <w:szCs w:val="16"/>
          <w:lang w:val="en-AU"/>
        </w:rPr>
      </w:pPr>
      <w:r w:rsidRPr="00DB5B4C">
        <w:rPr>
          <w:rStyle w:val="FootnoteReference"/>
          <w:sz w:val="16"/>
          <w:szCs w:val="16"/>
        </w:rPr>
        <w:footnoteRef/>
      </w:r>
      <w:r w:rsidRPr="00DB5B4C">
        <w:rPr>
          <w:sz w:val="16"/>
          <w:szCs w:val="16"/>
        </w:rPr>
        <w:t xml:space="preserve"> Department of Industry, Science and Resources. (2001). Backing Australia’s ability: and innovation action plan for the future</w:t>
      </w:r>
      <w:r>
        <w:rPr>
          <w:sz w:val="16"/>
          <w:szCs w:val="16"/>
        </w:rPr>
        <w:t xml:space="preserve">. </w:t>
      </w:r>
      <w:hyperlink r:id="rId7" w:tooltip="Link to Backing Australia’s ability: and innovation action plan for the future" w:history="1">
        <w:r w:rsidRPr="00EA4ED6">
          <w:rPr>
            <w:rStyle w:val="Hyperlink"/>
            <w:sz w:val="16"/>
            <w:szCs w:val="16"/>
          </w:rPr>
          <w:t>www.voced.edu.au/content/ngv%3A6459</w:t>
        </w:r>
      </w:hyperlink>
      <w:r>
        <w:rPr>
          <w:sz w:val="16"/>
          <w:szCs w:val="16"/>
        </w:rPr>
        <w:t>;</w:t>
      </w:r>
      <w:r w:rsidRPr="00DB5B4C">
        <w:rPr>
          <w:sz w:val="16"/>
          <w:szCs w:val="16"/>
        </w:rPr>
        <w:t xml:space="preserve"> </w:t>
      </w:r>
      <w:r w:rsidRPr="00716B04">
        <w:rPr>
          <w:sz w:val="16"/>
          <w:szCs w:val="16"/>
        </w:rPr>
        <w:t>Department of Education, Science and Training. (2004). Backing Australia’s ability: building our future through science and innovation</w:t>
      </w:r>
      <w:r w:rsidRPr="00C82C44">
        <w:rPr>
          <w:sz w:val="16"/>
          <w:szCs w:val="16"/>
        </w:rPr>
        <w:t xml:space="preserve">. </w:t>
      </w:r>
      <w:hyperlink r:id="rId8" w:tooltip="Link to ). Backing Australia’s ability: building our future through science and innovation" w:history="1">
        <w:r w:rsidRPr="00D90026">
          <w:rPr>
            <w:rStyle w:val="Hyperlink"/>
            <w:sz w:val="16"/>
            <w:szCs w:val="16"/>
          </w:rPr>
          <w:t>https://catalogue.nla.gov.au/Record/3257753</w:t>
        </w:r>
      </w:hyperlink>
      <w:r>
        <w:rPr>
          <w:sz w:val="16"/>
          <w:szCs w:val="16"/>
        </w:rPr>
        <w:t xml:space="preserve"> </w:t>
      </w:r>
    </w:p>
  </w:footnote>
  <w:footnote w:id="9">
    <w:p w14:paraId="23F4AA1D" w14:textId="1F68559F" w:rsidR="00400295" w:rsidRPr="00DB5B4C" w:rsidRDefault="00400295" w:rsidP="004B083F">
      <w:pPr>
        <w:pStyle w:val="FootnoteText"/>
        <w:rPr>
          <w:sz w:val="16"/>
          <w:szCs w:val="16"/>
          <w:lang w:val="en-AU"/>
        </w:rPr>
      </w:pPr>
      <w:r w:rsidRPr="00DB5B4C">
        <w:rPr>
          <w:rStyle w:val="FootnoteReference"/>
          <w:sz w:val="16"/>
          <w:szCs w:val="16"/>
        </w:rPr>
        <w:footnoteRef/>
      </w:r>
      <w:r w:rsidRPr="00DB5B4C">
        <w:rPr>
          <w:sz w:val="16"/>
          <w:szCs w:val="16"/>
        </w:rPr>
        <w:t xml:space="preserve"> Department of Industry, Innovation, Science, Research and Tertiary Education. (2008). Venturous Australia: building strength in innovation. </w:t>
      </w:r>
      <w:hyperlink r:id="rId9" w:tooltip="Link to Venturous Australia report" w:history="1">
        <w:r w:rsidRPr="00EA4ED6">
          <w:rPr>
            <w:rStyle w:val="Hyperlink"/>
            <w:sz w:val="16"/>
            <w:szCs w:val="16"/>
          </w:rPr>
          <w:t>www.voced.edu.au/content/ngv%3A12472</w:t>
        </w:r>
      </w:hyperlink>
      <w:r>
        <w:rPr>
          <w:sz w:val="16"/>
          <w:szCs w:val="16"/>
        </w:rPr>
        <w:t xml:space="preserve"> </w:t>
      </w:r>
    </w:p>
  </w:footnote>
  <w:footnote w:id="10">
    <w:p w14:paraId="7C2ECF35" w14:textId="0D75BF1B" w:rsidR="00400295" w:rsidRPr="00DB5B4C" w:rsidRDefault="00400295" w:rsidP="004B083F">
      <w:pPr>
        <w:pStyle w:val="FootnoteText"/>
        <w:rPr>
          <w:sz w:val="16"/>
          <w:szCs w:val="16"/>
          <w:lang w:val="en-AU"/>
        </w:rPr>
      </w:pPr>
      <w:r w:rsidRPr="00DB5B4C">
        <w:rPr>
          <w:rStyle w:val="FootnoteReference"/>
          <w:sz w:val="16"/>
          <w:szCs w:val="16"/>
        </w:rPr>
        <w:footnoteRef/>
      </w:r>
      <w:r w:rsidRPr="00DB5B4C">
        <w:rPr>
          <w:sz w:val="16"/>
          <w:szCs w:val="16"/>
        </w:rPr>
        <w:t xml:space="preserve"> Innovation and Science Australia. (2017). Australia 2030: Prosperity through Innovation.</w:t>
      </w:r>
      <w:r>
        <w:rPr>
          <w:sz w:val="16"/>
          <w:szCs w:val="16"/>
        </w:rPr>
        <w:t xml:space="preserve"> </w:t>
      </w:r>
      <w:hyperlink r:id="rId10" w:tooltip="Link to ISA's Australia 2030: Prosperity through innovation report" w:history="1">
        <w:r w:rsidRPr="00A15D27">
          <w:rPr>
            <w:rStyle w:val="Hyperlink"/>
            <w:sz w:val="16"/>
            <w:szCs w:val="16"/>
          </w:rPr>
          <w:t>www.industry.gov.au/sites/‌g/files/net3906/f/May%202018/document/pdf/australia-2030-prosperity-through-innovation-full-report.pdf</w:t>
        </w:r>
      </w:hyperlink>
    </w:p>
  </w:footnote>
  <w:footnote w:id="11">
    <w:p w14:paraId="34A53BB2" w14:textId="6C39A4FC" w:rsidR="00400295" w:rsidRPr="008D1A71" w:rsidRDefault="00400295">
      <w:pPr>
        <w:pStyle w:val="FootnoteText"/>
        <w:rPr>
          <w:sz w:val="16"/>
          <w:szCs w:val="16"/>
          <w:lang w:val="en-AU"/>
        </w:rPr>
      </w:pPr>
      <w:r w:rsidRPr="003873C8">
        <w:rPr>
          <w:rStyle w:val="FootnoteReference"/>
          <w:sz w:val="16"/>
          <w:szCs w:val="16"/>
        </w:rPr>
        <w:footnoteRef/>
      </w:r>
      <w:r w:rsidRPr="003873C8">
        <w:rPr>
          <w:sz w:val="16"/>
          <w:szCs w:val="16"/>
        </w:rPr>
        <w:t xml:space="preserve"> Innovation and Science Australia. (2017). Australia 2030: Prosperity through </w:t>
      </w:r>
      <w:r w:rsidRPr="008D1A71">
        <w:rPr>
          <w:sz w:val="16"/>
          <w:szCs w:val="16"/>
        </w:rPr>
        <w:t>Innovation.</w:t>
      </w:r>
      <w:r>
        <w:rPr>
          <w:sz w:val="16"/>
          <w:szCs w:val="16"/>
        </w:rPr>
        <w:t xml:space="preserve"> </w:t>
      </w:r>
      <w:hyperlink r:id="rId11" w:tooltip="Link to ISA's Australia 2030: Prosperity through innovation report" w:history="1">
        <w:r w:rsidRPr="00A15D27">
          <w:rPr>
            <w:rStyle w:val="Hyperlink"/>
            <w:sz w:val="16"/>
            <w:szCs w:val="16"/>
          </w:rPr>
          <w:t>www.industry.gov.au/sites/‌g/files/net3906/f/May%202018/document/pdf/australia-2030-prosperity-through-innovation-full-report.pdf</w:t>
        </w:r>
      </w:hyperlink>
    </w:p>
  </w:footnote>
  <w:footnote w:id="12">
    <w:p w14:paraId="77E84CED" w14:textId="7A7B3CC6" w:rsidR="00400295" w:rsidRPr="008D1A71" w:rsidRDefault="00400295">
      <w:pPr>
        <w:pStyle w:val="FootnoteText"/>
        <w:rPr>
          <w:sz w:val="16"/>
          <w:szCs w:val="16"/>
          <w:lang w:val="en-AU"/>
        </w:rPr>
      </w:pPr>
      <w:r w:rsidRPr="008D1A71">
        <w:rPr>
          <w:rStyle w:val="FootnoteReference"/>
          <w:sz w:val="16"/>
          <w:szCs w:val="16"/>
        </w:rPr>
        <w:footnoteRef/>
      </w:r>
      <w:r w:rsidRPr="008D1A71">
        <w:rPr>
          <w:sz w:val="16"/>
          <w:szCs w:val="16"/>
        </w:rPr>
        <w:t xml:space="preserve"> House of Representatives Standing Committee on Employment, Education and Training. (2018). Inquiry into funding Australia's research report: Australian Government Funding Arrangements for non-NHMRC Research. </w:t>
      </w:r>
      <w:hyperlink r:id="rId12"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Pr>
          <w:rStyle w:val="Hyperlink"/>
          <w:sz w:val="16"/>
          <w:szCs w:val="16"/>
        </w:rPr>
        <w:t xml:space="preserve"> </w:t>
      </w:r>
    </w:p>
  </w:footnote>
  <w:footnote w:id="13">
    <w:p w14:paraId="77DEFA6C" w14:textId="46929F62" w:rsidR="00400295" w:rsidRPr="008D1A71" w:rsidRDefault="00400295" w:rsidP="00000F3D">
      <w:pPr>
        <w:pStyle w:val="Pa5"/>
        <w:spacing w:line="240" w:lineRule="auto"/>
        <w:rPr>
          <w:rFonts w:ascii="Microsoft New Tai Lue" w:hAnsi="Microsoft New Tai Lue" w:cs="Microsoft New Tai Lue"/>
          <w:color w:val="000000"/>
          <w:sz w:val="16"/>
          <w:szCs w:val="16"/>
        </w:rPr>
      </w:pPr>
      <w:r w:rsidRPr="008D1A71">
        <w:rPr>
          <w:rStyle w:val="FootnoteReference"/>
          <w:rFonts w:ascii="Microsoft New Tai Lue" w:hAnsi="Microsoft New Tai Lue" w:cs="Microsoft New Tai Lue"/>
          <w:sz w:val="16"/>
          <w:szCs w:val="16"/>
        </w:rPr>
        <w:footnoteRef/>
      </w:r>
      <w:r w:rsidRPr="008D1A71">
        <w:rPr>
          <w:rFonts w:ascii="Microsoft New Tai Lue" w:hAnsi="Microsoft New Tai Lue" w:cs="Microsoft New Tai Lue"/>
          <w:sz w:val="16"/>
          <w:szCs w:val="16"/>
        </w:rPr>
        <w:t xml:space="preserve"> </w:t>
      </w:r>
      <w:r w:rsidRPr="008D1A71">
        <w:rPr>
          <w:rFonts w:ascii="Microsoft New Tai Lue" w:hAnsi="Microsoft New Tai Lue" w:cs="Microsoft New Tai Lue"/>
          <w:color w:val="000000"/>
          <w:sz w:val="16"/>
          <w:szCs w:val="16"/>
        </w:rPr>
        <w:t>Ferris, Finkel, &amp; Fraser (2016). Review of the R&amp;D Tax Incentive.</w:t>
      </w:r>
      <w:r>
        <w:rPr>
          <w:rFonts w:ascii="Microsoft New Tai Lue" w:hAnsi="Microsoft New Tai Lue" w:cs="Microsoft New Tai Lue"/>
          <w:color w:val="000000"/>
          <w:sz w:val="16"/>
          <w:szCs w:val="16"/>
        </w:rPr>
        <w:t xml:space="preserve"> </w:t>
      </w:r>
      <w:hyperlink r:id="rId13" w:tooltip="Link to Ferris et al., Review of the R&amp;D Tax Incentive" w:history="1">
        <w:r w:rsidRPr="00EA4ED6">
          <w:rPr>
            <w:rStyle w:val="Hyperlink"/>
            <w:rFonts w:ascii="Microsoft New Tai Lue" w:hAnsi="Microsoft New Tai Lue" w:cs="Microsoft New Tai Lue"/>
            <w:sz w:val="16"/>
            <w:szCs w:val="16"/>
          </w:rPr>
          <w:t>www.industry.gov.au/data-and-publications/review-of-the-rd-tax-incentive</w:t>
        </w:r>
      </w:hyperlink>
      <w:r w:rsidRPr="008D1A71">
        <w:rPr>
          <w:rFonts w:ascii="Microsoft New Tai Lue" w:hAnsi="Microsoft New Tai Lue" w:cs="Microsoft New Tai Lue"/>
          <w:color w:val="000000"/>
          <w:sz w:val="16"/>
          <w:szCs w:val="16"/>
        </w:rPr>
        <w:t xml:space="preserve"> </w:t>
      </w:r>
    </w:p>
  </w:footnote>
  <w:footnote w:id="14">
    <w:p w14:paraId="558E484E" w14:textId="36B90FB4" w:rsidR="00400295" w:rsidRPr="008D1A71" w:rsidRDefault="00400295">
      <w:pPr>
        <w:pStyle w:val="FootnoteText"/>
        <w:rPr>
          <w:sz w:val="16"/>
          <w:szCs w:val="16"/>
          <w:lang w:val="en-AU"/>
        </w:rPr>
      </w:pPr>
      <w:r w:rsidRPr="008D1A71">
        <w:rPr>
          <w:rStyle w:val="FootnoteReference"/>
          <w:sz w:val="16"/>
          <w:szCs w:val="16"/>
        </w:rPr>
        <w:footnoteRef/>
      </w:r>
      <w:r w:rsidRPr="008D1A71">
        <w:rPr>
          <w:sz w:val="16"/>
          <w:szCs w:val="16"/>
        </w:rPr>
        <w:t xml:space="preserve"> Innovation and Science Australia. (2017). Australia 2030: Prosperity through Innovation. </w:t>
      </w:r>
      <w:hyperlink r:id="rId14" w:tooltip="Link to ISA's Australia 2030: Prosperity through innovation report" w:history="1">
        <w:r w:rsidRPr="00A15D27">
          <w:rPr>
            <w:rStyle w:val="Hyperlink"/>
            <w:sz w:val="16"/>
            <w:szCs w:val="16"/>
          </w:rPr>
          <w:t>www.industry.gov.au/sites/‌g/files/net3906/f/May%202018/document/pdf/australia-2030-prosperity-through-innovation-full-report.pdf</w:t>
        </w:r>
      </w:hyperlink>
      <w:r>
        <w:rPr>
          <w:rStyle w:val="Hyperlink"/>
          <w:sz w:val="16"/>
          <w:szCs w:val="16"/>
        </w:rPr>
        <w:t xml:space="preserve"> </w:t>
      </w:r>
    </w:p>
  </w:footnote>
  <w:footnote w:id="15">
    <w:p w14:paraId="0F6C81F4" w14:textId="4B9276F9" w:rsidR="00400295" w:rsidRPr="00DF0AC6" w:rsidRDefault="00400295" w:rsidP="00DF0AC6">
      <w:pPr>
        <w:pStyle w:val="FootnoteText"/>
        <w:rPr>
          <w:sz w:val="16"/>
          <w:szCs w:val="16"/>
          <w:lang w:val="en-AU"/>
        </w:rPr>
      </w:pPr>
      <w:r w:rsidRPr="002B55B9">
        <w:rPr>
          <w:rStyle w:val="FootnoteReference"/>
          <w:sz w:val="16"/>
          <w:szCs w:val="16"/>
        </w:rPr>
        <w:footnoteRef/>
      </w:r>
      <w:r w:rsidRPr="002B55B9">
        <w:rPr>
          <w:sz w:val="16"/>
          <w:szCs w:val="16"/>
        </w:rPr>
        <w:t xml:space="preserve"> Productivity Commission. (2017). 5 Year Productivity Review, Supporting Paper </w:t>
      </w:r>
      <w:r w:rsidRPr="00DF0AC6">
        <w:rPr>
          <w:sz w:val="16"/>
          <w:szCs w:val="16"/>
        </w:rPr>
        <w:t>No.12: An overview of innovation policy</w:t>
      </w:r>
      <w:r>
        <w:rPr>
          <w:sz w:val="16"/>
          <w:szCs w:val="16"/>
        </w:rPr>
        <w:t>.</w:t>
      </w:r>
      <w:r w:rsidRPr="00DF0AC6">
        <w:rPr>
          <w:sz w:val="16"/>
          <w:szCs w:val="16"/>
        </w:rPr>
        <w:t xml:space="preserve"> </w:t>
      </w:r>
      <w:hyperlink r:id="rId15" w:tooltip="Link to Productivity Commission's Five year productivity review report" w:history="1">
        <w:r w:rsidRPr="00A15D27">
          <w:rPr>
            <w:rStyle w:val="Hyperlink"/>
            <w:sz w:val="16"/>
            <w:szCs w:val="16"/>
          </w:rPr>
          <w:t>www.pc.gov.au/inquiries/completed/productivity-review/report/productivity-review-supporting12.pdf</w:t>
        </w:r>
      </w:hyperlink>
      <w:r>
        <w:rPr>
          <w:rStyle w:val="Hyperlink"/>
          <w:sz w:val="16"/>
          <w:szCs w:val="16"/>
        </w:rPr>
        <w:t xml:space="preserve"> </w:t>
      </w:r>
    </w:p>
  </w:footnote>
  <w:footnote w:id="16">
    <w:p w14:paraId="6585EEE6" w14:textId="724D9EE3" w:rsidR="00400295" w:rsidRPr="00DF0AC6" w:rsidRDefault="00400295" w:rsidP="00EF1C1A">
      <w:pPr>
        <w:pStyle w:val="FootnoteText"/>
        <w:rPr>
          <w:sz w:val="16"/>
          <w:szCs w:val="16"/>
          <w:lang w:val="en-AU"/>
        </w:rPr>
      </w:pPr>
      <w:r w:rsidRPr="00DF0AC6">
        <w:rPr>
          <w:rStyle w:val="FootnoteReference"/>
          <w:sz w:val="16"/>
          <w:szCs w:val="16"/>
        </w:rPr>
        <w:footnoteRef/>
      </w:r>
      <w:r w:rsidRPr="00DF0AC6">
        <w:rPr>
          <w:sz w:val="16"/>
          <w:szCs w:val="16"/>
        </w:rPr>
        <w:t xml:space="preserve"> Productivity Commission. (2017). 5 Year Productivity Review, Supporting Paper No.12: An overview of innovation policy. </w:t>
      </w:r>
      <w:hyperlink r:id="rId16" w:tooltip="Link to Productivity Commission's Five year productivity review report" w:history="1">
        <w:r w:rsidRPr="00A15D27">
          <w:rPr>
            <w:rStyle w:val="Hyperlink"/>
            <w:sz w:val="16"/>
            <w:szCs w:val="16"/>
          </w:rPr>
          <w:t>www.pc.gov.au/inquiries/completed/productivity-review/report/productivity-review-supporting12.pdf</w:t>
        </w:r>
      </w:hyperlink>
      <w:r>
        <w:rPr>
          <w:rStyle w:val="Hyperlink"/>
          <w:sz w:val="16"/>
          <w:szCs w:val="16"/>
        </w:rPr>
        <w:t xml:space="preserve"> </w:t>
      </w:r>
    </w:p>
  </w:footnote>
  <w:footnote w:id="17">
    <w:p w14:paraId="7B0131FB" w14:textId="31A6CA26" w:rsidR="00400295" w:rsidRPr="00CD4F0C" w:rsidRDefault="00400295">
      <w:pPr>
        <w:pStyle w:val="FootnoteText"/>
        <w:rPr>
          <w:sz w:val="16"/>
          <w:szCs w:val="16"/>
          <w:lang w:val="en-AU"/>
        </w:rPr>
      </w:pPr>
      <w:r w:rsidRPr="00CD4F0C">
        <w:rPr>
          <w:rStyle w:val="FootnoteReference"/>
          <w:sz w:val="16"/>
          <w:szCs w:val="16"/>
        </w:rPr>
        <w:footnoteRef/>
      </w:r>
      <w:r w:rsidRPr="00CD4F0C">
        <w:rPr>
          <w:sz w:val="16"/>
          <w:szCs w:val="16"/>
        </w:rPr>
        <w:t xml:space="preserve"> </w:t>
      </w:r>
      <w:r w:rsidRPr="00CD4F0C">
        <w:rPr>
          <w:sz w:val="16"/>
          <w:szCs w:val="16"/>
          <w:lang w:val="en-AU"/>
        </w:rPr>
        <w:t xml:space="preserve">Refer footnote </w:t>
      </w:r>
      <w:r w:rsidRPr="00000F3D">
        <w:rPr>
          <w:sz w:val="16"/>
          <w:szCs w:val="16"/>
          <w:lang w:val="en-AU"/>
        </w:rPr>
        <w:fldChar w:fldCharType="begin"/>
      </w:r>
      <w:r w:rsidRPr="00000F3D">
        <w:rPr>
          <w:sz w:val="16"/>
          <w:szCs w:val="16"/>
          <w:lang w:val="en-AU"/>
        </w:rPr>
        <w:instrText xml:space="preserve"> NOTEREF _Ref56008799 \h </w:instrText>
      </w:r>
      <w:r>
        <w:rPr>
          <w:sz w:val="16"/>
          <w:szCs w:val="16"/>
          <w:lang w:val="en-AU"/>
        </w:rPr>
        <w:instrText xml:space="preserve"> \* MERGEFORMAT </w:instrText>
      </w:r>
      <w:r w:rsidRPr="00000F3D">
        <w:rPr>
          <w:sz w:val="16"/>
          <w:szCs w:val="16"/>
          <w:lang w:val="en-AU"/>
        </w:rPr>
      </w:r>
      <w:r w:rsidRPr="00000F3D">
        <w:rPr>
          <w:sz w:val="16"/>
          <w:szCs w:val="16"/>
          <w:lang w:val="en-AU"/>
        </w:rPr>
        <w:fldChar w:fldCharType="separate"/>
      </w:r>
      <w:r w:rsidRPr="00000F3D">
        <w:rPr>
          <w:sz w:val="16"/>
          <w:szCs w:val="16"/>
          <w:lang w:val="en-AU"/>
        </w:rPr>
        <w:t>18</w:t>
      </w:r>
      <w:r w:rsidRPr="00000F3D">
        <w:rPr>
          <w:sz w:val="16"/>
          <w:szCs w:val="16"/>
          <w:lang w:val="en-AU"/>
        </w:rPr>
        <w:fldChar w:fldCharType="end"/>
      </w:r>
      <w:r w:rsidRPr="00CD4F0C">
        <w:rPr>
          <w:sz w:val="16"/>
          <w:szCs w:val="16"/>
          <w:lang w:val="en-AU"/>
        </w:rPr>
        <w:t xml:space="preserve"> for I</w:t>
      </w:r>
      <w:r>
        <w:rPr>
          <w:sz w:val="16"/>
          <w:szCs w:val="16"/>
          <w:lang w:val="en-AU"/>
        </w:rPr>
        <w:t>I</w:t>
      </w:r>
      <w:r w:rsidRPr="00CD4F0C">
        <w:rPr>
          <w:sz w:val="16"/>
          <w:szCs w:val="16"/>
          <w:lang w:val="en-AU"/>
        </w:rPr>
        <w:t>SA’</w:t>
      </w:r>
      <w:r>
        <w:rPr>
          <w:sz w:val="16"/>
          <w:szCs w:val="16"/>
          <w:lang w:val="en-AU"/>
        </w:rPr>
        <w:t xml:space="preserve">s R&amp;D expenditure </w:t>
      </w:r>
      <w:r w:rsidRPr="00CD4F0C">
        <w:rPr>
          <w:sz w:val="16"/>
          <w:szCs w:val="16"/>
          <w:lang w:val="en-AU"/>
        </w:rPr>
        <w:t>analysis details.</w:t>
      </w:r>
    </w:p>
  </w:footnote>
  <w:footnote w:id="18">
    <w:p w14:paraId="10A8639E" w14:textId="62F164BC" w:rsidR="00400295" w:rsidRPr="003873C8" w:rsidRDefault="00400295" w:rsidP="00E93522">
      <w:pPr>
        <w:pStyle w:val="FootnoteText"/>
        <w:rPr>
          <w:sz w:val="16"/>
          <w:szCs w:val="16"/>
          <w:lang w:val="en-AU"/>
        </w:rPr>
      </w:pPr>
      <w:r w:rsidRPr="00240D7A">
        <w:rPr>
          <w:rStyle w:val="FootnoteReference"/>
          <w:sz w:val="16"/>
          <w:szCs w:val="16"/>
        </w:rPr>
        <w:footnoteRef/>
      </w:r>
      <w:r w:rsidRPr="00240D7A">
        <w:rPr>
          <w:sz w:val="16"/>
          <w:szCs w:val="16"/>
        </w:rPr>
        <w:t xml:space="preserve"> </w:t>
      </w:r>
      <w:r w:rsidRPr="000A33B5">
        <w:rPr>
          <w:sz w:val="16"/>
          <w:szCs w:val="16"/>
        </w:rPr>
        <w:t>Innovation and Science Australia</w:t>
      </w:r>
      <w:r>
        <w:rPr>
          <w:sz w:val="16"/>
          <w:szCs w:val="16"/>
        </w:rPr>
        <w:t>.</w:t>
      </w:r>
      <w:r w:rsidRPr="000A33B5">
        <w:rPr>
          <w:sz w:val="16"/>
          <w:szCs w:val="16"/>
        </w:rPr>
        <w:t xml:space="preserve"> (2020). Stimulating </w:t>
      </w:r>
      <w:r w:rsidRPr="003873C8">
        <w:rPr>
          <w:sz w:val="16"/>
          <w:szCs w:val="16"/>
        </w:rPr>
        <w:t>business investment in innovation.</w:t>
      </w:r>
      <w:r>
        <w:rPr>
          <w:sz w:val="16"/>
          <w:szCs w:val="16"/>
        </w:rPr>
        <w:t xml:space="preserve"> </w:t>
      </w:r>
      <w:hyperlink r:id="rId17" w:tooltip="Link to ISA's Stimulating business investment in innovation report" w:history="1">
        <w:r w:rsidRPr="00A15D27">
          <w:rPr>
            <w:rStyle w:val="Hyperlink"/>
            <w:sz w:val="16"/>
            <w:szCs w:val="16"/>
          </w:rPr>
          <w:t>www.industry.gov.au/sites/default/files/2020-02/stimulating-business-investment-in-innovation.pdf</w:t>
        </w:r>
      </w:hyperlink>
      <w:r>
        <w:rPr>
          <w:rStyle w:val="Hyperlink"/>
          <w:sz w:val="16"/>
          <w:szCs w:val="16"/>
        </w:rPr>
        <w:t xml:space="preserve"> </w:t>
      </w:r>
    </w:p>
  </w:footnote>
  <w:footnote w:id="19">
    <w:p w14:paraId="4F0C2D8E" w14:textId="1B11108C" w:rsidR="00400295" w:rsidRPr="00FF7FC2" w:rsidRDefault="00400295">
      <w:pPr>
        <w:pStyle w:val="FootnoteText"/>
        <w:rPr>
          <w:sz w:val="16"/>
          <w:szCs w:val="16"/>
          <w:lang w:val="en-AU"/>
        </w:rPr>
      </w:pPr>
      <w:r w:rsidRPr="00FF7FC2">
        <w:rPr>
          <w:rStyle w:val="FootnoteReference"/>
          <w:sz w:val="16"/>
          <w:szCs w:val="16"/>
        </w:rPr>
        <w:footnoteRef/>
      </w:r>
      <w:r w:rsidRPr="00FF7FC2">
        <w:rPr>
          <w:sz w:val="16"/>
          <w:szCs w:val="16"/>
        </w:rPr>
        <w:t xml:space="preserve"> ‘General university funds’ represents university funds that are used for R&amp;D, sourced from both Commonwealth Government funding (other than competitive grants, targeted research funding, or funding identified as 'Other commonwealth government') and non-Commonwealth funding (such as fees and charges, income relating to Higher Education Contribution Scheme liabilities, income from non</w:t>
      </w:r>
      <w:r w:rsidRPr="00FF7FC2">
        <w:rPr>
          <w:sz w:val="16"/>
          <w:szCs w:val="16"/>
        </w:rPr>
        <w:noBreakHyphen/>
        <w:t>research specific donations, bequests and foundations, investment income, reversions from provisions accounts, loans drawn down, income from the institutions commercial operations and from sale of products or assets).</w:t>
      </w:r>
    </w:p>
  </w:footnote>
  <w:footnote w:id="20">
    <w:p w14:paraId="27025BD9" w14:textId="3894CA95" w:rsidR="00400295" w:rsidRPr="00ED0C49" w:rsidRDefault="00400295" w:rsidP="00E93522">
      <w:pPr>
        <w:pStyle w:val="FootnoteText"/>
        <w:rPr>
          <w:sz w:val="16"/>
          <w:szCs w:val="16"/>
        </w:rPr>
      </w:pPr>
      <w:r w:rsidRPr="00041E68">
        <w:rPr>
          <w:rStyle w:val="FootnoteReference"/>
          <w:sz w:val="16"/>
          <w:szCs w:val="16"/>
        </w:rPr>
        <w:footnoteRef/>
      </w:r>
      <w:r w:rsidRPr="00041E68">
        <w:rPr>
          <w:rStyle w:val="FootnoteReference"/>
          <w:sz w:val="16"/>
          <w:szCs w:val="16"/>
        </w:rPr>
        <w:t xml:space="preserve"> </w:t>
      </w:r>
      <w:r>
        <w:rPr>
          <w:sz w:val="16"/>
          <w:szCs w:val="16"/>
        </w:rPr>
        <w:t xml:space="preserve">In this analysis ‘Commonwealth’ funding includes ‘Commonwealth competitive funds’ and ‘Other Commonwealth government’ (defined as </w:t>
      </w:r>
      <w:r w:rsidRPr="008D59A3">
        <w:rPr>
          <w:sz w:val="16"/>
          <w:szCs w:val="16"/>
        </w:rPr>
        <w:t>targeted research funding from Commonwealth agencies</w:t>
      </w:r>
      <w:r>
        <w:rPr>
          <w:sz w:val="16"/>
          <w:szCs w:val="16"/>
        </w:rPr>
        <w:t xml:space="preserve"> (e.g. </w:t>
      </w:r>
      <w:r w:rsidRPr="008D59A3">
        <w:rPr>
          <w:sz w:val="16"/>
          <w:szCs w:val="16"/>
        </w:rPr>
        <w:t>CRC grants</w:t>
      </w:r>
      <w:r>
        <w:rPr>
          <w:sz w:val="16"/>
          <w:szCs w:val="16"/>
        </w:rPr>
        <w:t xml:space="preserve">) and funding for the </w:t>
      </w:r>
      <w:r w:rsidRPr="008D59A3">
        <w:rPr>
          <w:sz w:val="16"/>
          <w:szCs w:val="16"/>
        </w:rPr>
        <w:t xml:space="preserve">Research Training </w:t>
      </w:r>
      <w:r>
        <w:rPr>
          <w:sz w:val="16"/>
          <w:szCs w:val="16"/>
        </w:rPr>
        <w:t xml:space="preserve">and </w:t>
      </w:r>
      <w:r w:rsidRPr="008D59A3">
        <w:rPr>
          <w:sz w:val="16"/>
          <w:szCs w:val="16"/>
        </w:rPr>
        <w:t>Support Program</w:t>
      </w:r>
      <w:r>
        <w:rPr>
          <w:sz w:val="16"/>
          <w:szCs w:val="16"/>
        </w:rPr>
        <w:t xml:space="preserve">s. ‘General university funds’ </w:t>
      </w:r>
      <w:r w:rsidRPr="00CC4320">
        <w:rPr>
          <w:sz w:val="16"/>
          <w:szCs w:val="16"/>
        </w:rPr>
        <w:t>represents university funds that are used for R&amp;D, sourced from both</w:t>
      </w:r>
      <w:r w:rsidRPr="008D59A3">
        <w:rPr>
          <w:sz w:val="16"/>
          <w:szCs w:val="16"/>
        </w:rPr>
        <w:t xml:space="preserve"> Commonwealth Government </w:t>
      </w:r>
      <w:r>
        <w:rPr>
          <w:sz w:val="16"/>
          <w:szCs w:val="16"/>
        </w:rPr>
        <w:t>funding (</w:t>
      </w:r>
      <w:r w:rsidRPr="008D59A3">
        <w:rPr>
          <w:sz w:val="16"/>
          <w:szCs w:val="16"/>
        </w:rPr>
        <w:t xml:space="preserve">other than </w:t>
      </w:r>
      <w:r>
        <w:rPr>
          <w:sz w:val="16"/>
          <w:szCs w:val="16"/>
        </w:rPr>
        <w:t xml:space="preserve">competitive grants, </w:t>
      </w:r>
      <w:r w:rsidRPr="008D59A3">
        <w:rPr>
          <w:sz w:val="16"/>
          <w:szCs w:val="16"/>
        </w:rPr>
        <w:t xml:space="preserve">targeted research funding, </w:t>
      </w:r>
      <w:r>
        <w:rPr>
          <w:sz w:val="16"/>
          <w:szCs w:val="16"/>
        </w:rPr>
        <w:t>or funding</w:t>
      </w:r>
      <w:r w:rsidRPr="008D59A3">
        <w:rPr>
          <w:sz w:val="16"/>
          <w:szCs w:val="16"/>
        </w:rPr>
        <w:t xml:space="preserve"> identified as 'Other commonwealth government'</w:t>
      </w:r>
      <w:r>
        <w:rPr>
          <w:sz w:val="16"/>
          <w:szCs w:val="16"/>
        </w:rPr>
        <w:t>)</w:t>
      </w:r>
      <w:r w:rsidRPr="008D59A3">
        <w:rPr>
          <w:sz w:val="16"/>
          <w:szCs w:val="16"/>
        </w:rPr>
        <w:t xml:space="preserve"> and </w:t>
      </w:r>
      <w:r>
        <w:rPr>
          <w:sz w:val="16"/>
          <w:szCs w:val="16"/>
        </w:rPr>
        <w:t xml:space="preserve">non-Commonwealth funding (such as </w:t>
      </w:r>
      <w:r w:rsidRPr="008D59A3">
        <w:rPr>
          <w:sz w:val="16"/>
          <w:szCs w:val="16"/>
        </w:rPr>
        <w:t>fees and charges, income relating to Higher Education Contribution Sche</w:t>
      </w:r>
      <w:r>
        <w:rPr>
          <w:sz w:val="16"/>
          <w:szCs w:val="16"/>
        </w:rPr>
        <w:t>me liabilities, income from non</w:t>
      </w:r>
      <w:r>
        <w:rPr>
          <w:sz w:val="16"/>
          <w:szCs w:val="16"/>
        </w:rPr>
        <w:noBreakHyphen/>
      </w:r>
      <w:r w:rsidRPr="008D59A3">
        <w:rPr>
          <w:sz w:val="16"/>
          <w:szCs w:val="16"/>
        </w:rPr>
        <w:t>research specific donations, bequests and foundations, investment income, reversions from provisions accounts, loans drawn down, income from the institutions commercial operations and from sale of products or assets</w:t>
      </w:r>
      <w:r>
        <w:rPr>
          <w:sz w:val="16"/>
          <w:szCs w:val="16"/>
        </w:rPr>
        <w:t>)</w:t>
      </w:r>
      <w:r w:rsidRPr="008D59A3">
        <w:rPr>
          <w:sz w:val="16"/>
          <w:szCs w:val="16"/>
        </w:rPr>
        <w:t>.</w:t>
      </w:r>
      <w:r>
        <w:rPr>
          <w:sz w:val="16"/>
          <w:szCs w:val="16"/>
        </w:rPr>
        <w:t xml:space="preserve"> ‘Other Australian’ funding includes any Australian sources not captured by other descriptors as well as </w:t>
      </w:r>
      <w:r w:rsidRPr="00893793">
        <w:rPr>
          <w:sz w:val="16"/>
          <w:szCs w:val="16"/>
        </w:rPr>
        <w:t>funds from joint business/government, donations and bequests. ABS, 8104.0 – Research and Experimental Development, Businesses, Australia, 2017</w:t>
      </w:r>
      <w:r>
        <w:rPr>
          <w:sz w:val="16"/>
          <w:szCs w:val="16"/>
        </w:rPr>
        <w:t>–</w:t>
      </w:r>
      <w:r w:rsidRPr="00893793">
        <w:rPr>
          <w:sz w:val="16"/>
          <w:szCs w:val="16"/>
        </w:rPr>
        <w:t>18; 8109.0 – Research and Experimental Development, Government and Private Non-Profit Organisations, Australia, 2016</w:t>
      </w:r>
      <w:r>
        <w:rPr>
          <w:sz w:val="16"/>
          <w:szCs w:val="16"/>
        </w:rPr>
        <w:t>–</w:t>
      </w:r>
      <w:r w:rsidRPr="00893793">
        <w:rPr>
          <w:sz w:val="16"/>
          <w:szCs w:val="16"/>
        </w:rPr>
        <w:t>17; 8111.0 – Research and Experimental Development, Higher Education Organisations, Australia, 2016. Note the ABS surveys those entities that perform R&amp;D (businesses, institutes, universities, etc.) in order to identify the amount they spend on R&amp;D activities that they perform in a given year. BERD data was estimated from an average of 2015</w:t>
      </w:r>
      <w:r>
        <w:rPr>
          <w:sz w:val="16"/>
          <w:szCs w:val="16"/>
        </w:rPr>
        <w:t>–</w:t>
      </w:r>
      <w:r w:rsidRPr="00893793">
        <w:rPr>
          <w:sz w:val="16"/>
          <w:szCs w:val="16"/>
        </w:rPr>
        <w:t>16 and 2017</w:t>
      </w:r>
      <w:r>
        <w:rPr>
          <w:sz w:val="16"/>
          <w:szCs w:val="16"/>
        </w:rPr>
        <w:t>–</w:t>
      </w:r>
      <w:r w:rsidRPr="00893793">
        <w:rPr>
          <w:sz w:val="16"/>
          <w:szCs w:val="16"/>
        </w:rPr>
        <w:t>18 BERD data.</w:t>
      </w:r>
    </w:p>
  </w:footnote>
  <w:footnote w:id="21">
    <w:p w14:paraId="208A5732" w14:textId="132AD2D9" w:rsidR="00400295" w:rsidRPr="002D25CC" w:rsidRDefault="00400295" w:rsidP="00E93522">
      <w:pPr>
        <w:pStyle w:val="FootnoteText"/>
        <w:rPr>
          <w:sz w:val="16"/>
          <w:szCs w:val="16"/>
          <w:lang w:val="en-AU"/>
        </w:rPr>
      </w:pPr>
      <w:r w:rsidRPr="002D25CC">
        <w:rPr>
          <w:rStyle w:val="FootnoteReference"/>
          <w:sz w:val="16"/>
          <w:szCs w:val="16"/>
        </w:rPr>
        <w:footnoteRef/>
      </w:r>
      <w:r w:rsidRPr="002D25CC">
        <w:rPr>
          <w:sz w:val="16"/>
          <w:szCs w:val="16"/>
        </w:rPr>
        <w:t xml:space="preserve"> ABS</w:t>
      </w:r>
      <w:r>
        <w:rPr>
          <w:sz w:val="16"/>
          <w:szCs w:val="16"/>
        </w:rPr>
        <w:t>.</w:t>
      </w:r>
      <w:r w:rsidRPr="002D25CC">
        <w:rPr>
          <w:sz w:val="16"/>
          <w:szCs w:val="16"/>
        </w:rPr>
        <w:t xml:space="preserve"> 8104.0 – Research and Experimental Development, Businesses, Australia, 2017</w:t>
      </w:r>
      <w:r>
        <w:rPr>
          <w:sz w:val="16"/>
          <w:szCs w:val="16"/>
        </w:rPr>
        <w:t>–</w:t>
      </w:r>
      <w:r w:rsidRPr="002D25CC">
        <w:rPr>
          <w:sz w:val="16"/>
          <w:szCs w:val="16"/>
        </w:rPr>
        <w:t>18; 8109.0 – Research and Experimental Development, Government and Private Non-Profit Organisations, Australia, 2016</w:t>
      </w:r>
      <w:r>
        <w:rPr>
          <w:sz w:val="16"/>
          <w:szCs w:val="16"/>
        </w:rPr>
        <w:t>–</w:t>
      </w:r>
      <w:r w:rsidRPr="002D25CC">
        <w:rPr>
          <w:sz w:val="16"/>
          <w:szCs w:val="16"/>
        </w:rPr>
        <w:t>17; 8111.0 – Research and Experimental Development, Higher Education Organisations, Australia, 2016.</w:t>
      </w:r>
    </w:p>
  </w:footnote>
  <w:footnote w:id="22">
    <w:p w14:paraId="763FD7F3" w14:textId="1291DE61" w:rsidR="00400295" w:rsidRPr="005B49B8" w:rsidRDefault="00400295" w:rsidP="00701983">
      <w:pPr>
        <w:pStyle w:val="ListBullet"/>
        <w:spacing w:after="0" w:line="240" w:lineRule="auto"/>
        <w:ind w:firstLine="0"/>
        <w:rPr>
          <w:sz w:val="16"/>
          <w:szCs w:val="16"/>
        </w:rPr>
      </w:pPr>
      <w:r w:rsidRPr="00445BC4">
        <w:rPr>
          <w:rStyle w:val="FootnoteReference"/>
          <w:sz w:val="16"/>
          <w:szCs w:val="16"/>
        </w:rPr>
        <w:footnoteRef/>
      </w:r>
      <w:r w:rsidRPr="00445BC4">
        <w:rPr>
          <w:sz w:val="16"/>
          <w:szCs w:val="16"/>
        </w:rPr>
        <w:t xml:space="preserve"> </w:t>
      </w:r>
      <w:r w:rsidRPr="00D03260">
        <w:rPr>
          <w:sz w:val="16"/>
          <w:szCs w:val="16"/>
          <w:lang w:val="en-GB"/>
        </w:rPr>
        <w:t xml:space="preserve">FOR is a hierarchical classification system that allows for the categorisation of research activity within </w:t>
      </w:r>
      <w:r w:rsidRPr="005B49B8">
        <w:rPr>
          <w:sz w:val="16"/>
          <w:szCs w:val="16"/>
          <w:lang w:val="en-GB"/>
        </w:rPr>
        <w:t>Australia and New Zealand. The FOR allows for R&amp;D activity to be categorised according to the methodology used in the R&amp;D, rather than the activity of the unit performing the R&amp;D or the purpose of the R&amp;D.</w:t>
      </w:r>
      <w:r>
        <w:rPr>
          <w:sz w:val="16"/>
          <w:szCs w:val="16"/>
          <w:lang w:val="en-GB"/>
        </w:rPr>
        <w:t xml:space="preserve"> </w:t>
      </w:r>
    </w:p>
  </w:footnote>
  <w:footnote w:id="23">
    <w:p w14:paraId="0A4C8DBA" w14:textId="0A4C6A32" w:rsidR="00400295" w:rsidRPr="00525773" w:rsidRDefault="00400295" w:rsidP="00E93522">
      <w:pPr>
        <w:pStyle w:val="FootnoteText"/>
        <w:rPr>
          <w:sz w:val="16"/>
          <w:szCs w:val="16"/>
        </w:rPr>
      </w:pPr>
      <w:r w:rsidRPr="00445BC4">
        <w:rPr>
          <w:rStyle w:val="FootnoteReference"/>
          <w:sz w:val="16"/>
          <w:szCs w:val="16"/>
        </w:rPr>
        <w:footnoteRef/>
      </w:r>
      <w:r w:rsidRPr="00445BC4">
        <w:rPr>
          <w:sz w:val="16"/>
          <w:szCs w:val="16"/>
        </w:rPr>
        <w:t xml:space="preserve"> </w:t>
      </w:r>
      <w:r w:rsidRPr="00D03260">
        <w:rPr>
          <w:sz w:val="16"/>
          <w:szCs w:val="16"/>
        </w:rPr>
        <w:t>ABS</w:t>
      </w:r>
      <w:r>
        <w:rPr>
          <w:sz w:val="16"/>
          <w:szCs w:val="16"/>
        </w:rPr>
        <w:t>.</w:t>
      </w:r>
      <w:r w:rsidRPr="00D03260">
        <w:rPr>
          <w:sz w:val="16"/>
          <w:szCs w:val="16"/>
        </w:rPr>
        <w:t xml:space="preserve"> 8104.0 – Research and Experimental Development, Businesses, Australia, 2017</w:t>
      </w:r>
      <w:r>
        <w:rPr>
          <w:sz w:val="16"/>
          <w:szCs w:val="16"/>
        </w:rPr>
        <w:t>–</w:t>
      </w:r>
      <w:r w:rsidRPr="00D03260">
        <w:rPr>
          <w:sz w:val="16"/>
          <w:szCs w:val="16"/>
        </w:rPr>
        <w:t>18; 8109.0 – Research and Experimental Development, Government and Private Non-Profit Organisations,</w:t>
      </w:r>
      <w:r w:rsidRPr="002B55B9">
        <w:rPr>
          <w:sz w:val="16"/>
          <w:szCs w:val="16"/>
        </w:rPr>
        <w:t xml:space="preserve"> Australia, 2016</w:t>
      </w:r>
      <w:r>
        <w:rPr>
          <w:sz w:val="16"/>
          <w:szCs w:val="16"/>
        </w:rPr>
        <w:t>–</w:t>
      </w:r>
      <w:r w:rsidRPr="002B55B9">
        <w:rPr>
          <w:sz w:val="16"/>
          <w:szCs w:val="16"/>
        </w:rPr>
        <w:t>17; 8111.0 – Research and Experimental Development, Higher Education Organisations, Australia, 2016.</w:t>
      </w:r>
      <w:r>
        <w:rPr>
          <w:sz w:val="16"/>
          <w:szCs w:val="16"/>
        </w:rPr>
        <w:t xml:space="preserve"> Note the ABS </w:t>
      </w:r>
      <w:r w:rsidRPr="00635CD4">
        <w:rPr>
          <w:sz w:val="16"/>
          <w:szCs w:val="16"/>
        </w:rPr>
        <w:t>survey</w:t>
      </w:r>
      <w:r>
        <w:rPr>
          <w:sz w:val="16"/>
          <w:szCs w:val="16"/>
        </w:rPr>
        <w:t>s</w:t>
      </w:r>
      <w:r w:rsidRPr="00635CD4">
        <w:rPr>
          <w:sz w:val="16"/>
          <w:szCs w:val="16"/>
        </w:rPr>
        <w:t xml:space="preserve"> those entities that perform R&amp;D (businesses, institutes, universities, etc.) in order to identify the amount they spend on R&amp;D activities that they perform in a given year.</w:t>
      </w:r>
    </w:p>
  </w:footnote>
  <w:footnote w:id="24">
    <w:p w14:paraId="35E5C335" w14:textId="358E06B6" w:rsidR="00400295" w:rsidRPr="00B973FF" w:rsidRDefault="00400295" w:rsidP="00E93522">
      <w:pPr>
        <w:pStyle w:val="FootnoteText"/>
        <w:rPr>
          <w:sz w:val="16"/>
          <w:szCs w:val="16"/>
          <w:lang w:val="en-AU"/>
        </w:rPr>
      </w:pPr>
      <w:r w:rsidRPr="00445BC4">
        <w:rPr>
          <w:rStyle w:val="FootnoteReference"/>
          <w:sz w:val="16"/>
          <w:szCs w:val="16"/>
        </w:rPr>
        <w:footnoteRef/>
      </w:r>
      <w:r w:rsidRPr="00445BC4">
        <w:rPr>
          <w:sz w:val="16"/>
          <w:szCs w:val="16"/>
        </w:rPr>
        <w:t xml:space="preserve"> </w:t>
      </w:r>
      <w:r w:rsidRPr="00FD01B5">
        <w:rPr>
          <w:sz w:val="16"/>
          <w:szCs w:val="16"/>
        </w:rPr>
        <w:t>These figures have been taken from the SRI budget table</w:t>
      </w:r>
      <w:r>
        <w:rPr>
          <w:sz w:val="16"/>
          <w:szCs w:val="16"/>
        </w:rPr>
        <w:t>s which can be found at</w:t>
      </w:r>
      <w:r w:rsidRPr="00445BC4">
        <w:rPr>
          <w:sz w:val="16"/>
          <w:szCs w:val="16"/>
        </w:rPr>
        <w:t xml:space="preserve"> </w:t>
      </w:r>
      <w:hyperlink r:id="rId18" w:tooltip="Link to SRI budget tables website" w:history="1">
        <w:r w:rsidRPr="007E5CCA">
          <w:rPr>
            <w:rStyle w:val="Hyperlink"/>
            <w:sz w:val="16"/>
            <w:szCs w:val="16"/>
          </w:rPr>
          <w:t>www.industry.gov.au/data-and-publications/science-research-and-innovation-sri-budget-tables</w:t>
        </w:r>
      </w:hyperlink>
      <w:r w:rsidRPr="00634707">
        <w:rPr>
          <w:sz w:val="16"/>
          <w:szCs w:val="16"/>
        </w:rPr>
        <w:t xml:space="preserve">. </w:t>
      </w:r>
      <w:r w:rsidRPr="00B973FF">
        <w:rPr>
          <w:sz w:val="16"/>
          <w:szCs w:val="16"/>
        </w:rPr>
        <w:t>Note: this figure is based on budget estimates only.</w:t>
      </w:r>
    </w:p>
  </w:footnote>
  <w:footnote w:id="25">
    <w:p w14:paraId="4A7E894B" w14:textId="40E456AA" w:rsidR="00400295" w:rsidRPr="00B973FF" w:rsidRDefault="00400295" w:rsidP="00E93522">
      <w:pPr>
        <w:pStyle w:val="FootnoteText"/>
        <w:rPr>
          <w:sz w:val="16"/>
          <w:szCs w:val="16"/>
          <w:lang w:val="en-AU"/>
        </w:rPr>
      </w:pPr>
      <w:r w:rsidRPr="00B973FF">
        <w:rPr>
          <w:rStyle w:val="FootnoteReference"/>
          <w:sz w:val="16"/>
          <w:szCs w:val="16"/>
        </w:rPr>
        <w:footnoteRef/>
      </w:r>
      <w:r w:rsidRPr="00B973FF">
        <w:rPr>
          <w:sz w:val="16"/>
          <w:szCs w:val="16"/>
        </w:rPr>
        <w:t xml:space="preserve"> The 2019</w:t>
      </w:r>
      <w:r>
        <w:rPr>
          <w:sz w:val="16"/>
          <w:szCs w:val="16"/>
        </w:rPr>
        <w:t>–</w:t>
      </w:r>
      <w:r w:rsidRPr="00B973FF">
        <w:rPr>
          <w:sz w:val="16"/>
          <w:szCs w:val="16"/>
        </w:rPr>
        <w:t>20 SRI Budget Tables use the 14 socioeconomic objectives described in</w:t>
      </w:r>
      <w:r w:rsidRPr="00B973FF">
        <w:rPr>
          <w:sz w:val="16"/>
          <w:szCs w:val="16"/>
          <w:lang w:val="en-AU"/>
        </w:rPr>
        <w:t xml:space="preserve"> Frascati</w:t>
      </w:r>
      <w:r w:rsidRPr="00B973FF">
        <w:rPr>
          <w:sz w:val="16"/>
          <w:szCs w:val="16"/>
        </w:rPr>
        <w:t xml:space="preserve"> Manual 2015: Exploration and exploitation of the Earth; Environment; Exploration and exploitation of space; Transport, telecommunications and other infrastructures; Energy; Industrial production and technology; Health; Agriculture; Education; Culture, recreation, religion and mass media; Political and social systems, structures and processes; General advancement of knowledge: R&amp;D financed from General University Funds (GUF); General advancement of knowledge: R&amp;D financed from other sources than GUF; and Defence. In our analysis we grouped the two General advancement of knowledge socioeconomic objectives. Source: OECD. (2015). Frascati Manual 2015: Guidelines for Collecting and Reporting Data on Research and Experimental Development, The Measurement of Scientific, Technological and Innovation Act</w:t>
      </w:r>
      <w:r>
        <w:rPr>
          <w:sz w:val="16"/>
          <w:szCs w:val="16"/>
        </w:rPr>
        <w:t>ivities. OECD Publishing, Paris.</w:t>
      </w:r>
      <w:r w:rsidRPr="00B973FF">
        <w:rPr>
          <w:sz w:val="16"/>
          <w:szCs w:val="16"/>
        </w:rPr>
        <w:t xml:space="preserve"> </w:t>
      </w:r>
      <w:hyperlink r:id="rId19" w:tooltip="Frascati Manual document link" w:history="1">
        <w:r w:rsidRPr="00A15D27">
          <w:rPr>
            <w:rStyle w:val="Hyperlink"/>
            <w:sz w:val="16"/>
            <w:szCs w:val="16"/>
          </w:rPr>
          <w:t>https://doi.org/10.1787/9789264239012-en</w:t>
        </w:r>
      </w:hyperlink>
      <w:r>
        <w:rPr>
          <w:rStyle w:val="Hyperlink"/>
          <w:sz w:val="16"/>
          <w:szCs w:val="16"/>
        </w:rPr>
        <w:t xml:space="preserve"> </w:t>
      </w:r>
    </w:p>
  </w:footnote>
  <w:footnote w:id="26">
    <w:p w14:paraId="7365CF32" w14:textId="75DD1853" w:rsidR="00400295" w:rsidRPr="00B973FF" w:rsidRDefault="00400295" w:rsidP="00E93522">
      <w:pPr>
        <w:pStyle w:val="FootnoteText"/>
        <w:pageBreakBefore/>
        <w:widowControl w:val="0"/>
        <w:rPr>
          <w:sz w:val="16"/>
          <w:szCs w:val="16"/>
          <w:lang w:val="en-AU"/>
        </w:rPr>
      </w:pPr>
      <w:r w:rsidRPr="00445BC4">
        <w:rPr>
          <w:rStyle w:val="FootnoteReference"/>
          <w:sz w:val="16"/>
        </w:rPr>
        <w:footnoteRef/>
      </w:r>
      <w:r w:rsidRPr="00445BC4">
        <w:rPr>
          <w:sz w:val="16"/>
        </w:rPr>
        <w:t xml:space="preserve"> AAD, Australian Antarctic Division; ACIAR, Australian Centre for International Agricultural Research; ANSTO, Australian Nuclear Science and Technology Organisation; ARC, Australian Research Council; ARENA, Australian Renewable Energy Agency; CRC, Coop</w:t>
      </w:r>
      <w:r>
        <w:rPr>
          <w:sz w:val="16"/>
        </w:rPr>
        <w:t xml:space="preserve">erative </w:t>
      </w:r>
      <w:r w:rsidRPr="00B973FF">
        <w:rPr>
          <w:sz w:val="16"/>
          <w:szCs w:val="16"/>
        </w:rPr>
        <w:t>Research Centre Program; CSIRO, Commonwealth Scientific and Industrial Research Organisation; DIH, Defence Innovation Hub; DST Group, Defence, Science and Technology Group; GA, Geoscience Australia; MRFF, Medical Research Future Fund; NCRIS, National Collaborative Research Infrastructure Strategy; NHMRC, National Health and Medical Research Council.</w:t>
      </w:r>
    </w:p>
  </w:footnote>
  <w:footnote w:id="27">
    <w:p w14:paraId="2D88743E" w14:textId="77777777" w:rsidR="00400295" w:rsidRPr="008F4A67" w:rsidRDefault="00400295" w:rsidP="00AC2BE8">
      <w:pPr>
        <w:pStyle w:val="FootnoteText"/>
        <w:rPr>
          <w:sz w:val="16"/>
          <w:szCs w:val="16"/>
        </w:rPr>
      </w:pPr>
      <w:r w:rsidRPr="00091FE5">
        <w:rPr>
          <w:rStyle w:val="FootnoteReference"/>
          <w:sz w:val="16"/>
          <w:szCs w:val="16"/>
        </w:rPr>
        <w:footnoteRef/>
      </w:r>
      <w:r w:rsidRPr="00091FE5">
        <w:rPr>
          <w:sz w:val="16"/>
          <w:szCs w:val="16"/>
        </w:rPr>
        <w:t xml:space="preserve"> </w:t>
      </w:r>
      <w:r w:rsidRPr="008F4A67">
        <w:rPr>
          <w:sz w:val="16"/>
          <w:szCs w:val="16"/>
        </w:rPr>
        <w:t>The Australian Government’s Portfolio Budget statement</w:t>
      </w:r>
      <w:r>
        <w:rPr>
          <w:sz w:val="16"/>
          <w:szCs w:val="16"/>
        </w:rPr>
        <w:t>s</w:t>
      </w:r>
      <w:r w:rsidRPr="008F4A67">
        <w:rPr>
          <w:sz w:val="16"/>
          <w:szCs w:val="16"/>
        </w:rPr>
        <w:t xml:space="preserve"> provide information,</w:t>
      </w:r>
      <w:r>
        <w:rPr>
          <w:sz w:val="16"/>
          <w:szCs w:val="16"/>
        </w:rPr>
        <w:t xml:space="preserve"> </w:t>
      </w:r>
      <w:r w:rsidRPr="008F4A67">
        <w:rPr>
          <w:sz w:val="16"/>
          <w:szCs w:val="16"/>
        </w:rPr>
        <w:t xml:space="preserve">explanation and </w:t>
      </w:r>
      <w:r w:rsidRPr="00B93714">
        <w:rPr>
          <w:sz w:val="16"/>
          <w:szCs w:val="16"/>
        </w:rPr>
        <w:t>justification to</w:t>
      </w:r>
      <w:r w:rsidRPr="008F4A67">
        <w:rPr>
          <w:sz w:val="16"/>
          <w:szCs w:val="16"/>
        </w:rPr>
        <w:t xml:space="preserve"> enable an understanding of proposed annual appropriations for Australian Government departments and agencies.</w:t>
      </w:r>
    </w:p>
  </w:footnote>
  <w:footnote w:id="28">
    <w:p w14:paraId="0FA83315" w14:textId="5D8F2155" w:rsidR="00400295" w:rsidRPr="002B55B9" w:rsidRDefault="00400295" w:rsidP="00835ED2">
      <w:pPr>
        <w:pStyle w:val="FootnoteText"/>
        <w:rPr>
          <w:sz w:val="16"/>
          <w:szCs w:val="16"/>
        </w:rPr>
      </w:pPr>
      <w:r w:rsidRPr="002B55B9">
        <w:rPr>
          <w:rStyle w:val="FootnoteReference"/>
          <w:sz w:val="16"/>
          <w:szCs w:val="16"/>
        </w:rPr>
        <w:footnoteRef/>
      </w:r>
      <w:r w:rsidRPr="002B55B9">
        <w:rPr>
          <w:sz w:val="16"/>
          <w:szCs w:val="16"/>
        </w:rPr>
        <w:t xml:space="preserve"> These principl</w:t>
      </w:r>
      <w:r>
        <w:rPr>
          <w:sz w:val="16"/>
          <w:szCs w:val="16"/>
        </w:rPr>
        <w:t>es have been drawn from a range</w:t>
      </w:r>
      <w:r w:rsidRPr="002B55B9">
        <w:rPr>
          <w:sz w:val="16"/>
          <w:szCs w:val="16"/>
        </w:rPr>
        <w:t xml:space="preserve"> of sources, including Investing in Canada’s Future review (2017) and Australian sources including the National Science Statement (2017); The National Research Investment Plan (2012); Venturous Australia (Cutler Review, 2008); ISA’s 2030 Strategic Plan; recent major ISR reviews (including Parliamentary Inquiries) and senior Australian Government statements. For completeness, the UK’s 2014 Nurse review did not draw out specific investment principles. In some cases, principles derive from multiple sources</w:t>
      </w:r>
      <w:r>
        <w:rPr>
          <w:sz w:val="16"/>
          <w:szCs w:val="16"/>
        </w:rPr>
        <w:t xml:space="preserve">. </w:t>
      </w:r>
      <w:r w:rsidRPr="002B55B9">
        <w:rPr>
          <w:sz w:val="16"/>
          <w:szCs w:val="16"/>
        </w:rPr>
        <w:t xml:space="preserve">The principles </w:t>
      </w:r>
      <w:r>
        <w:rPr>
          <w:sz w:val="16"/>
          <w:szCs w:val="16"/>
        </w:rPr>
        <w:t>here</w:t>
      </w:r>
      <w:r w:rsidRPr="002B55B9">
        <w:rPr>
          <w:sz w:val="16"/>
          <w:szCs w:val="16"/>
        </w:rPr>
        <w:t xml:space="preserve"> have been </w:t>
      </w:r>
      <w:r>
        <w:rPr>
          <w:sz w:val="16"/>
          <w:szCs w:val="16"/>
        </w:rPr>
        <w:t>selected</w:t>
      </w:r>
      <w:r w:rsidRPr="002B55B9">
        <w:rPr>
          <w:sz w:val="16"/>
          <w:szCs w:val="16"/>
        </w:rPr>
        <w:t xml:space="preserve"> as they directly relate to investment in the ISR system</w:t>
      </w:r>
      <w:r>
        <w:rPr>
          <w:sz w:val="16"/>
          <w:szCs w:val="16"/>
        </w:rPr>
        <w:t xml:space="preserve"> and are applicable to the Australian context</w:t>
      </w:r>
      <w:r w:rsidRPr="002B55B9">
        <w:rPr>
          <w:sz w:val="16"/>
          <w:szCs w:val="16"/>
        </w:rPr>
        <w:t xml:space="preserve">. While other principles could also apply to the system more broadly, these </w:t>
      </w:r>
      <w:r>
        <w:rPr>
          <w:sz w:val="16"/>
          <w:szCs w:val="16"/>
        </w:rPr>
        <w:t>were</w:t>
      </w:r>
      <w:r w:rsidRPr="002B55B9">
        <w:rPr>
          <w:sz w:val="16"/>
          <w:szCs w:val="16"/>
        </w:rPr>
        <w:t xml:space="preserve"> not considered </w:t>
      </w:r>
      <w:r>
        <w:rPr>
          <w:sz w:val="16"/>
          <w:szCs w:val="16"/>
        </w:rPr>
        <w:t xml:space="preserve">to be </w:t>
      </w:r>
      <w:r w:rsidRPr="002B55B9">
        <w:rPr>
          <w:sz w:val="16"/>
          <w:szCs w:val="16"/>
        </w:rPr>
        <w:t xml:space="preserve">within </w:t>
      </w:r>
      <w:r>
        <w:rPr>
          <w:sz w:val="16"/>
          <w:szCs w:val="16"/>
        </w:rPr>
        <w:t xml:space="preserve">the </w:t>
      </w:r>
      <w:r w:rsidRPr="002B55B9">
        <w:rPr>
          <w:sz w:val="16"/>
          <w:szCs w:val="16"/>
        </w:rPr>
        <w:t xml:space="preserve">scope </w:t>
      </w:r>
      <w:r>
        <w:rPr>
          <w:sz w:val="16"/>
          <w:szCs w:val="16"/>
        </w:rPr>
        <w:t>of</w:t>
      </w:r>
      <w:r w:rsidRPr="002B55B9">
        <w:rPr>
          <w:sz w:val="16"/>
          <w:szCs w:val="16"/>
        </w:rPr>
        <w:t xml:space="preserve"> </w:t>
      </w:r>
      <w:r>
        <w:rPr>
          <w:sz w:val="16"/>
          <w:szCs w:val="16"/>
        </w:rPr>
        <w:t>this report</w:t>
      </w:r>
      <w:r w:rsidRPr="002B55B9">
        <w:rPr>
          <w:sz w:val="16"/>
          <w:szCs w:val="16"/>
        </w:rPr>
        <w:t>.</w:t>
      </w:r>
    </w:p>
  </w:footnote>
  <w:footnote w:id="29">
    <w:p w14:paraId="3D516AEB" w14:textId="21E1B3E1" w:rsidR="00400295" w:rsidRPr="002B55B9" w:rsidRDefault="00400295" w:rsidP="00421998">
      <w:pPr>
        <w:pStyle w:val="FootnoteText"/>
        <w:rPr>
          <w:sz w:val="16"/>
          <w:szCs w:val="16"/>
        </w:rPr>
      </w:pPr>
      <w:r w:rsidRPr="002B55B9">
        <w:rPr>
          <w:rStyle w:val="FootnoteReference"/>
          <w:sz w:val="16"/>
          <w:szCs w:val="16"/>
        </w:rPr>
        <w:footnoteRef/>
      </w:r>
      <w:r w:rsidRPr="002B55B9">
        <w:rPr>
          <w:sz w:val="16"/>
          <w:szCs w:val="16"/>
        </w:rPr>
        <w:t xml:space="preserve"> UK House of Commons. (2019). Report on the review of Balance and Effectiveness of Research and Innovation Spending</w:t>
      </w:r>
      <w:r>
        <w:rPr>
          <w:sz w:val="16"/>
          <w:szCs w:val="16"/>
        </w:rPr>
        <w:t xml:space="preserve">. </w:t>
      </w:r>
      <w:hyperlink r:id="rId20" w:tooltip="Link to UK House of Commons' report on the review of Balance and Effectiveness of Research and Innovation Spending" w:history="1">
        <w:r w:rsidRPr="00A15D27">
          <w:rPr>
            <w:rStyle w:val="Hyperlink"/>
            <w:sz w:val="16"/>
            <w:szCs w:val="16"/>
          </w:rPr>
          <w:t>https://publications.parliament.uk/pa/cm201719/cmselect/cmsctech/1453/1453.pdf</w:t>
        </w:r>
      </w:hyperlink>
      <w:r>
        <w:rPr>
          <w:rStyle w:val="Hyperlink"/>
          <w:sz w:val="16"/>
          <w:szCs w:val="16"/>
        </w:rPr>
        <w:t xml:space="preserve"> </w:t>
      </w:r>
    </w:p>
  </w:footnote>
  <w:footnote w:id="30">
    <w:p w14:paraId="2C1329E8" w14:textId="296F5FCA" w:rsidR="00400295" w:rsidRPr="00A80FF9" w:rsidRDefault="00400295" w:rsidP="009D2E88">
      <w:pPr>
        <w:pStyle w:val="FootnoteText"/>
        <w:rPr>
          <w:sz w:val="16"/>
          <w:szCs w:val="16"/>
          <w:lang w:val="en-AU"/>
        </w:rPr>
      </w:pPr>
      <w:r w:rsidRPr="00B80B4D">
        <w:rPr>
          <w:rStyle w:val="FootnoteReference"/>
          <w:sz w:val="16"/>
          <w:szCs w:val="16"/>
        </w:rPr>
        <w:footnoteRef/>
      </w:r>
      <w:r w:rsidRPr="00B80B4D">
        <w:rPr>
          <w:sz w:val="16"/>
          <w:szCs w:val="16"/>
        </w:rPr>
        <w:t xml:space="preserve"> OECD. (2011). Opportunities, Challenges and Good Practices in International Research Cooperation</w:t>
      </w:r>
      <w:r>
        <w:rPr>
          <w:sz w:val="16"/>
          <w:szCs w:val="16"/>
        </w:rPr>
        <w:t xml:space="preserve"> </w:t>
      </w:r>
      <w:r w:rsidRPr="00A80FF9">
        <w:rPr>
          <w:sz w:val="16"/>
          <w:szCs w:val="16"/>
        </w:rPr>
        <w:t>between Developed and Developing Countries</w:t>
      </w:r>
      <w:r>
        <w:rPr>
          <w:sz w:val="16"/>
          <w:szCs w:val="16"/>
        </w:rPr>
        <w:t xml:space="preserve">. OECD Global Science Forum. </w:t>
      </w:r>
      <w:hyperlink r:id="rId21" w:tooltip="Link to the OECD's Opportunities, Challenges and Good Practices in International Research Cooperation report" w:history="1">
        <w:r w:rsidRPr="00A15D27">
          <w:rPr>
            <w:rStyle w:val="Hyperlink"/>
            <w:sz w:val="16"/>
            <w:szCs w:val="16"/>
          </w:rPr>
          <w:t>www.oecd.org/sti/inno/47737209.pdf</w:t>
        </w:r>
      </w:hyperlink>
      <w:r>
        <w:rPr>
          <w:rStyle w:val="Hyperlink"/>
          <w:sz w:val="16"/>
          <w:szCs w:val="16"/>
        </w:rPr>
        <w:t xml:space="preserve"> </w:t>
      </w:r>
    </w:p>
  </w:footnote>
  <w:footnote w:id="31">
    <w:p w14:paraId="45A547FC" w14:textId="0895DB98" w:rsidR="00400295" w:rsidRPr="00416C6D" w:rsidRDefault="00400295" w:rsidP="005B7AB2">
      <w:pPr>
        <w:pStyle w:val="FootnoteText"/>
        <w:rPr>
          <w:sz w:val="16"/>
          <w:szCs w:val="16"/>
          <w:lang w:val="en-AU"/>
        </w:rPr>
      </w:pPr>
      <w:r w:rsidRPr="00416C6D">
        <w:rPr>
          <w:rStyle w:val="FootnoteReference"/>
          <w:sz w:val="16"/>
          <w:szCs w:val="16"/>
        </w:rPr>
        <w:footnoteRef/>
      </w:r>
      <w:r w:rsidRPr="00416C6D">
        <w:rPr>
          <w:sz w:val="16"/>
          <w:szCs w:val="16"/>
        </w:rPr>
        <w:t xml:space="preserve"> </w:t>
      </w:r>
      <w:r w:rsidRPr="00416C6D">
        <w:rPr>
          <w:rFonts w:ascii="Calibri" w:hAnsi="Calibri" w:cs="Calibri"/>
          <w:sz w:val="16"/>
          <w:szCs w:val="16"/>
        </w:rPr>
        <w:t>Č</w:t>
      </w:r>
      <w:r w:rsidRPr="00416C6D">
        <w:rPr>
          <w:sz w:val="16"/>
          <w:szCs w:val="16"/>
        </w:rPr>
        <w:t>erná</w:t>
      </w:r>
      <w:r>
        <w:rPr>
          <w:sz w:val="16"/>
          <w:szCs w:val="16"/>
        </w:rPr>
        <w:t>, L</w:t>
      </w:r>
      <w:r w:rsidRPr="00416C6D">
        <w:rPr>
          <w:sz w:val="16"/>
          <w:szCs w:val="16"/>
        </w:rPr>
        <w:t xml:space="preserve">. (2014). The Nature of Policy Change and Implementation: A Review of Different Theoretical Approaches. OECD report. </w:t>
      </w:r>
      <w:hyperlink r:id="rId22" w:tooltip="Link to OECD report on the Nature of poicy change and implementation" w:history="1">
        <w:r w:rsidRPr="00EA4ED6">
          <w:rPr>
            <w:rStyle w:val="Hyperlink"/>
            <w:sz w:val="16"/>
            <w:szCs w:val="16"/>
          </w:rPr>
          <w:t>www.oecd.org/education/ceri/The%20Nature%20of%20Policy%20Change%20and%20Implementation.pdf</w:t>
        </w:r>
      </w:hyperlink>
      <w:r w:rsidRPr="00416C6D">
        <w:rPr>
          <w:sz w:val="16"/>
          <w:szCs w:val="16"/>
        </w:rPr>
        <w:t xml:space="preserve"> </w:t>
      </w:r>
    </w:p>
  </w:footnote>
  <w:footnote w:id="32">
    <w:p w14:paraId="6D8C86DF" w14:textId="7198C600" w:rsidR="00400295" w:rsidRPr="00EB6E61" w:rsidRDefault="00400295" w:rsidP="005B7AB2">
      <w:pPr>
        <w:pStyle w:val="FootnoteText"/>
        <w:rPr>
          <w:sz w:val="16"/>
          <w:szCs w:val="16"/>
          <w:lang w:val="en-AU"/>
        </w:rPr>
      </w:pPr>
      <w:r w:rsidRPr="00EB6E61">
        <w:rPr>
          <w:rStyle w:val="FootnoteReference"/>
          <w:sz w:val="16"/>
          <w:szCs w:val="16"/>
        </w:rPr>
        <w:footnoteRef/>
      </w:r>
      <w:r w:rsidRPr="00EB6E61">
        <w:rPr>
          <w:sz w:val="16"/>
          <w:szCs w:val="16"/>
        </w:rPr>
        <w:t xml:space="preserve"> </w:t>
      </w:r>
      <w:r w:rsidRPr="00301CB0">
        <w:rPr>
          <w:sz w:val="16"/>
          <w:szCs w:val="16"/>
          <w:lang w:val="en-AU"/>
        </w:rPr>
        <w:t xml:space="preserve">OECD. (2019). Governance of Science and Technology Policies—Case Studies. OECD Science, Technology and Industry Policy Papers. </w:t>
      </w:r>
      <w:hyperlink r:id="rId23" w:tooltip="Link to OECD report: Governance of Science and Technology Policies" w:history="1">
        <w:r w:rsidRPr="00A15D27">
          <w:rPr>
            <w:rStyle w:val="Hyperlink"/>
            <w:sz w:val="16"/>
            <w:szCs w:val="16"/>
          </w:rPr>
          <w:t>https://community.oecd.org/docs/DOC-161275</w:t>
        </w:r>
      </w:hyperlink>
      <w:r w:rsidRPr="00A15D27">
        <w:rPr>
          <w:rStyle w:val="Hyperlink"/>
          <w:sz w:val="16"/>
          <w:szCs w:val="16"/>
        </w:rPr>
        <w:t xml:space="preserve"> </w:t>
      </w:r>
    </w:p>
  </w:footnote>
  <w:footnote w:id="33">
    <w:p w14:paraId="075E9DCC" w14:textId="5A3CE6CC" w:rsidR="00400295" w:rsidRPr="00571093" w:rsidRDefault="00400295" w:rsidP="009B1DB1">
      <w:pPr>
        <w:pStyle w:val="FootnoteText"/>
        <w:rPr>
          <w:sz w:val="16"/>
          <w:szCs w:val="16"/>
          <w:lang w:val="en-AU"/>
        </w:rPr>
      </w:pPr>
      <w:r w:rsidRPr="00571093">
        <w:rPr>
          <w:rStyle w:val="FootnoteReference"/>
          <w:sz w:val="16"/>
          <w:szCs w:val="16"/>
        </w:rPr>
        <w:footnoteRef/>
      </w:r>
      <w:r w:rsidRPr="00571093">
        <w:rPr>
          <w:sz w:val="16"/>
          <w:szCs w:val="16"/>
        </w:rPr>
        <w:t xml:space="preserve"> </w:t>
      </w:r>
      <w:r>
        <w:rPr>
          <w:sz w:val="16"/>
          <w:szCs w:val="16"/>
        </w:rPr>
        <w:t xml:space="preserve">United Nations’ Sustainable Development Goals. </w:t>
      </w:r>
      <w:hyperlink r:id="rId24" w:tooltip="Link UN Sustainable Development Goals website" w:history="1">
        <w:r w:rsidRPr="007E5CCA">
          <w:rPr>
            <w:rStyle w:val="Hyperlink"/>
            <w:sz w:val="16"/>
            <w:szCs w:val="16"/>
          </w:rPr>
          <w:t>www.un.org/sustainabledevelopment/sustainable-development-goals/</w:t>
        </w:r>
      </w:hyperlink>
      <w:r w:rsidRPr="003A72B1">
        <w:rPr>
          <w:rStyle w:val="Hyperlink"/>
          <w:sz w:val="16"/>
          <w:szCs w:val="16"/>
        </w:rPr>
        <w:t xml:space="preserve"> </w:t>
      </w:r>
    </w:p>
  </w:footnote>
  <w:footnote w:id="34">
    <w:p w14:paraId="4C78E2AB" w14:textId="311E8BF8" w:rsidR="00400295" w:rsidRPr="007A6592" w:rsidRDefault="00400295" w:rsidP="00E25CF7">
      <w:pPr>
        <w:pStyle w:val="FootnoteText"/>
        <w:rPr>
          <w:sz w:val="16"/>
          <w:szCs w:val="16"/>
          <w:lang w:val="en-AU"/>
        </w:rPr>
      </w:pPr>
      <w:r w:rsidRPr="007A6592">
        <w:rPr>
          <w:rStyle w:val="FootnoteReference"/>
          <w:sz w:val="16"/>
          <w:szCs w:val="16"/>
        </w:rPr>
        <w:footnoteRef/>
      </w:r>
      <w:r w:rsidRPr="007A6592">
        <w:rPr>
          <w:sz w:val="16"/>
          <w:szCs w:val="16"/>
        </w:rPr>
        <w:t xml:space="preserve"> United Nations’ Technology Facilitation Mechanism. </w:t>
      </w:r>
      <w:hyperlink r:id="rId25" w:tooltip="Link to UN Technology Facilitation Mechanism website" w:history="1">
        <w:r w:rsidRPr="007A6592">
          <w:rPr>
            <w:rStyle w:val="Hyperlink"/>
            <w:sz w:val="16"/>
            <w:szCs w:val="16"/>
          </w:rPr>
          <w:t>https://sustainabledevelopment.un.org/tfm</w:t>
        </w:r>
      </w:hyperlink>
      <w:r w:rsidRPr="003A72B1">
        <w:rPr>
          <w:rStyle w:val="Hyperlink"/>
          <w:sz w:val="16"/>
          <w:szCs w:val="16"/>
        </w:rPr>
        <w:t xml:space="preserve"> </w:t>
      </w:r>
    </w:p>
  </w:footnote>
  <w:footnote w:id="35">
    <w:p w14:paraId="6E3BC368" w14:textId="3FC9B76D" w:rsidR="00400295" w:rsidRPr="007A6592" w:rsidRDefault="00400295" w:rsidP="009F028B">
      <w:pPr>
        <w:pStyle w:val="FootnoteText"/>
        <w:rPr>
          <w:sz w:val="16"/>
          <w:szCs w:val="16"/>
          <w:lang w:val="en-AU"/>
        </w:rPr>
      </w:pPr>
      <w:r w:rsidRPr="007A6592">
        <w:rPr>
          <w:rStyle w:val="FootnoteReference"/>
          <w:sz w:val="16"/>
          <w:szCs w:val="16"/>
        </w:rPr>
        <w:footnoteRef/>
      </w:r>
      <w:r w:rsidRPr="007A6592">
        <w:rPr>
          <w:sz w:val="16"/>
          <w:szCs w:val="16"/>
        </w:rPr>
        <w:t xml:space="preserve"> </w:t>
      </w:r>
      <w:r w:rsidRPr="007A6592">
        <w:rPr>
          <w:sz w:val="16"/>
          <w:szCs w:val="16"/>
          <w:lang w:val="en-AU"/>
        </w:rPr>
        <w:t xml:space="preserve">This information has been sourced from </w:t>
      </w:r>
      <w:hyperlink r:id="rId26" w:tooltip="Link to Horizon Europe program implementation documenation" w:history="1">
        <w:r w:rsidRPr="00EA4ED6">
          <w:rPr>
            <w:rStyle w:val="Hyperlink"/>
            <w:sz w:val="16"/>
            <w:szCs w:val="16"/>
          </w:rPr>
          <w:t>www.europarl.europa.eu/doceo/document/TA-8-2019-0396_EN.pdf</w:t>
        </w:r>
      </w:hyperlink>
      <w:r>
        <w:rPr>
          <w:sz w:val="16"/>
          <w:szCs w:val="16"/>
          <w:lang w:val="en-AU"/>
        </w:rPr>
        <w:t xml:space="preserve">. </w:t>
      </w:r>
      <w:r w:rsidRPr="007A6592">
        <w:rPr>
          <w:sz w:val="16"/>
          <w:szCs w:val="16"/>
          <w:lang w:val="en-AU"/>
        </w:rPr>
        <w:t>Note that non</w:t>
      </w:r>
      <w:r>
        <w:rPr>
          <w:sz w:val="16"/>
          <w:szCs w:val="16"/>
          <w:lang w:val="en-AU"/>
        </w:rPr>
        <w:noBreakHyphen/>
      </w:r>
      <w:r w:rsidRPr="007A6592">
        <w:rPr>
          <w:sz w:val="16"/>
          <w:szCs w:val="16"/>
          <w:lang w:val="en-AU"/>
        </w:rPr>
        <w:t>sequential labelling reflects variations introduced as the objectives were refined.</w:t>
      </w:r>
    </w:p>
  </w:footnote>
  <w:footnote w:id="36">
    <w:p w14:paraId="7211D794" w14:textId="02B7340F" w:rsidR="00400295" w:rsidRPr="007A6592" w:rsidRDefault="00400295" w:rsidP="00B72408">
      <w:pPr>
        <w:pStyle w:val="FootnoteText"/>
        <w:rPr>
          <w:sz w:val="16"/>
          <w:szCs w:val="16"/>
          <w:lang w:val="en-AU"/>
        </w:rPr>
      </w:pPr>
      <w:r w:rsidRPr="007A6592">
        <w:rPr>
          <w:rStyle w:val="FootnoteReference"/>
          <w:sz w:val="16"/>
          <w:szCs w:val="16"/>
        </w:rPr>
        <w:footnoteRef/>
      </w:r>
      <w:r w:rsidRPr="007A6592">
        <w:rPr>
          <w:sz w:val="16"/>
          <w:szCs w:val="16"/>
        </w:rPr>
        <w:t xml:space="preserve"> </w:t>
      </w:r>
      <w:r w:rsidRPr="007A6592">
        <w:rPr>
          <w:sz w:val="16"/>
          <w:szCs w:val="16"/>
          <w:lang w:val="en-AU"/>
        </w:rPr>
        <w:t>Paic, A. and C. Viros (2019). Governance of science and technology policies. OECD Science, Technology and Industry Policy Papers, No. 84, OECD Publishing, Paris</w:t>
      </w:r>
      <w:r>
        <w:rPr>
          <w:sz w:val="16"/>
          <w:szCs w:val="16"/>
          <w:lang w:val="en-AU"/>
        </w:rPr>
        <w:t xml:space="preserve">. </w:t>
      </w:r>
      <w:hyperlink r:id="rId27"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37">
    <w:p w14:paraId="5DA36F09" w14:textId="4954D3DA" w:rsidR="00400295" w:rsidRPr="007A6592" w:rsidRDefault="00400295" w:rsidP="00321C2C">
      <w:pPr>
        <w:pStyle w:val="FootnoteText"/>
        <w:rPr>
          <w:sz w:val="16"/>
          <w:szCs w:val="16"/>
          <w:lang w:val="en-AU"/>
        </w:rPr>
      </w:pPr>
      <w:r w:rsidRPr="007A6592">
        <w:rPr>
          <w:rStyle w:val="FootnoteReference"/>
          <w:sz w:val="16"/>
          <w:szCs w:val="16"/>
        </w:rPr>
        <w:footnoteRef/>
      </w:r>
      <w:r w:rsidRPr="007A6592">
        <w:rPr>
          <w:sz w:val="16"/>
          <w:szCs w:val="16"/>
        </w:rPr>
        <w:t xml:space="preserve"> Innovation and Science Australia. (2017). Australia 2030: Prosperity through Innovation. </w:t>
      </w:r>
      <w:hyperlink r:id="rId28" w:tooltip="Link to ISA's Australia 2030: Prosperity through innovation report" w:history="1">
        <w:r w:rsidRPr="00A15D27">
          <w:rPr>
            <w:rStyle w:val="Hyperlink"/>
            <w:sz w:val="16"/>
            <w:szCs w:val="16"/>
          </w:rPr>
          <w:t>www.industry.gov.au/sites/‌g/files/net3906/f/May%202018/document/pdf/australia-2030-prosperity-through-innovation-full-report.pdf</w:t>
        </w:r>
      </w:hyperlink>
      <w:r>
        <w:rPr>
          <w:rStyle w:val="Hyperlink"/>
          <w:sz w:val="16"/>
          <w:szCs w:val="16"/>
        </w:rPr>
        <w:t xml:space="preserve"> </w:t>
      </w:r>
    </w:p>
  </w:footnote>
  <w:footnote w:id="38">
    <w:p w14:paraId="28869722" w14:textId="56503913" w:rsidR="00400295" w:rsidRPr="00EC7AAF" w:rsidRDefault="00400295" w:rsidP="00AF6113">
      <w:pPr>
        <w:pStyle w:val="FootnoteText"/>
        <w:rPr>
          <w:sz w:val="16"/>
          <w:szCs w:val="16"/>
          <w:lang w:val="en-AU"/>
        </w:rPr>
      </w:pPr>
      <w:r w:rsidRPr="007A6592">
        <w:rPr>
          <w:rStyle w:val="FootnoteReference"/>
          <w:sz w:val="16"/>
          <w:szCs w:val="16"/>
        </w:rPr>
        <w:footnoteRef/>
      </w:r>
      <w:r w:rsidRPr="007A6592">
        <w:rPr>
          <w:sz w:val="16"/>
          <w:szCs w:val="16"/>
        </w:rPr>
        <w:t xml:space="preserve"> </w:t>
      </w:r>
      <w:r w:rsidRPr="007A6592">
        <w:rPr>
          <w:sz w:val="16"/>
          <w:szCs w:val="16"/>
          <w:lang w:val="en-AU"/>
        </w:rPr>
        <w:t>Borowiecki &amp; Paunov. (2018). How is research po</w:t>
      </w:r>
      <w:r>
        <w:rPr>
          <w:sz w:val="16"/>
          <w:szCs w:val="16"/>
          <w:lang w:val="en-AU"/>
        </w:rPr>
        <w:t>licy across the OECD organised?</w:t>
      </w:r>
      <w:r w:rsidRPr="007A6592">
        <w:rPr>
          <w:sz w:val="16"/>
          <w:szCs w:val="16"/>
          <w:lang w:val="en-AU"/>
        </w:rPr>
        <w:t xml:space="preserve"> Insights from a new policy database, OECD Science, Technology and Industry Policy Papers, No. 55, OECD Publishing, Paris. </w:t>
      </w:r>
      <w:hyperlink r:id="rId29" w:tooltip="Link to OECD policy paper: How is research policy across the OECD orgainsed?" w:history="1">
        <w:r w:rsidRPr="007A6592">
          <w:rPr>
            <w:rStyle w:val="Hyperlink"/>
            <w:sz w:val="16"/>
            <w:szCs w:val="16"/>
            <w:lang w:val="en-AU"/>
          </w:rPr>
          <w:t>https://doi.org/10.1787/235c9806-en</w:t>
        </w:r>
      </w:hyperlink>
      <w:r>
        <w:rPr>
          <w:rStyle w:val="Hyperlink"/>
          <w:sz w:val="16"/>
          <w:szCs w:val="16"/>
          <w:lang w:val="en-AU"/>
        </w:rPr>
        <w:t xml:space="preserve"> </w:t>
      </w:r>
    </w:p>
  </w:footnote>
  <w:footnote w:id="39">
    <w:p w14:paraId="20BB2F57" w14:textId="5EAA6771" w:rsidR="00400295" w:rsidRPr="007A6592" w:rsidRDefault="00400295">
      <w:pPr>
        <w:pStyle w:val="FootnoteText"/>
        <w:rPr>
          <w:sz w:val="16"/>
          <w:szCs w:val="16"/>
          <w:lang w:val="en-AU"/>
        </w:rPr>
      </w:pPr>
      <w:r w:rsidRPr="007A6592">
        <w:rPr>
          <w:rStyle w:val="FootnoteReference"/>
          <w:sz w:val="16"/>
          <w:szCs w:val="16"/>
        </w:rPr>
        <w:footnoteRef/>
      </w:r>
      <w:r w:rsidRPr="007A6592">
        <w:rPr>
          <w:sz w:val="16"/>
          <w:szCs w:val="16"/>
        </w:rPr>
        <w:t xml:space="preserve"> </w:t>
      </w:r>
      <w:r w:rsidRPr="007A6592">
        <w:rPr>
          <w:sz w:val="16"/>
          <w:szCs w:val="16"/>
          <w:lang w:val="en-AU"/>
        </w:rPr>
        <w:t xml:space="preserve">OECD. (2019). Governance of Science and Technology Policies—Case Studies. OECD Science, Technology and Industry Policy Papers. </w:t>
      </w:r>
      <w:hyperlink r:id="rId30" w:tooltip="Link to OECD report: Governance of Science and Technology Policies" w:history="1">
        <w:r w:rsidRPr="00A15D27">
          <w:rPr>
            <w:rStyle w:val="Hyperlink"/>
            <w:sz w:val="16"/>
            <w:szCs w:val="16"/>
          </w:rPr>
          <w:t>https://community.oecd.org/docs/DOC-161275</w:t>
        </w:r>
      </w:hyperlink>
      <w:r>
        <w:rPr>
          <w:rStyle w:val="Hyperlink"/>
          <w:sz w:val="16"/>
          <w:szCs w:val="16"/>
        </w:rPr>
        <w:t xml:space="preserve"> </w:t>
      </w:r>
    </w:p>
  </w:footnote>
  <w:footnote w:id="40">
    <w:p w14:paraId="17E49E99" w14:textId="5BDF9F7D" w:rsidR="00400295" w:rsidRPr="007A6592" w:rsidRDefault="00400295" w:rsidP="005D6B60">
      <w:pPr>
        <w:pStyle w:val="FootnoteText"/>
        <w:rPr>
          <w:sz w:val="16"/>
          <w:szCs w:val="16"/>
          <w:lang w:val="en-AU"/>
        </w:rPr>
      </w:pPr>
      <w:r w:rsidRPr="007A6592">
        <w:rPr>
          <w:rStyle w:val="FootnoteReference"/>
          <w:sz w:val="16"/>
          <w:szCs w:val="16"/>
        </w:rPr>
        <w:footnoteRef/>
      </w:r>
      <w:r w:rsidRPr="007A6592">
        <w:rPr>
          <w:sz w:val="16"/>
          <w:szCs w:val="16"/>
        </w:rPr>
        <w:t xml:space="preserve"> </w:t>
      </w:r>
      <w:r w:rsidRPr="007A6592">
        <w:rPr>
          <w:sz w:val="16"/>
          <w:szCs w:val="16"/>
          <w:lang w:val="en-AU"/>
        </w:rPr>
        <w:t xml:space="preserve">OECD. (2019). Governance of Science and Technology Policies—Case Studies. OECD Science, Technology and Industry Policy Papers. </w:t>
      </w:r>
      <w:hyperlink r:id="rId31" w:tooltip="Link to OECD report: Governance of Science and Technology Policies" w:history="1">
        <w:r w:rsidRPr="00A15D27">
          <w:rPr>
            <w:rStyle w:val="Hyperlink"/>
            <w:sz w:val="16"/>
            <w:szCs w:val="16"/>
          </w:rPr>
          <w:t>https://community.oecd.org/docs/DOC-161275</w:t>
        </w:r>
      </w:hyperlink>
      <w:r>
        <w:rPr>
          <w:rStyle w:val="Hyperlink"/>
          <w:sz w:val="16"/>
          <w:szCs w:val="16"/>
          <w:lang w:val="en-AU"/>
        </w:rPr>
        <w:t xml:space="preserve"> </w:t>
      </w:r>
    </w:p>
  </w:footnote>
  <w:footnote w:id="41">
    <w:p w14:paraId="259ACD85" w14:textId="056D1558" w:rsidR="00400295" w:rsidRPr="007A6592" w:rsidRDefault="00400295">
      <w:pPr>
        <w:pStyle w:val="FootnoteText"/>
        <w:rPr>
          <w:sz w:val="16"/>
          <w:szCs w:val="16"/>
          <w:lang w:val="en-AU"/>
        </w:rPr>
      </w:pPr>
      <w:r w:rsidRPr="007A6592">
        <w:rPr>
          <w:rStyle w:val="FootnoteReference"/>
          <w:sz w:val="16"/>
          <w:szCs w:val="16"/>
        </w:rPr>
        <w:footnoteRef/>
      </w:r>
      <w:r w:rsidRPr="007A6592">
        <w:rPr>
          <w:sz w:val="16"/>
          <w:szCs w:val="16"/>
        </w:rPr>
        <w:t xml:space="preserve"> </w:t>
      </w:r>
      <w:r w:rsidRPr="007A6592">
        <w:rPr>
          <w:sz w:val="16"/>
          <w:szCs w:val="16"/>
          <w:lang w:val="en-AU"/>
        </w:rPr>
        <w:t xml:space="preserve">Paic, A. and C. Viros (2019). Governance of science and technology policies. OECD Science, Technology and Industry Policy Papers, No. 84, OECD Publishing, Paris. </w:t>
      </w:r>
      <w:hyperlink r:id="rId32"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42">
    <w:p w14:paraId="4E606904" w14:textId="7EDECFE6" w:rsidR="00400295" w:rsidRPr="007A6592" w:rsidRDefault="00400295" w:rsidP="000A5114">
      <w:pPr>
        <w:pStyle w:val="FootnoteText"/>
        <w:rPr>
          <w:sz w:val="16"/>
          <w:szCs w:val="16"/>
          <w:lang w:val="en-AU"/>
        </w:rPr>
      </w:pPr>
      <w:r w:rsidRPr="007A6592">
        <w:rPr>
          <w:rStyle w:val="FootnoteReference"/>
          <w:sz w:val="16"/>
          <w:szCs w:val="16"/>
        </w:rPr>
        <w:footnoteRef/>
      </w:r>
      <w:r w:rsidRPr="007A6592">
        <w:rPr>
          <w:sz w:val="16"/>
          <w:szCs w:val="16"/>
        </w:rPr>
        <w:t xml:space="preserve"> UKRI. (2019). Industrial Strategy Challenge Fund. </w:t>
      </w:r>
      <w:hyperlink r:id="rId33" w:tooltip="Link to UK Research and Innovation: Industry Strategy Challenge Fund page" w:history="1">
        <w:r w:rsidRPr="00104986">
          <w:rPr>
            <w:rStyle w:val="Hyperlink"/>
            <w:sz w:val="16"/>
            <w:szCs w:val="16"/>
          </w:rPr>
          <w:t>www.ukri.org/innovation/industrial-strategy-challenge-fund</w:t>
        </w:r>
      </w:hyperlink>
      <w:r>
        <w:rPr>
          <w:rStyle w:val="Hyperlink"/>
          <w:sz w:val="16"/>
          <w:szCs w:val="16"/>
        </w:rPr>
        <w:t xml:space="preserve"> </w:t>
      </w:r>
    </w:p>
  </w:footnote>
  <w:footnote w:id="43">
    <w:p w14:paraId="63A990DF" w14:textId="7F4BE382" w:rsidR="00400295" w:rsidRPr="007A6592" w:rsidRDefault="00400295" w:rsidP="000A5114">
      <w:pPr>
        <w:pStyle w:val="FootnoteText"/>
        <w:rPr>
          <w:sz w:val="16"/>
          <w:szCs w:val="16"/>
          <w:lang w:val="en-AU"/>
        </w:rPr>
      </w:pPr>
      <w:r w:rsidRPr="007A6592">
        <w:rPr>
          <w:rStyle w:val="FootnoteReference"/>
          <w:sz w:val="16"/>
          <w:szCs w:val="16"/>
        </w:rPr>
        <w:footnoteRef/>
      </w:r>
      <w:r w:rsidRPr="007A6592">
        <w:rPr>
          <w:sz w:val="16"/>
          <w:szCs w:val="16"/>
        </w:rPr>
        <w:t xml:space="preserve"> OECD. (2017). OECD Reviews of Innovation Policy: Norway 2017. OECD Reviews of Innovation Policy, OECD Publishing, Paris. </w:t>
      </w:r>
      <w:hyperlink r:id="rId34" w:tooltip="Link to OECD Review of Innovation Policy: Norway" w:history="1">
        <w:r w:rsidRPr="007A6592">
          <w:rPr>
            <w:rStyle w:val="Hyperlink"/>
            <w:sz w:val="16"/>
            <w:szCs w:val="16"/>
          </w:rPr>
          <w:t>https://doi.org/10.1787/9789264277960-en</w:t>
        </w:r>
      </w:hyperlink>
      <w:r>
        <w:rPr>
          <w:rStyle w:val="Hyperlink"/>
          <w:sz w:val="16"/>
          <w:szCs w:val="16"/>
        </w:rPr>
        <w:t xml:space="preserve"> </w:t>
      </w:r>
    </w:p>
  </w:footnote>
  <w:footnote w:id="44">
    <w:p w14:paraId="779B5426" w14:textId="7E166F56" w:rsidR="00400295" w:rsidRPr="003514DE" w:rsidRDefault="00400295" w:rsidP="00103325">
      <w:pPr>
        <w:pStyle w:val="FootnoteText"/>
        <w:rPr>
          <w:sz w:val="16"/>
          <w:szCs w:val="16"/>
          <w:lang w:val="en-AU"/>
        </w:rPr>
      </w:pPr>
      <w:r w:rsidRPr="00CE433D">
        <w:rPr>
          <w:rStyle w:val="FootnoteReference"/>
          <w:sz w:val="16"/>
          <w:szCs w:val="16"/>
        </w:rPr>
        <w:footnoteRef/>
      </w:r>
      <w:r w:rsidRPr="00CE433D">
        <w:rPr>
          <w:sz w:val="16"/>
          <w:szCs w:val="16"/>
        </w:rPr>
        <w:t xml:space="preserve"> </w:t>
      </w:r>
      <w:r>
        <w:rPr>
          <w:sz w:val="16"/>
          <w:szCs w:val="16"/>
        </w:rPr>
        <w:t xml:space="preserve">Jameson Cell for flotation of minerals and coal. </w:t>
      </w:r>
      <w:hyperlink r:id="rId35" w:history="1">
        <w:r w:rsidRPr="003514DE">
          <w:rPr>
            <w:rStyle w:val="Hyperlink"/>
            <w:sz w:val="16"/>
            <w:szCs w:val="16"/>
          </w:rPr>
          <w:t>www.newcastle.edu.au/research-and-innovation/innovation/archived/‌newcastle-innovation/engagement-with-partners/the-jameson-cell-for-flotation-of-minerals-and-coal</w:t>
        </w:r>
      </w:hyperlink>
      <w:r w:rsidRPr="003A72B1">
        <w:rPr>
          <w:rStyle w:val="Hyperlink"/>
          <w:sz w:val="16"/>
          <w:szCs w:val="16"/>
        </w:rPr>
        <w:t xml:space="preserve"> </w:t>
      </w:r>
    </w:p>
  </w:footnote>
  <w:footnote w:id="45">
    <w:p w14:paraId="1CF83496" w14:textId="61835D27" w:rsidR="00400295" w:rsidRPr="003514DE" w:rsidRDefault="00400295" w:rsidP="00103325">
      <w:pPr>
        <w:pStyle w:val="FootnoteText"/>
        <w:rPr>
          <w:sz w:val="16"/>
          <w:szCs w:val="16"/>
          <w:lang w:val="en-AU"/>
        </w:rPr>
      </w:pPr>
      <w:r w:rsidRPr="003514DE">
        <w:rPr>
          <w:rStyle w:val="FootnoteReference"/>
          <w:sz w:val="16"/>
          <w:szCs w:val="16"/>
        </w:rPr>
        <w:footnoteRef/>
      </w:r>
      <w:r w:rsidRPr="003514DE">
        <w:rPr>
          <w:sz w:val="16"/>
          <w:szCs w:val="16"/>
        </w:rPr>
        <w:t xml:space="preserve"> Sl</w:t>
      </w:r>
      <w:r>
        <w:rPr>
          <w:sz w:val="16"/>
          <w:szCs w:val="16"/>
        </w:rPr>
        <w:t>i</w:t>
      </w:r>
      <w:r w:rsidRPr="003514DE">
        <w:rPr>
          <w:sz w:val="16"/>
          <w:szCs w:val="16"/>
        </w:rPr>
        <w:t xml:space="preserve">ver Solar Cells. </w:t>
      </w:r>
      <w:hyperlink r:id="rId36" w:tooltip="Link to Australian National University: Sliver Solar Cells information " w:history="1">
        <w:r w:rsidRPr="003514DE">
          <w:rPr>
            <w:rStyle w:val="Hyperlink"/>
            <w:sz w:val="16"/>
            <w:szCs w:val="16"/>
          </w:rPr>
          <w:t>http://pv.cecs.anu.edu.au/sliver</w:t>
        </w:r>
      </w:hyperlink>
      <w:r w:rsidRPr="003514DE">
        <w:rPr>
          <w:sz w:val="16"/>
          <w:szCs w:val="16"/>
        </w:rPr>
        <w:t xml:space="preserve"> </w:t>
      </w:r>
    </w:p>
  </w:footnote>
  <w:footnote w:id="46">
    <w:p w14:paraId="79061EDA" w14:textId="4148E02A" w:rsidR="00400295" w:rsidRPr="003514DE" w:rsidRDefault="00400295" w:rsidP="00103325">
      <w:pPr>
        <w:pStyle w:val="FootnoteText"/>
        <w:rPr>
          <w:sz w:val="16"/>
          <w:szCs w:val="16"/>
          <w:lang w:val="en-AU"/>
        </w:rPr>
      </w:pPr>
      <w:r w:rsidRPr="003514DE">
        <w:rPr>
          <w:rStyle w:val="FootnoteReference"/>
          <w:sz w:val="16"/>
          <w:szCs w:val="16"/>
        </w:rPr>
        <w:footnoteRef/>
      </w:r>
      <w:r w:rsidRPr="003514DE">
        <w:rPr>
          <w:sz w:val="16"/>
          <w:szCs w:val="16"/>
        </w:rPr>
        <w:t xml:space="preserve"> Hexima opens glasshouse at La Trobe. </w:t>
      </w:r>
      <w:hyperlink r:id="rId37" w:tooltip="Link to La Trobe University article: Hexima opens glasshouse at La Trobe " w:history="1">
        <w:r w:rsidRPr="005A678A">
          <w:rPr>
            <w:rStyle w:val="Hyperlink"/>
            <w:sz w:val="16"/>
            <w:szCs w:val="16"/>
          </w:rPr>
          <w:t>www.latrobe.edu.au/news/articles/2010/article/hexima-cutting-edge-glasshouse-opens</w:t>
        </w:r>
      </w:hyperlink>
      <w:r w:rsidRPr="003514DE">
        <w:rPr>
          <w:sz w:val="16"/>
          <w:szCs w:val="16"/>
        </w:rPr>
        <w:t xml:space="preserve"> </w:t>
      </w:r>
    </w:p>
  </w:footnote>
  <w:footnote w:id="47">
    <w:p w14:paraId="7ADA9285" w14:textId="1B66E6F4" w:rsidR="00400295" w:rsidRPr="003514DE" w:rsidRDefault="00400295" w:rsidP="00103325">
      <w:pPr>
        <w:pStyle w:val="FootnoteText"/>
        <w:rPr>
          <w:rStyle w:val="Hyperlink"/>
          <w:sz w:val="16"/>
          <w:szCs w:val="16"/>
        </w:rPr>
      </w:pPr>
      <w:r w:rsidRPr="003514DE">
        <w:rPr>
          <w:rStyle w:val="FootnoteReference"/>
          <w:sz w:val="16"/>
          <w:szCs w:val="16"/>
        </w:rPr>
        <w:footnoteRef/>
      </w:r>
      <w:r w:rsidRPr="003514DE">
        <w:rPr>
          <w:sz w:val="16"/>
          <w:szCs w:val="16"/>
        </w:rPr>
        <w:t xml:space="preserve"> Australian Academy of Science. Nobel Australians. </w:t>
      </w:r>
      <w:hyperlink r:id="rId38" w:tooltip="Link to Australian Academy of Science. Nobel Australians. " w:history="1">
        <w:r w:rsidRPr="00E81752">
          <w:rPr>
            <w:rStyle w:val="Hyperlink"/>
            <w:sz w:val="16"/>
            <w:szCs w:val="16"/>
          </w:rPr>
          <w:t>www.science.org.au/education/history-australian-science/nobel-australians</w:t>
        </w:r>
      </w:hyperlink>
    </w:p>
  </w:footnote>
  <w:footnote w:id="48">
    <w:p w14:paraId="2E33E5F0" w14:textId="55E21D6C" w:rsidR="00400295" w:rsidRPr="003514DE" w:rsidRDefault="00400295" w:rsidP="00103325">
      <w:pPr>
        <w:pStyle w:val="FootnoteText"/>
        <w:rPr>
          <w:sz w:val="16"/>
          <w:szCs w:val="16"/>
          <w:lang w:val="en-AU"/>
        </w:rPr>
      </w:pPr>
      <w:r w:rsidRPr="003514DE">
        <w:rPr>
          <w:rStyle w:val="FootnoteReference"/>
          <w:sz w:val="16"/>
          <w:szCs w:val="16"/>
        </w:rPr>
        <w:footnoteRef/>
      </w:r>
      <w:r w:rsidRPr="003514DE">
        <w:rPr>
          <w:sz w:val="16"/>
          <w:szCs w:val="16"/>
        </w:rPr>
        <w:t xml:space="preserve"> Global benchmarking shows innovation &amp; skills power Australian prosperity. </w:t>
      </w:r>
      <w:hyperlink r:id="rId39" w:tooltip="Link to Austrade article: Global benchmarking shows innovation &amp; skills power Australian prosperity" w:history="1">
        <w:r w:rsidRPr="003514DE">
          <w:rPr>
            <w:rStyle w:val="Hyperlink"/>
            <w:sz w:val="16"/>
            <w:szCs w:val="16"/>
            <w:lang w:val="en-AU"/>
          </w:rPr>
          <w:t>www.austrade.‌gov.au/news/economic-analysis/global-benchmarking-shows-innovation-skills-power-australian-prosperity</w:t>
        </w:r>
      </w:hyperlink>
      <w:r w:rsidRPr="003514DE">
        <w:rPr>
          <w:sz w:val="16"/>
          <w:szCs w:val="16"/>
        </w:rPr>
        <w:t xml:space="preserve"> </w:t>
      </w:r>
    </w:p>
  </w:footnote>
  <w:footnote w:id="49">
    <w:p w14:paraId="1808F824" w14:textId="0E4E4FB9" w:rsidR="00400295" w:rsidRPr="003514DE" w:rsidRDefault="00400295" w:rsidP="00103325">
      <w:pPr>
        <w:pStyle w:val="FootnoteText"/>
        <w:rPr>
          <w:sz w:val="16"/>
          <w:szCs w:val="16"/>
          <w:lang w:val="en-AU"/>
        </w:rPr>
      </w:pPr>
      <w:r w:rsidRPr="003514DE">
        <w:rPr>
          <w:rStyle w:val="FootnoteReference"/>
          <w:sz w:val="16"/>
          <w:szCs w:val="16"/>
        </w:rPr>
        <w:footnoteRef/>
      </w:r>
      <w:r w:rsidRPr="003514DE">
        <w:rPr>
          <w:sz w:val="16"/>
          <w:szCs w:val="16"/>
        </w:rPr>
        <w:t xml:space="preserve"> </w:t>
      </w:r>
      <w:r w:rsidRPr="003514DE">
        <w:rPr>
          <w:sz w:val="16"/>
          <w:szCs w:val="16"/>
          <w:lang w:val="en-AU"/>
        </w:rPr>
        <w:t xml:space="preserve">Watt. (2015). Review of research policy and funding arrangements—report. </w:t>
      </w:r>
      <w:hyperlink r:id="rId40" w:tooltip="Link to Watt Review report: Review of research policy and funding arrangements" w:history="1">
        <w:r w:rsidRPr="003514DE">
          <w:rPr>
            <w:rStyle w:val="Hyperlink"/>
            <w:sz w:val="16"/>
            <w:szCs w:val="16"/>
          </w:rPr>
          <w:t>https://docs.education.gov.au/node/38976</w:t>
        </w:r>
      </w:hyperlink>
      <w:r w:rsidRPr="003514DE">
        <w:rPr>
          <w:rStyle w:val="Hyperlink"/>
          <w:sz w:val="16"/>
          <w:szCs w:val="16"/>
        </w:rPr>
        <w:t xml:space="preserve"> </w:t>
      </w:r>
    </w:p>
  </w:footnote>
  <w:footnote w:id="50">
    <w:p w14:paraId="1D4FE70D" w14:textId="6D5513D7" w:rsidR="00400295" w:rsidRPr="003514DE" w:rsidRDefault="00400295" w:rsidP="008A3B3C">
      <w:pPr>
        <w:pStyle w:val="FootnoteText"/>
        <w:rPr>
          <w:sz w:val="16"/>
          <w:szCs w:val="16"/>
          <w:lang w:val="en-AU"/>
        </w:rPr>
      </w:pPr>
      <w:r w:rsidRPr="003514DE">
        <w:rPr>
          <w:rStyle w:val="FootnoteReference"/>
          <w:sz w:val="16"/>
          <w:szCs w:val="16"/>
        </w:rPr>
        <w:footnoteRef/>
      </w:r>
      <w:r w:rsidRPr="003514DE">
        <w:rPr>
          <w:sz w:val="16"/>
          <w:szCs w:val="16"/>
        </w:rPr>
        <w:t xml:space="preserve"> Senate Economic References Committee. (2015). Australia’s innovation system. </w:t>
      </w:r>
      <w:hyperlink r:id="rId41" w:tooltip="Link to the Senate Economics References Committee's 'Australia's Innovation System report'" w:history="1">
        <w:r w:rsidRPr="003514DE">
          <w:rPr>
            <w:rStyle w:val="Hyperlink"/>
            <w:sz w:val="16"/>
            <w:szCs w:val="16"/>
          </w:rPr>
          <w:t>www.aph.gov.au/Parliamentary_Business/Committees/Senate/Economics/Innovation_System/Report</w:t>
        </w:r>
      </w:hyperlink>
      <w:r w:rsidRPr="003A72B1">
        <w:rPr>
          <w:rStyle w:val="Hyperlink"/>
          <w:sz w:val="16"/>
          <w:szCs w:val="16"/>
        </w:rPr>
        <w:t xml:space="preserve"> </w:t>
      </w:r>
    </w:p>
  </w:footnote>
  <w:footnote w:id="51">
    <w:p w14:paraId="3F44174D" w14:textId="16DA7857" w:rsidR="00400295" w:rsidRPr="003514DE" w:rsidRDefault="00400295" w:rsidP="004632CD">
      <w:pPr>
        <w:pStyle w:val="FootnoteText"/>
        <w:rPr>
          <w:sz w:val="16"/>
          <w:szCs w:val="16"/>
        </w:rPr>
      </w:pPr>
      <w:r w:rsidRPr="003514DE">
        <w:rPr>
          <w:rStyle w:val="FootnoteReference"/>
          <w:sz w:val="16"/>
          <w:szCs w:val="16"/>
        </w:rPr>
        <w:footnoteRef/>
      </w:r>
      <w:r w:rsidRPr="003514DE">
        <w:rPr>
          <w:sz w:val="16"/>
          <w:szCs w:val="16"/>
        </w:rPr>
        <w:t xml:space="preserve"> Korea Institute of S&amp;T Evaluation and Planning, Evaluation of national R&amp;D program performance. </w:t>
      </w:r>
      <w:hyperlink r:id="rId42" w:tooltip="Link to: Korea Institute of S&amp;T Evaluation and Planning, Evaluation of national R&amp;D program performance " w:history="1">
        <w:r w:rsidRPr="003514DE">
          <w:rPr>
            <w:rStyle w:val="Hyperlink"/>
            <w:sz w:val="16"/>
            <w:szCs w:val="16"/>
          </w:rPr>
          <w:t>www.kistep.re.kr/en/c2/sub1_4.jsp</w:t>
        </w:r>
      </w:hyperlink>
      <w:r w:rsidRPr="003514DE">
        <w:rPr>
          <w:sz w:val="16"/>
          <w:szCs w:val="16"/>
        </w:rPr>
        <w:t xml:space="preserve"> </w:t>
      </w:r>
    </w:p>
  </w:footnote>
  <w:footnote w:id="52">
    <w:p w14:paraId="4075C510" w14:textId="2826E548" w:rsidR="00400295" w:rsidRPr="003514DE" w:rsidRDefault="00400295">
      <w:pPr>
        <w:pStyle w:val="FootnoteText"/>
        <w:rPr>
          <w:sz w:val="16"/>
          <w:szCs w:val="16"/>
          <w:lang w:val="en-AU"/>
        </w:rPr>
      </w:pPr>
      <w:r w:rsidRPr="003514DE">
        <w:rPr>
          <w:rStyle w:val="FootnoteReference"/>
          <w:sz w:val="16"/>
          <w:szCs w:val="16"/>
        </w:rPr>
        <w:footnoteRef/>
      </w:r>
      <w:r w:rsidRPr="003514DE">
        <w:rPr>
          <w:sz w:val="16"/>
          <w:szCs w:val="16"/>
        </w:rPr>
        <w:t xml:space="preserve"> Government of Canada. (2020). Policy on Results. </w:t>
      </w:r>
      <w:hyperlink r:id="rId43" w:tooltip="Link to Government of Canada's Policy on Results website" w:history="1">
        <w:r w:rsidRPr="003514DE">
          <w:rPr>
            <w:rStyle w:val="Hyperlink"/>
            <w:sz w:val="16"/>
            <w:szCs w:val="16"/>
          </w:rPr>
          <w:t>www.tbs-sct.gc.ca/pol/doc-eng.aspx?id=31300</w:t>
        </w:r>
      </w:hyperlink>
      <w:r w:rsidRPr="003514DE">
        <w:rPr>
          <w:rStyle w:val="Hyperlink"/>
          <w:sz w:val="16"/>
          <w:szCs w:val="16"/>
        </w:rPr>
        <w:t xml:space="preserve"> </w:t>
      </w:r>
      <w:r w:rsidRPr="003514DE">
        <w:rPr>
          <w:sz w:val="16"/>
          <w:szCs w:val="16"/>
        </w:rPr>
        <w:t xml:space="preserve">and Government of Canada. (2010). About the Centre of Excellence for Evaluation (archived). </w:t>
      </w:r>
      <w:hyperlink r:id="rId44" w:tooltip="Link to Canadian Centre of Excellence for Evaluation website" w:history="1">
        <w:r w:rsidRPr="003514DE">
          <w:rPr>
            <w:rStyle w:val="Hyperlink"/>
            <w:sz w:val="16"/>
            <w:szCs w:val="16"/>
          </w:rPr>
          <w:t>www.canada.ca/en/treasury-board-secretariat/services/audit-evaluation/centre-excellence-evaluation/about-centre-excellence-evaluation.html</w:t>
        </w:r>
      </w:hyperlink>
      <w:r w:rsidRPr="003514DE">
        <w:rPr>
          <w:rStyle w:val="Hyperlink"/>
          <w:sz w:val="16"/>
          <w:szCs w:val="16"/>
        </w:rPr>
        <w:t xml:space="preserve"> </w:t>
      </w:r>
    </w:p>
  </w:footnote>
  <w:footnote w:id="53">
    <w:p w14:paraId="600406BF" w14:textId="58C4BA42" w:rsidR="00400295" w:rsidRPr="000041E9" w:rsidRDefault="00400295" w:rsidP="00D4395B">
      <w:pPr>
        <w:spacing w:after="0" w:line="240" w:lineRule="auto"/>
        <w:rPr>
          <w:sz w:val="16"/>
          <w:szCs w:val="16"/>
          <w:lang w:val="en-AU"/>
        </w:rPr>
      </w:pPr>
      <w:r w:rsidRPr="000041E9">
        <w:rPr>
          <w:rStyle w:val="FootnoteReference"/>
          <w:sz w:val="16"/>
          <w:szCs w:val="16"/>
        </w:rPr>
        <w:footnoteRef/>
      </w:r>
      <w:r w:rsidRPr="000041E9">
        <w:rPr>
          <w:sz w:val="16"/>
          <w:szCs w:val="16"/>
        </w:rPr>
        <w:t xml:space="preserve"> </w:t>
      </w:r>
      <w:r w:rsidRPr="003A2305">
        <w:rPr>
          <w:sz w:val="16"/>
          <w:szCs w:val="16"/>
        </w:rPr>
        <w:t>NSW Treasury</w:t>
      </w:r>
      <w:r>
        <w:rPr>
          <w:sz w:val="16"/>
          <w:szCs w:val="16"/>
        </w:rPr>
        <w:t>. Outcome</w:t>
      </w:r>
      <w:r w:rsidRPr="003A2305">
        <w:rPr>
          <w:sz w:val="16"/>
          <w:szCs w:val="16"/>
        </w:rPr>
        <w:t xml:space="preserve"> Budgeting</w:t>
      </w:r>
      <w:r>
        <w:rPr>
          <w:sz w:val="16"/>
          <w:szCs w:val="16"/>
        </w:rPr>
        <w:t xml:space="preserve">. </w:t>
      </w:r>
      <w:hyperlink r:id="rId45" w:tooltip="Link to NSW Treasury Outome Budgeting website" w:history="1">
        <w:r w:rsidRPr="00A15D27">
          <w:rPr>
            <w:rStyle w:val="Hyperlink"/>
            <w:sz w:val="16"/>
            <w:szCs w:val="16"/>
          </w:rPr>
          <w:t>www.treasury.nsw.gov.au/budget-financial-management/reform/outcome-budgeting</w:t>
        </w:r>
      </w:hyperlink>
      <w:r>
        <w:rPr>
          <w:rStyle w:val="Hyperlink"/>
          <w:sz w:val="16"/>
          <w:szCs w:val="16"/>
        </w:rPr>
        <w:t xml:space="preserve"> </w:t>
      </w:r>
    </w:p>
  </w:footnote>
  <w:footnote w:id="54">
    <w:p w14:paraId="1583B9D0" w14:textId="4E8EBAA7" w:rsidR="00400295" w:rsidRPr="000041E9" w:rsidRDefault="00400295" w:rsidP="00D4395B">
      <w:pPr>
        <w:spacing w:after="0" w:line="240" w:lineRule="auto"/>
        <w:rPr>
          <w:sz w:val="16"/>
          <w:szCs w:val="16"/>
          <w:lang w:val="en-AU"/>
        </w:rPr>
      </w:pPr>
      <w:r w:rsidRPr="000041E9">
        <w:rPr>
          <w:rStyle w:val="FootnoteReference"/>
          <w:sz w:val="16"/>
          <w:szCs w:val="16"/>
        </w:rPr>
        <w:footnoteRef/>
      </w:r>
      <w:r w:rsidRPr="000041E9">
        <w:rPr>
          <w:sz w:val="16"/>
          <w:szCs w:val="16"/>
        </w:rPr>
        <w:t xml:space="preserve"> </w:t>
      </w:r>
      <w:r w:rsidRPr="003A2305">
        <w:rPr>
          <w:sz w:val="16"/>
          <w:szCs w:val="16"/>
        </w:rPr>
        <w:t>Shannon Jenkins (</w:t>
      </w:r>
      <w:r>
        <w:rPr>
          <w:sz w:val="16"/>
          <w:szCs w:val="16"/>
        </w:rPr>
        <w:t>2020</w:t>
      </w:r>
      <w:r w:rsidRPr="003A2305">
        <w:rPr>
          <w:sz w:val="16"/>
          <w:szCs w:val="16"/>
        </w:rPr>
        <w:t>), the Mandarin, Outcome budgeting calls for cultural and behavioural shift, NSW Treasury says</w:t>
      </w:r>
      <w:r>
        <w:rPr>
          <w:sz w:val="16"/>
          <w:szCs w:val="16"/>
        </w:rPr>
        <w:t xml:space="preserve">. </w:t>
      </w:r>
      <w:hyperlink r:id="rId46" w:history="1">
        <w:r w:rsidRPr="00EA4ED6">
          <w:rPr>
            <w:rStyle w:val="Hyperlink"/>
            <w:sz w:val="16"/>
            <w:szCs w:val="16"/>
          </w:rPr>
          <w:t>www.themandarin.com.au/127142-outcome-budgeting-calls-for-cultural-and-behavioural-shift-nsw-treasury-says/?utm_source=TheJuice&amp;utm_medium=email&amp;utm_source=newsletter&amp;utm_type=mandarin</w:t>
        </w:r>
      </w:hyperlink>
      <w:r w:rsidRPr="000041E9">
        <w:rPr>
          <w:sz w:val="16"/>
          <w:szCs w:val="16"/>
          <w:lang w:val="en-AU"/>
        </w:rPr>
        <w:t xml:space="preserve"> </w:t>
      </w:r>
    </w:p>
  </w:footnote>
  <w:footnote w:id="55">
    <w:p w14:paraId="3ADA1C07" w14:textId="1F5941CF" w:rsidR="00400295" w:rsidRPr="002B55B9" w:rsidRDefault="00400295" w:rsidP="0015345B">
      <w:pPr>
        <w:pStyle w:val="FootnoteText"/>
        <w:rPr>
          <w:sz w:val="16"/>
          <w:szCs w:val="16"/>
          <w:lang w:val="en-AU"/>
        </w:rPr>
      </w:pPr>
      <w:r w:rsidRPr="002B55B9">
        <w:rPr>
          <w:rStyle w:val="FootnoteReference"/>
          <w:sz w:val="16"/>
          <w:szCs w:val="16"/>
        </w:rPr>
        <w:footnoteRef/>
      </w:r>
      <w:r w:rsidRPr="002B55B9">
        <w:rPr>
          <w:sz w:val="16"/>
          <w:szCs w:val="16"/>
        </w:rPr>
        <w:t xml:space="preserve"> </w:t>
      </w:r>
      <w:r w:rsidRPr="002B55B9">
        <w:rPr>
          <w:sz w:val="16"/>
          <w:szCs w:val="16"/>
          <w:lang w:val="en-AU"/>
        </w:rPr>
        <w:t xml:space="preserve">OECD. (2015). The Innovation Imperative: Contributing to Productivity, Growth and well-being. </w:t>
      </w:r>
      <w:hyperlink r:id="rId47" w:tooltip="link to the OECD The innovation imperative report" w:history="1">
        <w:r w:rsidRPr="00A15D27">
          <w:rPr>
            <w:rStyle w:val="Hyperlink"/>
            <w:sz w:val="16"/>
            <w:szCs w:val="16"/>
          </w:rPr>
          <w:t>www.oecd.org/publications/the-innovation-imperative-9789264239814-en.htm</w:t>
        </w:r>
      </w:hyperlink>
      <w:r>
        <w:rPr>
          <w:rStyle w:val="Hyperlink"/>
          <w:sz w:val="16"/>
          <w:szCs w:val="16"/>
        </w:rPr>
        <w:t xml:space="preserve"> </w:t>
      </w:r>
    </w:p>
  </w:footnote>
  <w:footnote w:id="56">
    <w:p w14:paraId="5C71F934" w14:textId="1186E942" w:rsidR="00400295" w:rsidRPr="002B55B9" w:rsidRDefault="00400295" w:rsidP="0015345B">
      <w:pPr>
        <w:pStyle w:val="FootnoteText"/>
        <w:rPr>
          <w:sz w:val="16"/>
          <w:szCs w:val="16"/>
        </w:rPr>
      </w:pPr>
      <w:r w:rsidRPr="002B55B9">
        <w:rPr>
          <w:rStyle w:val="FootnoteReference"/>
          <w:sz w:val="16"/>
          <w:szCs w:val="16"/>
        </w:rPr>
        <w:footnoteRef/>
      </w:r>
      <w:r w:rsidRPr="002B55B9">
        <w:rPr>
          <w:sz w:val="16"/>
          <w:szCs w:val="16"/>
        </w:rPr>
        <w:t xml:space="preserve"> Philip Hines. (2017). Science Business, Why fund research? A guide to why EU-funded research and innovation matter. </w:t>
      </w:r>
      <w:hyperlink r:id="rId48" w:tooltip="Link to Science Business Report: Why fund research? A guide to why EU-funded research and innovation matter " w:history="1">
        <w:r w:rsidRPr="002B55B9">
          <w:rPr>
            <w:rStyle w:val="Hyperlink"/>
            <w:sz w:val="16"/>
            <w:szCs w:val="16"/>
          </w:rPr>
          <w:t>https://sciencebusiness.net/system/files/reports/Why-fund-research_.pdf</w:t>
        </w:r>
      </w:hyperlink>
      <w:r>
        <w:rPr>
          <w:rStyle w:val="Hyperlink"/>
          <w:sz w:val="16"/>
          <w:szCs w:val="16"/>
        </w:rPr>
        <w:t xml:space="preserve"> </w:t>
      </w:r>
    </w:p>
  </w:footnote>
  <w:footnote w:id="57">
    <w:p w14:paraId="1B7236BB" w14:textId="3D12327C" w:rsidR="00400295" w:rsidRPr="002B55B9" w:rsidRDefault="00400295" w:rsidP="0015345B">
      <w:pPr>
        <w:pStyle w:val="FootnoteText"/>
        <w:rPr>
          <w:sz w:val="16"/>
          <w:szCs w:val="16"/>
          <w:lang w:val="en-AU"/>
        </w:rPr>
      </w:pPr>
      <w:r w:rsidRPr="002B55B9">
        <w:rPr>
          <w:rStyle w:val="FootnoteReference"/>
          <w:sz w:val="16"/>
          <w:szCs w:val="16"/>
        </w:rPr>
        <w:footnoteRef/>
      </w:r>
      <w:r w:rsidRPr="002B55B9">
        <w:rPr>
          <w:sz w:val="16"/>
          <w:szCs w:val="16"/>
        </w:rPr>
        <w:t xml:space="preserve"> Nesta. (2019). Fuelling the future of UK innovation. </w:t>
      </w:r>
      <w:hyperlink r:id="rId49" w:history="1">
        <w:r w:rsidRPr="007E5CCA">
          <w:rPr>
            <w:rStyle w:val="Hyperlink"/>
            <w:sz w:val="16"/>
            <w:szCs w:val="16"/>
          </w:rPr>
          <w:t>www.nesta.org.uk/blog/fuelling-future-uk-</w:t>
        </w:r>
        <w:r w:rsidRPr="00D90026">
          <w:rPr>
            <w:rStyle w:val="Hyperlink"/>
            <w:sz w:val="16"/>
            <w:szCs w:val="16"/>
          </w:rPr>
          <w:t>innovation/?utm_source=Nesta+Weekly+Newsletter&amp;utm_campaign=668072b0f0-EMAIL_CAMPAIGN_2019_09_24_07_58&amp;utm_medium=email&amp;utm_term=0_d17364114d-668072b0f0-181938045</w:t>
        </w:r>
      </w:hyperlink>
    </w:p>
  </w:footnote>
  <w:footnote w:id="58">
    <w:p w14:paraId="27428EB3" w14:textId="57367FC5" w:rsidR="00400295" w:rsidRPr="00AD1FB5" w:rsidRDefault="00400295" w:rsidP="00006259">
      <w:pPr>
        <w:pStyle w:val="FootnoteText"/>
        <w:rPr>
          <w:sz w:val="16"/>
          <w:szCs w:val="16"/>
          <w:lang w:val="en-AU"/>
        </w:rPr>
      </w:pPr>
      <w:r w:rsidRPr="00AD1FB5">
        <w:rPr>
          <w:rStyle w:val="FootnoteReference"/>
          <w:sz w:val="16"/>
          <w:szCs w:val="16"/>
        </w:rPr>
        <w:footnoteRef/>
      </w:r>
      <w:r w:rsidRPr="00AD1FB5">
        <w:rPr>
          <w:sz w:val="16"/>
          <w:szCs w:val="16"/>
        </w:rPr>
        <w:t xml:space="preserve"> Senate Economic References Committee. (2015). Australia’s innovation system. </w:t>
      </w:r>
      <w:hyperlink r:id="rId50" w:tooltip="Link to the Senate Economics References Committee's 'Australia's Innovation System report'" w:history="1">
        <w:r w:rsidRPr="00A15D27">
          <w:rPr>
            <w:rStyle w:val="Hyperlink"/>
            <w:sz w:val="16"/>
            <w:szCs w:val="16"/>
          </w:rPr>
          <w:t>www.aph.gov.au/Parliamentary_Business/Committees/Senate/Economics/Innovation_System/Report</w:t>
        </w:r>
      </w:hyperlink>
      <w:r>
        <w:rPr>
          <w:rStyle w:val="Hyperlink"/>
          <w:sz w:val="16"/>
          <w:szCs w:val="16"/>
        </w:rPr>
        <w:t xml:space="preserve"> </w:t>
      </w:r>
    </w:p>
  </w:footnote>
  <w:footnote w:id="59">
    <w:p w14:paraId="3F6943B1" w14:textId="38E5AFF0" w:rsidR="00400295" w:rsidRPr="00DB7D84" w:rsidRDefault="00400295" w:rsidP="00006259">
      <w:pPr>
        <w:pStyle w:val="FootnoteText"/>
        <w:rPr>
          <w:sz w:val="16"/>
          <w:szCs w:val="16"/>
          <w:lang w:val="en-AU"/>
        </w:rPr>
      </w:pPr>
      <w:r w:rsidRPr="00DB7D84">
        <w:rPr>
          <w:rStyle w:val="FootnoteReference"/>
          <w:sz w:val="16"/>
          <w:szCs w:val="16"/>
        </w:rPr>
        <w:footnoteRef/>
      </w:r>
      <w:r w:rsidRPr="00DB7D84">
        <w:rPr>
          <w:sz w:val="16"/>
          <w:szCs w:val="16"/>
        </w:rPr>
        <w:t xml:space="preserve"> </w:t>
      </w:r>
      <w:r>
        <w:rPr>
          <w:sz w:val="16"/>
          <w:szCs w:val="16"/>
        </w:rPr>
        <w:t>Australian Government</w:t>
      </w:r>
      <w:r w:rsidRPr="00DB7D84">
        <w:rPr>
          <w:sz w:val="16"/>
          <w:szCs w:val="16"/>
        </w:rPr>
        <w:t>. (2017). Australia’s National Science Statement.</w:t>
      </w:r>
      <w:r>
        <w:rPr>
          <w:sz w:val="16"/>
          <w:szCs w:val="16"/>
        </w:rPr>
        <w:t xml:space="preserve"> </w:t>
      </w:r>
      <w:hyperlink r:id="rId51" w:tooltip="Link to Australia's National Science Statement" w:history="1">
        <w:r w:rsidRPr="00A15D27">
          <w:rPr>
            <w:rStyle w:val="Hyperlink"/>
            <w:sz w:val="16"/>
            <w:szCs w:val="16"/>
          </w:rPr>
          <w:t>https://publications.industry.gov.au/publications/nationalsciencestatement/index.html</w:t>
        </w:r>
      </w:hyperlink>
      <w:r>
        <w:rPr>
          <w:rStyle w:val="Hyperlink"/>
          <w:sz w:val="16"/>
          <w:szCs w:val="16"/>
        </w:rPr>
        <w:t xml:space="preserve"> </w:t>
      </w:r>
    </w:p>
  </w:footnote>
  <w:footnote w:id="60">
    <w:p w14:paraId="2593F7D8" w14:textId="69A86446" w:rsidR="00400295" w:rsidRPr="006D46F7" w:rsidRDefault="00400295">
      <w:pPr>
        <w:pStyle w:val="FootnoteText"/>
        <w:rPr>
          <w:sz w:val="16"/>
          <w:szCs w:val="16"/>
          <w:lang w:val="en-AU"/>
        </w:rPr>
      </w:pPr>
      <w:r w:rsidRPr="006D46F7">
        <w:rPr>
          <w:rStyle w:val="FootnoteReference"/>
          <w:sz w:val="16"/>
          <w:szCs w:val="16"/>
        </w:rPr>
        <w:footnoteRef/>
      </w:r>
      <w:r w:rsidRPr="006D46F7">
        <w:rPr>
          <w:sz w:val="16"/>
          <w:szCs w:val="16"/>
        </w:rPr>
        <w:t xml:space="preserve"> </w:t>
      </w:r>
      <w:r w:rsidRPr="006D46F7">
        <w:rPr>
          <w:sz w:val="16"/>
          <w:szCs w:val="16"/>
          <w:lang w:val="en-AU"/>
        </w:rPr>
        <w:t xml:space="preserve">Paic, </w:t>
      </w:r>
      <w:r w:rsidRPr="00C059E4">
        <w:rPr>
          <w:sz w:val="16"/>
          <w:szCs w:val="16"/>
          <w:lang w:val="en-AU"/>
        </w:rPr>
        <w:t>A. and C.</w:t>
      </w:r>
      <w:r w:rsidRPr="006D46F7">
        <w:rPr>
          <w:sz w:val="16"/>
          <w:szCs w:val="16"/>
          <w:lang w:val="en-AU"/>
        </w:rPr>
        <w:t xml:space="preserve"> Viros (2019). Governance of science and technology policies. OECD Science, Technology and Industry Policy Papers, No. 84, OECD Publishing, Paris.</w:t>
      </w:r>
      <w:r>
        <w:rPr>
          <w:sz w:val="16"/>
          <w:szCs w:val="16"/>
        </w:rPr>
        <w:t xml:space="preserve"> </w:t>
      </w:r>
      <w:hyperlink r:id="rId52"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61">
    <w:p w14:paraId="777D9D19" w14:textId="04BADE59" w:rsidR="00400295" w:rsidRPr="00081941" w:rsidRDefault="00400295" w:rsidP="001B0F69">
      <w:pPr>
        <w:pStyle w:val="FootnoteText"/>
        <w:rPr>
          <w:sz w:val="16"/>
          <w:szCs w:val="16"/>
          <w:lang w:val="en-AU"/>
        </w:rPr>
      </w:pPr>
      <w:r w:rsidRPr="00081941">
        <w:rPr>
          <w:rStyle w:val="FootnoteReference"/>
          <w:sz w:val="16"/>
          <w:szCs w:val="16"/>
        </w:rPr>
        <w:footnoteRef/>
      </w:r>
      <w:r w:rsidRPr="00081941">
        <w:rPr>
          <w:sz w:val="16"/>
          <w:szCs w:val="16"/>
        </w:rPr>
        <w:t xml:space="preserve"> </w:t>
      </w:r>
      <w:r w:rsidRPr="00C059E4">
        <w:rPr>
          <w:sz w:val="16"/>
          <w:szCs w:val="16"/>
          <w:lang w:val="en-AU"/>
        </w:rPr>
        <w:t>Paic, A. and C. Viros (2019)</w:t>
      </w:r>
      <w:r>
        <w:rPr>
          <w:sz w:val="16"/>
          <w:szCs w:val="16"/>
          <w:lang w:val="en-AU"/>
        </w:rPr>
        <w:t>.</w:t>
      </w:r>
      <w:r w:rsidRPr="00C059E4">
        <w:rPr>
          <w:sz w:val="16"/>
          <w:szCs w:val="16"/>
          <w:lang w:val="en-AU"/>
        </w:rPr>
        <w:t xml:space="preserve"> Governance of </w:t>
      </w:r>
      <w:r>
        <w:rPr>
          <w:sz w:val="16"/>
          <w:szCs w:val="16"/>
          <w:lang w:val="en-AU"/>
        </w:rPr>
        <w:t>science and technology policies.</w:t>
      </w:r>
      <w:r w:rsidRPr="00C059E4">
        <w:rPr>
          <w:sz w:val="16"/>
          <w:szCs w:val="16"/>
          <w:lang w:val="en-AU"/>
        </w:rPr>
        <w:t xml:space="preserve"> OECD Science, Technology and Industry Policy Papers, No. 84, OECD Publishing, Paris</w:t>
      </w:r>
      <w:r>
        <w:rPr>
          <w:sz w:val="16"/>
          <w:szCs w:val="16"/>
          <w:lang w:val="en-AU"/>
        </w:rPr>
        <w:t xml:space="preserve">. </w:t>
      </w:r>
      <w:hyperlink r:id="rId53"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62">
    <w:p w14:paraId="7F66F826" w14:textId="71262837" w:rsidR="00400295" w:rsidRPr="00BD393F" w:rsidRDefault="00400295" w:rsidP="001B0F69">
      <w:pPr>
        <w:pStyle w:val="FootnoteText"/>
        <w:rPr>
          <w:sz w:val="16"/>
          <w:szCs w:val="16"/>
          <w:lang w:val="en-AU"/>
        </w:rPr>
      </w:pPr>
      <w:r w:rsidRPr="00BD393F">
        <w:rPr>
          <w:rStyle w:val="FootnoteReference"/>
          <w:sz w:val="16"/>
          <w:szCs w:val="16"/>
        </w:rPr>
        <w:footnoteRef/>
      </w:r>
      <w:r w:rsidRPr="00BD393F">
        <w:rPr>
          <w:sz w:val="16"/>
          <w:szCs w:val="16"/>
        </w:rPr>
        <w:t xml:space="preserve"> </w:t>
      </w:r>
      <w:r w:rsidRPr="00C059E4">
        <w:rPr>
          <w:sz w:val="16"/>
          <w:szCs w:val="16"/>
          <w:lang w:val="en-AU"/>
        </w:rPr>
        <w:t>Paic, A. and C. Viros (2019)</w:t>
      </w:r>
      <w:r>
        <w:rPr>
          <w:sz w:val="16"/>
          <w:szCs w:val="16"/>
          <w:lang w:val="en-AU"/>
        </w:rPr>
        <w:t>.</w:t>
      </w:r>
      <w:r w:rsidRPr="00C059E4">
        <w:rPr>
          <w:sz w:val="16"/>
          <w:szCs w:val="16"/>
          <w:lang w:val="en-AU"/>
        </w:rPr>
        <w:t xml:space="preserve"> Governance of </w:t>
      </w:r>
      <w:r>
        <w:rPr>
          <w:sz w:val="16"/>
          <w:szCs w:val="16"/>
          <w:lang w:val="en-AU"/>
        </w:rPr>
        <w:t>science and technology policies.</w:t>
      </w:r>
      <w:r w:rsidRPr="00C059E4">
        <w:rPr>
          <w:sz w:val="16"/>
          <w:szCs w:val="16"/>
          <w:lang w:val="en-AU"/>
        </w:rPr>
        <w:t xml:space="preserve"> OECD Science, Technology and Industry Policy Papers, No. 84, OECD Publishing, Paris</w:t>
      </w:r>
      <w:r>
        <w:rPr>
          <w:sz w:val="16"/>
          <w:szCs w:val="16"/>
          <w:lang w:val="en-AU"/>
        </w:rPr>
        <w:t xml:space="preserve">. </w:t>
      </w:r>
      <w:hyperlink r:id="rId54"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63">
    <w:p w14:paraId="265EE8D3" w14:textId="70B6CAB0" w:rsidR="00400295" w:rsidRPr="00AD1FB5" w:rsidRDefault="00400295" w:rsidP="007064B6">
      <w:pPr>
        <w:pStyle w:val="FootnoteText"/>
        <w:rPr>
          <w:sz w:val="16"/>
          <w:szCs w:val="16"/>
          <w:lang w:val="en-AU"/>
        </w:rPr>
      </w:pPr>
      <w:r w:rsidRPr="00AD1FB5">
        <w:rPr>
          <w:rStyle w:val="FootnoteReference"/>
          <w:sz w:val="16"/>
          <w:szCs w:val="16"/>
        </w:rPr>
        <w:footnoteRef/>
      </w:r>
      <w:r w:rsidRPr="00AD1FB5">
        <w:rPr>
          <w:sz w:val="16"/>
          <w:szCs w:val="16"/>
        </w:rPr>
        <w:t xml:space="preserve"> Nurse. (2014). Ensuring a successful research endeavour: review of the UK research councils: A Review of the UK Research Councils. </w:t>
      </w:r>
      <w:hyperlink r:id="rId55" w:tooltip="Link to Nurse Review of UK research councils" w:history="1">
        <w:r w:rsidRPr="00104986">
          <w:rPr>
            <w:rStyle w:val="Hyperlink"/>
            <w:sz w:val="16"/>
            <w:szCs w:val="16"/>
          </w:rPr>
          <w:t>www.gov.uk/government/‌collections/nurse-review-of-research-councils</w:t>
        </w:r>
      </w:hyperlink>
      <w:r>
        <w:rPr>
          <w:rStyle w:val="Hyperlink"/>
          <w:sz w:val="16"/>
          <w:szCs w:val="16"/>
        </w:rPr>
        <w:t xml:space="preserve"> </w:t>
      </w:r>
    </w:p>
  </w:footnote>
  <w:footnote w:id="64">
    <w:p w14:paraId="23BB032A" w14:textId="76867095" w:rsidR="00400295" w:rsidRPr="00542E12" w:rsidRDefault="00400295">
      <w:pPr>
        <w:pStyle w:val="FootnoteText"/>
        <w:rPr>
          <w:sz w:val="16"/>
          <w:szCs w:val="16"/>
          <w:lang w:val="en-AU"/>
        </w:rPr>
      </w:pPr>
      <w:r w:rsidRPr="00542E12">
        <w:rPr>
          <w:rStyle w:val="FootnoteReference"/>
          <w:sz w:val="16"/>
          <w:szCs w:val="16"/>
        </w:rPr>
        <w:footnoteRef/>
      </w:r>
      <w:r w:rsidRPr="00542E12">
        <w:rPr>
          <w:sz w:val="16"/>
          <w:szCs w:val="16"/>
        </w:rPr>
        <w:t xml:space="preserve"> </w:t>
      </w:r>
      <w:r w:rsidRPr="00542E12">
        <w:rPr>
          <w:sz w:val="16"/>
          <w:szCs w:val="16"/>
          <w:lang w:val="en-AU"/>
        </w:rPr>
        <w:t xml:space="preserve">Paic, </w:t>
      </w:r>
      <w:r w:rsidRPr="00C059E4">
        <w:rPr>
          <w:sz w:val="16"/>
          <w:szCs w:val="16"/>
          <w:lang w:val="en-AU"/>
        </w:rPr>
        <w:t>A. and C.</w:t>
      </w:r>
      <w:r w:rsidRPr="00542E12">
        <w:rPr>
          <w:sz w:val="16"/>
          <w:szCs w:val="16"/>
          <w:lang w:val="en-AU"/>
        </w:rPr>
        <w:t xml:space="preserve"> Viros (2019). Governance of science and technology policies. OECD Science, Technology and Industry Policy Papers, No. 84, OECD Publishing, Paris. </w:t>
      </w:r>
      <w:hyperlink r:id="rId56"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65">
    <w:p w14:paraId="40103A30" w14:textId="1E99F7AC" w:rsidR="00400295" w:rsidRPr="003B151F" w:rsidRDefault="00400295" w:rsidP="00DB75C3">
      <w:pPr>
        <w:pStyle w:val="FootnoteText"/>
        <w:rPr>
          <w:sz w:val="16"/>
          <w:szCs w:val="16"/>
          <w:lang w:val="en-AU"/>
        </w:rPr>
      </w:pPr>
      <w:r w:rsidRPr="00572491">
        <w:rPr>
          <w:rStyle w:val="FootnoteReference"/>
          <w:sz w:val="16"/>
          <w:szCs w:val="16"/>
        </w:rPr>
        <w:footnoteRef/>
      </w:r>
      <w:r w:rsidRPr="00572491">
        <w:rPr>
          <w:sz w:val="16"/>
          <w:szCs w:val="16"/>
        </w:rPr>
        <w:t xml:space="preserve"> OECD. (2017). OECD </w:t>
      </w:r>
      <w:r w:rsidRPr="003B151F">
        <w:rPr>
          <w:sz w:val="16"/>
          <w:szCs w:val="16"/>
        </w:rPr>
        <w:t xml:space="preserve">Economic Surveys: Australia 2017. OECD Publishing, Paris. </w:t>
      </w:r>
      <w:hyperlink r:id="rId57" w:tooltip="Link to OECD Economic Survey 2017" w:history="1">
        <w:r w:rsidRPr="003B151F">
          <w:rPr>
            <w:rStyle w:val="Hyperlink"/>
            <w:sz w:val="16"/>
            <w:szCs w:val="16"/>
          </w:rPr>
          <w:t>www.oecd-ilibrary.org/economics/oecd-economic-surveys-australia-2017_eco_surveys-aus-2017-en</w:t>
        </w:r>
      </w:hyperlink>
      <w:r w:rsidRPr="003B151F">
        <w:rPr>
          <w:rStyle w:val="Hyperlink"/>
          <w:sz w:val="16"/>
          <w:szCs w:val="16"/>
        </w:rPr>
        <w:t xml:space="preserve"> </w:t>
      </w:r>
    </w:p>
  </w:footnote>
  <w:footnote w:id="66">
    <w:p w14:paraId="49951303" w14:textId="13BF388F" w:rsidR="00400295" w:rsidRPr="003B151F" w:rsidRDefault="00400295" w:rsidP="00DB75C3">
      <w:pPr>
        <w:pStyle w:val="FootnoteText"/>
        <w:rPr>
          <w:sz w:val="16"/>
          <w:szCs w:val="16"/>
          <w:lang w:val="en-AU"/>
        </w:rPr>
      </w:pPr>
      <w:r w:rsidRPr="003B151F">
        <w:rPr>
          <w:rStyle w:val="FootnoteReference"/>
          <w:sz w:val="16"/>
          <w:szCs w:val="16"/>
        </w:rPr>
        <w:footnoteRef/>
      </w:r>
      <w:r w:rsidRPr="003B151F">
        <w:rPr>
          <w:sz w:val="16"/>
          <w:szCs w:val="16"/>
        </w:rPr>
        <w:t xml:space="preserve"> Senate Economic References Committee. (2015). Australia’s innovation system. </w:t>
      </w:r>
      <w:hyperlink r:id="rId58" w:tooltip="Link to the Senate Economics References Committee's 'Australia's Innovation System report'" w:history="1">
        <w:r w:rsidRPr="003B151F">
          <w:rPr>
            <w:rStyle w:val="Hyperlink"/>
            <w:sz w:val="16"/>
            <w:szCs w:val="16"/>
          </w:rPr>
          <w:t>www.aph.gov.au/Parliamentary_Business/Committees/Senate/Economics/Innovation_System/Report</w:t>
        </w:r>
      </w:hyperlink>
      <w:r w:rsidRPr="003B151F">
        <w:rPr>
          <w:rStyle w:val="Hyperlink"/>
          <w:sz w:val="16"/>
          <w:szCs w:val="16"/>
        </w:rPr>
        <w:t xml:space="preserve"> </w:t>
      </w:r>
    </w:p>
  </w:footnote>
  <w:footnote w:id="67">
    <w:p w14:paraId="0690273F" w14:textId="29E98CD5" w:rsidR="00400295" w:rsidRPr="003B151F" w:rsidRDefault="00400295" w:rsidP="0098172A">
      <w:pPr>
        <w:pStyle w:val="FootnoteText"/>
        <w:rPr>
          <w:sz w:val="16"/>
          <w:szCs w:val="16"/>
          <w:lang w:val="en-AU"/>
        </w:rPr>
      </w:pPr>
      <w:r w:rsidRPr="003B151F">
        <w:rPr>
          <w:rStyle w:val="FootnoteReference"/>
          <w:sz w:val="16"/>
          <w:szCs w:val="16"/>
        </w:rPr>
        <w:footnoteRef/>
      </w:r>
      <w:r w:rsidRPr="003B151F">
        <w:rPr>
          <w:sz w:val="16"/>
          <w:szCs w:val="16"/>
        </w:rPr>
        <w:t xml:space="preserve"> Senate Economic References Committee. (2015). Australia’s innovation system. </w:t>
      </w:r>
      <w:hyperlink r:id="rId59" w:tooltip="Link to the Senate Economics References Committee's 'Australia's Innovation System report'" w:history="1">
        <w:r w:rsidRPr="003B151F">
          <w:rPr>
            <w:rStyle w:val="Hyperlink"/>
            <w:sz w:val="16"/>
            <w:szCs w:val="16"/>
          </w:rPr>
          <w:t>www.aph.gov.au/Parliamentary_Business/Committees/Senate/Economics/Innovation_System/Report</w:t>
        </w:r>
      </w:hyperlink>
      <w:r w:rsidRPr="003B151F">
        <w:rPr>
          <w:rStyle w:val="Hyperlink"/>
          <w:sz w:val="16"/>
          <w:szCs w:val="16"/>
        </w:rPr>
        <w:t xml:space="preserve"> </w:t>
      </w:r>
    </w:p>
  </w:footnote>
  <w:footnote w:id="68">
    <w:p w14:paraId="633E6251" w14:textId="7FCC9AC5" w:rsidR="00400295" w:rsidRPr="003B151F" w:rsidRDefault="00400295" w:rsidP="0098172A">
      <w:pPr>
        <w:pStyle w:val="FootnoteText"/>
        <w:rPr>
          <w:sz w:val="16"/>
          <w:szCs w:val="16"/>
          <w:lang w:val="en-AU"/>
        </w:rPr>
      </w:pPr>
      <w:r w:rsidRPr="003B151F">
        <w:rPr>
          <w:rStyle w:val="FootnoteReference"/>
          <w:sz w:val="16"/>
          <w:szCs w:val="16"/>
        </w:rPr>
        <w:footnoteRef/>
      </w:r>
      <w:r w:rsidRPr="003B151F">
        <w:rPr>
          <w:sz w:val="16"/>
          <w:szCs w:val="16"/>
        </w:rPr>
        <w:t xml:space="preserve"> Innovation and Science Australia. (2017). Australia 2030: Prosperity through Innovation. </w:t>
      </w:r>
      <w:hyperlink r:id="rId60" w:tooltip="Link to ISA's Australia 2030: Prosperity through innovation report" w:history="1">
        <w:r w:rsidRPr="003B151F">
          <w:rPr>
            <w:rStyle w:val="Hyperlink"/>
            <w:sz w:val="16"/>
            <w:szCs w:val="16"/>
          </w:rPr>
          <w:t>www.industry.gov.au/sites/‌g/files/net3906/f/May%202018/document/pdf/australia-2030-prosperity-through-innovation-full-report.pdf</w:t>
        </w:r>
      </w:hyperlink>
      <w:r w:rsidRPr="003B151F">
        <w:rPr>
          <w:rStyle w:val="Hyperlink"/>
          <w:sz w:val="16"/>
          <w:szCs w:val="16"/>
        </w:rPr>
        <w:t xml:space="preserve"> </w:t>
      </w:r>
    </w:p>
  </w:footnote>
  <w:footnote w:id="69">
    <w:p w14:paraId="6B4EB3BC" w14:textId="675A7E23" w:rsidR="00400295" w:rsidRPr="003B151F" w:rsidRDefault="00400295" w:rsidP="0098172A">
      <w:pPr>
        <w:pStyle w:val="FootnoteText"/>
        <w:rPr>
          <w:sz w:val="16"/>
          <w:szCs w:val="16"/>
          <w:lang w:val="en-AU"/>
        </w:rPr>
      </w:pPr>
      <w:r w:rsidRPr="003B151F">
        <w:rPr>
          <w:rStyle w:val="FootnoteReference"/>
          <w:sz w:val="16"/>
          <w:szCs w:val="16"/>
        </w:rPr>
        <w:footnoteRef/>
      </w:r>
      <w:r w:rsidRPr="003B151F">
        <w:rPr>
          <w:sz w:val="16"/>
          <w:szCs w:val="16"/>
        </w:rPr>
        <w:t xml:space="preserve"> House of Representatives Standing Committee on Employment, Education and Training. (2018). Inquiry into funding Australia’s research report: Australian Government Funding Arrangements for non-NHMRC Research. </w:t>
      </w:r>
      <w:hyperlink r:id="rId61" w:tooltip="Link to Inquiry into funding Australia's research report" w:history="1">
        <w:r w:rsidRPr="003B151F">
          <w:rPr>
            <w:rStyle w:val="Hyperlink"/>
            <w:sz w:val="16"/>
            <w:szCs w:val="16"/>
          </w:rPr>
          <w:t>https://parlinfo.aph.gov.au/parlInfo/download/committees/reportrep/024212/toc_pdf/AustralianGovernmentFundingArrangementsfornon-NHMRCResearch.pdf;fileType=application%2Fpdf</w:t>
        </w:r>
      </w:hyperlink>
      <w:r w:rsidRPr="003B151F">
        <w:rPr>
          <w:rStyle w:val="Hyperlink"/>
          <w:sz w:val="16"/>
          <w:szCs w:val="16"/>
        </w:rPr>
        <w:t xml:space="preserve"> </w:t>
      </w:r>
    </w:p>
  </w:footnote>
  <w:footnote w:id="70">
    <w:p w14:paraId="45522C3B" w14:textId="14391BB0" w:rsidR="00400295" w:rsidRPr="003B151F" w:rsidRDefault="00400295" w:rsidP="0098172A">
      <w:pPr>
        <w:pStyle w:val="FootnoteText"/>
        <w:rPr>
          <w:sz w:val="16"/>
          <w:szCs w:val="16"/>
          <w:lang w:val="en-AU"/>
        </w:rPr>
      </w:pPr>
      <w:r w:rsidRPr="003B151F">
        <w:rPr>
          <w:rStyle w:val="FootnoteReference"/>
          <w:sz w:val="16"/>
          <w:szCs w:val="16"/>
        </w:rPr>
        <w:footnoteRef/>
      </w:r>
      <w:r w:rsidRPr="003B151F">
        <w:rPr>
          <w:sz w:val="16"/>
          <w:szCs w:val="16"/>
        </w:rPr>
        <w:t xml:space="preserve"> Productivity Commission. (2017). 5 Year Productivity Review, Supporting Paper No.12: An overview of innovation policy. </w:t>
      </w:r>
      <w:hyperlink r:id="rId62" w:tooltip="Link to Productivity Commission's Five year productivity review report" w:history="1">
        <w:r w:rsidRPr="003B151F">
          <w:rPr>
            <w:rStyle w:val="Hyperlink"/>
            <w:sz w:val="16"/>
            <w:szCs w:val="16"/>
          </w:rPr>
          <w:t>www.pc.gov.au/inquiries/completed/productivity-review/report/productivity-review-supporting12.pdf</w:t>
        </w:r>
      </w:hyperlink>
      <w:r>
        <w:rPr>
          <w:rStyle w:val="Hyperlink"/>
          <w:sz w:val="16"/>
          <w:szCs w:val="16"/>
        </w:rPr>
        <w:t xml:space="preserve"> </w:t>
      </w:r>
    </w:p>
  </w:footnote>
  <w:footnote w:id="71">
    <w:p w14:paraId="7C77B3DD" w14:textId="6DE7DBE4" w:rsidR="00400295" w:rsidRPr="003B151F" w:rsidRDefault="00400295" w:rsidP="0098172A">
      <w:pPr>
        <w:pStyle w:val="FootnoteText"/>
        <w:rPr>
          <w:sz w:val="16"/>
          <w:szCs w:val="16"/>
          <w:lang w:val="en-AU"/>
        </w:rPr>
      </w:pPr>
      <w:r w:rsidRPr="003B151F">
        <w:rPr>
          <w:rStyle w:val="FootnoteReference"/>
          <w:sz w:val="16"/>
          <w:szCs w:val="16"/>
        </w:rPr>
        <w:footnoteRef/>
      </w:r>
      <w:r w:rsidRPr="003B151F">
        <w:rPr>
          <w:sz w:val="16"/>
          <w:szCs w:val="16"/>
        </w:rPr>
        <w:t xml:space="preserve"> OECD. (2017). OECD Economic Surveys: Australia. </w:t>
      </w:r>
      <w:hyperlink r:id="rId63" w:tooltip="Link to OECD Economic Survey 2017" w:history="1">
        <w:r w:rsidRPr="003B151F">
          <w:rPr>
            <w:rStyle w:val="Hyperlink"/>
            <w:sz w:val="16"/>
            <w:szCs w:val="16"/>
          </w:rPr>
          <w:t>www.oecd-ilibrary.org/economics/oecd-economic-surveys-australia-2017_eco_surveys-aus-2017-en</w:t>
        </w:r>
      </w:hyperlink>
      <w:r w:rsidRPr="003B151F">
        <w:rPr>
          <w:rStyle w:val="Hyperlink"/>
          <w:sz w:val="16"/>
          <w:szCs w:val="16"/>
        </w:rPr>
        <w:t xml:space="preserve"> </w:t>
      </w:r>
    </w:p>
  </w:footnote>
  <w:footnote w:id="72">
    <w:p w14:paraId="173C1CB9" w14:textId="583597B0" w:rsidR="00400295" w:rsidRPr="003B151F" w:rsidRDefault="00400295" w:rsidP="0098172A">
      <w:pPr>
        <w:pStyle w:val="FootnoteText"/>
        <w:rPr>
          <w:sz w:val="16"/>
          <w:szCs w:val="16"/>
          <w:lang w:val="en-AU"/>
        </w:rPr>
      </w:pPr>
      <w:r w:rsidRPr="003B151F">
        <w:rPr>
          <w:rStyle w:val="FootnoteReference"/>
          <w:sz w:val="16"/>
          <w:szCs w:val="16"/>
        </w:rPr>
        <w:footnoteRef/>
      </w:r>
      <w:r w:rsidRPr="003B151F">
        <w:rPr>
          <w:sz w:val="16"/>
          <w:szCs w:val="16"/>
        </w:rPr>
        <w:t xml:space="preserve"> Productivity Commission. (2017). 5 Year Productivity Review, Supporting Paper No.12: An overview of innovation policy. </w:t>
      </w:r>
      <w:hyperlink r:id="rId64" w:tooltip="Link to Productivity Commission's Five year productivity review report" w:history="1">
        <w:r w:rsidRPr="003B151F">
          <w:rPr>
            <w:rStyle w:val="Hyperlink"/>
            <w:sz w:val="16"/>
            <w:szCs w:val="16"/>
          </w:rPr>
          <w:t>www.pc.gov.au/inquiries/completed/productivity-review/report/productivity-review-supporting12.pdf</w:t>
        </w:r>
      </w:hyperlink>
    </w:p>
  </w:footnote>
  <w:footnote w:id="73">
    <w:p w14:paraId="640F9326" w14:textId="679A34B2" w:rsidR="00400295" w:rsidRPr="003B151F" w:rsidRDefault="00400295" w:rsidP="00CC16E1">
      <w:pPr>
        <w:pStyle w:val="FootnoteText"/>
        <w:rPr>
          <w:sz w:val="16"/>
          <w:szCs w:val="16"/>
          <w:lang w:val="en-AU"/>
        </w:rPr>
      </w:pPr>
      <w:r w:rsidRPr="003B151F">
        <w:rPr>
          <w:rStyle w:val="FootnoteReference"/>
          <w:sz w:val="16"/>
          <w:szCs w:val="16"/>
        </w:rPr>
        <w:footnoteRef/>
      </w:r>
      <w:r w:rsidRPr="003B151F">
        <w:rPr>
          <w:sz w:val="16"/>
          <w:szCs w:val="16"/>
          <w:lang w:val="en-AU"/>
        </w:rPr>
        <w:t xml:space="preserve"> Department of Industry, Innovation and Science. (2015). National Innovation and Science Agenda Report. </w:t>
      </w:r>
      <w:hyperlink r:id="rId65" w:tooltip="Link to the National Innovation and Science Agenda Report" w:history="1">
        <w:r w:rsidRPr="003B151F">
          <w:rPr>
            <w:rStyle w:val="Hyperlink"/>
            <w:sz w:val="16"/>
            <w:szCs w:val="16"/>
          </w:rPr>
          <w:t>www.industry.gov.au/data-and-publications/national-innovation-and-science-agenda-report</w:t>
        </w:r>
        <w:r w:rsidRPr="003B151F">
          <w:rPr>
            <w:rStyle w:val="Hyperlink"/>
            <w:sz w:val="16"/>
            <w:szCs w:val="16"/>
            <w:lang w:val="en-AU"/>
          </w:rPr>
          <w:t>; Innovation and Science at the centre of Government</w:t>
        </w:r>
      </w:hyperlink>
      <w:r>
        <w:rPr>
          <w:rStyle w:val="Hyperlink"/>
          <w:sz w:val="16"/>
          <w:szCs w:val="16"/>
        </w:rPr>
        <w:t xml:space="preserve"> </w:t>
      </w:r>
    </w:p>
  </w:footnote>
  <w:footnote w:id="74">
    <w:p w14:paraId="448D0CF2" w14:textId="5BD6E0F6" w:rsidR="00400295" w:rsidRPr="00665025" w:rsidRDefault="00400295" w:rsidP="00CC16E1">
      <w:pPr>
        <w:pStyle w:val="FootnoteText"/>
        <w:rPr>
          <w:sz w:val="16"/>
          <w:szCs w:val="16"/>
          <w:lang w:val="en-AU"/>
        </w:rPr>
      </w:pPr>
      <w:r w:rsidRPr="003B151F">
        <w:rPr>
          <w:rStyle w:val="FootnoteReference"/>
          <w:sz w:val="16"/>
          <w:szCs w:val="16"/>
        </w:rPr>
        <w:footnoteRef/>
      </w:r>
      <w:r w:rsidRPr="003B151F">
        <w:rPr>
          <w:sz w:val="16"/>
          <w:szCs w:val="16"/>
        </w:rPr>
        <w:t xml:space="preserve"> Prime Minister’s Science, Engineering and Innovati</w:t>
      </w:r>
      <w:r>
        <w:rPr>
          <w:sz w:val="16"/>
          <w:szCs w:val="16"/>
        </w:rPr>
        <w:t xml:space="preserve">on Council. </w:t>
      </w:r>
      <w:hyperlink r:id="rId66" w:tooltip="Link to TROVE archive information on the Prime Minister's Science, Engineering and Innovation Council " w:history="1">
        <w:r w:rsidRPr="00665025">
          <w:rPr>
            <w:rStyle w:val="Hyperlink"/>
            <w:sz w:val="16"/>
            <w:szCs w:val="16"/>
          </w:rPr>
          <w:t>https://trove.nla.gov.au/people/1444624?c=people</w:t>
        </w:r>
      </w:hyperlink>
      <w:r w:rsidRPr="00665025">
        <w:rPr>
          <w:sz w:val="16"/>
          <w:szCs w:val="16"/>
        </w:rPr>
        <w:t xml:space="preserve"> </w:t>
      </w:r>
    </w:p>
  </w:footnote>
  <w:footnote w:id="75">
    <w:p w14:paraId="2FE94094" w14:textId="1C7345B5" w:rsidR="00400295" w:rsidRPr="006E2C5F" w:rsidRDefault="00400295" w:rsidP="00CC16E1">
      <w:pPr>
        <w:pStyle w:val="FootnoteText"/>
        <w:rPr>
          <w:sz w:val="16"/>
          <w:szCs w:val="16"/>
          <w:lang w:val="en-AU"/>
        </w:rPr>
      </w:pPr>
      <w:r w:rsidRPr="006E2C5F">
        <w:rPr>
          <w:rStyle w:val="FootnoteReference"/>
          <w:sz w:val="16"/>
          <w:szCs w:val="16"/>
        </w:rPr>
        <w:footnoteRef/>
      </w:r>
      <w:r w:rsidRPr="006E2C5F">
        <w:rPr>
          <w:sz w:val="16"/>
          <w:szCs w:val="16"/>
        </w:rPr>
        <w:t xml:space="preserve"> </w:t>
      </w:r>
      <w:r w:rsidRPr="006E2C5F">
        <w:rPr>
          <w:sz w:val="16"/>
          <w:szCs w:val="16"/>
          <w:lang w:val="en-AU"/>
        </w:rPr>
        <w:t xml:space="preserve">Paic, </w:t>
      </w:r>
      <w:r w:rsidRPr="00C059E4">
        <w:rPr>
          <w:sz w:val="16"/>
          <w:szCs w:val="16"/>
          <w:lang w:val="en-AU"/>
        </w:rPr>
        <w:t>A. and C.</w:t>
      </w:r>
      <w:r w:rsidRPr="006E2C5F">
        <w:rPr>
          <w:sz w:val="16"/>
          <w:szCs w:val="16"/>
          <w:lang w:val="en-AU"/>
        </w:rPr>
        <w:t xml:space="preserve"> Viros (2019). Governance of science and technology policies. OECD Science, Technology and Industry Policy Papers, No. 84, OECD Publishing, Paris</w:t>
      </w:r>
      <w:r>
        <w:rPr>
          <w:sz w:val="16"/>
          <w:szCs w:val="16"/>
          <w:lang w:val="en-AU"/>
        </w:rPr>
        <w:t xml:space="preserve">. </w:t>
      </w:r>
      <w:hyperlink r:id="rId67"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76">
    <w:p w14:paraId="225F2F08" w14:textId="512B70BF" w:rsidR="00400295" w:rsidRPr="00BD393F" w:rsidRDefault="00400295" w:rsidP="00CC16E1">
      <w:pPr>
        <w:pStyle w:val="FootnoteText"/>
        <w:rPr>
          <w:sz w:val="16"/>
          <w:szCs w:val="16"/>
          <w:lang w:val="en-AU"/>
        </w:rPr>
      </w:pPr>
      <w:r w:rsidRPr="00BD393F">
        <w:rPr>
          <w:rStyle w:val="FootnoteReference"/>
          <w:sz w:val="16"/>
          <w:szCs w:val="16"/>
        </w:rPr>
        <w:footnoteRef/>
      </w:r>
      <w:r w:rsidRPr="00BD393F">
        <w:rPr>
          <w:sz w:val="16"/>
          <w:szCs w:val="16"/>
        </w:rPr>
        <w:t xml:space="preserve"> </w:t>
      </w:r>
      <w:r w:rsidRPr="00C059E4">
        <w:rPr>
          <w:sz w:val="16"/>
          <w:szCs w:val="16"/>
          <w:lang w:val="en-AU"/>
        </w:rPr>
        <w:t>Paic, A. and C. Viros (2019)</w:t>
      </w:r>
      <w:r>
        <w:rPr>
          <w:sz w:val="16"/>
          <w:szCs w:val="16"/>
          <w:lang w:val="en-AU"/>
        </w:rPr>
        <w:t>.</w:t>
      </w:r>
      <w:r w:rsidRPr="00C059E4">
        <w:rPr>
          <w:sz w:val="16"/>
          <w:szCs w:val="16"/>
          <w:lang w:val="en-AU"/>
        </w:rPr>
        <w:t xml:space="preserve"> Governance of </w:t>
      </w:r>
      <w:r>
        <w:rPr>
          <w:sz w:val="16"/>
          <w:szCs w:val="16"/>
          <w:lang w:val="en-AU"/>
        </w:rPr>
        <w:t>science and technology policies.</w:t>
      </w:r>
      <w:r w:rsidRPr="00C059E4">
        <w:rPr>
          <w:sz w:val="16"/>
          <w:szCs w:val="16"/>
          <w:lang w:val="en-AU"/>
        </w:rPr>
        <w:t xml:space="preserve"> </w:t>
      </w:r>
      <w:r w:rsidRPr="006D0E7F">
        <w:rPr>
          <w:sz w:val="16"/>
          <w:szCs w:val="16"/>
          <w:lang w:val="en-AU"/>
        </w:rPr>
        <w:t>OECD</w:t>
      </w:r>
      <w:r w:rsidRPr="00C059E4">
        <w:rPr>
          <w:sz w:val="16"/>
          <w:szCs w:val="16"/>
          <w:lang w:val="en-AU"/>
        </w:rPr>
        <w:t xml:space="preserve"> Science, Technology and Industry Policy Papers, No. 84, OECD Publishing, Paris</w:t>
      </w:r>
      <w:r>
        <w:rPr>
          <w:sz w:val="16"/>
          <w:szCs w:val="16"/>
          <w:lang w:val="en-AU"/>
        </w:rPr>
        <w:t>.</w:t>
      </w:r>
      <w:r w:rsidRPr="00C059E4">
        <w:rPr>
          <w:sz w:val="16"/>
          <w:szCs w:val="16"/>
          <w:lang w:val="en-AU"/>
        </w:rPr>
        <w:t xml:space="preserve"> </w:t>
      </w:r>
      <w:hyperlink r:id="rId68"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77">
    <w:p w14:paraId="389C0166" w14:textId="7EB93E4C" w:rsidR="00400295" w:rsidRPr="006E2C5F" w:rsidRDefault="00400295" w:rsidP="00CC16E1">
      <w:pPr>
        <w:pStyle w:val="FootnoteText"/>
        <w:rPr>
          <w:sz w:val="16"/>
          <w:szCs w:val="16"/>
          <w:lang w:val="en-AU"/>
        </w:rPr>
      </w:pPr>
      <w:r w:rsidRPr="006E2C5F">
        <w:rPr>
          <w:rStyle w:val="FootnoteReference"/>
          <w:sz w:val="16"/>
          <w:szCs w:val="16"/>
        </w:rPr>
        <w:footnoteRef/>
      </w:r>
      <w:r w:rsidRPr="006E2C5F">
        <w:rPr>
          <w:sz w:val="16"/>
          <w:szCs w:val="16"/>
          <w:lang w:val="en-AU"/>
        </w:rPr>
        <w:t xml:space="preserve"> OECD. (2018). OECD Science, Technology and Innovation Outlook 2018: Adapting to Technological and Societal Disruption, OECD Publishing, Paris</w:t>
      </w:r>
      <w:r>
        <w:rPr>
          <w:sz w:val="16"/>
          <w:szCs w:val="16"/>
          <w:lang w:val="en-AU"/>
        </w:rPr>
        <w:t xml:space="preserve">. </w:t>
      </w:r>
      <w:hyperlink r:id="rId69" w:tooltip="Link to OECD's Science, Technology and Innovation Outlook 2018" w:history="1">
        <w:r w:rsidRPr="00A15D27">
          <w:rPr>
            <w:rStyle w:val="Hyperlink"/>
            <w:sz w:val="16"/>
            <w:szCs w:val="16"/>
          </w:rPr>
          <w:t>https://doi.org/10.1787/sti_in_outlook-2018-en</w:t>
        </w:r>
      </w:hyperlink>
    </w:p>
  </w:footnote>
  <w:footnote w:id="78">
    <w:p w14:paraId="79B3AFAD" w14:textId="2397EF6F" w:rsidR="00400295" w:rsidRPr="00CD345B" w:rsidRDefault="00400295" w:rsidP="0071461E">
      <w:pPr>
        <w:pStyle w:val="FootnoteText"/>
        <w:rPr>
          <w:sz w:val="16"/>
          <w:szCs w:val="16"/>
          <w:lang w:val="en-AU"/>
        </w:rPr>
      </w:pPr>
      <w:r w:rsidRPr="00CD345B">
        <w:rPr>
          <w:rStyle w:val="FootnoteReference"/>
          <w:sz w:val="16"/>
          <w:szCs w:val="16"/>
        </w:rPr>
        <w:footnoteRef/>
      </w:r>
      <w:r w:rsidRPr="00CD345B">
        <w:rPr>
          <w:sz w:val="16"/>
          <w:szCs w:val="16"/>
        </w:rPr>
        <w:t xml:space="preserve"> </w:t>
      </w:r>
      <w:r w:rsidRPr="00CD345B">
        <w:rPr>
          <w:sz w:val="16"/>
          <w:szCs w:val="16"/>
          <w:lang w:val="en-AU"/>
        </w:rPr>
        <w:t xml:space="preserve">OECD. (2018). OECD Science, Technology and Innovation Outlook 2018: Adapting to Technological and Societal Disruption, OECD Publishing, Paris. </w:t>
      </w:r>
      <w:hyperlink r:id="rId70" w:tooltip="Link to OECD's Science, Technology and Innovation Outlook 2018" w:history="1">
        <w:r w:rsidRPr="00A15D27">
          <w:rPr>
            <w:rStyle w:val="Hyperlink"/>
            <w:sz w:val="16"/>
            <w:szCs w:val="16"/>
          </w:rPr>
          <w:t>https://doi.org/10.1787/sti_in_outlook-2018-en</w:t>
        </w:r>
      </w:hyperlink>
      <w:r>
        <w:rPr>
          <w:rStyle w:val="Hyperlink"/>
          <w:sz w:val="16"/>
          <w:szCs w:val="16"/>
        </w:rPr>
        <w:t xml:space="preserve"> </w:t>
      </w:r>
    </w:p>
  </w:footnote>
  <w:footnote w:id="79">
    <w:p w14:paraId="68583904" w14:textId="68249A97" w:rsidR="00400295" w:rsidRPr="00CD345B" w:rsidRDefault="00400295" w:rsidP="0034700E">
      <w:pPr>
        <w:pStyle w:val="FootnoteText"/>
        <w:rPr>
          <w:sz w:val="16"/>
          <w:szCs w:val="16"/>
          <w:lang w:val="en-AU"/>
        </w:rPr>
      </w:pPr>
      <w:r w:rsidRPr="00CD345B">
        <w:rPr>
          <w:rStyle w:val="FootnoteReference"/>
          <w:sz w:val="16"/>
          <w:szCs w:val="16"/>
        </w:rPr>
        <w:footnoteRef/>
      </w:r>
      <w:r w:rsidRPr="00CD345B">
        <w:rPr>
          <w:sz w:val="16"/>
          <w:szCs w:val="16"/>
        </w:rPr>
        <w:t xml:space="preserve"> </w:t>
      </w:r>
      <w:r w:rsidRPr="00CD345B">
        <w:rPr>
          <w:sz w:val="16"/>
          <w:szCs w:val="16"/>
          <w:lang w:val="en-AU"/>
        </w:rPr>
        <w:t xml:space="preserve">Paic, </w:t>
      </w:r>
      <w:r w:rsidRPr="00C059E4">
        <w:rPr>
          <w:sz w:val="16"/>
          <w:szCs w:val="16"/>
          <w:lang w:val="en-AU"/>
        </w:rPr>
        <w:t>A. and C.</w:t>
      </w:r>
      <w:r w:rsidRPr="00CD345B">
        <w:rPr>
          <w:sz w:val="16"/>
          <w:szCs w:val="16"/>
          <w:lang w:val="en-AU"/>
        </w:rPr>
        <w:t xml:space="preserve"> Viros (2019). Governance of science and technology policies. OECD Science, Technology and Industry Policy Papers, No. 84, OECD Publishing, Paris.</w:t>
      </w:r>
      <w:r>
        <w:rPr>
          <w:sz w:val="16"/>
          <w:szCs w:val="16"/>
          <w:lang w:val="en-AU"/>
        </w:rPr>
        <w:t xml:space="preserve"> </w:t>
      </w:r>
      <w:hyperlink r:id="rId71"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80">
    <w:p w14:paraId="6226C91B" w14:textId="24CF6142" w:rsidR="00400295" w:rsidRPr="00024136" w:rsidRDefault="00400295">
      <w:pPr>
        <w:pStyle w:val="FootnoteText"/>
        <w:rPr>
          <w:sz w:val="16"/>
          <w:szCs w:val="16"/>
          <w:lang w:val="en-AU"/>
        </w:rPr>
      </w:pPr>
      <w:r w:rsidRPr="00301CB0">
        <w:rPr>
          <w:rStyle w:val="FootnoteReference"/>
          <w:sz w:val="16"/>
          <w:szCs w:val="16"/>
        </w:rPr>
        <w:footnoteRef/>
      </w:r>
      <w:r w:rsidRPr="00301CB0">
        <w:rPr>
          <w:sz w:val="16"/>
          <w:szCs w:val="16"/>
        </w:rPr>
        <w:t xml:space="preserve"> </w:t>
      </w:r>
      <w:r w:rsidRPr="00902A26">
        <w:rPr>
          <w:sz w:val="16"/>
          <w:szCs w:val="16"/>
          <w:lang w:val="en-AU"/>
        </w:rPr>
        <w:t xml:space="preserve">OECD. (2019). Governance of Science and Technology Policies—Case Studies. OECD Science, Technology and Industry Policy Papers. </w:t>
      </w:r>
      <w:hyperlink r:id="rId72" w:tooltip="Link to OECD report: Governance of Science and Technology Policies" w:history="1">
        <w:r w:rsidRPr="00A15D27">
          <w:rPr>
            <w:rStyle w:val="Hyperlink"/>
            <w:sz w:val="16"/>
            <w:szCs w:val="16"/>
          </w:rPr>
          <w:t>https://community.oecd.org/docs/DOC-161275</w:t>
        </w:r>
      </w:hyperlink>
      <w:r>
        <w:rPr>
          <w:rStyle w:val="Hyperlink"/>
          <w:sz w:val="16"/>
          <w:szCs w:val="16"/>
          <w:lang w:val="en-AU"/>
        </w:rPr>
        <w:t xml:space="preserve"> </w:t>
      </w:r>
    </w:p>
  </w:footnote>
  <w:footnote w:id="81">
    <w:p w14:paraId="44A32071" w14:textId="2DD3F050" w:rsidR="00400295" w:rsidRPr="002B55B9" w:rsidRDefault="00400295" w:rsidP="00003A81">
      <w:pPr>
        <w:pStyle w:val="FootnoteText"/>
        <w:rPr>
          <w:sz w:val="16"/>
          <w:szCs w:val="16"/>
          <w:lang w:val="en-AU"/>
        </w:rPr>
      </w:pPr>
      <w:r w:rsidRPr="003C14F2">
        <w:rPr>
          <w:rStyle w:val="FootnoteReference"/>
          <w:sz w:val="16"/>
          <w:szCs w:val="16"/>
        </w:rPr>
        <w:footnoteRef/>
      </w:r>
      <w:r>
        <w:rPr>
          <w:sz w:val="16"/>
          <w:szCs w:val="16"/>
          <w:lang w:val="en-AU"/>
        </w:rPr>
        <w:t xml:space="preserve"> </w:t>
      </w:r>
      <w:r w:rsidRPr="0062602F">
        <w:rPr>
          <w:sz w:val="16"/>
          <w:szCs w:val="16"/>
        </w:rPr>
        <w:t xml:space="preserve">House of Representatives Standing Committee on </w:t>
      </w:r>
      <w:r w:rsidRPr="002B55B9">
        <w:rPr>
          <w:sz w:val="16"/>
          <w:szCs w:val="16"/>
        </w:rPr>
        <w:t>Employment, Education and Training. (2018). Inquiry into funding Australia's research report: Australian Government Funding Arrangements for non-NHMRC Research.</w:t>
      </w:r>
      <w:r>
        <w:rPr>
          <w:sz w:val="16"/>
          <w:szCs w:val="16"/>
        </w:rPr>
        <w:t xml:space="preserve"> </w:t>
      </w:r>
      <w:hyperlink r:id="rId73"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Pr>
          <w:rStyle w:val="Hyperlink"/>
          <w:sz w:val="16"/>
          <w:szCs w:val="16"/>
        </w:rPr>
        <w:t xml:space="preserve"> </w:t>
      </w:r>
    </w:p>
  </w:footnote>
  <w:footnote w:id="82">
    <w:p w14:paraId="27380F60" w14:textId="252C2DA1" w:rsidR="00400295" w:rsidRPr="00545916" w:rsidRDefault="00400295" w:rsidP="007A51AA">
      <w:pPr>
        <w:pStyle w:val="FootnoteText"/>
        <w:rPr>
          <w:sz w:val="16"/>
          <w:szCs w:val="16"/>
          <w:lang w:val="en-AU"/>
        </w:rPr>
      </w:pPr>
      <w:r w:rsidRPr="00545916">
        <w:rPr>
          <w:rStyle w:val="FootnoteReference"/>
          <w:sz w:val="16"/>
          <w:szCs w:val="16"/>
        </w:rPr>
        <w:footnoteRef/>
      </w:r>
      <w:r w:rsidRPr="00545916">
        <w:rPr>
          <w:sz w:val="16"/>
          <w:szCs w:val="16"/>
        </w:rPr>
        <w:t xml:space="preserve"> </w:t>
      </w:r>
      <w:r w:rsidRPr="00C059E4">
        <w:rPr>
          <w:sz w:val="16"/>
          <w:szCs w:val="16"/>
          <w:lang w:val="en-AU"/>
        </w:rPr>
        <w:t>Paic, A. and C. Viros (2019)</w:t>
      </w:r>
      <w:r>
        <w:rPr>
          <w:sz w:val="16"/>
          <w:szCs w:val="16"/>
          <w:lang w:val="en-AU"/>
        </w:rPr>
        <w:t>.</w:t>
      </w:r>
      <w:r w:rsidRPr="00C059E4">
        <w:rPr>
          <w:sz w:val="16"/>
          <w:szCs w:val="16"/>
          <w:lang w:val="en-AU"/>
        </w:rPr>
        <w:t xml:space="preserve"> Governance of </w:t>
      </w:r>
      <w:r>
        <w:rPr>
          <w:sz w:val="16"/>
          <w:szCs w:val="16"/>
          <w:lang w:val="en-AU"/>
        </w:rPr>
        <w:t>science and technology policies.</w:t>
      </w:r>
      <w:r w:rsidRPr="00C059E4">
        <w:rPr>
          <w:sz w:val="16"/>
          <w:szCs w:val="16"/>
          <w:lang w:val="en-AU"/>
        </w:rPr>
        <w:t xml:space="preserve"> OECD Science, Technology and Industry Policy Papers, No. 84, OECD Publishing, Paris</w:t>
      </w:r>
      <w:r>
        <w:rPr>
          <w:sz w:val="16"/>
          <w:szCs w:val="16"/>
          <w:lang w:val="en-AU"/>
        </w:rPr>
        <w:t>.</w:t>
      </w:r>
      <w:r w:rsidRPr="00C059E4">
        <w:rPr>
          <w:sz w:val="16"/>
          <w:szCs w:val="16"/>
          <w:lang w:val="en-AU"/>
        </w:rPr>
        <w:t xml:space="preserve"> </w:t>
      </w:r>
      <w:hyperlink r:id="rId74"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83">
    <w:p w14:paraId="0F903401" w14:textId="34589476" w:rsidR="00400295" w:rsidRPr="002B55B9" w:rsidRDefault="00400295" w:rsidP="00242247">
      <w:pPr>
        <w:pStyle w:val="FootnoteText"/>
        <w:rPr>
          <w:sz w:val="16"/>
          <w:szCs w:val="16"/>
          <w:lang w:val="en-AU"/>
        </w:rPr>
      </w:pPr>
      <w:r w:rsidRPr="002B55B9">
        <w:rPr>
          <w:rStyle w:val="FootnoteReference"/>
          <w:sz w:val="16"/>
          <w:szCs w:val="16"/>
        </w:rPr>
        <w:footnoteRef/>
      </w:r>
      <w:r w:rsidRPr="002B55B9">
        <w:rPr>
          <w:sz w:val="16"/>
          <w:szCs w:val="16"/>
        </w:rPr>
        <w:t xml:space="preserve"> Productivity Commission. (2017). 5 Year Productivity Review, Supporting Paper No.12: An overview of innovation policy</w:t>
      </w:r>
      <w:r>
        <w:rPr>
          <w:sz w:val="16"/>
          <w:szCs w:val="16"/>
        </w:rPr>
        <w:t xml:space="preserve">. </w:t>
      </w:r>
      <w:hyperlink r:id="rId75" w:tooltip="Link to Productivity Commission's Five year productivity review report" w:history="1">
        <w:r w:rsidRPr="00A15D27">
          <w:rPr>
            <w:rStyle w:val="Hyperlink"/>
            <w:sz w:val="16"/>
            <w:szCs w:val="16"/>
          </w:rPr>
          <w:t>www.pc.gov.au/inquiries/completed/productivity-review/report/productivity-review-supporting12.pdf</w:t>
        </w:r>
      </w:hyperlink>
      <w:r>
        <w:rPr>
          <w:rStyle w:val="Hyperlink"/>
          <w:sz w:val="16"/>
          <w:szCs w:val="16"/>
        </w:rPr>
        <w:t xml:space="preserve"> </w:t>
      </w:r>
    </w:p>
  </w:footnote>
  <w:footnote w:id="84">
    <w:p w14:paraId="2A27C0FD" w14:textId="454451A7" w:rsidR="00400295" w:rsidRPr="002B55B9" w:rsidRDefault="00400295" w:rsidP="00242247">
      <w:pPr>
        <w:pStyle w:val="FootnoteText"/>
        <w:rPr>
          <w:sz w:val="16"/>
          <w:szCs w:val="16"/>
          <w:lang w:val="en-AU"/>
        </w:rPr>
      </w:pPr>
      <w:r w:rsidRPr="002B55B9">
        <w:rPr>
          <w:rStyle w:val="FootnoteReference"/>
          <w:sz w:val="16"/>
          <w:szCs w:val="16"/>
        </w:rPr>
        <w:footnoteRef/>
      </w:r>
      <w:r w:rsidRPr="002B55B9">
        <w:rPr>
          <w:sz w:val="16"/>
          <w:szCs w:val="16"/>
        </w:rPr>
        <w:t xml:space="preserve"> House of Representatives Standing Committee on Employment, Education and Training. (2018). Inquiry into funding Australia's research report: Australian Government Funding Arrangements for non-NHMRC Research. </w:t>
      </w:r>
      <w:hyperlink r:id="rId76"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Pr>
          <w:rStyle w:val="Hyperlink"/>
          <w:sz w:val="16"/>
          <w:szCs w:val="16"/>
        </w:rPr>
        <w:t xml:space="preserve"> </w:t>
      </w:r>
    </w:p>
  </w:footnote>
  <w:footnote w:id="85">
    <w:p w14:paraId="52236D58" w14:textId="68FD44E3" w:rsidR="00400295" w:rsidRPr="0099725F" w:rsidRDefault="00400295" w:rsidP="00242247">
      <w:pPr>
        <w:pStyle w:val="FootnoteText"/>
        <w:rPr>
          <w:sz w:val="16"/>
          <w:szCs w:val="16"/>
          <w:lang w:val="en-AU"/>
        </w:rPr>
      </w:pPr>
      <w:r w:rsidRPr="0099725F">
        <w:rPr>
          <w:rStyle w:val="FootnoteReference"/>
          <w:sz w:val="16"/>
          <w:szCs w:val="16"/>
        </w:rPr>
        <w:footnoteRef/>
      </w:r>
      <w:r w:rsidRPr="0099725F">
        <w:rPr>
          <w:sz w:val="16"/>
          <w:szCs w:val="16"/>
        </w:rPr>
        <w:t xml:space="preserve"> House of Representatives Standing Committee on Employment, Education and Training. (2018). Inquiry into funding Australia's research report: Australian Government Funding Arrangements for non-NHMRC Research. </w:t>
      </w:r>
      <w:hyperlink r:id="rId77"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Pr>
          <w:rStyle w:val="Hyperlink"/>
          <w:sz w:val="16"/>
          <w:szCs w:val="16"/>
        </w:rPr>
        <w:t xml:space="preserve"> </w:t>
      </w:r>
    </w:p>
  </w:footnote>
  <w:footnote w:id="86">
    <w:p w14:paraId="42F2EE15" w14:textId="40D2E523" w:rsidR="00400295" w:rsidRPr="0060103D" w:rsidRDefault="00400295" w:rsidP="00554A9E">
      <w:pPr>
        <w:pStyle w:val="FootnoteText"/>
        <w:rPr>
          <w:sz w:val="16"/>
          <w:szCs w:val="16"/>
          <w:lang w:val="en-AU"/>
        </w:rPr>
      </w:pPr>
      <w:r w:rsidRPr="0060103D">
        <w:rPr>
          <w:rStyle w:val="FootnoteReference"/>
          <w:sz w:val="16"/>
          <w:szCs w:val="16"/>
        </w:rPr>
        <w:footnoteRef/>
      </w:r>
      <w:r w:rsidRPr="0060103D">
        <w:rPr>
          <w:sz w:val="16"/>
          <w:szCs w:val="16"/>
        </w:rPr>
        <w:t xml:space="preserve"> ABS</w:t>
      </w:r>
      <w:r>
        <w:rPr>
          <w:sz w:val="16"/>
          <w:szCs w:val="16"/>
        </w:rPr>
        <w:t>.</w:t>
      </w:r>
      <w:r w:rsidRPr="0060103D">
        <w:rPr>
          <w:sz w:val="16"/>
          <w:szCs w:val="16"/>
        </w:rPr>
        <w:t xml:space="preserve"> 8104.0 – Research and Experimental Development, Businesses, Australia, 2017</w:t>
      </w:r>
      <w:r>
        <w:rPr>
          <w:sz w:val="16"/>
          <w:szCs w:val="16"/>
        </w:rPr>
        <w:t>–</w:t>
      </w:r>
      <w:r w:rsidRPr="0060103D">
        <w:rPr>
          <w:sz w:val="16"/>
          <w:szCs w:val="16"/>
        </w:rPr>
        <w:t>18; 8109.0 – Research and Experimental Development, Government and Private Non-Profit Organisations, Australia, 2016</w:t>
      </w:r>
      <w:r>
        <w:rPr>
          <w:sz w:val="16"/>
          <w:szCs w:val="16"/>
        </w:rPr>
        <w:t>–</w:t>
      </w:r>
      <w:r w:rsidRPr="0060103D">
        <w:rPr>
          <w:sz w:val="16"/>
          <w:szCs w:val="16"/>
        </w:rPr>
        <w:t>17; 8111.0 – Research and Experimental Development, Higher Education Organisations, Australia, 2016.</w:t>
      </w:r>
    </w:p>
  </w:footnote>
  <w:footnote w:id="87">
    <w:p w14:paraId="7CA46DD2" w14:textId="0F18741F" w:rsidR="00400295" w:rsidRPr="00955D44" w:rsidRDefault="00400295" w:rsidP="00554A9E">
      <w:pPr>
        <w:spacing w:after="0" w:line="240" w:lineRule="auto"/>
        <w:rPr>
          <w:sz w:val="16"/>
          <w:szCs w:val="16"/>
        </w:rPr>
      </w:pPr>
      <w:r w:rsidRPr="008123A3">
        <w:rPr>
          <w:rStyle w:val="FootnoteReference"/>
          <w:sz w:val="16"/>
          <w:szCs w:val="16"/>
        </w:rPr>
        <w:footnoteRef/>
      </w:r>
      <w:r w:rsidRPr="008123A3">
        <w:rPr>
          <w:sz w:val="16"/>
          <w:szCs w:val="16"/>
        </w:rPr>
        <w:t xml:space="preserve"> </w:t>
      </w:r>
      <w:r>
        <w:rPr>
          <w:sz w:val="16"/>
          <w:szCs w:val="16"/>
        </w:rPr>
        <w:t>D</w:t>
      </w:r>
      <w:r w:rsidRPr="0099725F">
        <w:rPr>
          <w:sz w:val="16"/>
          <w:szCs w:val="16"/>
        </w:rPr>
        <w:t xml:space="preserve">efinitions </w:t>
      </w:r>
      <w:r>
        <w:rPr>
          <w:sz w:val="16"/>
          <w:szCs w:val="16"/>
        </w:rPr>
        <w:t xml:space="preserve">are provided in the glossary; original source: </w:t>
      </w:r>
      <w:hyperlink r:id="rId78" w:history="1">
        <w:r w:rsidRPr="00EA4ED6">
          <w:rPr>
            <w:rStyle w:val="Hyperlink"/>
            <w:sz w:val="16"/>
            <w:szCs w:val="16"/>
          </w:rPr>
          <w:t>www.abs.gov.au/ausstats/abs@.nsf/66f306f503e529a5ca25‌697e0017661f/22E4C184CA111129CA25697E0018FD78?opendocument</w:t>
        </w:r>
      </w:hyperlink>
      <w:r w:rsidDel="00E43D50">
        <w:rPr>
          <w:rStyle w:val="Hyperlink"/>
          <w:sz w:val="16"/>
          <w:szCs w:val="16"/>
        </w:rPr>
        <w:t xml:space="preserve"> </w:t>
      </w:r>
    </w:p>
  </w:footnote>
  <w:footnote w:id="88">
    <w:p w14:paraId="5A8C5169" w14:textId="19DBFE9F" w:rsidR="00400295" w:rsidRPr="00682E85" w:rsidRDefault="00400295">
      <w:pPr>
        <w:pStyle w:val="FootnoteText"/>
        <w:rPr>
          <w:sz w:val="16"/>
          <w:szCs w:val="16"/>
          <w:lang w:val="en-AU"/>
        </w:rPr>
      </w:pPr>
      <w:r w:rsidRPr="00682E85">
        <w:rPr>
          <w:rStyle w:val="FootnoteReference"/>
          <w:sz w:val="16"/>
          <w:szCs w:val="16"/>
        </w:rPr>
        <w:footnoteRef/>
      </w:r>
      <w:r w:rsidRPr="00682E85">
        <w:rPr>
          <w:sz w:val="16"/>
          <w:szCs w:val="16"/>
        </w:rPr>
        <w:t xml:space="preserve"> </w:t>
      </w:r>
      <w:r w:rsidRPr="00682E85">
        <w:rPr>
          <w:sz w:val="16"/>
          <w:szCs w:val="16"/>
          <w:lang w:val="en-AU"/>
        </w:rPr>
        <w:t>Where basic research is the sum of pure basic and strategic basic research.</w:t>
      </w:r>
    </w:p>
  </w:footnote>
  <w:footnote w:id="89">
    <w:p w14:paraId="2C7B5A0C" w14:textId="76C8D4FD" w:rsidR="00400295" w:rsidRPr="00651C2C" w:rsidRDefault="00400295" w:rsidP="00AD6153">
      <w:pPr>
        <w:pStyle w:val="FootnoteText"/>
        <w:rPr>
          <w:sz w:val="16"/>
          <w:szCs w:val="16"/>
          <w:lang w:val="en-AU"/>
        </w:rPr>
      </w:pPr>
      <w:r w:rsidRPr="00651C2C">
        <w:rPr>
          <w:rStyle w:val="FootnoteReference"/>
          <w:sz w:val="16"/>
          <w:szCs w:val="16"/>
        </w:rPr>
        <w:footnoteRef/>
      </w:r>
      <w:r w:rsidRPr="00651C2C">
        <w:rPr>
          <w:sz w:val="16"/>
          <w:szCs w:val="16"/>
        </w:rPr>
        <w:t xml:space="preserve"> Innovation and Science Australia. (2017). Australia 2030: Prosperity through Innovation</w:t>
      </w:r>
      <w:r>
        <w:rPr>
          <w:sz w:val="16"/>
          <w:szCs w:val="16"/>
        </w:rPr>
        <w:t xml:space="preserve">. </w:t>
      </w:r>
      <w:hyperlink r:id="rId79" w:tooltip="Link to ISA's Australia 2030: Prosperity through innovation report" w:history="1">
        <w:r w:rsidRPr="00A15D27">
          <w:rPr>
            <w:rStyle w:val="Hyperlink"/>
            <w:sz w:val="16"/>
            <w:szCs w:val="16"/>
          </w:rPr>
          <w:t>www.industry.gov.au/sites/‌g/files/net3906/f/May%202018/document/pdf/australia-2030-prosperity-through-innovation-full-report.pdf</w:t>
        </w:r>
      </w:hyperlink>
      <w:r>
        <w:rPr>
          <w:rStyle w:val="Hyperlink"/>
          <w:sz w:val="16"/>
          <w:szCs w:val="16"/>
        </w:rPr>
        <w:t xml:space="preserve"> </w:t>
      </w:r>
    </w:p>
  </w:footnote>
  <w:footnote w:id="90">
    <w:p w14:paraId="133A3C07" w14:textId="3F34201E" w:rsidR="00400295" w:rsidRPr="00651C2C" w:rsidRDefault="00400295">
      <w:pPr>
        <w:pStyle w:val="FootnoteText"/>
        <w:rPr>
          <w:sz w:val="16"/>
          <w:szCs w:val="16"/>
          <w:lang w:val="en-AU"/>
        </w:rPr>
      </w:pPr>
      <w:r w:rsidRPr="00651C2C">
        <w:rPr>
          <w:rStyle w:val="FootnoteReference"/>
          <w:sz w:val="16"/>
          <w:szCs w:val="16"/>
        </w:rPr>
        <w:footnoteRef/>
      </w:r>
      <w:r w:rsidRPr="00651C2C">
        <w:rPr>
          <w:sz w:val="16"/>
          <w:szCs w:val="16"/>
        </w:rPr>
        <w:t xml:space="preserve"> Innovation and Science Australia. (2017). Australia 2030: Prosperity through Innovation. </w:t>
      </w:r>
      <w:hyperlink r:id="rId80" w:tooltip="Link to ISA's Australia 2030: Prosperity through innovation report" w:history="1">
        <w:r w:rsidRPr="00A15D27">
          <w:rPr>
            <w:rStyle w:val="Hyperlink"/>
            <w:sz w:val="16"/>
            <w:szCs w:val="16"/>
          </w:rPr>
          <w:t>www.industry.gov.au/sites/‌g/files/net3906/f/May%202018/document/pdf/australia-2030-prosperity-through-innovation-full-report.pdf</w:t>
        </w:r>
      </w:hyperlink>
      <w:r>
        <w:rPr>
          <w:rStyle w:val="Hyperlink"/>
          <w:sz w:val="16"/>
          <w:szCs w:val="16"/>
        </w:rPr>
        <w:t xml:space="preserve"> </w:t>
      </w:r>
    </w:p>
  </w:footnote>
  <w:footnote w:id="91">
    <w:p w14:paraId="3C1D9ED4" w14:textId="4DC0E82E" w:rsidR="00400295" w:rsidRPr="00651C2C" w:rsidRDefault="00400295" w:rsidP="00AD6153">
      <w:pPr>
        <w:pStyle w:val="FootnoteText"/>
        <w:rPr>
          <w:sz w:val="16"/>
          <w:szCs w:val="16"/>
          <w:lang w:val="en-AU"/>
        </w:rPr>
      </w:pPr>
      <w:r w:rsidRPr="00651C2C">
        <w:rPr>
          <w:rStyle w:val="FootnoteReference"/>
          <w:sz w:val="16"/>
          <w:szCs w:val="16"/>
        </w:rPr>
        <w:footnoteRef/>
      </w:r>
      <w:r w:rsidRPr="00651C2C">
        <w:rPr>
          <w:rStyle w:val="FootnoteReference"/>
          <w:sz w:val="16"/>
          <w:szCs w:val="16"/>
        </w:rPr>
        <w:t xml:space="preserve"> </w:t>
      </w:r>
      <w:r w:rsidRPr="00301CB0">
        <w:rPr>
          <w:sz w:val="16"/>
          <w:szCs w:val="16"/>
        </w:rPr>
        <w:t xml:space="preserve">House of Representatives Standing Committee on Employment, Education and Training. (2018). Inquiry into funding Australia's research report: Australian Government Funding Arrangements for non-NHMRC Research. </w:t>
      </w:r>
      <w:hyperlink r:id="rId81"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Pr>
          <w:rStyle w:val="Hyperlink"/>
          <w:sz w:val="16"/>
          <w:szCs w:val="16"/>
        </w:rPr>
        <w:t xml:space="preserve"> </w:t>
      </w:r>
    </w:p>
  </w:footnote>
  <w:footnote w:id="92">
    <w:p w14:paraId="743327C8" w14:textId="242B827B" w:rsidR="00400295" w:rsidRPr="00651C2C" w:rsidRDefault="00400295" w:rsidP="0040595C">
      <w:pPr>
        <w:pStyle w:val="FootnoteText"/>
        <w:rPr>
          <w:sz w:val="16"/>
          <w:szCs w:val="16"/>
          <w:lang w:val="en-AU"/>
        </w:rPr>
      </w:pPr>
      <w:r w:rsidRPr="00651C2C">
        <w:rPr>
          <w:rStyle w:val="FootnoteReference"/>
          <w:sz w:val="16"/>
          <w:szCs w:val="16"/>
        </w:rPr>
        <w:footnoteRef/>
      </w:r>
      <w:r w:rsidRPr="00651C2C">
        <w:rPr>
          <w:sz w:val="16"/>
          <w:szCs w:val="16"/>
        </w:rPr>
        <w:t xml:space="preserve"> </w:t>
      </w:r>
      <w:r w:rsidRPr="00651C2C">
        <w:rPr>
          <w:sz w:val="16"/>
          <w:szCs w:val="16"/>
          <w:lang w:val="en-AU"/>
        </w:rPr>
        <w:t xml:space="preserve">Paic, </w:t>
      </w:r>
      <w:r w:rsidRPr="00C059E4">
        <w:rPr>
          <w:sz w:val="16"/>
          <w:szCs w:val="16"/>
          <w:lang w:val="en-AU"/>
        </w:rPr>
        <w:t>A. and C.</w:t>
      </w:r>
      <w:r w:rsidRPr="00651C2C">
        <w:rPr>
          <w:sz w:val="16"/>
          <w:szCs w:val="16"/>
          <w:lang w:val="en-AU"/>
        </w:rPr>
        <w:t xml:space="preserve"> Viros (2019). Governance of science and technology policies. OECD Science, Technology and Industry Policy Papers, No. 84, OECD Publishing, Paris.</w:t>
      </w:r>
      <w:r>
        <w:rPr>
          <w:sz w:val="16"/>
          <w:szCs w:val="16"/>
        </w:rPr>
        <w:t xml:space="preserve"> </w:t>
      </w:r>
      <w:hyperlink r:id="rId82"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93">
    <w:p w14:paraId="18E76141" w14:textId="11526A76" w:rsidR="00400295" w:rsidRPr="006F3420" w:rsidRDefault="00400295" w:rsidP="00660293">
      <w:pPr>
        <w:pStyle w:val="FootnoteText"/>
        <w:rPr>
          <w:sz w:val="16"/>
          <w:szCs w:val="16"/>
          <w:lang w:val="en-AU"/>
        </w:rPr>
      </w:pPr>
      <w:r w:rsidRPr="006F3420">
        <w:rPr>
          <w:rStyle w:val="FootnoteReference"/>
          <w:sz w:val="16"/>
          <w:szCs w:val="16"/>
        </w:rPr>
        <w:footnoteRef/>
      </w:r>
      <w:r>
        <w:rPr>
          <w:sz w:val="16"/>
          <w:szCs w:val="16"/>
          <w:lang w:val="en-AU"/>
        </w:rPr>
        <w:t xml:space="preserve"> </w:t>
      </w:r>
      <w:r w:rsidRPr="00C059E4">
        <w:rPr>
          <w:sz w:val="16"/>
          <w:szCs w:val="16"/>
          <w:lang w:val="en-AU"/>
        </w:rPr>
        <w:t>Paic, A. and C. Viros (2019)</w:t>
      </w:r>
      <w:r>
        <w:rPr>
          <w:sz w:val="16"/>
          <w:szCs w:val="16"/>
          <w:lang w:val="en-AU"/>
        </w:rPr>
        <w:t>.</w:t>
      </w:r>
      <w:r w:rsidRPr="00C059E4">
        <w:rPr>
          <w:sz w:val="16"/>
          <w:szCs w:val="16"/>
          <w:lang w:val="en-AU"/>
        </w:rPr>
        <w:t xml:space="preserve"> Governance of </w:t>
      </w:r>
      <w:r>
        <w:rPr>
          <w:sz w:val="16"/>
          <w:szCs w:val="16"/>
          <w:lang w:val="en-AU"/>
        </w:rPr>
        <w:t>science and technology policies.</w:t>
      </w:r>
      <w:r w:rsidRPr="00C059E4">
        <w:rPr>
          <w:sz w:val="16"/>
          <w:szCs w:val="16"/>
          <w:lang w:val="en-AU"/>
        </w:rPr>
        <w:t xml:space="preserve"> OECD Science, Technology and Industry Policy Papers, No. 84, OECD Publishing, Paris</w:t>
      </w:r>
      <w:r>
        <w:rPr>
          <w:sz w:val="16"/>
          <w:szCs w:val="16"/>
          <w:lang w:val="en-AU"/>
        </w:rPr>
        <w:t>.</w:t>
      </w:r>
      <w:r w:rsidRPr="00C059E4">
        <w:rPr>
          <w:sz w:val="16"/>
          <w:szCs w:val="16"/>
          <w:lang w:val="en-AU"/>
        </w:rPr>
        <w:t xml:space="preserve"> </w:t>
      </w:r>
      <w:hyperlink r:id="rId83"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94">
    <w:p w14:paraId="555C1818" w14:textId="016A2157" w:rsidR="00400295" w:rsidRPr="00A35614" w:rsidRDefault="00400295" w:rsidP="00E744B2">
      <w:pPr>
        <w:pStyle w:val="FootnoteText"/>
        <w:rPr>
          <w:sz w:val="16"/>
          <w:szCs w:val="16"/>
          <w:lang w:val="en-AU"/>
        </w:rPr>
      </w:pPr>
      <w:r w:rsidRPr="00A35614">
        <w:rPr>
          <w:rStyle w:val="FootnoteReference"/>
          <w:sz w:val="16"/>
          <w:szCs w:val="16"/>
        </w:rPr>
        <w:footnoteRef/>
      </w:r>
      <w:r w:rsidRPr="00A35614">
        <w:rPr>
          <w:sz w:val="16"/>
          <w:szCs w:val="16"/>
        </w:rPr>
        <w:t xml:space="preserve"> </w:t>
      </w:r>
      <w:r>
        <w:rPr>
          <w:sz w:val="16"/>
          <w:szCs w:val="16"/>
          <w:lang w:val="en-AU"/>
        </w:rPr>
        <w:t xml:space="preserve">Paic, </w:t>
      </w:r>
      <w:r w:rsidRPr="00C059E4">
        <w:rPr>
          <w:sz w:val="16"/>
          <w:szCs w:val="16"/>
          <w:lang w:val="en-AU"/>
        </w:rPr>
        <w:t>A. and C.</w:t>
      </w:r>
      <w:r>
        <w:rPr>
          <w:sz w:val="16"/>
          <w:szCs w:val="16"/>
          <w:lang w:val="en-AU"/>
        </w:rPr>
        <w:t xml:space="preserve"> Viros (2019).</w:t>
      </w:r>
      <w:r w:rsidRPr="00C059E4">
        <w:rPr>
          <w:sz w:val="16"/>
          <w:szCs w:val="16"/>
          <w:lang w:val="en-AU"/>
        </w:rPr>
        <w:t xml:space="preserve"> Governance of </w:t>
      </w:r>
      <w:r>
        <w:rPr>
          <w:sz w:val="16"/>
          <w:szCs w:val="16"/>
          <w:lang w:val="en-AU"/>
        </w:rPr>
        <w:t>science and technology policies.</w:t>
      </w:r>
      <w:r w:rsidRPr="00C059E4">
        <w:rPr>
          <w:sz w:val="16"/>
          <w:szCs w:val="16"/>
          <w:lang w:val="en-AU"/>
        </w:rPr>
        <w:t xml:space="preserve"> OECD Science, Technology and Industry Policy Papers, No. 84, OECD Publishing, Paris</w:t>
      </w:r>
      <w:r>
        <w:rPr>
          <w:sz w:val="16"/>
          <w:szCs w:val="16"/>
          <w:lang w:val="en-AU"/>
        </w:rPr>
        <w:t>.</w:t>
      </w:r>
      <w:r w:rsidRPr="00C059E4">
        <w:rPr>
          <w:sz w:val="16"/>
          <w:szCs w:val="16"/>
          <w:lang w:val="en-AU"/>
        </w:rPr>
        <w:t xml:space="preserve"> </w:t>
      </w:r>
      <w:hyperlink r:id="rId84"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95">
    <w:p w14:paraId="491546F5" w14:textId="5BDDA127" w:rsidR="00400295" w:rsidRPr="00F05531" w:rsidRDefault="00400295" w:rsidP="00E744B2">
      <w:pPr>
        <w:pStyle w:val="FootnoteText"/>
        <w:rPr>
          <w:sz w:val="16"/>
          <w:szCs w:val="16"/>
          <w:lang w:val="en-AU"/>
        </w:rPr>
      </w:pPr>
      <w:r w:rsidRPr="00F05531">
        <w:rPr>
          <w:rStyle w:val="FootnoteReference"/>
          <w:sz w:val="16"/>
          <w:szCs w:val="16"/>
        </w:rPr>
        <w:footnoteRef/>
      </w:r>
      <w:r w:rsidRPr="00F05531">
        <w:rPr>
          <w:sz w:val="16"/>
          <w:szCs w:val="16"/>
        </w:rPr>
        <w:t xml:space="preserve"> </w:t>
      </w:r>
      <w:r w:rsidRPr="00F05531">
        <w:rPr>
          <w:sz w:val="16"/>
          <w:szCs w:val="16"/>
          <w:lang w:val="en-AU"/>
        </w:rPr>
        <w:t>Guimón</w:t>
      </w:r>
      <w:r>
        <w:rPr>
          <w:sz w:val="16"/>
          <w:szCs w:val="16"/>
          <w:lang w:val="en-AU"/>
        </w:rPr>
        <w:t>, J</w:t>
      </w:r>
      <w:r w:rsidRPr="00F05531">
        <w:rPr>
          <w:sz w:val="16"/>
          <w:szCs w:val="16"/>
          <w:lang w:val="en-AU"/>
        </w:rPr>
        <w:t>. (2019). Policy initiatives to enhance the impact of public research: Promoting excellence, transfer and co-creation, OECD Science, Technology and Industry Policy Papers, No. 81, OECD Publishing, Paris</w:t>
      </w:r>
      <w:r>
        <w:rPr>
          <w:sz w:val="16"/>
          <w:szCs w:val="16"/>
          <w:lang w:val="en-AU"/>
        </w:rPr>
        <w:t xml:space="preserve">. </w:t>
      </w:r>
      <w:hyperlink r:id="rId85" w:tooltip="Link to OECD Science, Technology and Industry Policy Paper 'Policy initiatives to enhance the impact of public research" w:history="1">
        <w:r w:rsidRPr="00A15D27">
          <w:rPr>
            <w:rStyle w:val="Hyperlink"/>
            <w:sz w:val="16"/>
            <w:szCs w:val="16"/>
          </w:rPr>
          <w:t>https://doi.org/10.1787/a4c9197a-en</w:t>
        </w:r>
      </w:hyperlink>
      <w:r>
        <w:rPr>
          <w:rStyle w:val="Hyperlink"/>
          <w:sz w:val="16"/>
          <w:szCs w:val="16"/>
        </w:rPr>
        <w:t xml:space="preserve"> </w:t>
      </w:r>
    </w:p>
  </w:footnote>
  <w:footnote w:id="96">
    <w:p w14:paraId="504FF09B" w14:textId="1A20CF00" w:rsidR="00400295" w:rsidRPr="00A35614" w:rsidRDefault="00400295" w:rsidP="00E744B2">
      <w:pPr>
        <w:pStyle w:val="FootnoteText"/>
        <w:rPr>
          <w:sz w:val="16"/>
          <w:szCs w:val="16"/>
          <w:lang w:val="en-AU"/>
        </w:rPr>
      </w:pPr>
      <w:r w:rsidRPr="00A35614">
        <w:rPr>
          <w:rStyle w:val="FootnoteReference"/>
          <w:sz w:val="16"/>
          <w:szCs w:val="16"/>
        </w:rPr>
        <w:footnoteRef/>
      </w:r>
      <w:r w:rsidRPr="00A35614">
        <w:rPr>
          <w:sz w:val="16"/>
          <w:szCs w:val="16"/>
        </w:rPr>
        <w:t xml:space="preserve"> </w:t>
      </w:r>
      <w:r>
        <w:rPr>
          <w:sz w:val="16"/>
          <w:szCs w:val="16"/>
          <w:lang w:val="en-AU"/>
        </w:rPr>
        <w:t xml:space="preserve">Paic, </w:t>
      </w:r>
      <w:r w:rsidRPr="00C059E4">
        <w:rPr>
          <w:sz w:val="16"/>
          <w:szCs w:val="16"/>
          <w:lang w:val="en-AU"/>
        </w:rPr>
        <w:t>A. and C.</w:t>
      </w:r>
      <w:r>
        <w:rPr>
          <w:sz w:val="16"/>
          <w:szCs w:val="16"/>
          <w:lang w:val="en-AU"/>
        </w:rPr>
        <w:t xml:space="preserve"> Viros (2019).</w:t>
      </w:r>
      <w:r w:rsidRPr="00C059E4">
        <w:rPr>
          <w:sz w:val="16"/>
          <w:szCs w:val="16"/>
          <w:lang w:val="en-AU"/>
        </w:rPr>
        <w:t xml:space="preserve"> Governance of </w:t>
      </w:r>
      <w:r>
        <w:rPr>
          <w:sz w:val="16"/>
          <w:szCs w:val="16"/>
          <w:lang w:val="en-AU"/>
        </w:rPr>
        <w:t>science and technology policies.</w:t>
      </w:r>
      <w:r w:rsidRPr="00C059E4">
        <w:rPr>
          <w:sz w:val="16"/>
          <w:szCs w:val="16"/>
          <w:lang w:val="en-AU"/>
        </w:rPr>
        <w:t xml:space="preserve"> OECD Science, Technology and Industry Policy Papers, No. 84, OECD Publishing, Paris</w:t>
      </w:r>
      <w:r>
        <w:rPr>
          <w:sz w:val="16"/>
          <w:szCs w:val="16"/>
          <w:lang w:val="en-AU"/>
        </w:rPr>
        <w:t>.</w:t>
      </w:r>
      <w:r w:rsidRPr="00C059E4">
        <w:rPr>
          <w:sz w:val="16"/>
          <w:szCs w:val="16"/>
          <w:lang w:val="en-AU"/>
        </w:rPr>
        <w:t xml:space="preserve"> </w:t>
      </w:r>
      <w:hyperlink r:id="rId86"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97">
    <w:p w14:paraId="626E5B05" w14:textId="510045A2" w:rsidR="00400295" w:rsidRPr="00C34B18" w:rsidRDefault="00400295" w:rsidP="00660293">
      <w:pPr>
        <w:pStyle w:val="FootnoteText"/>
        <w:rPr>
          <w:sz w:val="16"/>
          <w:szCs w:val="16"/>
          <w:lang w:val="en-AU"/>
        </w:rPr>
      </w:pPr>
      <w:r w:rsidRPr="00C34B18">
        <w:rPr>
          <w:rStyle w:val="FootnoteReference"/>
          <w:sz w:val="16"/>
          <w:szCs w:val="16"/>
        </w:rPr>
        <w:footnoteRef/>
      </w:r>
      <w:r w:rsidRPr="00C34B18">
        <w:rPr>
          <w:sz w:val="16"/>
          <w:szCs w:val="16"/>
        </w:rPr>
        <w:t xml:space="preserve"> </w:t>
      </w:r>
      <w:r w:rsidRPr="00313C80">
        <w:rPr>
          <w:sz w:val="16"/>
          <w:szCs w:val="16"/>
          <w:lang w:val="en-AU"/>
        </w:rPr>
        <w:t>OECD. (2018). OECD Science, Technology and Innovation Outlook 2018</w:t>
      </w:r>
      <w:r w:rsidRPr="004F6B69">
        <w:rPr>
          <w:sz w:val="16"/>
          <w:szCs w:val="16"/>
          <w:lang w:val="en-AU"/>
        </w:rPr>
        <w:t>: Adapting to Technological and Societal Disruption, OECD Publishing, Paris</w:t>
      </w:r>
      <w:r>
        <w:rPr>
          <w:sz w:val="16"/>
          <w:szCs w:val="16"/>
          <w:lang w:val="en-AU"/>
        </w:rPr>
        <w:t xml:space="preserve">. </w:t>
      </w:r>
      <w:hyperlink r:id="rId87" w:tooltip="Link to OECD's Science, Technology and Innovation Outlook 2018" w:history="1">
        <w:r w:rsidRPr="00A15D27">
          <w:rPr>
            <w:rStyle w:val="Hyperlink"/>
            <w:sz w:val="16"/>
            <w:szCs w:val="16"/>
          </w:rPr>
          <w:t>https://doi.org/10.1787/sti_in_outlook-2018-en</w:t>
        </w:r>
      </w:hyperlink>
      <w:r>
        <w:rPr>
          <w:rStyle w:val="Hyperlink"/>
          <w:sz w:val="16"/>
          <w:szCs w:val="16"/>
        </w:rPr>
        <w:t xml:space="preserve"> </w:t>
      </w:r>
    </w:p>
  </w:footnote>
  <w:footnote w:id="98">
    <w:p w14:paraId="3EA6B9E4" w14:textId="127C36B7" w:rsidR="00400295" w:rsidRPr="00C34B18" w:rsidRDefault="00400295" w:rsidP="00660293">
      <w:pPr>
        <w:pStyle w:val="FootnoteText"/>
        <w:rPr>
          <w:sz w:val="16"/>
          <w:szCs w:val="16"/>
          <w:lang w:val="en-AU"/>
        </w:rPr>
      </w:pPr>
      <w:r w:rsidRPr="00C34B18">
        <w:rPr>
          <w:rStyle w:val="FootnoteReference"/>
          <w:sz w:val="16"/>
          <w:szCs w:val="16"/>
        </w:rPr>
        <w:footnoteRef/>
      </w:r>
      <w:r w:rsidRPr="00C34B18">
        <w:rPr>
          <w:sz w:val="16"/>
          <w:szCs w:val="16"/>
        </w:rPr>
        <w:t xml:space="preserve"> </w:t>
      </w:r>
      <w:r w:rsidRPr="00667542">
        <w:rPr>
          <w:sz w:val="16"/>
          <w:szCs w:val="16"/>
          <w:lang w:val="en-AU"/>
        </w:rPr>
        <w:t>Guimón</w:t>
      </w:r>
      <w:r>
        <w:rPr>
          <w:sz w:val="16"/>
          <w:szCs w:val="16"/>
          <w:lang w:val="en-AU"/>
        </w:rPr>
        <w:t>, J</w:t>
      </w:r>
      <w:r w:rsidRPr="00667542">
        <w:rPr>
          <w:sz w:val="16"/>
          <w:szCs w:val="16"/>
          <w:lang w:val="en-AU"/>
        </w:rPr>
        <w:t>. (2019)</w:t>
      </w:r>
      <w:r>
        <w:rPr>
          <w:sz w:val="16"/>
          <w:szCs w:val="16"/>
          <w:lang w:val="en-AU"/>
        </w:rPr>
        <w:t xml:space="preserve">. </w:t>
      </w:r>
      <w:r w:rsidRPr="00667542">
        <w:rPr>
          <w:sz w:val="16"/>
          <w:szCs w:val="16"/>
          <w:lang w:val="en-AU"/>
        </w:rPr>
        <w:t>Policy initiatives to enhance the impact of public research: Promoting excellence, transfer and co-creation, OECD Science, Technology and Industry Policy Papers, No. 81, OECD Publ</w:t>
      </w:r>
      <w:r>
        <w:rPr>
          <w:sz w:val="16"/>
          <w:szCs w:val="16"/>
          <w:lang w:val="en-AU"/>
        </w:rPr>
        <w:t>ishing, Paris.</w:t>
      </w:r>
      <w:r w:rsidRPr="00667542">
        <w:rPr>
          <w:sz w:val="16"/>
          <w:szCs w:val="16"/>
          <w:lang w:val="en-AU"/>
        </w:rPr>
        <w:t xml:space="preserve"> </w:t>
      </w:r>
      <w:hyperlink r:id="rId88" w:tooltip="Link to OECD Science, Technology and Industry Policy Paper 'Policy initiatives to enhance the impact of public research" w:history="1">
        <w:r w:rsidRPr="00A15D27">
          <w:rPr>
            <w:rStyle w:val="Hyperlink"/>
            <w:sz w:val="16"/>
            <w:szCs w:val="16"/>
          </w:rPr>
          <w:t>https://doi.org/10.1787/a4c9197a-en</w:t>
        </w:r>
      </w:hyperlink>
      <w:r>
        <w:rPr>
          <w:rStyle w:val="Hyperlink"/>
          <w:sz w:val="16"/>
          <w:szCs w:val="16"/>
        </w:rPr>
        <w:t xml:space="preserve"> </w:t>
      </w:r>
    </w:p>
  </w:footnote>
  <w:footnote w:id="99">
    <w:p w14:paraId="7C82207D" w14:textId="703BC0BB" w:rsidR="00400295" w:rsidRPr="00651C2C" w:rsidRDefault="00400295" w:rsidP="009A1BF1">
      <w:pPr>
        <w:pStyle w:val="FootnoteText"/>
        <w:rPr>
          <w:sz w:val="16"/>
          <w:szCs w:val="16"/>
          <w:lang w:val="en-AU"/>
        </w:rPr>
      </w:pPr>
      <w:r w:rsidRPr="00F76545">
        <w:rPr>
          <w:rStyle w:val="FootnoteReference"/>
          <w:sz w:val="16"/>
          <w:szCs w:val="16"/>
        </w:rPr>
        <w:footnoteRef/>
      </w:r>
      <w:r w:rsidRPr="00CD345B">
        <w:rPr>
          <w:sz w:val="16"/>
          <w:szCs w:val="16"/>
        </w:rPr>
        <w:t xml:space="preserve"> ARENA. (2019). ARENA general funding </w:t>
      </w:r>
      <w:r w:rsidRPr="00651C2C">
        <w:rPr>
          <w:sz w:val="16"/>
          <w:szCs w:val="16"/>
        </w:rPr>
        <w:t>strategy 2019/20–2021/2022.</w:t>
      </w:r>
      <w:r>
        <w:rPr>
          <w:sz w:val="16"/>
          <w:szCs w:val="16"/>
        </w:rPr>
        <w:t xml:space="preserve"> </w:t>
      </w:r>
      <w:hyperlink r:id="rId89" w:tooltip="Link to ARENA general funding strategy 2019/20–2021/2022" w:history="1">
        <w:r w:rsidRPr="00651C2C">
          <w:rPr>
            <w:rStyle w:val="Hyperlink"/>
            <w:sz w:val="16"/>
            <w:szCs w:val="16"/>
          </w:rPr>
          <w:t>https://arena.gov.au/assets/2019/09/2019-22-arena-general-funding-strategy.pdf</w:t>
        </w:r>
      </w:hyperlink>
    </w:p>
  </w:footnote>
  <w:footnote w:id="100">
    <w:p w14:paraId="78CE53B2" w14:textId="7C7347A3" w:rsidR="00400295" w:rsidRPr="00651C2C" w:rsidRDefault="00400295" w:rsidP="003507EB">
      <w:pPr>
        <w:pStyle w:val="FootnoteText"/>
        <w:rPr>
          <w:sz w:val="16"/>
          <w:szCs w:val="16"/>
          <w:lang w:val="en-AU"/>
        </w:rPr>
      </w:pPr>
      <w:r w:rsidRPr="00651C2C">
        <w:rPr>
          <w:rStyle w:val="FootnoteReference"/>
          <w:sz w:val="16"/>
          <w:szCs w:val="16"/>
        </w:rPr>
        <w:footnoteRef/>
      </w:r>
      <w:r w:rsidRPr="00651C2C">
        <w:rPr>
          <w:sz w:val="16"/>
          <w:szCs w:val="16"/>
        </w:rPr>
        <w:t xml:space="preserve"> </w:t>
      </w:r>
      <w:r w:rsidRPr="00A15D27">
        <w:rPr>
          <w:sz w:val="16"/>
          <w:szCs w:val="16"/>
        </w:rPr>
        <w:t>Defence Science and Technology Group publishes its Technical Risk Assessment Handbook which provides Defence personnel and relevant stakeholders with a process and best-practice guide to the assessment of technical risks for major capital acquisition programs. It provides the framework in which DSTG Project Science and Technology Advisers report the technical risks identified and assessed in major capital acquisitions.</w:t>
      </w:r>
      <w:r>
        <w:rPr>
          <w:sz w:val="16"/>
          <w:szCs w:val="16"/>
        </w:rPr>
        <w:t xml:space="preserve"> DST Group. </w:t>
      </w:r>
      <w:r w:rsidRPr="00A15D27">
        <w:rPr>
          <w:sz w:val="16"/>
          <w:szCs w:val="16"/>
        </w:rPr>
        <w:t>(2010). Technical Risk Assessment Handbook</w:t>
      </w:r>
      <w:r>
        <w:rPr>
          <w:sz w:val="16"/>
          <w:szCs w:val="16"/>
        </w:rPr>
        <w:t>.</w:t>
      </w:r>
      <w:r>
        <w:rPr>
          <w:rStyle w:val="Hyperlink"/>
          <w:sz w:val="16"/>
          <w:szCs w:val="16"/>
        </w:rPr>
        <w:t xml:space="preserve"> </w:t>
      </w:r>
      <w:hyperlink r:id="rId90" w:tooltip="Link to DST Group's Technical Risk Assessment Handbook" w:history="1">
        <w:r w:rsidRPr="00A15D27">
          <w:rPr>
            <w:rStyle w:val="Hyperlink"/>
            <w:sz w:val="16"/>
            <w:szCs w:val="16"/>
          </w:rPr>
          <w:t>www.dst.defence.gov.au/sites/default/files/basic_pages/documents/Technical-Risk-Assessment-Handbook_2.pdf</w:t>
        </w:r>
      </w:hyperlink>
      <w:r>
        <w:rPr>
          <w:rStyle w:val="Hyperlink"/>
          <w:sz w:val="16"/>
          <w:szCs w:val="16"/>
        </w:rPr>
        <w:t xml:space="preserve"> </w:t>
      </w:r>
    </w:p>
  </w:footnote>
  <w:footnote w:id="101">
    <w:p w14:paraId="1E6DC4E2" w14:textId="25CDDBD1" w:rsidR="00400295" w:rsidRPr="00651C2C" w:rsidRDefault="00400295" w:rsidP="003507EB">
      <w:pPr>
        <w:pStyle w:val="FootnoteText"/>
        <w:rPr>
          <w:sz w:val="16"/>
          <w:szCs w:val="16"/>
          <w:lang w:val="en-AU"/>
        </w:rPr>
      </w:pPr>
      <w:r w:rsidRPr="00651C2C">
        <w:rPr>
          <w:rStyle w:val="FootnoteReference"/>
          <w:sz w:val="16"/>
          <w:szCs w:val="16"/>
        </w:rPr>
        <w:footnoteRef/>
      </w:r>
      <w:r w:rsidRPr="00651C2C">
        <w:rPr>
          <w:sz w:val="16"/>
          <w:szCs w:val="16"/>
        </w:rPr>
        <w:t xml:space="preserve"> Department of Industry, Innovation and Science, 2019, Entrepreneurs' Programme - Programme guidelines, 2019</w:t>
      </w:r>
      <w:r>
        <w:rPr>
          <w:sz w:val="16"/>
          <w:szCs w:val="16"/>
        </w:rPr>
        <w:t xml:space="preserve">. </w:t>
      </w:r>
      <w:hyperlink r:id="rId91" w:tooltip="Link to Entrepreneurs' Programme Guidelines 2019" w:history="1">
        <w:r w:rsidRPr="007E5CCA">
          <w:rPr>
            <w:rStyle w:val="Hyperlink"/>
            <w:sz w:val="16"/>
            <w:szCs w:val="16"/>
          </w:rPr>
          <w:t>www.business.gov.au/Grants-and-Programs/Entrepreneurs-Programme</w:t>
        </w:r>
      </w:hyperlink>
      <w:r w:rsidRPr="00651C2C">
        <w:rPr>
          <w:sz w:val="16"/>
          <w:szCs w:val="16"/>
        </w:rPr>
        <w:t xml:space="preserve"> </w:t>
      </w:r>
    </w:p>
  </w:footnote>
  <w:footnote w:id="102">
    <w:p w14:paraId="2A739B09" w14:textId="1776F968" w:rsidR="00400295" w:rsidRPr="00F310D6" w:rsidRDefault="00400295" w:rsidP="00820C96">
      <w:pPr>
        <w:pStyle w:val="FootnoteText"/>
        <w:rPr>
          <w:sz w:val="16"/>
          <w:szCs w:val="16"/>
          <w:lang w:val="en-AU"/>
        </w:rPr>
      </w:pPr>
      <w:r w:rsidRPr="00F310D6">
        <w:rPr>
          <w:rStyle w:val="FootnoteReference"/>
          <w:sz w:val="16"/>
          <w:szCs w:val="16"/>
        </w:rPr>
        <w:footnoteRef/>
      </w:r>
      <w:r w:rsidRPr="00F310D6">
        <w:rPr>
          <w:sz w:val="16"/>
          <w:szCs w:val="16"/>
        </w:rPr>
        <w:t xml:space="preserve"> Mazzucato. (2015). What is government’s role in sparking innovation? </w:t>
      </w:r>
      <w:hyperlink r:id="rId92" w:tooltip="Link to Maxxucato report 'What is government’s role in sparking innovation'" w:history="1">
        <w:r w:rsidRPr="00F310D6">
          <w:rPr>
            <w:rStyle w:val="Hyperlink"/>
            <w:sz w:val="16"/>
            <w:szCs w:val="16"/>
          </w:rPr>
          <w:t>www.weforum.org/agenda/2015/04/what-is-governments-role-in-sparking-innovation</w:t>
        </w:r>
      </w:hyperlink>
      <w:r w:rsidRPr="00F310D6">
        <w:rPr>
          <w:rStyle w:val="Hyperlink"/>
          <w:sz w:val="16"/>
          <w:szCs w:val="16"/>
        </w:rPr>
        <w:t xml:space="preserve"> </w:t>
      </w:r>
    </w:p>
  </w:footnote>
  <w:footnote w:id="103">
    <w:p w14:paraId="55A49317" w14:textId="4A4ADA6E" w:rsidR="00400295" w:rsidRPr="00F310D6" w:rsidRDefault="00400295" w:rsidP="00820C96">
      <w:pPr>
        <w:pStyle w:val="FootnoteText"/>
        <w:rPr>
          <w:sz w:val="16"/>
          <w:szCs w:val="16"/>
          <w:lang w:val="en-AU"/>
        </w:rPr>
      </w:pPr>
      <w:r w:rsidRPr="00F310D6">
        <w:rPr>
          <w:rStyle w:val="FootnoteReference"/>
          <w:sz w:val="16"/>
          <w:szCs w:val="16"/>
        </w:rPr>
        <w:footnoteRef/>
      </w:r>
      <w:r w:rsidRPr="00F310D6">
        <w:rPr>
          <w:sz w:val="16"/>
          <w:szCs w:val="16"/>
        </w:rPr>
        <w:t xml:space="preserve"> Mazzucato. (2015). What is government’s role in sparking innovation? </w:t>
      </w:r>
      <w:hyperlink r:id="rId93" w:tooltip="Link to Maxxucato report 'What is government’s role in sparking innovation'" w:history="1">
        <w:r w:rsidRPr="00F310D6">
          <w:rPr>
            <w:rStyle w:val="Hyperlink"/>
            <w:sz w:val="16"/>
            <w:szCs w:val="16"/>
          </w:rPr>
          <w:t>www.weforum.org/agenda/2015/04/what-is-governments-role-in-sparking-innovation</w:t>
        </w:r>
      </w:hyperlink>
      <w:r w:rsidRPr="00F310D6">
        <w:rPr>
          <w:rStyle w:val="Hyperlink"/>
          <w:sz w:val="16"/>
          <w:szCs w:val="16"/>
        </w:rPr>
        <w:t xml:space="preserve"> </w:t>
      </w:r>
    </w:p>
  </w:footnote>
  <w:footnote w:id="104">
    <w:p w14:paraId="41B8E420" w14:textId="6EC24F20" w:rsidR="00400295" w:rsidRPr="00F310D6" w:rsidRDefault="00400295" w:rsidP="00302605">
      <w:pPr>
        <w:pStyle w:val="FootnoteText"/>
        <w:rPr>
          <w:sz w:val="16"/>
          <w:szCs w:val="16"/>
          <w:lang w:val="en-AU"/>
        </w:rPr>
      </w:pPr>
      <w:r w:rsidRPr="00F310D6">
        <w:rPr>
          <w:rStyle w:val="FootnoteReference"/>
          <w:sz w:val="16"/>
          <w:szCs w:val="16"/>
        </w:rPr>
        <w:footnoteRef/>
      </w:r>
      <w:r w:rsidRPr="00F310D6">
        <w:rPr>
          <w:sz w:val="16"/>
          <w:szCs w:val="16"/>
        </w:rPr>
        <w:t xml:space="preserve"> </w:t>
      </w:r>
      <w:r w:rsidRPr="00F310D6">
        <w:rPr>
          <w:sz w:val="16"/>
          <w:szCs w:val="16"/>
          <w:lang w:val="en-AU"/>
        </w:rPr>
        <w:t xml:space="preserve">Paic, A. and C. Viros (2019). Governance of science and technology policies. OECD Science, Technology and Industry Policy Papers, No. 84, OECD Publishing, Paris. </w:t>
      </w:r>
      <w:hyperlink r:id="rId94" w:tooltip="Link to OECD Governance of science and technology policies report" w:history="1">
        <w:r w:rsidRPr="00F310D6">
          <w:rPr>
            <w:rStyle w:val="Hyperlink"/>
            <w:sz w:val="16"/>
            <w:szCs w:val="16"/>
          </w:rPr>
          <w:t>https://doi.org/10.1787/2b3bc558-en</w:t>
        </w:r>
      </w:hyperlink>
      <w:r w:rsidRPr="00F310D6">
        <w:rPr>
          <w:rStyle w:val="Hyperlink"/>
          <w:sz w:val="16"/>
          <w:szCs w:val="16"/>
        </w:rPr>
        <w:t xml:space="preserve"> </w:t>
      </w:r>
    </w:p>
  </w:footnote>
  <w:footnote w:id="105">
    <w:p w14:paraId="0D779C81" w14:textId="354F532D" w:rsidR="00400295" w:rsidRPr="00F310D6" w:rsidRDefault="00400295" w:rsidP="00AD6153">
      <w:pPr>
        <w:pStyle w:val="FootnoteText"/>
        <w:rPr>
          <w:sz w:val="16"/>
          <w:szCs w:val="16"/>
        </w:rPr>
      </w:pPr>
      <w:r w:rsidRPr="00F310D6">
        <w:rPr>
          <w:rStyle w:val="FootnoteReference"/>
          <w:sz w:val="16"/>
          <w:szCs w:val="16"/>
        </w:rPr>
        <w:footnoteRef/>
      </w:r>
      <w:r w:rsidRPr="00F310D6">
        <w:rPr>
          <w:sz w:val="16"/>
          <w:szCs w:val="16"/>
        </w:rPr>
        <w:t xml:space="preserve"> House of Representatives Standing Committee on Employment, Education and Training. (2018). Inquiry into funding Australia's research report: Australian Government Funding Arrangements for non-NHMRC Research. </w:t>
      </w:r>
      <w:hyperlink r:id="rId95" w:tooltip="Link to Inquiry into funding Australia's research report" w:history="1">
        <w:r w:rsidRPr="00F310D6">
          <w:rPr>
            <w:rStyle w:val="Hyperlink"/>
            <w:sz w:val="16"/>
            <w:szCs w:val="16"/>
          </w:rPr>
          <w:t>https://parlinfo.aph.gov.au/parlInfo/download/committees/reportrep/024212/toc_pdf/AustralianGovernmentFundingArrangementsfornon-NHMRCResearch.pdf;fileType=application%2Fpdf</w:t>
        </w:r>
      </w:hyperlink>
      <w:r w:rsidRPr="00F310D6">
        <w:rPr>
          <w:rStyle w:val="Hyperlink"/>
          <w:sz w:val="16"/>
          <w:szCs w:val="16"/>
        </w:rPr>
        <w:t xml:space="preserve"> </w:t>
      </w:r>
    </w:p>
  </w:footnote>
  <w:footnote w:id="106">
    <w:p w14:paraId="50C553DF" w14:textId="7154D500" w:rsidR="00400295" w:rsidRPr="00724690" w:rsidRDefault="00400295">
      <w:pPr>
        <w:pStyle w:val="FootnoteText"/>
        <w:rPr>
          <w:sz w:val="16"/>
          <w:szCs w:val="16"/>
          <w:lang w:val="en-AU"/>
        </w:rPr>
      </w:pPr>
      <w:r w:rsidRPr="00724690">
        <w:rPr>
          <w:rStyle w:val="FootnoteReference"/>
          <w:sz w:val="16"/>
          <w:szCs w:val="16"/>
        </w:rPr>
        <w:footnoteRef/>
      </w:r>
      <w:r w:rsidRPr="00724690">
        <w:rPr>
          <w:sz w:val="16"/>
          <w:szCs w:val="16"/>
        </w:rPr>
        <w:t xml:space="preserve"> Australian Department of Industry, Innovation and Science. (2019). Science, Research and Innovation Budget Tables 2019–20. </w:t>
      </w:r>
      <w:hyperlink r:id="rId96" w:tooltip="Link to SRI budget tables 2019-20 data" w:history="1">
        <w:r w:rsidRPr="00724690">
          <w:rPr>
            <w:rStyle w:val="Hyperlink"/>
            <w:sz w:val="16"/>
            <w:szCs w:val="16"/>
          </w:rPr>
          <w:t>www.industry.gov.au/sites/default/files/2019-09/2019-20-sri-budget-tables.xlsx</w:t>
        </w:r>
      </w:hyperlink>
      <w:r w:rsidRPr="00724690">
        <w:rPr>
          <w:rStyle w:val="Hyperlink"/>
          <w:sz w:val="16"/>
          <w:szCs w:val="16"/>
        </w:rPr>
        <w:t xml:space="preserve"> </w:t>
      </w:r>
    </w:p>
  </w:footnote>
  <w:footnote w:id="107">
    <w:p w14:paraId="57838615" w14:textId="14E7F048" w:rsidR="00400295" w:rsidRPr="00724690" w:rsidRDefault="00400295">
      <w:pPr>
        <w:pStyle w:val="FootnoteText"/>
        <w:rPr>
          <w:sz w:val="16"/>
          <w:szCs w:val="16"/>
          <w:lang w:val="en-AU"/>
        </w:rPr>
      </w:pPr>
      <w:r w:rsidRPr="00724690">
        <w:rPr>
          <w:rStyle w:val="FootnoteReference"/>
          <w:sz w:val="16"/>
          <w:szCs w:val="16"/>
        </w:rPr>
        <w:footnoteRef/>
      </w:r>
      <w:r w:rsidRPr="00724690">
        <w:rPr>
          <w:sz w:val="16"/>
          <w:szCs w:val="16"/>
          <w:lang w:val="en-AU"/>
        </w:rPr>
        <w:t xml:space="preserve"> Australian Biological Resources Study. </w:t>
      </w:r>
      <w:hyperlink r:id="rId97" w:history="1">
        <w:r w:rsidRPr="00724690">
          <w:rPr>
            <w:rStyle w:val="Hyperlink"/>
            <w:sz w:val="16"/>
            <w:szCs w:val="16"/>
            <w:lang w:val="en-AU"/>
          </w:rPr>
          <w:t>www.ala.org.au/who-we-are-3/atlas-background/atlas-partners/ala-community/australian-biological-resources-study-abrs/</w:t>
        </w:r>
      </w:hyperlink>
      <w:r w:rsidRPr="00724690">
        <w:rPr>
          <w:sz w:val="16"/>
          <w:szCs w:val="16"/>
          <w:lang w:val="en-AU"/>
        </w:rPr>
        <w:t xml:space="preserve"> </w:t>
      </w:r>
    </w:p>
  </w:footnote>
  <w:footnote w:id="108">
    <w:p w14:paraId="3BF3A5C3" w14:textId="644D4DD0" w:rsidR="00400295" w:rsidRPr="00724690" w:rsidRDefault="00400295" w:rsidP="0021046C">
      <w:pPr>
        <w:pStyle w:val="FootnoteText"/>
        <w:rPr>
          <w:sz w:val="16"/>
          <w:szCs w:val="16"/>
          <w:lang w:val="en-AU"/>
        </w:rPr>
      </w:pPr>
      <w:r w:rsidRPr="00724690">
        <w:rPr>
          <w:rStyle w:val="FootnoteReference"/>
          <w:sz w:val="16"/>
          <w:szCs w:val="16"/>
        </w:rPr>
        <w:footnoteRef/>
      </w:r>
      <w:r w:rsidRPr="00724690">
        <w:rPr>
          <w:sz w:val="16"/>
          <w:szCs w:val="16"/>
        </w:rPr>
        <w:t xml:space="preserve"> </w:t>
      </w:r>
      <w:r w:rsidRPr="00724690">
        <w:rPr>
          <w:sz w:val="16"/>
          <w:szCs w:val="16"/>
          <w:lang w:val="en-AU"/>
        </w:rPr>
        <w:t xml:space="preserve">Department of Health and Ageing, Australian Government. (2020). Medical Research Future Fund. </w:t>
      </w:r>
      <w:hyperlink r:id="rId98" w:history="1">
        <w:r w:rsidRPr="00724690">
          <w:rPr>
            <w:rStyle w:val="Hyperlink"/>
            <w:sz w:val="16"/>
            <w:szCs w:val="16"/>
          </w:rPr>
          <w:t>www.health.gov.au/initiatives-and-programs/medical-research-future-fund</w:t>
        </w:r>
      </w:hyperlink>
      <w:r>
        <w:rPr>
          <w:rStyle w:val="Hyperlink"/>
          <w:sz w:val="16"/>
          <w:szCs w:val="16"/>
        </w:rPr>
        <w:t xml:space="preserve"> </w:t>
      </w:r>
    </w:p>
  </w:footnote>
  <w:footnote w:id="109">
    <w:p w14:paraId="0D2AF43F" w14:textId="4F7D9787" w:rsidR="00400295" w:rsidRPr="00724690" w:rsidRDefault="00400295" w:rsidP="0021046C">
      <w:pPr>
        <w:pStyle w:val="FootnoteText"/>
        <w:rPr>
          <w:sz w:val="16"/>
          <w:szCs w:val="16"/>
          <w:lang w:val="en-AU"/>
        </w:rPr>
      </w:pPr>
      <w:r w:rsidRPr="00724690">
        <w:rPr>
          <w:rStyle w:val="FootnoteReference"/>
          <w:sz w:val="16"/>
          <w:szCs w:val="16"/>
        </w:rPr>
        <w:footnoteRef/>
      </w:r>
      <w:r w:rsidRPr="00724690">
        <w:rPr>
          <w:sz w:val="16"/>
          <w:szCs w:val="16"/>
        </w:rPr>
        <w:t xml:space="preserve"> Australian Department of Industry, Innovation and Science. (2019). Science, Research and Innovation Budget Tables 2019–20. </w:t>
      </w:r>
      <w:hyperlink r:id="rId99" w:tooltip="Link to SRI budget tables 2019-20 data" w:history="1">
        <w:r w:rsidRPr="00724690">
          <w:rPr>
            <w:rStyle w:val="Hyperlink"/>
            <w:sz w:val="16"/>
            <w:szCs w:val="16"/>
          </w:rPr>
          <w:t>www.industry.gov.au/sites/default/files/2019-09/2019-20-sri-budget-tables.xlsx</w:t>
        </w:r>
      </w:hyperlink>
      <w:r w:rsidRPr="00724690">
        <w:rPr>
          <w:rStyle w:val="Hyperlink"/>
          <w:sz w:val="16"/>
          <w:szCs w:val="16"/>
        </w:rPr>
        <w:t xml:space="preserve"> </w:t>
      </w:r>
    </w:p>
  </w:footnote>
  <w:footnote w:id="110">
    <w:p w14:paraId="01067B6E" w14:textId="479CA5C3" w:rsidR="00400295" w:rsidRPr="00724690" w:rsidRDefault="00400295" w:rsidP="00AD6153">
      <w:pPr>
        <w:pStyle w:val="FootnoteText"/>
        <w:rPr>
          <w:sz w:val="16"/>
          <w:szCs w:val="16"/>
          <w:lang w:val="en-AU"/>
        </w:rPr>
      </w:pPr>
      <w:r w:rsidRPr="00724690">
        <w:rPr>
          <w:rStyle w:val="FootnoteReference"/>
          <w:sz w:val="16"/>
          <w:szCs w:val="16"/>
        </w:rPr>
        <w:footnoteRef/>
      </w:r>
      <w:r w:rsidRPr="00724690">
        <w:rPr>
          <w:sz w:val="16"/>
          <w:szCs w:val="16"/>
        </w:rPr>
        <w:t xml:space="preserve"> Ministry of Business, Innovation and Employment. (2019). New Zealand’s Research, Science and Innovation Strategy: draft for consultation. </w:t>
      </w:r>
      <w:hyperlink r:id="rId100" w:history="1">
        <w:r w:rsidRPr="00724690">
          <w:rPr>
            <w:rStyle w:val="Hyperlink"/>
            <w:sz w:val="16"/>
            <w:szCs w:val="16"/>
          </w:rPr>
          <w:t>www.mbie.govt.nz/dmsdocument/6935-new-zealands-research-science-and-innovation-strategydraft-for-consultation</w:t>
        </w:r>
      </w:hyperlink>
      <w:r>
        <w:rPr>
          <w:rStyle w:val="Hyperlink"/>
          <w:sz w:val="16"/>
          <w:szCs w:val="16"/>
        </w:rPr>
        <w:t xml:space="preserve"> </w:t>
      </w:r>
    </w:p>
  </w:footnote>
  <w:footnote w:id="111">
    <w:p w14:paraId="70BEE658" w14:textId="308B05E2" w:rsidR="00400295" w:rsidRPr="00BB72C8" w:rsidRDefault="00400295" w:rsidP="00612B3C">
      <w:pPr>
        <w:pStyle w:val="FootnoteText"/>
        <w:rPr>
          <w:sz w:val="16"/>
          <w:szCs w:val="16"/>
          <w:lang w:val="en-AU"/>
        </w:rPr>
      </w:pPr>
      <w:r w:rsidRPr="00BB72C8">
        <w:rPr>
          <w:rStyle w:val="FootnoteReference"/>
          <w:sz w:val="16"/>
          <w:szCs w:val="16"/>
        </w:rPr>
        <w:footnoteRef/>
      </w:r>
      <w:r w:rsidRPr="00BB72C8">
        <w:rPr>
          <w:sz w:val="16"/>
          <w:szCs w:val="16"/>
        </w:rPr>
        <w:t xml:space="preserve"> UKRI. (2019). Industrial Strategy Challenge Fund.</w:t>
      </w:r>
      <w:r>
        <w:rPr>
          <w:sz w:val="16"/>
          <w:szCs w:val="16"/>
        </w:rPr>
        <w:t xml:space="preserve"> </w:t>
      </w:r>
      <w:hyperlink r:id="rId101" w:tooltip="Link to UKRI Industrial Strategy Challenge Fund webpage" w:history="1">
        <w:r w:rsidRPr="00104986">
          <w:rPr>
            <w:rStyle w:val="Hyperlink"/>
            <w:sz w:val="16"/>
            <w:szCs w:val="16"/>
          </w:rPr>
          <w:t>www.ukri.org/innovation/industrial-strategy-challenge-fund</w:t>
        </w:r>
      </w:hyperlink>
      <w:r>
        <w:rPr>
          <w:rStyle w:val="Hyperlink"/>
          <w:sz w:val="16"/>
          <w:szCs w:val="16"/>
        </w:rPr>
        <w:t xml:space="preserve"> </w:t>
      </w:r>
    </w:p>
  </w:footnote>
  <w:footnote w:id="112">
    <w:p w14:paraId="29C7C50C" w14:textId="413B1840" w:rsidR="00400295" w:rsidRPr="0099725F" w:rsidRDefault="00400295" w:rsidP="004C615A">
      <w:pPr>
        <w:pStyle w:val="FootnoteText"/>
        <w:rPr>
          <w:sz w:val="16"/>
          <w:szCs w:val="16"/>
          <w:lang w:val="en-AU"/>
        </w:rPr>
      </w:pPr>
      <w:r w:rsidRPr="0099725F">
        <w:rPr>
          <w:rStyle w:val="FootnoteReference"/>
          <w:sz w:val="16"/>
          <w:szCs w:val="16"/>
        </w:rPr>
        <w:footnoteRef/>
      </w:r>
      <w:r w:rsidRPr="0099725F">
        <w:rPr>
          <w:sz w:val="16"/>
          <w:szCs w:val="16"/>
        </w:rPr>
        <w:t xml:space="preserve"> </w:t>
      </w:r>
      <w:r w:rsidRPr="00040E42">
        <w:rPr>
          <w:sz w:val="16"/>
          <w:szCs w:val="16"/>
        </w:rPr>
        <w:t>Australian Department of Industry, Innovation and Science</w:t>
      </w:r>
      <w:r>
        <w:rPr>
          <w:sz w:val="16"/>
          <w:szCs w:val="16"/>
        </w:rPr>
        <w:t>. (2019).</w:t>
      </w:r>
      <w:r w:rsidRPr="00040E42">
        <w:rPr>
          <w:sz w:val="16"/>
          <w:szCs w:val="16"/>
        </w:rPr>
        <w:t xml:space="preserve"> Science, Research and Innovation Budget Tables 2019</w:t>
      </w:r>
      <w:r>
        <w:rPr>
          <w:sz w:val="16"/>
          <w:szCs w:val="16"/>
        </w:rPr>
        <w:t>–</w:t>
      </w:r>
      <w:r w:rsidRPr="00040E42">
        <w:rPr>
          <w:sz w:val="16"/>
          <w:szCs w:val="16"/>
        </w:rPr>
        <w:t>20.</w:t>
      </w:r>
      <w:r w:rsidRPr="0099725F">
        <w:rPr>
          <w:sz w:val="16"/>
          <w:szCs w:val="16"/>
        </w:rPr>
        <w:t xml:space="preserve"> </w:t>
      </w:r>
      <w:hyperlink r:id="rId102" w:tooltip="Link to SRI budget tables 2019-20 data" w:history="1">
        <w:r w:rsidRPr="00A15D27">
          <w:rPr>
            <w:rStyle w:val="Hyperlink"/>
            <w:sz w:val="16"/>
            <w:szCs w:val="16"/>
          </w:rPr>
          <w:t>www.industry.gov.au/sites/default/files/2019-09/2019-20-sri-budget-tables.xlsx</w:t>
        </w:r>
      </w:hyperlink>
      <w:r>
        <w:rPr>
          <w:rStyle w:val="Hyperlink"/>
          <w:sz w:val="16"/>
          <w:szCs w:val="16"/>
        </w:rPr>
        <w:t xml:space="preserve"> </w:t>
      </w:r>
    </w:p>
  </w:footnote>
  <w:footnote w:id="113">
    <w:p w14:paraId="253D2314" w14:textId="7B1294C7" w:rsidR="00400295" w:rsidRPr="00572491" w:rsidRDefault="00400295" w:rsidP="00AD6153">
      <w:pPr>
        <w:pStyle w:val="FootnoteText"/>
        <w:rPr>
          <w:sz w:val="16"/>
          <w:szCs w:val="16"/>
          <w:lang w:val="en-AU"/>
        </w:rPr>
      </w:pPr>
      <w:r w:rsidRPr="00572491">
        <w:rPr>
          <w:rStyle w:val="FootnoteReference"/>
          <w:sz w:val="16"/>
          <w:szCs w:val="16"/>
        </w:rPr>
        <w:footnoteRef/>
      </w:r>
      <w:r w:rsidRPr="00572491">
        <w:rPr>
          <w:sz w:val="16"/>
          <w:szCs w:val="16"/>
        </w:rPr>
        <w:t xml:space="preserve"> </w:t>
      </w:r>
      <w:r w:rsidRPr="00572491">
        <w:rPr>
          <w:sz w:val="16"/>
          <w:szCs w:val="16"/>
          <w:lang w:val="en-AU"/>
        </w:rPr>
        <w:t>For this analysis we have assumed that the SRI categorisations of competitive funding (where applications for funding or entries to a competition are judged by a panel against selection criteria), targeted funding (where funding is allocated in order to address particular challenges or to accomplish particular objectives) and competitive/targeted funding (a combination of the previous two categories) are considered to be targeted investments. There were a few exceptions for some competitive funding investments, which were assessed as being broad-based measures. These exceptions included: CRC, ARC</w:t>
      </w:r>
      <w:r w:rsidRPr="00572491">
        <w:rPr>
          <w:sz w:val="16"/>
          <w:szCs w:val="16"/>
        </w:rPr>
        <w:t xml:space="preserve"> National Competitive</w:t>
      </w:r>
      <w:r w:rsidRPr="00572491">
        <w:rPr>
          <w:sz w:val="16"/>
          <w:szCs w:val="16"/>
          <w:lang w:val="en-AU"/>
        </w:rPr>
        <w:t xml:space="preserve"> Grants</w:t>
      </w:r>
      <w:r w:rsidRPr="00572491">
        <w:rPr>
          <w:sz w:val="16"/>
          <w:szCs w:val="16"/>
        </w:rPr>
        <w:t xml:space="preserve"> Program,</w:t>
      </w:r>
      <w:r w:rsidRPr="00572491">
        <w:rPr>
          <w:sz w:val="16"/>
          <w:szCs w:val="16"/>
          <w:lang w:val="en-AU"/>
        </w:rPr>
        <w:t xml:space="preserve"> Innovation Investment </w:t>
      </w:r>
      <w:r w:rsidRPr="00572491">
        <w:rPr>
          <w:sz w:val="16"/>
          <w:szCs w:val="16"/>
        </w:rPr>
        <w:t>F</w:t>
      </w:r>
      <w:r w:rsidRPr="00572491">
        <w:rPr>
          <w:sz w:val="16"/>
          <w:szCs w:val="16"/>
          <w:lang w:val="en-AU"/>
        </w:rPr>
        <w:t>und</w:t>
      </w:r>
      <w:r w:rsidRPr="00572491">
        <w:rPr>
          <w:sz w:val="16"/>
          <w:szCs w:val="16"/>
        </w:rPr>
        <w:t>, Inspiring Australia, Public Sector Modernisation Fund, Global Innovation Strategy, and Oversight of Significant Digital and ICT Initiatives programs</w:t>
      </w:r>
      <w:r w:rsidRPr="00572491">
        <w:rPr>
          <w:sz w:val="16"/>
          <w:szCs w:val="16"/>
          <w:lang w:val="en-AU"/>
        </w:rPr>
        <w:t xml:space="preserve">. </w:t>
      </w:r>
      <w:r w:rsidRPr="00572491">
        <w:rPr>
          <w:sz w:val="16"/>
          <w:szCs w:val="16"/>
        </w:rPr>
        <w:t>Assessment of programs class</w:t>
      </w:r>
      <w:r>
        <w:rPr>
          <w:sz w:val="16"/>
          <w:szCs w:val="16"/>
        </w:rPr>
        <w:t>ified as annual, restricted non</w:t>
      </w:r>
      <w:r>
        <w:rPr>
          <w:sz w:val="16"/>
          <w:szCs w:val="16"/>
        </w:rPr>
        <w:noBreakHyphen/>
      </w:r>
      <w:r w:rsidRPr="00572491">
        <w:rPr>
          <w:sz w:val="16"/>
          <w:szCs w:val="16"/>
        </w:rPr>
        <w:t xml:space="preserve">competitive, other or were uncategorised in the </w:t>
      </w:r>
      <w:r>
        <w:rPr>
          <w:sz w:val="16"/>
          <w:szCs w:val="16"/>
        </w:rPr>
        <w:t xml:space="preserve">2019–20 </w:t>
      </w:r>
      <w:r w:rsidRPr="00572491">
        <w:rPr>
          <w:sz w:val="16"/>
          <w:szCs w:val="16"/>
        </w:rPr>
        <w:t xml:space="preserve">SRI Budget Tables were assessed as targeted investments. </w:t>
      </w:r>
      <w:r>
        <w:rPr>
          <w:sz w:val="16"/>
          <w:szCs w:val="16"/>
          <w:lang w:val="en-AU"/>
        </w:rPr>
        <w:t>Broad</w:t>
      </w:r>
      <w:r>
        <w:rPr>
          <w:sz w:val="16"/>
          <w:szCs w:val="16"/>
          <w:lang w:val="en-AU"/>
        </w:rPr>
        <w:noBreakHyphen/>
      </w:r>
      <w:r w:rsidRPr="00572491">
        <w:rPr>
          <w:sz w:val="16"/>
          <w:szCs w:val="16"/>
          <w:lang w:val="en-AU"/>
        </w:rPr>
        <w:t>based investments included entitlement funding (where an organisation undertaking e</w:t>
      </w:r>
      <w:r>
        <w:rPr>
          <w:sz w:val="16"/>
          <w:szCs w:val="16"/>
          <w:lang w:val="en-AU"/>
        </w:rPr>
        <w:t>ligible activities receives pre</w:t>
      </w:r>
      <w:r>
        <w:rPr>
          <w:sz w:val="16"/>
          <w:szCs w:val="16"/>
          <w:lang w:val="en-AU"/>
        </w:rPr>
        <w:noBreakHyphen/>
      </w:r>
      <w:r w:rsidRPr="00572491">
        <w:rPr>
          <w:sz w:val="16"/>
          <w:szCs w:val="16"/>
          <w:lang w:val="en-AU"/>
        </w:rPr>
        <w:t>specified levels of financial assistance from the Australian Government, such as the R&amp;D Tax Measures) and formula funding (where organisations receive an allocation calculated according to a formula based upon their performance against specified metrics, such as performance-based block funding to universities).</w:t>
      </w:r>
    </w:p>
  </w:footnote>
  <w:footnote w:id="114">
    <w:p w14:paraId="77FC159F" w14:textId="5E2653AA" w:rsidR="00400295" w:rsidRPr="00572491" w:rsidRDefault="00400295" w:rsidP="00CE404B">
      <w:pPr>
        <w:pStyle w:val="FootnoteText"/>
        <w:rPr>
          <w:sz w:val="16"/>
          <w:szCs w:val="16"/>
          <w:lang w:val="en-AU"/>
        </w:rPr>
      </w:pPr>
      <w:r w:rsidRPr="00572491">
        <w:rPr>
          <w:rStyle w:val="FootnoteReference"/>
          <w:sz w:val="16"/>
          <w:szCs w:val="16"/>
        </w:rPr>
        <w:footnoteRef/>
      </w:r>
      <w:r w:rsidRPr="00572491">
        <w:rPr>
          <w:sz w:val="16"/>
          <w:szCs w:val="16"/>
        </w:rPr>
        <w:t xml:space="preserve"> </w:t>
      </w:r>
      <w:r>
        <w:rPr>
          <w:sz w:val="16"/>
          <w:szCs w:val="16"/>
        </w:rPr>
        <w:t xml:space="preserve">ISR sector definitions are </w:t>
      </w:r>
      <w:r w:rsidRPr="00CE404B">
        <w:rPr>
          <w:sz w:val="16"/>
          <w:szCs w:val="16"/>
        </w:rPr>
        <w:t>Government: CSIRO, Defence Science and Technology (DST) Group and other Australian Government ISR;</w:t>
      </w:r>
      <w:r>
        <w:rPr>
          <w:sz w:val="16"/>
          <w:szCs w:val="16"/>
        </w:rPr>
        <w:t xml:space="preserve"> </w:t>
      </w:r>
      <w:r w:rsidRPr="00CE404B">
        <w:rPr>
          <w:sz w:val="16"/>
          <w:szCs w:val="16"/>
        </w:rPr>
        <w:t>Business: Industry R&amp;D tax measures and other business ISR;</w:t>
      </w:r>
      <w:r>
        <w:rPr>
          <w:sz w:val="16"/>
          <w:szCs w:val="16"/>
        </w:rPr>
        <w:t xml:space="preserve"> </w:t>
      </w:r>
      <w:r w:rsidRPr="00CE404B">
        <w:rPr>
          <w:sz w:val="16"/>
          <w:szCs w:val="16"/>
        </w:rPr>
        <w:t>Higher education: ARC, NHMRC – (University), Research block grants, other higher education ISR; and</w:t>
      </w:r>
      <w:r>
        <w:rPr>
          <w:sz w:val="16"/>
          <w:szCs w:val="16"/>
        </w:rPr>
        <w:t xml:space="preserve"> </w:t>
      </w:r>
      <w:r w:rsidRPr="00CE404B">
        <w:rPr>
          <w:sz w:val="16"/>
          <w:szCs w:val="16"/>
        </w:rPr>
        <w:t>Multisector: NHMRC (Government, Medical Research Institutes (MRI), Hospital, Other), other health, CRCs, Rural Research and Development Corporations (RRDCs), other rural ISR, energy and the environment, other ISR.</w:t>
      </w:r>
      <w:r>
        <w:rPr>
          <w:sz w:val="16"/>
          <w:szCs w:val="16"/>
        </w:rPr>
        <w:t xml:space="preserve"> </w:t>
      </w:r>
      <w:r w:rsidRPr="00040E42">
        <w:rPr>
          <w:sz w:val="16"/>
          <w:szCs w:val="16"/>
        </w:rPr>
        <w:t>Australian Department of Industry, Innovation and Science</w:t>
      </w:r>
      <w:r>
        <w:rPr>
          <w:sz w:val="16"/>
          <w:szCs w:val="16"/>
        </w:rPr>
        <w:t>. (2019).</w:t>
      </w:r>
      <w:r w:rsidRPr="00040E42">
        <w:rPr>
          <w:sz w:val="16"/>
          <w:szCs w:val="16"/>
        </w:rPr>
        <w:t xml:space="preserve"> Science, Research and Innovation Budget Tables 2019</w:t>
      </w:r>
      <w:r>
        <w:rPr>
          <w:sz w:val="16"/>
          <w:szCs w:val="16"/>
        </w:rPr>
        <w:t>–</w:t>
      </w:r>
      <w:r w:rsidRPr="00040E42">
        <w:rPr>
          <w:sz w:val="16"/>
          <w:szCs w:val="16"/>
        </w:rPr>
        <w:t>20.</w:t>
      </w:r>
      <w:r w:rsidRPr="00572491">
        <w:rPr>
          <w:sz w:val="16"/>
          <w:szCs w:val="16"/>
        </w:rPr>
        <w:t xml:space="preserve"> </w:t>
      </w:r>
      <w:hyperlink r:id="rId103" w:tooltip="Link to SRI budget tables 2019-20 data" w:history="1">
        <w:r w:rsidRPr="00A15D27">
          <w:rPr>
            <w:rStyle w:val="Hyperlink"/>
            <w:sz w:val="16"/>
            <w:szCs w:val="16"/>
          </w:rPr>
          <w:t>www.industry.gov.au/sites/default/files/2019-09/2019-20-sri-budget-tables.xlsx</w:t>
        </w:r>
      </w:hyperlink>
      <w:r>
        <w:rPr>
          <w:rStyle w:val="Hyperlink"/>
          <w:sz w:val="16"/>
          <w:szCs w:val="16"/>
        </w:rPr>
        <w:t xml:space="preserve"> </w:t>
      </w:r>
    </w:p>
  </w:footnote>
  <w:footnote w:id="115">
    <w:p w14:paraId="5093247A" w14:textId="686150E8" w:rsidR="00400295" w:rsidRPr="009C1808" w:rsidRDefault="00400295" w:rsidP="009C1808">
      <w:pPr>
        <w:spacing w:line="240" w:lineRule="auto"/>
        <w:rPr>
          <w:sz w:val="16"/>
          <w:szCs w:val="16"/>
          <w:lang w:val="en-AU"/>
        </w:rPr>
      </w:pPr>
      <w:r w:rsidRPr="009C1808">
        <w:rPr>
          <w:rStyle w:val="FootnoteReference"/>
          <w:sz w:val="16"/>
          <w:szCs w:val="16"/>
        </w:rPr>
        <w:footnoteRef/>
      </w:r>
      <w:r w:rsidRPr="009C1808">
        <w:rPr>
          <w:sz w:val="16"/>
          <w:szCs w:val="16"/>
        </w:rPr>
        <w:t xml:space="preserve"> AAD, Australian Antarctic Division; ACIAR, Australian Centre for International Agricultural Research; ANSTO, Australian Nuclear Science and Technology Organisation; ARC, Australian Research Council; ARENA, Australian Renewable Energy Agency; CSIRO, Commonwealth Scientific and Industrial Research Organisation; DST Group, Defence, Science and Technology Group; GA, Geoscience Australia; MRFF, Medical Research Future Fund; NCRIS, National Collaborative Research Infrastructure Strategy; NHMRC, National Health and Medical Research Council; R&amp;DTI, R&amp;D Tax Incentive Program.</w:t>
      </w:r>
    </w:p>
  </w:footnote>
  <w:footnote w:id="116">
    <w:p w14:paraId="033BA771" w14:textId="7F9B7936" w:rsidR="00400295" w:rsidRPr="00FB63FC" w:rsidRDefault="00400295" w:rsidP="00BB5F09">
      <w:pPr>
        <w:pStyle w:val="FootnoteText"/>
        <w:rPr>
          <w:sz w:val="16"/>
          <w:szCs w:val="16"/>
        </w:rPr>
      </w:pPr>
      <w:r w:rsidRPr="00FB63FC">
        <w:rPr>
          <w:rStyle w:val="FootnoteReference"/>
          <w:sz w:val="16"/>
          <w:szCs w:val="16"/>
        </w:rPr>
        <w:footnoteRef/>
      </w:r>
      <w:r>
        <w:rPr>
          <w:sz w:val="16"/>
          <w:szCs w:val="16"/>
        </w:rPr>
        <w:t xml:space="preserve"> These</w:t>
      </w:r>
      <w:r w:rsidRPr="00FB63FC">
        <w:rPr>
          <w:sz w:val="16"/>
          <w:szCs w:val="16"/>
        </w:rPr>
        <w:t xml:space="preserve"> data can be found at </w:t>
      </w:r>
      <w:hyperlink r:id="rId104" w:history="1">
        <w:r w:rsidRPr="007E5CCA">
          <w:rPr>
            <w:rStyle w:val="Hyperlink"/>
            <w:sz w:val="16"/>
            <w:szCs w:val="16"/>
          </w:rPr>
          <w:t>www.oecd.org/sti/msti.htm</w:t>
        </w:r>
      </w:hyperlink>
      <w:r w:rsidDel="00AE03DE">
        <w:rPr>
          <w:rStyle w:val="Hyperlink"/>
          <w:sz w:val="16"/>
          <w:szCs w:val="16"/>
        </w:rPr>
        <w:t xml:space="preserve"> </w:t>
      </w:r>
    </w:p>
  </w:footnote>
  <w:footnote w:id="117">
    <w:p w14:paraId="22934AAE" w14:textId="77777777" w:rsidR="00400295" w:rsidRPr="00FB63FC" w:rsidRDefault="00400295" w:rsidP="00BB5F09">
      <w:pPr>
        <w:pStyle w:val="FootnoteText"/>
        <w:rPr>
          <w:sz w:val="16"/>
          <w:szCs w:val="16"/>
        </w:rPr>
      </w:pPr>
      <w:r w:rsidRPr="00FB63FC">
        <w:rPr>
          <w:rStyle w:val="FootnoteReference"/>
          <w:sz w:val="16"/>
          <w:szCs w:val="16"/>
        </w:rPr>
        <w:footnoteRef/>
      </w:r>
      <w:r w:rsidRPr="00FB63FC">
        <w:rPr>
          <w:sz w:val="16"/>
          <w:szCs w:val="16"/>
        </w:rPr>
        <w:t xml:space="preserve"> For ex</w:t>
      </w:r>
      <w:r>
        <w:rPr>
          <w:sz w:val="16"/>
          <w:szCs w:val="16"/>
        </w:rPr>
        <w:t>ample, Australian data are</w:t>
      </w:r>
      <w:r w:rsidRPr="00FB63FC">
        <w:rPr>
          <w:sz w:val="16"/>
          <w:szCs w:val="16"/>
        </w:rPr>
        <w:t xml:space="preserve"> not available for international comparisons of basic research expenditure.</w:t>
      </w:r>
    </w:p>
  </w:footnote>
  <w:footnote w:id="118">
    <w:p w14:paraId="09F11A39" w14:textId="77777777" w:rsidR="00400295" w:rsidRPr="00FB63FC" w:rsidRDefault="00400295" w:rsidP="006202F8">
      <w:pPr>
        <w:pStyle w:val="FootnoteText"/>
        <w:rPr>
          <w:sz w:val="16"/>
          <w:szCs w:val="16"/>
        </w:rPr>
      </w:pPr>
      <w:r w:rsidRPr="00FB63FC">
        <w:rPr>
          <w:rStyle w:val="FootnoteReference"/>
          <w:sz w:val="16"/>
          <w:szCs w:val="16"/>
        </w:rPr>
        <w:footnoteRef/>
      </w:r>
      <w:r w:rsidRPr="00FB63FC">
        <w:rPr>
          <w:sz w:val="16"/>
          <w:szCs w:val="16"/>
        </w:rPr>
        <w:t xml:space="preserve"> For example, the R&amp;D investment for CSIRO is presented as a single line item.</w:t>
      </w:r>
    </w:p>
  </w:footnote>
  <w:footnote w:id="119">
    <w:p w14:paraId="61D6CB3C" w14:textId="64AEB6FE" w:rsidR="00400295" w:rsidRPr="00D71ADF" w:rsidRDefault="00400295" w:rsidP="006202F8">
      <w:pPr>
        <w:pStyle w:val="FootnoteText"/>
        <w:rPr>
          <w:sz w:val="16"/>
          <w:szCs w:val="16"/>
          <w:lang w:val="en-AU"/>
        </w:rPr>
      </w:pPr>
      <w:r w:rsidRPr="00D71ADF">
        <w:rPr>
          <w:rStyle w:val="FootnoteReference"/>
          <w:sz w:val="16"/>
          <w:szCs w:val="16"/>
        </w:rPr>
        <w:footnoteRef/>
      </w:r>
      <w:r w:rsidRPr="00D71ADF">
        <w:rPr>
          <w:sz w:val="16"/>
          <w:szCs w:val="16"/>
        </w:rPr>
        <w:t xml:space="preserve"> </w:t>
      </w:r>
      <w:r w:rsidRPr="00D71ADF">
        <w:rPr>
          <w:sz w:val="16"/>
          <w:szCs w:val="16"/>
          <w:lang w:val="en"/>
        </w:rPr>
        <w:t>Australian Government</w:t>
      </w:r>
      <w:r>
        <w:rPr>
          <w:sz w:val="16"/>
          <w:szCs w:val="16"/>
          <w:lang w:val="en"/>
        </w:rPr>
        <w:t xml:space="preserve">. (2017). </w:t>
      </w:r>
      <w:r w:rsidRPr="00A82E54">
        <w:rPr>
          <w:sz w:val="16"/>
          <w:szCs w:val="16"/>
        </w:rPr>
        <w:t>Agency resourcing: budget paper n</w:t>
      </w:r>
      <w:r>
        <w:rPr>
          <w:sz w:val="16"/>
          <w:szCs w:val="16"/>
        </w:rPr>
        <w:t xml:space="preserve">o. 4: 2017–18. </w:t>
      </w:r>
      <w:hyperlink r:id="rId105" w:tooltip="Link to TROVE archive: Agency resourcing budget paper" w:history="1">
        <w:r w:rsidRPr="00D71ADF">
          <w:rPr>
            <w:rStyle w:val="Hyperlink"/>
            <w:sz w:val="16"/>
            <w:szCs w:val="16"/>
          </w:rPr>
          <w:t>https://archive.budget.gov.au/2017-18/bp4/Budget2017-18_BP4.pdf</w:t>
        </w:r>
      </w:hyperlink>
      <w:r>
        <w:rPr>
          <w:sz w:val="16"/>
          <w:szCs w:val="16"/>
        </w:rPr>
        <w:t xml:space="preserve"> </w:t>
      </w:r>
    </w:p>
  </w:footnote>
  <w:footnote w:id="120">
    <w:p w14:paraId="083FB1B0" w14:textId="379569D1" w:rsidR="00400295" w:rsidRPr="005C040F" w:rsidRDefault="00400295" w:rsidP="006202F8">
      <w:pPr>
        <w:pStyle w:val="FootnoteText"/>
        <w:rPr>
          <w:sz w:val="16"/>
          <w:szCs w:val="16"/>
          <w:lang w:val="en-AU"/>
        </w:rPr>
      </w:pPr>
      <w:r w:rsidRPr="00091FE5">
        <w:rPr>
          <w:rStyle w:val="FootnoteReference"/>
          <w:sz w:val="16"/>
          <w:szCs w:val="16"/>
        </w:rPr>
        <w:footnoteRef/>
      </w:r>
      <w:r w:rsidRPr="00091FE5">
        <w:rPr>
          <w:sz w:val="16"/>
          <w:szCs w:val="16"/>
        </w:rPr>
        <w:t xml:space="preserve"> Parliamentary Library. (2017</w:t>
      </w:r>
      <w:r>
        <w:rPr>
          <w:sz w:val="16"/>
          <w:szCs w:val="16"/>
        </w:rPr>
        <w:t>–</w:t>
      </w:r>
      <w:r w:rsidRPr="00091FE5">
        <w:rPr>
          <w:sz w:val="16"/>
          <w:szCs w:val="16"/>
        </w:rPr>
        <w:t>18). The Public Service Modernisation Fund: a quick guide.</w:t>
      </w:r>
      <w:r>
        <w:rPr>
          <w:sz w:val="16"/>
          <w:szCs w:val="16"/>
        </w:rPr>
        <w:t xml:space="preserve"> </w:t>
      </w:r>
      <w:hyperlink r:id="rId106" w:anchor="search=%22library/prspub/5347385%22" w:history="1">
        <w:r w:rsidRPr="00091FE5">
          <w:rPr>
            <w:rStyle w:val="Hyperlink"/>
            <w:sz w:val="16"/>
            <w:szCs w:val="16"/>
          </w:rPr>
          <w:t>https://parlinfo.aph.gov.au/parlInfo/download/library/prspub/5347385/upload_binary/5347385.pdf;fileType=application%2Fpdf#search=%22library/prspub/5347385%22</w:t>
        </w:r>
      </w:hyperlink>
      <w:r>
        <w:rPr>
          <w:rStyle w:val="Hyperlink"/>
          <w:sz w:val="16"/>
          <w:szCs w:val="16"/>
        </w:rPr>
        <w:t xml:space="preserve"> </w:t>
      </w:r>
    </w:p>
  </w:footnote>
  <w:footnote w:id="121">
    <w:p w14:paraId="0EDB0450" w14:textId="162B5E94" w:rsidR="00400295" w:rsidRPr="005C040F" w:rsidRDefault="00400295" w:rsidP="006202F8">
      <w:pPr>
        <w:spacing w:after="0" w:line="240" w:lineRule="auto"/>
        <w:rPr>
          <w:sz w:val="16"/>
          <w:szCs w:val="16"/>
        </w:rPr>
      </w:pPr>
      <w:r w:rsidRPr="005C040F">
        <w:rPr>
          <w:rStyle w:val="FootnoteReference"/>
          <w:sz w:val="16"/>
          <w:szCs w:val="16"/>
        </w:rPr>
        <w:footnoteRef/>
      </w:r>
      <w:r w:rsidRPr="005C040F">
        <w:rPr>
          <w:sz w:val="16"/>
          <w:szCs w:val="16"/>
        </w:rPr>
        <w:t xml:space="preserve"> For example, </w:t>
      </w:r>
      <w:r w:rsidRPr="00301CB0">
        <w:rPr>
          <w:sz w:val="16"/>
          <w:szCs w:val="16"/>
        </w:rPr>
        <w:t>Diggerworks (</w:t>
      </w:r>
      <w:hyperlink r:id="rId107" w:history="1">
        <w:r w:rsidRPr="007E5CCA">
          <w:rPr>
            <w:rStyle w:val="Hyperlink"/>
            <w:sz w:val="16"/>
            <w:szCs w:val="16"/>
          </w:rPr>
          <w:t>www.army.gov.au/our-work/strategic-partnerships/diggerworks</w:t>
        </w:r>
      </w:hyperlink>
      <w:r w:rsidRPr="00902A26">
        <w:rPr>
          <w:sz w:val="16"/>
          <w:szCs w:val="16"/>
        </w:rPr>
        <w:t>)</w:t>
      </w:r>
      <w:r>
        <w:rPr>
          <w:sz w:val="16"/>
          <w:szCs w:val="16"/>
        </w:rPr>
        <w:t xml:space="preserve"> and the</w:t>
      </w:r>
      <w:r w:rsidRPr="005C040F">
        <w:rPr>
          <w:sz w:val="16"/>
          <w:szCs w:val="16"/>
        </w:rPr>
        <w:t xml:space="preserve"> Supersonic Deposition 3D printer pilot (</w:t>
      </w:r>
      <w:hyperlink r:id="rId108" w:history="1">
        <w:r w:rsidRPr="007E5CCA">
          <w:rPr>
            <w:rStyle w:val="Hyperlink"/>
            <w:sz w:val="16"/>
            <w:szCs w:val="16"/>
          </w:rPr>
          <w:t>www.minister.defence.gov.au/minister/melissa-price/media-releases/world-first-deployable-3d-printers-defence</w:t>
        </w:r>
      </w:hyperlink>
      <w:r w:rsidRPr="005C040F">
        <w:rPr>
          <w:sz w:val="16"/>
          <w:szCs w:val="16"/>
        </w:rPr>
        <w:t>) are not represented in the S</w:t>
      </w:r>
      <w:r>
        <w:rPr>
          <w:sz w:val="16"/>
          <w:szCs w:val="16"/>
        </w:rPr>
        <w:t>RI Budget Tables.</w:t>
      </w:r>
    </w:p>
  </w:footnote>
  <w:footnote w:id="122">
    <w:p w14:paraId="51E1BD39" w14:textId="0CA6A44D" w:rsidR="00400295" w:rsidRPr="00572491" w:rsidRDefault="00400295" w:rsidP="006202F8">
      <w:pPr>
        <w:pStyle w:val="FootnoteText"/>
        <w:rPr>
          <w:sz w:val="16"/>
          <w:szCs w:val="16"/>
          <w:lang w:val="en-AU"/>
        </w:rPr>
      </w:pPr>
      <w:r w:rsidRPr="00572491">
        <w:rPr>
          <w:rStyle w:val="FootnoteReference"/>
          <w:sz w:val="16"/>
          <w:szCs w:val="16"/>
        </w:rPr>
        <w:footnoteRef/>
      </w:r>
      <w:r w:rsidRPr="00572491">
        <w:rPr>
          <w:sz w:val="16"/>
          <w:szCs w:val="16"/>
        </w:rPr>
        <w:t xml:space="preserve"> For example, there are two </w:t>
      </w:r>
      <w:r>
        <w:rPr>
          <w:sz w:val="16"/>
          <w:szCs w:val="16"/>
          <w:lang w:val="en-AU"/>
        </w:rPr>
        <w:t>DST Group</w:t>
      </w:r>
      <w:r w:rsidRPr="00572491">
        <w:rPr>
          <w:sz w:val="16"/>
          <w:szCs w:val="16"/>
        </w:rPr>
        <w:t xml:space="preserve"> programs </w:t>
      </w:r>
      <w:r>
        <w:rPr>
          <w:sz w:val="16"/>
          <w:szCs w:val="16"/>
        </w:rPr>
        <w:t xml:space="preserve">each </w:t>
      </w:r>
      <w:r w:rsidRPr="00572491">
        <w:rPr>
          <w:sz w:val="16"/>
          <w:szCs w:val="16"/>
        </w:rPr>
        <w:t>worth $150</w:t>
      </w:r>
      <w:r>
        <w:rPr>
          <w:sz w:val="16"/>
          <w:szCs w:val="16"/>
        </w:rPr>
        <w:t>,000 that</w:t>
      </w:r>
      <w:r w:rsidRPr="00572491">
        <w:rPr>
          <w:sz w:val="16"/>
          <w:szCs w:val="16"/>
        </w:rPr>
        <w:t xml:space="preserve"> are not grouped with the main DST</w:t>
      </w:r>
      <w:r>
        <w:rPr>
          <w:sz w:val="16"/>
          <w:szCs w:val="16"/>
        </w:rPr>
        <w:t xml:space="preserve"> </w:t>
      </w:r>
      <w:r w:rsidRPr="00572491">
        <w:rPr>
          <w:sz w:val="16"/>
          <w:szCs w:val="16"/>
        </w:rPr>
        <w:t>G</w:t>
      </w:r>
      <w:r>
        <w:rPr>
          <w:sz w:val="16"/>
          <w:szCs w:val="16"/>
        </w:rPr>
        <w:t>roup</w:t>
      </w:r>
      <w:r w:rsidRPr="00572491">
        <w:rPr>
          <w:sz w:val="16"/>
          <w:szCs w:val="16"/>
        </w:rPr>
        <w:t xml:space="preserve"> line item</w:t>
      </w:r>
      <w:r>
        <w:rPr>
          <w:sz w:val="16"/>
          <w:szCs w:val="16"/>
        </w:rPr>
        <w:t>,</w:t>
      </w:r>
      <w:r w:rsidRPr="00572491">
        <w:rPr>
          <w:sz w:val="16"/>
          <w:szCs w:val="16"/>
        </w:rPr>
        <w:t xml:space="preserve"> and the Australian Institut</w:t>
      </w:r>
      <w:r>
        <w:rPr>
          <w:sz w:val="16"/>
          <w:szCs w:val="16"/>
        </w:rPr>
        <w:t xml:space="preserve">e of Criminology </w:t>
      </w:r>
      <w:r w:rsidRPr="00572491">
        <w:rPr>
          <w:sz w:val="16"/>
          <w:szCs w:val="16"/>
        </w:rPr>
        <w:t xml:space="preserve">program </w:t>
      </w:r>
      <w:r>
        <w:rPr>
          <w:sz w:val="16"/>
          <w:szCs w:val="16"/>
        </w:rPr>
        <w:t xml:space="preserve">is </w:t>
      </w:r>
      <w:r w:rsidRPr="00572491">
        <w:rPr>
          <w:sz w:val="16"/>
          <w:szCs w:val="16"/>
        </w:rPr>
        <w:t>broken up over three line items.</w:t>
      </w:r>
    </w:p>
  </w:footnote>
  <w:footnote w:id="123">
    <w:p w14:paraId="0E3DE894" w14:textId="77777777" w:rsidR="00400295" w:rsidRPr="00FB63FC" w:rsidRDefault="00400295" w:rsidP="006202F8">
      <w:pPr>
        <w:pStyle w:val="FootnoteText"/>
        <w:rPr>
          <w:sz w:val="16"/>
          <w:szCs w:val="16"/>
        </w:rPr>
      </w:pPr>
      <w:r w:rsidRPr="00FB63FC">
        <w:rPr>
          <w:rStyle w:val="FootnoteReference"/>
          <w:sz w:val="16"/>
          <w:szCs w:val="16"/>
        </w:rPr>
        <w:footnoteRef/>
      </w:r>
      <w:r w:rsidRPr="00FB63FC">
        <w:rPr>
          <w:sz w:val="16"/>
          <w:szCs w:val="16"/>
        </w:rPr>
        <w:t xml:space="preserve"> For example, the R&amp;D investment for CSIRO is presented as a single line item.</w:t>
      </w:r>
    </w:p>
  </w:footnote>
  <w:footnote w:id="124">
    <w:p w14:paraId="02168D15" w14:textId="739357C4" w:rsidR="00400295" w:rsidRPr="008E2F38" w:rsidRDefault="00400295" w:rsidP="000134A7">
      <w:pPr>
        <w:pStyle w:val="FootnoteText"/>
        <w:rPr>
          <w:sz w:val="16"/>
          <w:szCs w:val="16"/>
          <w:lang w:val="en-AU"/>
        </w:rPr>
      </w:pPr>
      <w:r w:rsidRPr="008E2F38">
        <w:rPr>
          <w:rStyle w:val="FootnoteReference"/>
          <w:sz w:val="16"/>
          <w:szCs w:val="16"/>
        </w:rPr>
        <w:footnoteRef/>
      </w:r>
      <w:r w:rsidRPr="008E2F38">
        <w:rPr>
          <w:sz w:val="16"/>
          <w:szCs w:val="16"/>
        </w:rPr>
        <w:t xml:space="preserve"> </w:t>
      </w:r>
      <w:r>
        <w:rPr>
          <w:sz w:val="16"/>
          <w:szCs w:val="16"/>
        </w:rPr>
        <w:t xml:space="preserve">GC InfoBase, Find the latest information on all government finances, people and results. </w:t>
      </w:r>
      <w:hyperlink r:id="rId109" w:anchor="start" w:history="1">
        <w:r w:rsidRPr="007E5CCA">
          <w:rPr>
            <w:rStyle w:val="Hyperlink"/>
            <w:sz w:val="16"/>
            <w:szCs w:val="16"/>
          </w:rPr>
          <w:t>www.tbs-sct.gc.ca/ems-sgd/edb-bdd/index-eng.html#start</w:t>
        </w:r>
      </w:hyperlink>
      <w:r w:rsidRPr="00A32D26">
        <w:rPr>
          <w:rStyle w:val="Hyperlink"/>
          <w:sz w:val="16"/>
          <w:szCs w:val="16"/>
          <w:u w:val="none"/>
        </w:rPr>
        <w:t xml:space="preserve"> </w:t>
      </w:r>
    </w:p>
  </w:footnote>
  <w:footnote w:id="125">
    <w:p w14:paraId="7FB16A52" w14:textId="187DAD9D" w:rsidR="00400295" w:rsidRPr="00BB7A0F" w:rsidRDefault="00400295" w:rsidP="000134A7">
      <w:pPr>
        <w:pStyle w:val="FootnoteText"/>
        <w:rPr>
          <w:sz w:val="16"/>
          <w:szCs w:val="16"/>
          <w:lang w:val="en-AU"/>
        </w:rPr>
      </w:pPr>
      <w:r w:rsidRPr="00FB63FC">
        <w:rPr>
          <w:rStyle w:val="FootnoteReference"/>
          <w:sz w:val="16"/>
          <w:szCs w:val="16"/>
        </w:rPr>
        <w:footnoteRef/>
      </w:r>
      <w:r w:rsidRPr="00FB63FC">
        <w:rPr>
          <w:sz w:val="16"/>
          <w:szCs w:val="16"/>
        </w:rPr>
        <w:t xml:space="preserve"> Specif</w:t>
      </w:r>
      <w:r>
        <w:rPr>
          <w:sz w:val="16"/>
          <w:szCs w:val="16"/>
        </w:rPr>
        <w:t xml:space="preserve">ically: </w:t>
      </w:r>
      <w:r w:rsidRPr="0060103D">
        <w:rPr>
          <w:sz w:val="16"/>
          <w:szCs w:val="16"/>
        </w:rPr>
        <w:t>ABS, 8104.0 – Research and Experimental Development, Businesses, Australia, 2017</w:t>
      </w:r>
      <w:r>
        <w:rPr>
          <w:sz w:val="16"/>
          <w:szCs w:val="16"/>
        </w:rPr>
        <w:t>–</w:t>
      </w:r>
      <w:r w:rsidRPr="0060103D">
        <w:rPr>
          <w:sz w:val="16"/>
          <w:szCs w:val="16"/>
        </w:rPr>
        <w:t>18; 8109.0 – Research and Experimental Development, Government and Private Non-Profit Organisations, Australia, 2016</w:t>
      </w:r>
      <w:r>
        <w:rPr>
          <w:sz w:val="16"/>
          <w:szCs w:val="16"/>
        </w:rPr>
        <w:t>–</w:t>
      </w:r>
      <w:r w:rsidRPr="0060103D">
        <w:rPr>
          <w:sz w:val="16"/>
          <w:szCs w:val="16"/>
        </w:rPr>
        <w:t>17; 8111.0 – Research and Experimental Development, Higher Education Organisations, Australia, 2016</w:t>
      </w:r>
      <w:r>
        <w:rPr>
          <w:sz w:val="16"/>
          <w:szCs w:val="16"/>
        </w:rPr>
        <w:t xml:space="preserve"> </w:t>
      </w:r>
      <w:r w:rsidRPr="00FB63FC">
        <w:rPr>
          <w:sz w:val="16"/>
          <w:szCs w:val="16"/>
        </w:rPr>
        <w:t>were used for this analysis</w:t>
      </w:r>
      <w:r>
        <w:rPr>
          <w:sz w:val="16"/>
          <w:szCs w:val="16"/>
        </w:rPr>
        <w:t>.</w:t>
      </w:r>
      <w:r w:rsidRPr="00FB63FC">
        <w:rPr>
          <w:sz w:val="16"/>
          <w:szCs w:val="16"/>
        </w:rPr>
        <w:t xml:space="preserve"> </w:t>
      </w:r>
    </w:p>
  </w:footnote>
  <w:footnote w:id="126">
    <w:p w14:paraId="5448C459" w14:textId="77777777" w:rsidR="00400295" w:rsidRPr="00CE1AD1" w:rsidRDefault="00400295" w:rsidP="000134A7">
      <w:pPr>
        <w:pStyle w:val="FootnoteText"/>
        <w:rPr>
          <w:sz w:val="16"/>
          <w:szCs w:val="16"/>
        </w:rPr>
      </w:pPr>
      <w:r w:rsidRPr="00FB63FC">
        <w:rPr>
          <w:rStyle w:val="FootnoteReference"/>
          <w:sz w:val="16"/>
          <w:szCs w:val="16"/>
        </w:rPr>
        <w:footnoteRef/>
      </w:r>
      <w:r w:rsidRPr="00FB63FC">
        <w:rPr>
          <w:sz w:val="16"/>
          <w:szCs w:val="16"/>
        </w:rPr>
        <w:t xml:space="preserve"> Such as expenditure on labour or expenditure on land, buildings and other structures.</w:t>
      </w:r>
    </w:p>
  </w:footnote>
  <w:footnote w:id="127">
    <w:p w14:paraId="6BB2BEB6" w14:textId="5E5B64B3" w:rsidR="00400295" w:rsidRPr="00BE42A2" w:rsidRDefault="00400295" w:rsidP="000134A7">
      <w:pPr>
        <w:pStyle w:val="FootnoteText"/>
        <w:rPr>
          <w:sz w:val="16"/>
          <w:szCs w:val="16"/>
          <w:lang w:val="en-AU"/>
        </w:rPr>
      </w:pPr>
      <w:r w:rsidRPr="00BE42A2">
        <w:rPr>
          <w:rStyle w:val="FootnoteReference"/>
          <w:sz w:val="16"/>
          <w:szCs w:val="16"/>
        </w:rPr>
        <w:footnoteRef/>
      </w:r>
      <w:r w:rsidRPr="00BE42A2">
        <w:rPr>
          <w:sz w:val="16"/>
          <w:szCs w:val="16"/>
        </w:rPr>
        <w:t xml:space="preserve"> </w:t>
      </w:r>
      <w:r w:rsidRPr="00BE42A2">
        <w:rPr>
          <w:sz w:val="16"/>
          <w:szCs w:val="16"/>
          <w:lang w:val="en-AU"/>
        </w:rPr>
        <w:t xml:space="preserve">The funder-based approach </w:t>
      </w:r>
      <w:r>
        <w:rPr>
          <w:sz w:val="16"/>
          <w:szCs w:val="16"/>
          <w:lang w:val="en-AU"/>
        </w:rPr>
        <w:t xml:space="preserve">used in the 2019–20 SRI Budget Tables </w:t>
      </w:r>
      <w:r w:rsidRPr="00BE42A2">
        <w:rPr>
          <w:sz w:val="16"/>
          <w:szCs w:val="16"/>
          <w:lang w:val="en-AU"/>
        </w:rPr>
        <w:t>identifie</w:t>
      </w:r>
      <w:r>
        <w:rPr>
          <w:sz w:val="16"/>
          <w:szCs w:val="16"/>
          <w:lang w:val="en-AU"/>
        </w:rPr>
        <w:t>s</w:t>
      </w:r>
      <w:r w:rsidRPr="00BE42A2">
        <w:rPr>
          <w:sz w:val="16"/>
          <w:szCs w:val="16"/>
          <w:lang w:val="en-AU"/>
        </w:rPr>
        <w:t xml:space="preserve"> all Australian Government R&amp;D-related programs and activities whose immediate sources of funding is a budgetary appropriation</w:t>
      </w:r>
      <w:r>
        <w:rPr>
          <w:sz w:val="16"/>
          <w:szCs w:val="16"/>
          <w:lang w:val="en-AU"/>
        </w:rPr>
        <w:t>.</w:t>
      </w:r>
    </w:p>
  </w:footnote>
  <w:footnote w:id="128">
    <w:p w14:paraId="39A64D46" w14:textId="10EE8DAB" w:rsidR="00400295" w:rsidRPr="00BE42A2" w:rsidRDefault="00400295" w:rsidP="000134A7">
      <w:pPr>
        <w:pStyle w:val="FootnoteText"/>
        <w:rPr>
          <w:sz w:val="16"/>
          <w:szCs w:val="16"/>
          <w:lang w:val="en-AU"/>
        </w:rPr>
      </w:pPr>
      <w:r w:rsidRPr="00BE42A2">
        <w:rPr>
          <w:rStyle w:val="FootnoteReference"/>
          <w:sz w:val="16"/>
          <w:szCs w:val="16"/>
        </w:rPr>
        <w:footnoteRef/>
      </w:r>
      <w:r w:rsidRPr="00BE42A2">
        <w:rPr>
          <w:sz w:val="16"/>
          <w:szCs w:val="16"/>
        </w:rPr>
        <w:t xml:space="preserve"> </w:t>
      </w:r>
      <w:r>
        <w:rPr>
          <w:sz w:val="16"/>
          <w:szCs w:val="16"/>
        </w:rPr>
        <w:t>The performer-based approach used by the ABS surveys</w:t>
      </w:r>
      <w:r w:rsidRPr="00BE42A2">
        <w:rPr>
          <w:sz w:val="16"/>
          <w:szCs w:val="16"/>
          <w:lang w:val="en-AU"/>
        </w:rPr>
        <w:t xml:space="preserve"> entities that perform R&amp;D to identify </w:t>
      </w:r>
      <w:r>
        <w:rPr>
          <w:sz w:val="16"/>
          <w:szCs w:val="16"/>
          <w:lang w:val="en-AU"/>
        </w:rPr>
        <w:t>their</w:t>
      </w:r>
      <w:r w:rsidRPr="00BE42A2">
        <w:rPr>
          <w:sz w:val="16"/>
          <w:szCs w:val="16"/>
          <w:lang w:val="en-AU"/>
        </w:rPr>
        <w:t xml:space="preserve"> R&amp;D</w:t>
      </w:r>
      <w:r>
        <w:rPr>
          <w:sz w:val="16"/>
          <w:szCs w:val="16"/>
          <w:lang w:val="en-AU"/>
        </w:rPr>
        <w:t xml:space="preserve"> expenditure.</w:t>
      </w:r>
    </w:p>
  </w:footnote>
  <w:footnote w:id="129">
    <w:p w14:paraId="2168E164" w14:textId="612B0EAA" w:rsidR="00400295" w:rsidRPr="00950519" w:rsidRDefault="00400295" w:rsidP="000134A7">
      <w:pPr>
        <w:spacing w:after="0" w:line="240" w:lineRule="auto"/>
        <w:rPr>
          <w:sz w:val="16"/>
          <w:szCs w:val="16"/>
          <w:lang w:val="en-AU"/>
        </w:rPr>
      </w:pPr>
      <w:r w:rsidRPr="00950519">
        <w:rPr>
          <w:rStyle w:val="FootnoteReference"/>
          <w:sz w:val="16"/>
          <w:szCs w:val="16"/>
        </w:rPr>
        <w:footnoteRef/>
      </w:r>
      <w:r w:rsidRPr="00950519">
        <w:rPr>
          <w:sz w:val="16"/>
          <w:szCs w:val="16"/>
        </w:rPr>
        <w:t xml:space="preserve"> </w:t>
      </w:r>
      <w:r>
        <w:rPr>
          <w:sz w:val="16"/>
          <w:szCs w:val="16"/>
        </w:rPr>
        <w:t xml:space="preserve">Socioeconomic objectives: </w:t>
      </w:r>
      <w:r w:rsidRPr="00950519">
        <w:rPr>
          <w:sz w:val="16"/>
          <w:szCs w:val="16"/>
        </w:rPr>
        <w:t>Exploration and exploitation of the Earth</w:t>
      </w:r>
      <w:r>
        <w:rPr>
          <w:sz w:val="16"/>
          <w:szCs w:val="16"/>
        </w:rPr>
        <w:t>;</w:t>
      </w:r>
      <w:r w:rsidRPr="00950519">
        <w:rPr>
          <w:sz w:val="16"/>
          <w:szCs w:val="16"/>
        </w:rPr>
        <w:t xml:space="preserve"> Environment</w:t>
      </w:r>
      <w:r>
        <w:rPr>
          <w:sz w:val="16"/>
          <w:szCs w:val="16"/>
        </w:rPr>
        <w:t>;</w:t>
      </w:r>
      <w:r w:rsidRPr="00950519">
        <w:rPr>
          <w:sz w:val="16"/>
          <w:szCs w:val="16"/>
        </w:rPr>
        <w:t xml:space="preserve"> Exploration and exploitation of space</w:t>
      </w:r>
      <w:r>
        <w:rPr>
          <w:sz w:val="16"/>
          <w:szCs w:val="16"/>
        </w:rPr>
        <w:t>;</w:t>
      </w:r>
      <w:r w:rsidRPr="00950519">
        <w:rPr>
          <w:sz w:val="16"/>
          <w:szCs w:val="16"/>
        </w:rPr>
        <w:t xml:space="preserve"> Transport</w:t>
      </w:r>
      <w:r>
        <w:rPr>
          <w:sz w:val="16"/>
          <w:szCs w:val="16"/>
        </w:rPr>
        <w:t>,</w:t>
      </w:r>
      <w:r w:rsidRPr="00950519">
        <w:rPr>
          <w:sz w:val="16"/>
          <w:szCs w:val="16"/>
        </w:rPr>
        <w:t xml:space="preserve"> telecommunications and other infrastructures</w:t>
      </w:r>
      <w:r>
        <w:rPr>
          <w:sz w:val="16"/>
          <w:szCs w:val="16"/>
        </w:rPr>
        <w:t>;</w:t>
      </w:r>
      <w:r w:rsidRPr="00950519">
        <w:rPr>
          <w:sz w:val="16"/>
          <w:szCs w:val="16"/>
        </w:rPr>
        <w:t xml:space="preserve"> Energy</w:t>
      </w:r>
      <w:r>
        <w:rPr>
          <w:sz w:val="16"/>
          <w:szCs w:val="16"/>
        </w:rPr>
        <w:t>;</w:t>
      </w:r>
      <w:r w:rsidRPr="00950519">
        <w:rPr>
          <w:sz w:val="16"/>
          <w:szCs w:val="16"/>
        </w:rPr>
        <w:t xml:space="preserve"> Industrial production and technology</w:t>
      </w:r>
      <w:r>
        <w:rPr>
          <w:sz w:val="16"/>
          <w:szCs w:val="16"/>
        </w:rPr>
        <w:t>;</w:t>
      </w:r>
      <w:r w:rsidRPr="00950519">
        <w:rPr>
          <w:sz w:val="16"/>
          <w:szCs w:val="16"/>
        </w:rPr>
        <w:t xml:space="preserve"> Health</w:t>
      </w:r>
      <w:r>
        <w:rPr>
          <w:sz w:val="16"/>
          <w:szCs w:val="16"/>
        </w:rPr>
        <w:t>;</w:t>
      </w:r>
      <w:r w:rsidRPr="00950519">
        <w:rPr>
          <w:sz w:val="16"/>
          <w:szCs w:val="16"/>
        </w:rPr>
        <w:t xml:space="preserve"> Agriculture</w:t>
      </w:r>
      <w:r>
        <w:rPr>
          <w:sz w:val="16"/>
          <w:szCs w:val="16"/>
        </w:rPr>
        <w:t>;</w:t>
      </w:r>
      <w:r w:rsidRPr="00950519">
        <w:rPr>
          <w:sz w:val="16"/>
          <w:szCs w:val="16"/>
        </w:rPr>
        <w:t xml:space="preserve"> Education</w:t>
      </w:r>
      <w:r>
        <w:rPr>
          <w:sz w:val="16"/>
          <w:szCs w:val="16"/>
        </w:rPr>
        <w:t>;</w:t>
      </w:r>
      <w:r w:rsidRPr="00950519">
        <w:rPr>
          <w:sz w:val="16"/>
          <w:szCs w:val="16"/>
        </w:rPr>
        <w:t xml:space="preserve"> Culture, recreation, religion and mass media</w:t>
      </w:r>
      <w:r>
        <w:rPr>
          <w:sz w:val="16"/>
          <w:szCs w:val="16"/>
        </w:rPr>
        <w:t>;</w:t>
      </w:r>
      <w:r w:rsidRPr="00950519">
        <w:rPr>
          <w:sz w:val="16"/>
          <w:szCs w:val="16"/>
        </w:rPr>
        <w:t xml:space="preserve"> Political and social systems, structures and processes</w:t>
      </w:r>
      <w:r>
        <w:rPr>
          <w:sz w:val="16"/>
          <w:szCs w:val="16"/>
        </w:rPr>
        <w:t>;</w:t>
      </w:r>
      <w:r w:rsidRPr="00950519">
        <w:rPr>
          <w:sz w:val="16"/>
          <w:szCs w:val="16"/>
        </w:rPr>
        <w:t xml:space="preserve"> General advancement of knowledge: R&amp;D financed from General University Funds (GUF)</w:t>
      </w:r>
      <w:r>
        <w:rPr>
          <w:sz w:val="16"/>
          <w:szCs w:val="16"/>
        </w:rPr>
        <w:t>;</w:t>
      </w:r>
      <w:r w:rsidRPr="00950519">
        <w:rPr>
          <w:sz w:val="16"/>
          <w:szCs w:val="16"/>
        </w:rPr>
        <w:t xml:space="preserve"> General advancement of knowledge: R&amp;D financed from other sources than GUF</w:t>
      </w:r>
      <w:r>
        <w:rPr>
          <w:sz w:val="16"/>
          <w:szCs w:val="16"/>
        </w:rPr>
        <w:t>;</w:t>
      </w:r>
      <w:r w:rsidRPr="00950519">
        <w:rPr>
          <w:sz w:val="16"/>
          <w:szCs w:val="16"/>
        </w:rPr>
        <w:t xml:space="preserve"> and Defence.</w:t>
      </w:r>
      <w:r>
        <w:rPr>
          <w:sz w:val="16"/>
          <w:szCs w:val="16"/>
        </w:rPr>
        <w:t xml:space="preserve"> </w:t>
      </w:r>
      <w:r w:rsidRPr="00950519">
        <w:rPr>
          <w:sz w:val="16"/>
          <w:szCs w:val="16"/>
        </w:rPr>
        <w:t>In our analysis we grouped the two General advancement of know</w:t>
      </w:r>
      <w:r>
        <w:rPr>
          <w:sz w:val="16"/>
          <w:szCs w:val="16"/>
        </w:rPr>
        <w:t>ledge socioeconomic objectives.</w:t>
      </w:r>
    </w:p>
  </w:footnote>
  <w:footnote w:id="130">
    <w:p w14:paraId="05AFAE54" w14:textId="78EC4F8D" w:rsidR="00400295" w:rsidRPr="00950519" w:rsidRDefault="00400295" w:rsidP="000134A7">
      <w:pPr>
        <w:spacing w:after="0" w:line="240" w:lineRule="auto"/>
        <w:rPr>
          <w:sz w:val="16"/>
          <w:szCs w:val="16"/>
          <w:lang w:val="en-AU"/>
        </w:rPr>
      </w:pPr>
      <w:r w:rsidRPr="00950519">
        <w:rPr>
          <w:rStyle w:val="FootnoteReference"/>
          <w:sz w:val="16"/>
          <w:szCs w:val="16"/>
        </w:rPr>
        <w:footnoteRef/>
      </w:r>
      <w:r w:rsidRPr="00950519">
        <w:rPr>
          <w:sz w:val="16"/>
          <w:szCs w:val="16"/>
        </w:rPr>
        <w:t xml:space="preserve"> OECD. (2015). </w:t>
      </w:r>
      <w:r w:rsidRPr="00A82E54">
        <w:rPr>
          <w:sz w:val="16"/>
          <w:szCs w:val="16"/>
        </w:rPr>
        <w:t>Frascati Manual 2015: Guidelines for Collecting and Reporting Data on Research and Experimental Development</w:t>
      </w:r>
      <w:r>
        <w:rPr>
          <w:sz w:val="16"/>
          <w:szCs w:val="16"/>
        </w:rPr>
        <w:t>;</w:t>
      </w:r>
      <w:r w:rsidRPr="00950519">
        <w:rPr>
          <w:sz w:val="16"/>
          <w:szCs w:val="16"/>
        </w:rPr>
        <w:t xml:space="preserve"> The Measurement of Scientific, Technological and Innovation Act</w:t>
      </w:r>
      <w:r>
        <w:rPr>
          <w:sz w:val="16"/>
          <w:szCs w:val="16"/>
        </w:rPr>
        <w:t>ivities. OECD Publishing, Paris.</w:t>
      </w:r>
      <w:r w:rsidRPr="00950519">
        <w:rPr>
          <w:sz w:val="16"/>
          <w:szCs w:val="16"/>
        </w:rPr>
        <w:t xml:space="preserve"> </w:t>
      </w:r>
      <w:hyperlink r:id="rId110" w:tooltip="Frascati Manual document link" w:history="1">
        <w:r w:rsidRPr="00A15D27">
          <w:rPr>
            <w:rStyle w:val="Hyperlink"/>
            <w:sz w:val="16"/>
            <w:szCs w:val="16"/>
          </w:rPr>
          <w:t>https://doi.org/10.1787/9789264239012-en</w:t>
        </w:r>
      </w:hyperlink>
      <w:r>
        <w:rPr>
          <w:rStyle w:val="Hyperlink"/>
          <w:sz w:val="16"/>
          <w:szCs w:val="16"/>
        </w:rPr>
        <w:t xml:space="preserve"> </w:t>
      </w:r>
    </w:p>
  </w:footnote>
  <w:footnote w:id="131">
    <w:p w14:paraId="120EFF76" w14:textId="77777777" w:rsidR="00400295" w:rsidRPr="00773138" w:rsidRDefault="00400295" w:rsidP="008804E8">
      <w:pPr>
        <w:pStyle w:val="FootnoteText"/>
        <w:rPr>
          <w:sz w:val="16"/>
          <w:szCs w:val="16"/>
          <w:lang w:val="en-AU"/>
        </w:rPr>
      </w:pPr>
      <w:r w:rsidRPr="00773138">
        <w:rPr>
          <w:rStyle w:val="FootnoteReference"/>
          <w:sz w:val="16"/>
          <w:szCs w:val="16"/>
        </w:rPr>
        <w:footnoteRef/>
      </w:r>
      <w:r w:rsidRPr="00773138">
        <w:rPr>
          <w:sz w:val="16"/>
          <w:szCs w:val="16"/>
        </w:rPr>
        <w:t xml:space="preserve"> </w:t>
      </w:r>
      <w:r>
        <w:rPr>
          <w:sz w:val="16"/>
          <w:szCs w:val="16"/>
        </w:rPr>
        <w:t xml:space="preserve">Socioeconomic objectives: </w:t>
      </w:r>
      <w:r w:rsidRPr="00773138">
        <w:rPr>
          <w:sz w:val="16"/>
          <w:szCs w:val="16"/>
        </w:rPr>
        <w:t>Sector A: Defence</w:t>
      </w:r>
      <w:r>
        <w:rPr>
          <w:sz w:val="16"/>
          <w:szCs w:val="16"/>
        </w:rPr>
        <w:t xml:space="preserve"> (</w:t>
      </w:r>
      <w:r w:rsidRPr="00773138">
        <w:rPr>
          <w:sz w:val="16"/>
          <w:szCs w:val="16"/>
        </w:rPr>
        <w:t>Defence</w:t>
      </w:r>
      <w:r>
        <w:rPr>
          <w:sz w:val="16"/>
          <w:szCs w:val="16"/>
        </w:rPr>
        <w:t xml:space="preserve">); </w:t>
      </w:r>
      <w:r w:rsidRPr="00773138">
        <w:rPr>
          <w:sz w:val="16"/>
          <w:szCs w:val="16"/>
        </w:rPr>
        <w:t>Sector B: Economic Development</w:t>
      </w:r>
      <w:r>
        <w:rPr>
          <w:sz w:val="16"/>
          <w:szCs w:val="16"/>
        </w:rPr>
        <w:t xml:space="preserve"> (</w:t>
      </w:r>
      <w:r w:rsidRPr="00773138">
        <w:rPr>
          <w:sz w:val="16"/>
          <w:szCs w:val="16"/>
        </w:rPr>
        <w:t>Plant Produc</w:t>
      </w:r>
      <w:r>
        <w:rPr>
          <w:sz w:val="16"/>
          <w:szCs w:val="16"/>
        </w:rPr>
        <w:t xml:space="preserve">tion and Plant Primary Products; </w:t>
      </w:r>
      <w:r w:rsidRPr="00773138">
        <w:rPr>
          <w:sz w:val="16"/>
          <w:szCs w:val="16"/>
        </w:rPr>
        <w:t>Animal Product</w:t>
      </w:r>
      <w:r>
        <w:rPr>
          <w:sz w:val="16"/>
          <w:szCs w:val="16"/>
        </w:rPr>
        <w:t xml:space="preserve">ion and Animal Primary Products; </w:t>
      </w:r>
      <w:r w:rsidRPr="00773138">
        <w:rPr>
          <w:sz w:val="16"/>
          <w:szCs w:val="16"/>
        </w:rPr>
        <w:t>Mineral Res</w:t>
      </w:r>
      <w:r>
        <w:rPr>
          <w:sz w:val="16"/>
          <w:szCs w:val="16"/>
        </w:rPr>
        <w:t xml:space="preserve">ources (excl. Energy Resources); Energy; Manufacturing; Construction; Transport; </w:t>
      </w:r>
      <w:r w:rsidRPr="00773138">
        <w:rPr>
          <w:sz w:val="16"/>
          <w:szCs w:val="16"/>
        </w:rPr>
        <w:t>Informa</w:t>
      </w:r>
      <w:r>
        <w:rPr>
          <w:sz w:val="16"/>
          <w:szCs w:val="16"/>
        </w:rPr>
        <w:t xml:space="preserve">tion and Communication Services; Commercial Services and Tourism; </w:t>
      </w:r>
      <w:r w:rsidRPr="00773138">
        <w:rPr>
          <w:sz w:val="16"/>
          <w:szCs w:val="16"/>
        </w:rPr>
        <w:t>Economic Framework</w:t>
      </w:r>
      <w:r>
        <w:rPr>
          <w:sz w:val="16"/>
          <w:szCs w:val="16"/>
        </w:rPr>
        <w:t xml:space="preserve">); </w:t>
      </w:r>
      <w:r w:rsidRPr="00773138">
        <w:rPr>
          <w:sz w:val="16"/>
          <w:szCs w:val="16"/>
        </w:rPr>
        <w:t>Sector C: Society</w:t>
      </w:r>
      <w:r>
        <w:rPr>
          <w:sz w:val="16"/>
          <w:szCs w:val="16"/>
        </w:rPr>
        <w:t xml:space="preserve"> (Health; </w:t>
      </w:r>
      <w:r w:rsidRPr="00773138">
        <w:rPr>
          <w:sz w:val="16"/>
          <w:szCs w:val="16"/>
        </w:rPr>
        <w:t>Educat</w:t>
      </w:r>
      <w:r>
        <w:rPr>
          <w:sz w:val="16"/>
          <w:szCs w:val="16"/>
        </w:rPr>
        <w:t xml:space="preserve">ion and Training; </w:t>
      </w:r>
      <w:r w:rsidRPr="00773138">
        <w:rPr>
          <w:sz w:val="16"/>
          <w:szCs w:val="16"/>
        </w:rPr>
        <w:t xml:space="preserve">Law, </w:t>
      </w:r>
      <w:r>
        <w:rPr>
          <w:sz w:val="16"/>
          <w:szCs w:val="16"/>
        </w:rPr>
        <w:t xml:space="preserve">Politics and Community Services; </w:t>
      </w:r>
      <w:r w:rsidRPr="00773138">
        <w:rPr>
          <w:sz w:val="16"/>
          <w:szCs w:val="16"/>
        </w:rPr>
        <w:t>Cultural Understanding</w:t>
      </w:r>
      <w:r>
        <w:rPr>
          <w:sz w:val="16"/>
          <w:szCs w:val="16"/>
        </w:rPr>
        <w:t xml:space="preserve">); </w:t>
      </w:r>
      <w:r w:rsidRPr="00773138">
        <w:rPr>
          <w:sz w:val="16"/>
          <w:szCs w:val="16"/>
        </w:rPr>
        <w:t>Sector D: Environment</w:t>
      </w:r>
      <w:r>
        <w:rPr>
          <w:sz w:val="16"/>
          <w:szCs w:val="16"/>
        </w:rPr>
        <w:t xml:space="preserve"> (</w:t>
      </w:r>
      <w:r w:rsidRPr="00773138">
        <w:rPr>
          <w:sz w:val="16"/>
          <w:szCs w:val="16"/>
        </w:rPr>
        <w:t>Environment</w:t>
      </w:r>
      <w:r>
        <w:rPr>
          <w:sz w:val="16"/>
          <w:szCs w:val="16"/>
        </w:rPr>
        <w:t xml:space="preserve">); </w:t>
      </w:r>
      <w:r w:rsidRPr="00773138">
        <w:rPr>
          <w:sz w:val="16"/>
          <w:szCs w:val="16"/>
        </w:rPr>
        <w:t>Sector E: Expanding Knowledge</w:t>
      </w:r>
      <w:r>
        <w:rPr>
          <w:sz w:val="16"/>
          <w:szCs w:val="16"/>
        </w:rPr>
        <w:t xml:space="preserve"> (</w:t>
      </w:r>
      <w:r w:rsidRPr="00773138">
        <w:rPr>
          <w:sz w:val="16"/>
          <w:szCs w:val="16"/>
        </w:rPr>
        <w:t>Expanding Knowledge</w:t>
      </w:r>
      <w:r>
        <w:rPr>
          <w:sz w:val="16"/>
          <w:szCs w:val="16"/>
        </w:rPr>
        <w:t>).</w:t>
      </w:r>
    </w:p>
  </w:footnote>
  <w:footnote w:id="132">
    <w:p w14:paraId="4FF07801" w14:textId="6B74A41F" w:rsidR="00400295" w:rsidRPr="009E7669" w:rsidRDefault="00400295" w:rsidP="000134A7">
      <w:pPr>
        <w:pStyle w:val="FootnoteText"/>
        <w:rPr>
          <w:sz w:val="16"/>
          <w:szCs w:val="16"/>
          <w:lang w:val="en-AU"/>
        </w:rPr>
      </w:pPr>
      <w:r w:rsidRPr="009E7669">
        <w:rPr>
          <w:rStyle w:val="FootnoteReference"/>
          <w:sz w:val="16"/>
          <w:szCs w:val="16"/>
        </w:rPr>
        <w:footnoteRef/>
      </w:r>
      <w:r w:rsidRPr="009E7669">
        <w:rPr>
          <w:sz w:val="16"/>
          <w:szCs w:val="16"/>
        </w:rPr>
        <w:t xml:space="preserve"> 1297.0 - ANZSRC, 2008</w:t>
      </w:r>
      <w:r>
        <w:rPr>
          <w:sz w:val="16"/>
          <w:szCs w:val="16"/>
        </w:rPr>
        <w:t xml:space="preserve">, </w:t>
      </w:r>
      <w:r w:rsidRPr="009E7669">
        <w:rPr>
          <w:sz w:val="16"/>
          <w:szCs w:val="16"/>
        </w:rPr>
        <w:t>(cat. no.1297.0).</w:t>
      </w:r>
      <w:r>
        <w:rPr>
          <w:sz w:val="16"/>
          <w:szCs w:val="16"/>
        </w:rPr>
        <w:t xml:space="preserve"> </w:t>
      </w:r>
      <w:hyperlink r:id="rId111" w:history="1">
        <w:r w:rsidRPr="007E5CCA">
          <w:rPr>
            <w:rStyle w:val="Hyperlink"/>
            <w:sz w:val="16"/>
            <w:szCs w:val="16"/>
          </w:rPr>
          <w:t>www.abs.gov.au/Ausstats/abs@.nsf/Latestproducts/1297.0Main%20Features32008</w:t>
        </w:r>
      </w:hyperlink>
      <w:r>
        <w:rPr>
          <w:sz w:val="16"/>
          <w:szCs w:val="16"/>
        </w:rPr>
        <w:t xml:space="preserve"> </w:t>
      </w:r>
    </w:p>
  </w:footnote>
  <w:footnote w:id="133">
    <w:p w14:paraId="5DD09030" w14:textId="251033D6" w:rsidR="00400295" w:rsidRPr="008112FC" w:rsidRDefault="00400295">
      <w:pPr>
        <w:pStyle w:val="FootnoteText"/>
        <w:rPr>
          <w:sz w:val="16"/>
          <w:szCs w:val="16"/>
          <w:lang w:val="en-AU"/>
        </w:rPr>
      </w:pPr>
      <w:r w:rsidRPr="008112FC">
        <w:rPr>
          <w:rStyle w:val="FootnoteReference"/>
          <w:sz w:val="16"/>
          <w:szCs w:val="16"/>
        </w:rPr>
        <w:footnoteRef/>
      </w:r>
      <w:r w:rsidRPr="008112FC">
        <w:rPr>
          <w:sz w:val="16"/>
          <w:szCs w:val="16"/>
        </w:rPr>
        <w:t xml:space="preserve"> Commonwealth of Australia and New Zealand</w:t>
      </w:r>
      <w:r>
        <w:rPr>
          <w:sz w:val="16"/>
          <w:szCs w:val="16"/>
        </w:rPr>
        <w:t>. (</w:t>
      </w:r>
      <w:r w:rsidRPr="008112FC">
        <w:rPr>
          <w:sz w:val="16"/>
          <w:szCs w:val="16"/>
        </w:rPr>
        <w:t>2019</w:t>
      </w:r>
      <w:r>
        <w:rPr>
          <w:sz w:val="16"/>
          <w:szCs w:val="16"/>
        </w:rPr>
        <w:t xml:space="preserve">). </w:t>
      </w:r>
      <w:r w:rsidRPr="008804E8">
        <w:rPr>
          <w:sz w:val="16"/>
          <w:szCs w:val="16"/>
        </w:rPr>
        <w:t>Discussion Paper: Australian and New Zealand Standard Research Classification Review</w:t>
      </w:r>
      <w:r>
        <w:rPr>
          <w:sz w:val="16"/>
          <w:szCs w:val="16"/>
        </w:rPr>
        <w:t xml:space="preserve">. </w:t>
      </w:r>
      <w:hyperlink r:id="rId112" w:history="1">
        <w:r w:rsidRPr="00D90026">
          <w:rPr>
            <w:rStyle w:val="Hyperlink"/>
            <w:sz w:val="16"/>
            <w:szCs w:val="16"/>
          </w:rPr>
          <w:t>www.arc.gov.au/sites/default/files/media-assets/anzsrc_review_discussion_paper.pdf</w:t>
        </w:r>
      </w:hyperlink>
      <w:r>
        <w:rPr>
          <w:sz w:val="16"/>
          <w:szCs w:val="16"/>
        </w:rPr>
        <w:t xml:space="preserve"> </w:t>
      </w:r>
    </w:p>
  </w:footnote>
  <w:footnote w:id="134">
    <w:p w14:paraId="54CF2AE4" w14:textId="2C02749D" w:rsidR="00400295" w:rsidRPr="00F453FD" w:rsidRDefault="00400295" w:rsidP="00707EF4">
      <w:pPr>
        <w:pStyle w:val="FootnoteText"/>
        <w:rPr>
          <w:sz w:val="16"/>
          <w:szCs w:val="16"/>
          <w:lang w:val="en-AU"/>
        </w:rPr>
      </w:pPr>
      <w:r w:rsidRPr="00F453FD">
        <w:rPr>
          <w:rStyle w:val="FootnoteReference"/>
          <w:sz w:val="16"/>
          <w:szCs w:val="16"/>
        </w:rPr>
        <w:footnoteRef/>
      </w:r>
      <w:r w:rsidRPr="00F453FD">
        <w:rPr>
          <w:sz w:val="16"/>
          <w:szCs w:val="16"/>
        </w:rPr>
        <w:t xml:space="preserve"> In 2016, the Government commissioned the Productivity Commission to undertake a review of data availability and use across the Australian economy. The Productivity Commission’s report, </w:t>
      </w:r>
      <w:r w:rsidRPr="00F453FD">
        <w:rPr>
          <w:i/>
          <w:sz w:val="16"/>
          <w:szCs w:val="16"/>
          <w:lang w:val="en-AU"/>
        </w:rPr>
        <w:t>Data Availability and Use Inquiry</w:t>
      </w:r>
      <w:r w:rsidRPr="00F453FD">
        <w:rPr>
          <w:i/>
          <w:sz w:val="16"/>
          <w:szCs w:val="16"/>
        </w:rPr>
        <w:t xml:space="preserve">, </w:t>
      </w:r>
      <w:r w:rsidRPr="00F453FD">
        <w:rPr>
          <w:sz w:val="16"/>
          <w:szCs w:val="16"/>
        </w:rPr>
        <w:t xml:space="preserve">found Australia was lagging behind our international counterparts, with inconsistent practices and no single approach </w:t>
      </w:r>
      <w:r>
        <w:rPr>
          <w:sz w:val="16"/>
          <w:szCs w:val="16"/>
        </w:rPr>
        <w:t>to public</w:t>
      </w:r>
      <w:r>
        <w:rPr>
          <w:sz w:val="16"/>
          <w:szCs w:val="16"/>
        </w:rPr>
        <w:noBreakHyphen/>
        <w:t xml:space="preserve">sector data sharing. </w:t>
      </w:r>
      <w:r w:rsidRPr="00F453FD">
        <w:rPr>
          <w:sz w:val="16"/>
          <w:szCs w:val="16"/>
          <w:lang w:val="en-AU"/>
        </w:rPr>
        <w:t>Government’s response to the recommendations made by the Productivity Commission’s.</w:t>
      </w:r>
      <w:r>
        <w:rPr>
          <w:sz w:val="16"/>
          <w:szCs w:val="16"/>
          <w:lang w:val="en-AU"/>
        </w:rPr>
        <w:t xml:space="preserve"> In response, the Office of the National Data Commissioner (ONDC) was formed to oversee a reform of public sector data use.</w:t>
      </w:r>
    </w:p>
  </w:footnote>
  <w:footnote w:id="135">
    <w:p w14:paraId="22239B55" w14:textId="1DAF2B68" w:rsidR="00400295" w:rsidRPr="00F827F7" w:rsidRDefault="00400295" w:rsidP="007504BE">
      <w:pPr>
        <w:pStyle w:val="FootnoteText"/>
        <w:rPr>
          <w:sz w:val="16"/>
          <w:szCs w:val="16"/>
          <w:lang w:val="en-AU"/>
        </w:rPr>
      </w:pPr>
      <w:r w:rsidRPr="00F827F7">
        <w:rPr>
          <w:rStyle w:val="FootnoteReference"/>
          <w:sz w:val="16"/>
          <w:szCs w:val="16"/>
        </w:rPr>
        <w:footnoteRef/>
      </w:r>
      <w:r w:rsidRPr="00F827F7">
        <w:rPr>
          <w:sz w:val="16"/>
          <w:szCs w:val="16"/>
        </w:rPr>
        <w:t xml:space="preserve"> </w:t>
      </w:r>
      <w:r>
        <w:rPr>
          <w:sz w:val="16"/>
          <w:szCs w:val="16"/>
        </w:rPr>
        <w:t xml:space="preserve">NSW Data Analytics Centre. </w:t>
      </w:r>
      <w:hyperlink r:id="rId113" w:tooltip="Link to NSW Data Analytics Centre website " w:history="1">
        <w:r w:rsidRPr="00A834CB">
          <w:rPr>
            <w:rStyle w:val="Hyperlink"/>
            <w:sz w:val="16"/>
            <w:szCs w:val="16"/>
          </w:rPr>
          <w:t>https://data.nsw.gov.au/nsw-data-analytics-centre</w:t>
        </w:r>
      </w:hyperlink>
      <w:r>
        <w:rPr>
          <w:sz w:val="16"/>
          <w:szCs w:val="16"/>
        </w:rPr>
        <w:t xml:space="preserve"> </w:t>
      </w:r>
    </w:p>
  </w:footnote>
  <w:footnote w:id="136">
    <w:p w14:paraId="3F123F85" w14:textId="463D9BAB" w:rsidR="00400295" w:rsidRPr="00EB02FE" w:rsidRDefault="00400295" w:rsidP="003D00D8">
      <w:pPr>
        <w:spacing w:after="0" w:line="240" w:lineRule="auto"/>
        <w:rPr>
          <w:sz w:val="16"/>
          <w:szCs w:val="16"/>
        </w:rPr>
      </w:pPr>
      <w:r w:rsidRPr="00EB02FE">
        <w:rPr>
          <w:rStyle w:val="FootnoteReference"/>
          <w:sz w:val="16"/>
          <w:szCs w:val="16"/>
        </w:rPr>
        <w:footnoteRef/>
      </w:r>
      <w:r w:rsidRPr="00EB02FE">
        <w:rPr>
          <w:sz w:val="16"/>
          <w:szCs w:val="16"/>
        </w:rPr>
        <w:t xml:space="preserve"> Reserve Bank of Australia. (2020). The Australian Economy and Financial Markets. Mining and non-mining activity. p. 4.</w:t>
      </w:r>
      <w:r w:rsidRPr="00EB02FE">
        <w:rPr>
          <w:rStyle w:val="Hyperlink"/>
          <w:sz w:val="16"/>
          <w:szCs w:val="16"/>
        </w:rPr>
        <w:t xml:space="preserve"> </w:t>
      </w:r>
      <w:hyperlink r:id="rId114" w:tooltip="Link to RBA Report: The Australian economy and financial markets" w:history="1">
        <w:r w:rsidRPr="00EB02FE">
          <w:rPr>
            <w:rStyle w:val="Hyperlink"/>
            <w:sz w:val="16"/>
            <w:szCs w:val="16"/>
          </w:rPr>
          <w:t>www.rba.gov.au/chart-pack/pdf/chart-pack.pdf</w:t>
        </w:r>
      </w:hyperlink>
      <w:r>
        <w:rPr>
          <w:rStyle w:val="Hyperlink"/>
          <w:sz w:val="16"/>
          <w:szCs w:val="16"/>
        </w:rPr>
        <w:t xml:space="preserve"> </w:t>
      </w:r>
    </w:p>
  </w:footnote>
  <w:footnote w:id="137">
    <w:p w14:paraId="3A1BB98B" w14:textId="4489D82C" w:rsidR="00400295" w:rsidRPr="00762830" w:rsidRDefault="00400295" w:rsidP="003D00D8">
      <w:pPr>
        <w:pStyle w:val="FootnoteText"/>
        <w:rPr>
          <w:sz w:val="16"/>
          <w:szCs w:val="16"/>
        </w:rPr>
      </w:pPr>
      <w:r w:rsidRPr="00762830">
        <w:rPr>
          <w:rStyle w:val="FootnoteReference"/>
          <w:sz w:val="16"/>
          <w:szCs w:val="16"/>
        </w:rPr>
        <w:footnoteRef/>
      </w:r>
      <w:r w:rsidRPr="00762830">
        <w:rPr>
          <w:sz w:val="16"/>
          <w:szCs w:val="16"/>
        </w:rPr>
        <w:t xml:space="preserve"> </w:t>
      </w:r>
      <w:r>
        <w:rPr>
          <w:sz w:val="16"/>
          <w:szCs w:val="16"/>
        </w:rPr>
        <w:t xml:space="preserve">Reserve Bank of Australia. (2020). Statement on Monetary Policy, August 2020. p. 50. </w:t>
      </w:r>
      <w:r w:rsidRPr="004948CD">
        <w:rPr>
          <w:rStyle w:val="Hyperlink"/>
          <w:sz w:val="16"/>
          <w:szCs w:val="16"/>
        </w:rPr>
        <w:t>www.rba.gov.au/publications/smp/2020/aug/pdf/statement-on-monetary-policy-2020-08.pdf</w:t>
      </w:r>
    </w:p>
  </w:footnote>
  <w:footnote w:id="138">
    <w:p w14:paraId="54A9D65F" w14:textId="2D80415E" w:rsidR="00400295" w:rsidRPr="00303FBC" w:rsidRDefault="00400295" w:rsidP="003D00D8">
      <w:pPr>
        <w:pStyle w:val="FootnoteText"/>
        <w:rPr>
          <w:sz w:val="16"/>
        </w:rPr>
      </w:pPr>
      <w:r w:rsidRPr="00303FBC">
        <w:rPr>
          <w:rStyle w:val="FootnoteReference"/>
          <w:sz w:val="16"/>
        </w:rPr>
        <w:footnoteRef/>
      </w:r>
      <w:r w:rsidRPr="00303FBC">
        <w:rPr>
          <w:sz w:val="16"/>
        </w:rPr>
        <w:t xml:space="preserve"> OECD</w:t>
      </w:r>
      <w:r>
        <w:rPr>
          <w:sz w:val="16"/>
          <w:szCs w:val="16"/>
        </w:rPr>
        <w:t>.</w:t>
      </w:r>
      <w:r w:rsidRPr="00303FBC">
        <w:rPr>
          <w:sz w:val="16"/>
        </w:rPr>
        <w:t xml:space="preserve"> (2015</w:t>
      </w:r>
      <w:r w:rsidRPr="00762830">
        <w:rPr>
          <w:sz w:val="16"/>
          <w:szCs w:val="16"/>
        </w:rPr>
        <w:t>)</w:t>
      </w:r>
      <w:r>
        <w:rPr>
          <w:sz w:val="16"/>
          <w:szCs w:val="16"/>
        </w:rPr>
        <w:t>.</w:t>
      </w:r>
      <w:r w:rsidRPr="00303FBC">
        <w:rPr>
          <w:sz w:val="16"/>
        </w:rPr>
        <w:t xml:space="preserve"> The innovation imperative – contributing to productivity growth and well-being</w:t>
      </w:r>
      <w:r w:rsidRPr="00651C2C">
        <w:rPr>
          <w:sz w:val="16"/>
          <w:szCs w:val="16"/>
        </w:rPr>
        <w:t>.</w:t>
      </w:r>
      <w:r w:rsidRPr="00303FBC">
        <w:rPr>
          <w:sz w:val="16"/>
        </w:rPr>
        <w:t xml:space="preserve"> p 11.</w:t>
      </w:r>
      <w:r>
        <w:rPr>
          <w:sz w:val="16"/>
          <w:szCs w:val="16"/>
        </w:rPr>
        <w:t xml:space="preserve"> </w:t>
      </w:r>
      <w:hyperlink r:id="rId115" w:tooltip="link to the OECD The innovation imperative report" w:history="1">
        <w:r w:rsidRPr="00A15D27">
          <w:rPr>
            <w:rStyle w:val="Hyperlink"/>
            <w:sz w:val="16"/>
            <w:szCs w:val="16"/>
          </w:rPr>
          <w:t>www.oecd.org/publications/the-innovation-imperative-9789264239814-en.htm</w:t>
        </w:r>
      </w:hyperlink>
      <w:r>
        <w:rPr>
          <w:rStyle w:val="Hyperlink"/>
          <w:sz w:val="16"/>
          <w:szCs w:val="16"/>
        </w:rPr>
        <w:t xml:space="preserve"> </w:t>
      </w:r>
    </w:p>
  </w:footnote>
  <w:footnote w:id="139">
    <w:p w14:paraId="1291E24A" w14:textId="368516BD" w:rsidR="00400295" w:rsidRPr="00303FBC" w:rsidRDefault="00400295" w:rsidP="003D00D8">
      <w:pPr>
        <w:pStyle w:val="FootnoteText"/>
        <w:rPr>
          <w:sz w:val="16"/>
        </w:rPr>
      </w:pPr>
      <w:r w:rsidRPr="00303FBC">
        <w:rPr>
          <w:rStyle w:val="FootnoteReference"/>
          <w:sz w:val="16"/>
        </w:rPr>
        <w:footnoteRef/>
      </w:r>
      <w:r w:rsidRPr="00303FBC">
        <w:rPr>
          <w:sz w:val="16"/>
        </w:rPr>
        <w:t xml:space="preserve"> Analysis from multiple data sources used to produce the scorecard data, including the EU Community Innovation Survey and ABS Business Characteristics Survey.</w:t>
      </w:r>
    </w:p>
  </w:footnote>
  <w:footnote w:id="140">
    <w:p w14:paraId="01A2FA51" w14:textId="65FC071F" w:rsidR="00400295" w:rsidRPr="002B55B9" w:rsidDel="000D6835" w:rsidRDefault="00400295" w:rsidP="003D00D8">
      <w:pPr>
        <w:pStyle w:val="FootnoteText"/>
        <w:rPr>
          <w:sz w:val="16"/>
          <w:szCs w:val="16"/>
        </w:rPr>
      </w:pPr>
      <w:r w:rsidRPr="00303FBC">
        <w:rPr>
          <w:rStyle w:val="FootnoteReference"/>
          <w:sz w:val="16"/>
        </w:rPr>
        <w:footnoteRef/>
      </w:r>
      <w:r>
        <w:rPr>
          <w:sz w:val="16"/>
          <w:szCs w:val="16"/>
        </w:rPr>
        <w:t xml:space="preserve"> </w:t>
      </w:r>
      <w:r w:rsidRPr="00E83837" w:rsidDel="000D6835">
        <w:rPr>
          <w:sz w:val="16"/>
          <w:szCs w:val="16"/>
        </w:rPr>
        <w:t>Innovation and Science Australia. (2</w:t>
      </w:r>
      <w:r w:rsidRPr="00E83837">
        <w:rPr>
          <w:sz w:val="16"/>
          <w:szCs w:val="16"/>
        </w:rPr>
        <w:t xml:space="preserve">016). </w:t>
      </w:r>
      <w:r w:rsidRPr="00E83837" w:rsidDel="000D6835">
        <w:rPr>
          <w:sz w:val="16"/>
          <w:szCs w:val="16"/>
        </w:rPr>
        <w:t>Performance review of the Australian Innovation, Science and Research System.</w:t>
      </w:r>
      <w:r w:rsidRPr="00E83837">
        <w:rPr>
          <w:sz w:val="16"/>
          <w:szCs w:val="16"/>
        </w:rPr>
        <w:t xml:space="preserve"> </w:t>
      </w:r>
      <w:hyperlink r:id="rId116" w:tooltip="Link to Innovation and Science Australia's report on the review of the Australian ISR system" w:history="1">
        <w:r w:rsidRPr="004D4674">
          <w:rPr>
            <w:rStyle w:val="Hyperlink"/>
            <w:sz w:val="16"/>
            <w:szCs w:val="16"/>
          </w:rPr>
          <w:t>www.industry.gov.au/sites/g/files/net3906/f/2018-10/performance-review-of-the-australian-innovation-science-and-research-system-isa.pdf</w:t>
        </w:r>
      </w:hyperlink>
    </w:p>
    <w:p w14:paraId="6469A933" w14:textId="7A71B921" w:rsidR="00400295" w:rsidRPr="00303FBC" w:rsidRDefault="00400295" w:rsidP="003D00D8">
      <w:pPr>
        <w:pStyle w:val="FootnoteText"/>
        <w:rPr>
          <w:rStyle w:val="Hyperlink"/>
          <w:sz w:val="16"/>
        </w:rPr>
      </w:pPr>
      <w:r w:rsidRPr="00B00178">
        <w:rPr>
          <w:rStyle w:val="FootnoteReference"/>
          <w:sz w:val="16"/>
          <w:szCs w:val="16"/>
        </w:rPr>
        <w:footnoteRef/>
      </w:r>
      <w:r>
        <w:rPr>
          <w:sz w:val="16"/>
          <w:szCs w:val="16"/>
        </w:rPr>
        <w:t xml:space="preserve"> </w:t>
      </w:r>
      <w:r w:rsidRPr="008E1E7C">
        <w:rPr>
          <w:sz w:val="16"/>
          <w:szCs w:val="16"/>
        </w:rPr>
        <w:t>I</w:t>
      </w:r>
      <w:r>
        <w:rPr>
          <w:sz w:val="16"/>
          <w:szCs w:val="16"/>
        </w:rPr>
        <w:t xml:space="preserve">nnovation and Science Australia. </w:t>
      </w:r>
      <w:r w:rsidRPr="008E1E7C">
        <w:rPr>
          <w:sz w:val="16"/>
          <w:szCs w:val="16"/>
        </w:rPr>
        <w:t>(</w:t>
      </w:r>
      <w:r w:rsidRPr="00B00178">
        <w:rPr>
          <w:sz w:val="16"/>
          <w:szCs w:val="16"/>
        </w:rPr>
        <w:t>2020</w:t>
      </w:r>
      <w:r w:rsidRPr="008E1E7C">
        <w:rPr>
          <w:sz w:val="16"/>
          <w:szCs w:val="16"/>
        </w:rPr>
        <w:t>). Stimulating business investment in innovation.</w:t>
      </w:r>
      <w:r>
        <w:rPr>
          <w:sz w:val="16"/>
          <w:szCs w:val="16"/>
        </w:rPr>
        <w:t xml:space="preserve"> </w:t>
      </w:r>
      <w:hyperlink r:id="rId117" w:tooltip="Link to ISA's Stimulating business investment in innovation report" w:history="1">
        <w:r w:rsidRPr="00A15D27">
          <w:rPr>
            <w:rStyle w:val="Hyperlink"/>
            <w:sz w:val="16"/>
            <w:szCs w:val="16"/>
          </w:rPr>
          <w:t>www.industry.gov.au/sites/default/files/2020-02/stimulating-business-investment-in-innovation.pdf</w:t>
        </w:r>
      </w:hyperlink>
      <w:r>
        <w:rPr>
          <w:rStyle w:val="Hyperlink"/>
          <w:sz w:val="16"/>
          <w:szCs w:val="16"/>
        </w:rPr>
        <w:t xml:space="preserve"> </w:t>
      </w:r>
    </w:p>
  </w:footnote>
  <w:footnote w:id="141">
    <w:p w14:paraId="448CF713" w14:textId="5F1A5A83" w:rsidR="00400295" w:rsidRPr="00303FBC" w:rsidRDefault="00400295" w:rsidP="003D00D8">
      <w:pPr>
        <w:pStyle w:val="FootnoteText"/>
        <w:rPr>
          <w:sz w:val="16"/>
        </w:rPr>
      </w:pPr>
      <w:r w:rsidRPr="00303FBC">
        <w:rPr>
          <w:rStyle w:val="FootnoteReference"/>
          <w:sz w:val="16"/>
        </w:rPr>
        <w:footnoteRef/>
      </w:r>
      <w:r w:rsidRPr="009C30E1">
        <w:rPr>
          <w:sz w:val="16"/>
          <w:szCs w:val="16"/>
        </w:rPr>
        <w:t xml:space="preserve"> </w:t>
      </w:r>
      <w:r>
        <w:rPr>
          <w:sz w:val="16"/>
          <w:szCs w:val="16"/>
        </w:rPr>
        <w:t xml:space="preserve">AlphaBeta Advisors, for Innovation and Science Australia. (2020). Australian Business Investment in Innovation: Levels, Trends and Drivers. </w:t>
      </w:r>
      <w:hyperlink r:id="rId118" w:tooltip="Link to Alphabeta report on ISA website: Australian Business Investment in Innovation" w:history="1">
        <w:r w:rsidRPr="004D4674">
          <w:rPr>
            <w:rStyle w:val="Hyperlink"/>
            <w:sz w:val="16"/>
            <w:szCs w:val="16"/>
          </w:rPr>
          <w:t>www.industry.gov.au/sites/default/files/2020-02/australian-business-investment-in-innovation-levels-trends-and-drivers.pdf</w:t>
        </w:r>
      </w:hyperlink>
    </w:p>
  </w:footnote>
  <w:footnote w:id="142">
    <w:p w14:paraId="6EEF6845" w14:textId="110F41BD" w:rsidR="00400295" w:rsidRPr="00303FBC" w:rsidRDefault="00400295" w:rsidP="003D00D8">
      <w:pPr>
        <w:pStyle w:val="FootnoteText"/>
        <w:rPr>
          <w:sz w:val="16"/>
        </w:rPr>
      </w:pPr>
      <w:r w:rsidRPr="00303FBC">
        <w:rPr>
          <w:rStyle w:val="FootnoteReference"/>
          <w:sz w:val="16"/>
        </w:rPr>
        <w:footnoteRef/>
      </w:r>
      <w:r w:rsidRPr="009C30E1">
        <w:rPr>
          <w:sz w:val="16"/>
          <w:szCs w:val="16"/>
        </w:rPr>
        <w:t xml:space="preserve"> </w:t>
      </w:r>
      <w:r>
        <w:rPr>
          <w:sz w:val="16"/>
          <w:szCs w:val="16"/>
        </w:rPr>
        <w:t xml:space="preserve">AlphaBeta Advisors, for Innovation and Science Australia. (2020). Australian Business Investment in Innovation: Levels, Trends and Drivers. p. 21. </w:t>
      </w:r>
      <w:hyperlink r:id="rId119" w:tooltip="AphaBeta report for ISA: Australian Business Investment in Innovation" w:history="1">
        <w:r w:rsidRPr="004D4674">
          <w:rPr>
            <w:rStyle w:val="Hyperlink"/>
            <w:sz w:val="16"/>
            <w:szCs w:val="16"/>
          </w:rPr>
          <w:t>www.industry.gov.au/sites/default/files/2020-02/australian-business-investment-in-innovation-levels-trends-and-drivers.pdf</w:t>
        </w:r>
      </w:hyperlink>
    </w:p>
  </w:footnote>
  <w:footnote w:id="143">
    <w:p w14:paraId="71800D22" w14:textId="7F684838" w:rsidR="00400295" w:rsidRPr="00682E85" w:rsidRDefault="00400295" w:rsidP="003D00D8">
      <w:pPr>
        <w:pStyle w:val="FootnoteText"/>
        <w:rPr>
          <w:sz w:val="16"/>
          <w:szCs w:val="16"/>
          <w:lang w:val="en-AU"/>
        </w:rPr>
      </w:pPr>
      <w:r w:rsidRPr="00804C8F">
        <w:rPr>
          <w:rStyle w:val="FootnoteReference"/>
          <w:sz w:val="16"/>
          <w:szCs w:val="16"/>
        </w:rPr>
        <w:footnoteRef/>
      </w:r>
      <w:r w:rsidRPr="00804C8F">
        <w:rPr>
          <w:sz w:val="16"/>
          <w:szCs w:val="16"/>
        </w:rPr>
        <w:t xml:space="preserve"> Soriano, </w:t>
      </w:r>
      <w:r>
        <w:rPr>
          <w:sz w:val="16"/>
          <w:szCs w:val="16"/>
        </w:rPr>
        <w:t>F.</w:t>
      </w:r>
      <w:r w:rsidRPr="00804C8F">
        <w:rPr>
          <w:sz w:val="16"/>
          <w:szCs w:val="16"/>
        </w:rPr>
        <w:t xml:space="preserve"> and Abello, </w:t>
      </w:r>
      <w:r>
        <w:rPr>
          <w:sz w:val="16"/>
          <w:szCs w:val="16"/>
        </w:rPr>
        <w:t>R.</w:t>
      </w:r>
      <w:r w:rsidRPr="00804C8F">
        <w:rPr>
          <w:sz w:val="16"/>
          <w:szCs w:val="16"/>
        </w:rPr>
        <w:t xml:space="preserve"> (</w:t>
      </w:r>
      <w:r w:rsidRPr="00682E85">
        <w:rPr>
          <w:sz w:val="16"/>
          <w:szCs w:val="16"/>
        </w:rPr>
        <w:t xml:space="preserve">2015). Modelling the relationships between the use of STEM* skills, collaboration, R&amp;D and Innovation among Australian Businesses. </w:t>
      </w:r>
      <w:r w:rsidRPr="00682E85">
        <w:rPr>
          <w:iCs/>
          <w:sz w:val="16"/>
          <w:szCs w:val="16"/>
        </w:rPr>
        <w:t>Australian Journal of Labour Economics</w:t>
      </w:r>
      <w:r w:rsidRPr="00682E85">
        <w:rPr>
          <w:i/>
          <w:sz w:val="16"/>
          <w:szCs w:val="16"/>
        </w:rPr>
        <w:t>,</w:t>
      </w:r>
      <w:r w:rsidRPr="00682E85">
        <w:rPr>
          <w:sz w:val="16"/>
          <w:szCs w:val="16"/>
        </w:rPr>
        <w:t xml:space="preserve"> </w:t>
      </w:r>
      <w:r w:rsidRPr="00682E85">
        <w:rPr>
          <w:bCs/>
          <w:sz w:val="16"/>
          <w:szCs w:val="16"/>
        </w:rPr>
        <w:t>18</w:t>
      </w:r>
      <w:r w:rsidRPr="00682E85">
        <w:rPr>
          <w:sz w:val="16"/>
          <w:szCs w:val="16"/>
        </w:rPr>
        <w:t xml:space="preserve">, issue 3, p. 345–374. </w:t>
      </w:r>
      <w:hyperlink r:id="rId120" w:history="1">
        <w:r w:rsidRPr="00682E85">
          <w:rPr>
            <w:rStyle w:val="Hyperlink"/>
            <w:sz w:val="16"/>
            <w:szCs w:val="16"/>
          </w:rPr>
          <w:t>https://econpapers.repec.org/RePEc:ozl:journl:v:18:y:2015:i:3:p:345-374</w:t>
        </w:r>
      </w:hyperlink>
      <w:r w:rsidRPr="00682E85">
        <w:rPr>
          <w:sz w:val="16"/>
          <w:szCs w:val="16"/>
        </w:rPr>
        <w:t xml:space="preserve"> </w:t>
      </w:r>
    </w:p>
  </w:footnote>
  <w:footnote w:id="144">
    <w:p w14:paraId="5884CB1C" w14:textId="5EA78F9E" w:rsidR="00400295" w:rsidRPr="00804C8F" w:rsidRDefault="00400295" w:rsidP="003D00D8">
      <w:pPr>
        <w:pStyle w:val="FootnoteText"/>
        <w:rPr>
          <w:sz w:val="16"/>
          <w:szCs w:val="16"/>
        </w:rPr>
      </w:pPr>
      <w:r w:rsidRPr="00804C8F">
        <w:rPr>
          <w:rStyle w:val="FootnoteReference"/>
          <w:sz w:val="16"/>
          <w:szCs w:val="16"/>
        </w:rPr>
        <w:footnoteRef/>
      </w:r>
      <w:r w:rsidRPr="00804C8F">
        <w:rPr>
          <w:rStyle w:val="FootnoteReference"/>
          <w:sz w:val="16"/>
          <w:szCs w:val="16"/>
        </w:rPr>
        <w:t xml:space="preserve"> </w:t>
      </w:r>
      <w:r w:rsidRPr="00804C8F">
        <w:rPr>
          <w:sz w:val="16"/>
          <w:szCs w:val="16"/>
        </w:rPr>
        <w:t>AlphaBeta Advisors, for Innovation and Science Australia. (2020). Australian Business Investment in Innovation: Levels, Trends and Drivers. p. 21.</w:t>
      </w:r>
      <w:r>
        <w:rPr>
          <w:sz w:val="16"/>
          <w:szCs w:val="16"/>
        </w:rPr>
        <w:t xml:space="preserve"> </w:t>
      </w:r>
      <w:hyperlink r:id="rId121" w:tooltip="Link to AlphaBeta report for ISA: Business investment in innovation" w:history="1">
        <w:r w:rsidRPr="00804C8F">
          <w:rPr>
            <w:rStyle w:val="Hyperlink"/>
            <w:sz w:val="16"/>
            <w:szCs w:val="16"/>
          </w:rPr>
          <w:t>www.industry.gov.au/sites/default/files/2020-02/australian-business-investment-in-innovation-levels-trends-and-drivers.pdf</w:t>
        </w:r>
      </w:hyperlink>
    </w:p>
  </w:footnote>
  <w:footnote w:id="145">
    <w:p w14:paraId="7970D174" w14:textId="77777777" w:rsidR="00400295" w:rsidRPr="00804C8F" w:rsidRDefault="00400295" w:rsidP="003D00D8">
      <w:pPr>
        <w:pStyle w:val="FootnoteText"/>
        <w:rPr>
          <w:sz w:val="16"/>
          <w:lang w:val="en-AU"/>
        </w:rPr>
      </w:pPr>
      <w:r w:rsidRPr="00804C8F">
        <w:rPr>
          <w:rStyle w:val="FootnoteReference"/>
          <w:sz w:val="16"/>
        </w:rPr>
        <w:footnoteRef/>
      </w:r>
      <w:r w:rsidRPr="00804C8F">
        <w:rPr>
          <w:sz w:val="16"/>
        </w:rPr>
        <w:t xml:space="preserve"> A closer observation of the data source highlights issues with the data as demonstrated in the scorecard. The sample size of six countries in 2016 means that Australia’s ranking could change significantly if just a few countries are added. Many countries drop in and out of the data, and these often fall in the top five, which affects the shape of the top five line.</w:t>
      </w:r>
    </w:p>
  </w:footnote>
  <w:footnote w:id="146">
    <w:p w14:paraId="782038A3" w14:textId="03DD32A7" w:rsidR="00400295" w:rsidRPr="00804C8F" w:rsidRDefault="00400295" w:rsidP="003D00D8">
      <w:pPr>
        <w:pStyle w:val="FootnoteText"/>
        <w:rPr>
          <w:sz w:val="16"/>
          <w:szCs w:val="16"/>
          <w:lang w:val="en-AU"/>
        </w:rPr>
      </w:pPr>
      <w:r w:rsidRPr="00804C8F">
        <w:rPr>
          <w:rStyle w:val="FootnoteReference"/>
          <w:sz w:val="16"/>
          <w:szCs w:val="16"/>
        </w:rPr>
        <w:footnoteRef/>
      </w:r>
      <w:r w:rsidRPr="00804C8F">
        <w:rPr>
          <w:sz w:val="16"/>
          <w:szCs w:val="16"/>
        </w:rPr>
        <w:t xml:space="preserve"> </w:t>
      </w:r>
      <w:r>
        <w:rPr>
          <w:sz w:val="16"/>
          <w:szCs w:val="16"/>
        </w:rPr>
        <w:t xml:space="preserve">Majeed, O., Balaguer, A., Hansell, D., Hendrickson, L., Latcham, A. and Satherley, T. (2018). What drives high-growth? Characteristics of Australian firms. p.5. </w:t>
      </w:r>
      <w:hyperlink r:id="rId122" w:history="1">
        <w:r w:rsidRPr="00521D51">
          <w:rPr>
            <w:rStyle w:val="Hyperlink"/>
            <w:sz w:val="16"/>
            <w:szCs w:val="16"/>
          </w:rPr>
          <w:t>www.industry.gov.au/sites/default/files/2018-12/oce-what-drives-high-growth-characteristics-of-australian-firms.pdf</w:t>
        </w:r>
      </w:hyperlink>
    </w:p>
  </w:footnote>
  <w:footnote w:id="147">
    <w:p w14:paraId="0729BBD5" w14:textId="353899C7" w:rsidR="00400295" w:rsidRPr="003A72B1" w:rsidRDefault="00400295" w:rsidP="003D00D8">
      <w:pPr>
        <w:pStyle w:val="FootnoteText"/>
        <w:rPr>
          <w:sz w:val="16"/>
          <w:szCs w:val="16"/>
          <w:lang w:val="en-AU"/>
        </w:rPr>
      </w:pPr>
      <w:r w:rsidRPr="00804C8F">
        <w:rPr>
          <w:rStyle w:val="FootnoteReference"/>
          <w:sz w:val="16"/>
          <w:szCs w:val="16"/>
        </w:rPr>
        <w:footnoteRef/>
      </w:r>
      <w:r w:rsidRPr="00804C8F">
        <w:rPr>
          <w:sz w:val="16"/>
          <w:szCs w:val="16"/>
        </w:rPr>
        <w:t xml:space="preserve"> </w:t>
      </w:r>
      <w:r>
        <w:rPr>
          <w:sz w:val="16"/>
          <w:szCs w:val="16"/>
        </w:rPr>
        <w:t xml:space="preserve">Bakhtiari, S. (2017). Entrepeneurship Dynamics in Australia: Lessons from Micro-data. p. 20–24. </w:t>
      </w:r>
      <w:hyperlink r:id="rId123" w:history="1">
        <w:r w:rsidRPr="00521D51">
          <w:rPr>
            <w:rStyle w:val="Hyperlink"/>
            <w:sz w:val="16"/>
            <w:szCs w:val="16"/>
          </w:rPr>
          <w:t>www.industry.gov.au/data-and-publications/staff-research-papers/entrepreneurship-dynamics-in-australia-lessons-from-micro-data</w:t>
        </w:r>
      </w:hyperlink>
    </w:p>
  </w:footnote>
  <w:footnote w:id="148">
    <w:p w14:paraId="67177C2B" w14:textId="3FC1354C" w:rsidR="00400295" w:rsidRPr="00804C8F" w:rsidRDefault="00400295" w:rsidP="003D00D8">
      <w:pPr>
        <w:pStyle w:val="FootnoteText"/>
        <w:rPr>
          <w:sz w:val="16"/>
          <w:lang w:val="en-AU"/>
        </w:rPr>
      </w:pPr>
      <w:r w:rsidRPr="00804C8F">
        <w:rPr>
          <w:rStyle w:val="FootnoteReference"/>
          <w:sz w:val="16"/>
        </w:rPr>
        <w:footnoteRef/>
      </w:r>
      <w:r w:rsidRPr="003A72B1">
        <w:rPr>
          <w:sz w:val="16"/>
          <w:szCs w:val="16"/>
        </w:rPr>
        <w:t xml:space="preserve"> </w:t>
      </w:r>
      <w:r w:rsidRPr="00804C8F">
        <w:rPr>
          <w:sz w:val="16"/>
        </w:rPr>
        <w:t>The ‘hazard level’ for firms has increased by 5</w:t>
      </w:r>
      <w:r>
        <w:rPr>
          <w:sz w:val="16"/>
        </w:rPr>
        <w:t>–</w:t>
      </w:r>
      <w:r w:rsidRPr="00804C8F">
        <w:rPr>
          <w:sz w:val="16"/>
        </w:rPr>
        <w:t>10 percentage points in 2005 and has not reverted to levels observed prior to 2005. The ‘hazard level’ peaked in 2011 with a 50 percentage point rise in the hazard level of exit relative to 2003.</w:t>
      </w:r>
    </w:p>
  </w:footnote>
  <w:footnote w:id="149">
    <w:p w14:paraId="0B037AC1" w14:textId="57704840" w:rsidR="00400295" w:rsidRPr="00804C8F" w:rsidRDefault="00400295" w:rsidP="003D00D8">
      <w:pPr>
        <w:pStyle w:val="FootnoteText"/>
        <w:rPr>
          <w:sz w:val="16"/>
          <w:lang w:val="en-AU"/>
        </w:rPr>
      </w:pPr>
      <w:r w:rsidRPr="00804C8F">
        <w:rPr>
          <w:rStyle w:val="FootnoteReference"/>
          <w:sz w:val="16"/>
        </w:rPr>
        <w:footnoteRef/>
      </w:r>
      <w:r w:rsidRPr="00804C8F">
        <w:rPr>
          <w:sz w:val="16"/>
        </w:rPr>
        <w:t xml:space="preserve"> </w:t>
      </w:r>
      <w:r>
        <w:rPr>
          <w:sz w:val="16"/>
          <w:szCs w:val="16"/>
        </w:rPr>
        <w:t xml:space="preserve">Bakhtiari, S. (2017). Entrepeneurship Dynamics in Australia: Lessons from Micro-data. p. 10. </w:t>
      </w:r>
      <w:hyperlink r:id="rId124" w:history="1">
        <w:r w:rsidRPr="00521D51">
          <w:rPr>
            <w:rStyle w:val="Hyperlink"/>
            <w:sz w:val="16"/>
          </w:rPr>
          <w:t>www.industry.gov.au/data-and-publications/staff-research-papers/entrepreneurship-dynamics-in-australia-lessons-from-micro-data</w:t>
        </w:r>
      </w:hyperlink>
    </w:p>
  </w:footnote>
  <w:footnote w:id="150">
    <w:p w14:paraId="1F88FEA1" w14:textId="3E98D487" w:rsidR="00400295" w:rsidRPr="00804C8F" w:rsidRDefault="00400295" w:rsidP="003D00D8">
      <w:pPr>
        <w:pStyle w:val="FootnoteText"/>
        <w:rPr>
          <w:sz w:val="16"/>
          <w:lang w:val="en-AU"/>
        </w:rPr>
      </w:pPr>
      <w:r w:rsidRPr="00804C8F">
        <w:rPr>
          <w:rStyle w:val="FootnoteReference"/>
          <w:sz w:val="16"/>
        </w:rPr>
        <w:footnoteRef/>
      </w:r>
      <w:r w:rsidRPr="00804C8F">
        <w:rPr>
          <w:sz w:val="16"/>
        </w:rPr>
        <w:t xml:space="preserve"> </w:t>
      </w:r>
      <w:r>
        <w:rPr>
          <w:sz w:val="16"/>
          <w:szCs w:val="16"/>
        </w:rPr>
        <w:t xml:space="preserve">AlphaBeta Advisors, for Innovation and Science Australia. (2020). Australian Business Investment in Innovation: Levels, Trends and Drivers. </w:t>
      </w:r>
      <w:hyperlink r:id="rId125" w:history="1">
        <w:r w:rsidRPr="00521D51">
          <w:rPr>
            <w:rStyle w:val="Hyperlink"/>
            <w:sz w:val="16"/>
          </w:rPr>
          <w:t>www.industry.gov.au/sites/default/files/2020-02/australian-business-investment-in-innovation-levels-trends-and-drivers.pdf</w:t>
        </w:r>
      </w:hyperlink>
    </w:p>
  </w:footnote>
  <w:footnote w:id="151">
    <w:p w14:paraId="659D2906" w14:textId="399B5D16" w:rsidR="00400295" w:rsidRPr="00C207F2" w:rsidRDefault="00400295" w:rsidP="003D00D8">
      <w:pPr>
        <w:pStyle w:val="FootnoteText"/>
        <w:rPr>
          <w:sz w:val="16"/>
          <w:szCs w:val="16"/>
          <w:lang w:val="en-AU"/>
        </w:rPr>
      </w:pPr>
      <w:r w:rsidRPr="00804C8F">
        <w:rPr>
          <w:rStyle w:val="FootnoteReference"/>
          <w:sz w:val="16"/>
        </w:rPr>
        <w:footnoteRef/>
      </w:r>
      <w:r w:rsidRPr="00804C8F">
        <w:rPr>
          <w:sz w:val="16"/>
        </w:rPr>
        <w:t xml:space="preserve"> </w:t>
      </w:r>
      <w:r w:rsidRPr="008E1E7C">
        <w:rPr>
          <w:sz w:val="16"/>
          <w:szCs w:val="16"/>
        </w:rPr>
        <w:t>I</w:t>
      </w:r>
      <w:r>
        <w:rPr>
          <w:sz w:val="16"/>
          <w:szCs w:val="16"/>
        </w:rPr>
        <w:t xml:space="preserve">nnovation and Science Australia. </w:t>
      </w:r>
      <w:r w:rsidRPr="008E1E7C">
        <w:rPr>
          <w:sz w:val="16"/>
          <w:szCs w:val="16"/>
        </w:rPr>
        <w:t>(</w:t>
      </w:r>
      <w:r w:rsidRPr="00B00178">
        <w:rPr>
          <w:sz w:val="16"/>
          <w:szCs w:val="16"/>
        </w:rPr>
        <w:t>2020</w:t>
      </w:r>
      <w:r w:rsidRPr="008E1E7C">
        <w:rPr>
          <w:sz w:val="16"/>
          <w:szCs w:val="16"/>
        </w:rPr>
        <w:t xml:space="preserve">). Stimulating business investment in </w:t>
      </w:r>
      <w:r w:rsidRPr="00C207F2">
        <w:rPr>
          <w:sz w:val="16"/>
          <w:szCs w:val="16"/>
        </w:rPr>
        <w:t xml:space="preserve">innovation. </w:t>
      </w:r>
      <w:hyperlink r:id="rId126" w:tooltip="Link to ISA's Stimulating business investment in innovation report" w:history="1">
        <w:r w:rsidRPr="00C207F2">
          <w:rPr>
            <w:rStyle w:val="Hyperlink"/>
            <w:sz w:val="16"/>
            <w:szCs w:val="16"/>
          </w:rPr>
          <w:t>www.industry.gov.au/sites/default/files/2020-02/stimulating-business-investment-in-innovation.pdf</w:t>
        </w:r>
      </w:hyperlink>
      <w:r w:rsidRPr="00C207F2">
        <w:rPr>
          <w:rStyle w:val="Hyperlink"/>
          <w:sz w:val="16"/>
          <w:szCs w:val="16"/>
        </w:rPr>
        <w:t xml:space="preserve"> </w:t>
      </w:r>
    </w:p>
  </w:footnote>
  <w:footnote w:id="152">
    <w:p w14:paraId="593BB068" w14:textId="0612533E" w:rsidR="00400295" w:rsidRPr="00C207F2" w:rsidRDefault="00400295" w:rsidP="003D00D8">
      <w:pPr>
        <w:pStyle w:val="FootnoteText"/>
        <w:rPr>
          <w:sz w:val="16"/>
          <w:szCs w:val="16"/>
          <w:lang w:val="en-AU"/>
        </w:rPr>
      </w:pPr>
      <w:r w:rsidRPr="00C207F2">
        <w:rPr>
          <w:rStyle w:val="FootnoteReference"/>
          <w:sz w:val="16"/>
          <w:szCs w:val="16"/>
        </w:rPr>
        <w:footnoteRef/>
      </w:r>
      <w:r w:rsidRPr="00C207F2">
        <w:rPr>
          <w:sz w:val="16"/>
          <w:szCs w:val="16"/>
        </w:rPr>
        <w:t xml:space="preserve"> Reserve Bank of Australia. (2020). Statement on monetary policy – February 2020. p. 71. </w:t>
      </w:r>
      <w:hyperlink r:id="rId127" w:history="1">
        <w:r w:rsidRPr="00521D51">
          <w:rPr>
            <w:rStyle w:val="Hyperlink"/>
            <w:sz w:val="16"/>
            <w:szCs w:val="16"/>
          </w:rPr>
          <w:t>www.rba.gov.au/publications/smp/2020/feb/</w:t>
        </w:r>
      </w:hyperlink>
      <w:r w:rsidRPr="00C207F2">
        <w:rPr>
          <w:sz w:val="16"/>
          <w:szCs w:val="16"/>
        </w:rPr>
        <w:t xml:space="preserve"> </w:t>
      </w:r>
    </w:p>
  </w:footnote>
  <w:footnote w:id="153">
    <w:p w14:paraId="61EB6ED4" w14:textId="0FF803A6" w:rsidR="00400295" w:rsidRPr="00C207F2" w:rsidRDefault="00400295" w:rsidP="003D00D8">
      <w:pPr>
        <w:pStyle w:val="FootnoteText"/>
        <w:rPr>
          <w:sz w:val="16"/>
          <w:szCs w:val="16"/>
        </w:rPr>
      </w:pPr>
      <w:r w:rsidRPr="00C207F2">
        <w:rPr>
          <w:rStyle w:val="FootnoteReference"/>
          <w:sz w:val="16"/>
          <w:szCs w:val="16"/>
        </w:rPr>
        <w:footnoteRef/>
      </w:r>
      <w:r w:rsidRPr="00C207F2">
        <w:rPr>
          <w:sz w:val="16"/>
          <w:szCs w:val="16"/>
        </w:rPr>
        <w:t xml:space="preserve"> I</w:t>
      </w:r>
      <w:r>
        <w:rPr>
          <w:sz w:val="16"/>
          <w:szCs w:val="16"/>
        </w:rPr>
        <w:t>I</w:t>
      </w:r>
      <w:r w:rsidRPr="00C207F2">
        <w:rPr>
          <w:sz w:val="16"/>
          <w:szCs w:val="16"/>
        </w:rPr>
        <w:t xml:space="preserve">SA analysis was conducted using publically available data from the Australian Investment Council, Pitchbook and the ABS. </w:t>
      </w:r>
    </w:p>
  </w:footnote>
  <w:footnote w:id="154">
    <w:p w14:paraId="02AF591E" w14:textId="187B1F8C" w:rsidR="00400295" w:rsidRPr="00C73D5F" w:rsidRDefault="00400295">
      <w:pPr>
        <w:pStyle w:val="FootnoteText"/>
        <w:rPr>
          <w:sz w:val="16"/>
          <w:szCs w:val="16"/>
          <w:lang w:val="en-AU"/>
        </w:rPr>
      </w:pPr>
      <w:r w:rsidRPr="00473ADB">
        <w:rPr>
          <w:rStyle w:val="FootnoteReference"/>
          <w:sz w:val="16"/>
        </w:rPr>
        <w:footnoteRef/>
      </w:r>
      <w:r w:rsidRPr="00473ADB">
        <w:rPr>
          <w:rStyle w:val="FootnoteReference"/>
          <w:sz w:val="16"/>
        </w:rPr>
        <w:t xml:space="preserve"> </w:t>
      </w:r>
      <w:r w:rsidRPr="004C0DC2">
        <w:rPr>
          <w:sz w:val="16"/>
          <w:szCs w:val="16"/>
        </w:rPr>
        <w:t>Phillips</w:t>
      </w:r>
      <w:r>
        <w:rPr>
          <w:sz w:val="16"/>
          <w:szCs w:val="16"/>
        </w:rPr>
        <w:t>, J.</w:t>
      </w:r>
      <w:r w:rsidRPr="004C0DC2">
        <w:rPr>
          <w:sz w:val="16"/>
          <w:szCs w:val="16"/>
        </w:rPr>
        <w:t xml:space="preserve"> and Simon-Davies</w:t>
      </w:r>
      <w:r>
        <w:rPr>
          <w:sz w:val="16"/>
          <w:szCs w:val="16"/>
        </w:rPr>
        <w:t xml:space="preserve">, J. (2016). </w:t>
      </w:r>
      <w:r w:rsidRPr="004C0DC2">
        <w:rPr>
          <w:sz w:val="16"/>
          <w:szCs w:val="16"/>
        </w:rPr>
        <w:t xml:space="preserve">Migration—Australian </w:t>
      </w:r>
      <w:r w:rsidRPr="00C73D5F">
        <w:rPr>
          <w:sz w:val="16"/>
          <w:szCs w:val="16"/>
        </w:rPr>
        <w:t>migration flows and population, Parliamentary Library Briefing Book - 45th Parliament, Canberra</w:t>
      </w:r>
      <w:r>
        <w:rPr>
          <w:sz w:val="16"/>
          <w:szCs w:val="16"/>
        </w:rPr>
        <w:t>.</w:t>
      </w:r>
      <w:r w:rsidRPr="00C73D5F">
        <w:rPr>
          <w:sz w:val="16"/>
          <w:szCs w:val="16"/>
        </w:rPr>
        <w:t xml:space="preserve"> </w:t>
      </w:r>
      <w:hyperlink r:id="rId128" w:history="1">
        <w:r w:rsidRPr="00521D51">
          <w:rPr>
            <w:rStyle w:val="Hyperlink"/>
            <w:sz w:val="16"/>
            <w:szCs w:val="16"/>
          </w:rPr>
          <w:t>www.aph.gov.au/About_Parliament/Parliamentary_Departments/‌Parliamentary_Library/pubs/BriefingBook45p/MigrationFlows</w:t>
        </w:r>
      </w:hyperlink>
    </w:p>
  </w:footnote>
  <w:footnote w:id="155">
    <w:p w14:paraId="743FD778" w14:textId="72E3E406" w:rsidR="00400295" w:rsidRPr="00303FBC" w:rsidRDefault="00400295" w:rsidP="00542E2F">
      <w:pPr>
        <w:pStyle w:val="FootnoteText"/>
        <w:rPr>
          <w:sz w:val="16"/>
        </w:rPr>
      </w:pPr>
      <w:r w:rsidRPr="00DA02B3">
        <w:rPr>
          <w:rStyle w:val="FootnoteReference"/>
          <w:sz w:val="16"/>
        </w:rPr>
        <w:footnoteRef/>
      </w:r>
      <w:r w:rsidRPr="00AF3275">
        <w:rPr>
          <w:sz w:val="16"/>
          <w:szCs w:val="16"/>
        </w:rPr>
        <w:t xml:space="preserve"> </w:t>
      </w:r>
      <w:r w:rsidRPr="00C73D5F">
        <w:rPr>
          <w:sz w:val="16"/>
          <w:szCs w:val="16"/>
        </w:rPr>
        <w:t>ABS.</w:t>
      </w:r>
      <w:r w:rsidRPr="00BE7F41">
        <w:rPr>
          <w:sz w:val="16"/>
          <w:szCs w:val="16"/>
        </w:rPr>
        <w:t xml:space="preserve"> (</w:t>
      </w:r>
      <w:r w:rsidRPr="00BE7F41">
        <w:rPr>
          <w:rFonts w:eastAsia="Times New Roman"/>
          <w:color w:val="000000"/>
          <w:kern w:val="0"/>
          <w:sz w:val="16"/>
          <w:szCs w:val="16"/>
          <w:lang w:val="en" w:eastAsia="en-AU"/>
        </w:rPr>
        <w:t xml:space="preserve">2017–18). </w:t>
      </w:r>
      <w:r w:rsidRPr="00BE7F41">
        <w:rPr>
          <w:sz w:val="16"/>
          <w:szCs w:val="16"/>
          <w:lang w:val="en"/>
        </w:rPr>
        <w:t xml:space="preserve">8104.0 - Research and Experimental Development, Businesses, Australia, 2017–18. </w:t>
      </w:r>
      <w:hyperlink r:id="rId129" w:history="1">
        <w:r w:rsidRPr="004D4674">
          <w:rPr>
            <w:rStyle w:val="Hyperlink"/>
            <w:sz w:val="16"/>
            <w:szCs w:val="16"/>
          </w:rPr>
          <w:t>www.abs.gov.au/AUSSTATS/abs@.nsf/Latestproducts/8104.0Main%20Features22017-18?opendocument&amp;tabname=Summary&amp;prodno=8104.0&amp;issue=2017-18&amp;num=&amp;view</w:t>
        </w:r>
      </w:hyperlink>
      <w:r>
        <w:rPr>
          <w:rStyle w:val="Hyperlink"/>
          <w:sz w:val="16"/>
          <w:szCs w:val="16"/>
        </w:rPr>
        <w:t xml:space="preserve"> </w:t>
      </w:r>
    </w:p>
  </w:footnote>
  <w:footnote w:id="156">
    <w:p w14:paraId="040AEADF" w14:textId="54B6C9A5" w:rsidR="00400295" w:rsidRPr="003A72B1" w:rsidRDefault="00400295" w:rsidP="003D00D8">
      <w:pPr>
        <w:pStyle w:val="FootnoteText"/>
        <w:rPr>
          <w:sz w:val="16"/>
          <w:szCs w:val="16"/>
          <w:lang w:val="en-AU"/>
        </w:rPr>
      </w:pPr>
      <w:r w:rsidRPr="00132C86">
        <w:rPr>
          <w:rStyle w:val="FootnoteReference"/>
          <w:sz w:val="16"/>
        </w:rPr>
        <w:footnoteRef/>
      </w:r>
      <w:r w:rsidRPr="00132C86">
        <w:rPr>
          <w:sz w:val="16"/>
        </w:rPr>
        <w:t xml:space="preserve"> </w:t>
      </w:r>
      <w:r w:rsidRPr="009853F0">
        <w:rPr>
          <w:sz w:val="16"/>
          <w:szCs w:val="16"/>
        </w:rPr>
        <w:t>OECD</w:t>
      </w:r>
      <w:r>
        <w:rPr>
          <w:sz w:val="16"/>
          <w:szCs w:val="16"/>
        </w:rPr>
        <w:t>. (</w:t>
      </w:r>
      <w:r w:rsidRPr="009853F0">
        <w:rPr>
          <w:sz w:val="16"/>
          <w:szCs w:val="16"/>
        </w:rPr>
        <w:t>2020</w:t>
      </w:r>
      <w:r>
        <w:rPr>
          <w:sz w:val="16"/>
          <w:szCs w:val="16"/>
        </w:rPr>
        <w:t>).</w:t>
      </w:r>
      <w:r w:rsidRPr="009853F0">
        <w:rPr>
          <w:sz w:val="16"/>
          <w:szCs w:val="16"/>
        </w:rPr>
        <w:t xml:space="preserve"> Education at a Glance 2020, ISSN: 19991487 (online</w:t>
      </w:r>
      <w:r>
        <w:rPr>
          <w:sz w:val="16"/>
          <w:szCs w:val="16"/>
        </w:rPr>
        <w:t>).</w:t>
      </w:r>
      <w:r w:rsidRPr="009853F0">
        <w:rPr>
          <w:sz w:val="16"/>
          <w:szCs w:val="16"/>
        </w:rPr>
        <w:t xml:space="preserve"> </w:t>
      </w:r>
      <w:hyperlink r:id="rId130" w:history="1">
        <w:r w:rsidRPr="00BA5028">
          <w:rPr>
            <w:rStyle w:val="Hyperlink"/>
            <w:sz w:val="16"/>
            <w:szCs w:val="16"/>
          </w:rPr>
          <w:t>https://doi.org/10.1787/19991487</w:t>
        </w:r>
      </w:hyperlink>
      <w:r>
        <w:rPr>
          <w:sz w:val="16"/>
          <w:szCs w:val="16"/>
        </w:rPr>
        <w:t xml:space="preserve"> </w:t>
      </w:r>
    </w:p>
  </w:footnote>
  <w:footnote w:id="157">
    <w:p w14:paraId="31E1206A" w14:textId="591F452F" w:rsidR="00400295" w:rsidRPr="0017251C" w:rsidRDefault="00400295" w:rsidP="00A251C8">
      <w:pPr>
        <w:spacing w:after="0" w:line="240" w:lineRule="auto"/>
        <w:rPr>
          <w:sz w:val="16"/>
          <w:szCs w:val="16"/>
        </w:rPr>
      </w:pPr>
      <w:r w:rsidRPr="00EB02FE">
        <w:rPr>
          <w:rStyle w:val="FootnoteReference"/>
          <w:sz w:val="16"/>
          <w:szCs w:val="16"/>
        </w:rPr>
        <w:footnoteRef/>
      </w:r>
      <w:r w:rsidRPr="00EB02FE">
        <w:rPr>
          <w:sz w:val="16"/>
          <w:szCs w:val="16"/>
        </w:rPr>
        <w:t xml:space="preserve"> This metric uses growth, as opposed to the total number of skilled workers, and averages the growth across the last five years (as we see fluctuations in each year, so using the average smooths out the line). The higher this number, the more the amount of skills in our workforce is growing, and therefore, the higher the quality of labour </w:t>
      </w:r>
      <w:hyperlink r:id="rId131" w:history="1">
        <w:r w:rsidRPr="00521D51">
          <w:rPr>
            <w:rStyle w:val="Hyperlink"/>
            <w:sz w:val="16"/>
            <w:szCs w:val="16"/>
          </w:rPr>
          <w:t>www.conference-board.org/data/economydatabase/index.cfm?id=27770</w:t>
        </w:r>
      </w:hyperlink>
      <w:r>
        <w:rPr>
          <w:rStyle w:val="Hyperlink"/>
          <w:sz w:val="16"/>
          <w:szCs w:val="16"/>
        </w:rPr>
        <w:t xml:space="preserve"> </w:t>
      </w:r>
    </w:p>
  </w:footnote>
  <w:footnote w:id="158">
    <w:p w14:paraId="24A54D37" w14:textId="5D1D4109" w:rsidR="00400295" w:rsidRPr="002A61BC" w:rsidRDefault="00400295" w:rsidP="00A251C8">
      <w:pPr>
        <w:pStyle w:val="FootnoteText"/>
        <w:rPr>
          <w:sz w:val="16"/>
          <w:szCs w:val="16"/>
        </w:rPr>
      </w:pPr>
      <w:r w:rsidRPr="00D6014C">
        <w:rPr>
          <w:rStyle w:val="FootnoteReference"/>
          <w:sz w:val="16"/>
          <w:szCs w:val="16"/>
        </w:rPr>
        <w:footnoteRef/>
      </w:r>
      <w:r w:rsidRPr="00D6014C">
        <w:rPr>
          <w:sz w:val="16"/>
          <w:szCs w:val="16"/>
        </w:rPr>
        <w:t xml:space="preserve"> OECD. (2016). Innovating Education and Educating for Innovation: The Power of Digital Technologies and Skills, OECD Publishing, Paris. </w:t>
      </w:r>
      <w:hyperlink r:id="rId132" w:history="1">
        <w:r w:rsidRPr="00D6014C">
          <w:rPr>
            <w:rStyle w:val="Hyperlink"/>
            <w:sz w:val="16"/>
            <w:szCs w:val="16"/>
          </w:rPr>
          <w:t>http://dx.doi.org/10.1787/9789264265097-en</w:t>
        </w:r>
      </w:hyperlink>
      <w:r>
        <w:rPr>
          <w:rStyle w:val="Hyperlink"/>
          <w:sz w:val="16"/>
          <w:szCs w:val="16"/>
        </w:rPr>
        <w:t xml:space="preserve"> </w:t>
      </w:r>
    </w:p>
  </w:footnote>
  <w:footnote w:id="159">
    <w:p w14:paraId="748FEE20" w14:textId="77777777" w:rsidR="00400295" w:rsidRPr="00804C8F" w:rsidRDefault="00400295" w:rsidP="00B15273">
      <w:pPr>
        <w:spacing w:after="0" w:line="240" w:lineRule="auto"/>
        <w:rPr>
          <w:sz w:val="16"/>
          <w:szCs w:val="16"/>
        </w:rPr>
      </w:pPr>
      <w:r w:rsidRPr="00804C8F">
        <w:rPr>
          <w:rStyle w:val="FootnoteReference"/>
          <w:sz w:val="16"/>
          <w:szCs w:val="16"/>
        </w:rPr>
        <w:footnoteRef/>
      </w:r>
      <w:r w:rsidRPr="00804C8F">
        <w:rPr>
          <w:sz w:val="16"/>
          <w:szCs w:val="16"/>
        </w:rPr>
        <w:t xml:space="preserve"> MFP reflects pure productivity improvements, where changes in outputs cannot be explained by changes in inputs (labour and capital). It captures all other factors that influence outputs, including the efficiency in which the key inputs of labour and capital are used to produce goods and services. It also captures other factors that influence outputs, including the efficiency in which the key inputs of labour and capital are used to produce goods and services. </w:t>
      </w:r>
    </w:p>
  </w:footnote>
  <w:footnote w:id="160">
    <w:p w14:paraId="50AF35D7" w14:textId="142ACB3F" w:rsidR="00400295" w:rsidRPr="00EB02FE" w:rsidRDefault="00400295" w:rsidP="00B15273">
      <w:pPr>
        <w:pStyle w:val="FootnoteText"/>
        <w:rPr>
          <w:sz w:val="16"/>
          <w:szCs w:val="16"/>
        </w:rPr>
      </w:pPr>
      <w:r w:rsidRPr="00EB02FE">
        <w:rPr>
          <w:rStyle w:val="FootnoteReference"/>
          <w:sz w:val="16"/>
          <w:szCs w:val="16"/>
        </w:rPr>
        <w:footnoteRef/>
      </w:r>
      <w:r w:rsidRPr="00EB02FE">
        <w:rPr>
          <w:sz w:val="16"/>
          <w:szCs w:val="16"/>
        </w:rPr>
        <w:t xml:space="preserve"> CSIRO. (2019). Australian National Outlook 2019. </w:t>
      </w:r>
      <w:hyperlink r:id="rId133" w:history="1">
        <w:r w:rsidRPr="00EB02FE">
          <w:rPr>
            <w:rStyle w:val="Hyperlink"/>
            <w:sz w:val="16"/>
            <w:szCs w:val="16"/>
          </w:rPr>
          <w:t>www.csiro.au/en/Showcase/ANO</w:t>
        </w:r>
      </w:hyperlink>
    </w:p>
  </w:footnote>
  <w:footnote w:id="161">
    <w:p w14:paraId="6CB14874" w14:textId="06AC65D9" w:rsidR="00400295" w:rsidRPr="00197859" w:rsidRDefault="00400295" w:rsidP="00B15273">
      <w:pPr>
        <w:pStyle w:val="FootnoteText"/>
        <w:rPr>
          <w:sz w:val="16"/>
          <w:szCs w:val="16"/>
        </w:rPr>
      </w:pPr>
      <w:r w:rsidRPr="00EB02FE">
        <w:rPr>
          <w:rStyle w:val="FootnoteReference"/>
          <w:sz w:val="16"/>
          <w:szCs w:val="16"/>
        </w:rPr>
        <w:footnoteRef/>
      </w:r>
      <w:r w:rsidRPr="00EB02FE">
        <w:rPr>
          <w:sz w:val="16"/>
          <w:szCs w:val="16"/>
        </w:rPr>
        <w:t xml:space="preserve"> Innovation and Science Australia. (2020). Stimulating business investment in innovation. </w:t>
      </w:r>
      <w:hyperlink r:id="rId134" w:tooltip="Link to ISA's Stimulating business investment in innovation report" w:history="1">
        <w:r w:rsidRPr="00A15D27">
          <w:rPr>
            <w:rStyle w:val="Hyperlink"/>
            <w:sz w:val="16"/>
            <w:szCs w:val="16"/>
          </w:rPr>
          <w:t>www.industry.gov.au/sites/default/files/2020-02/stimulating-business-investment-in-innovation.pdf</w:t>
        </w:r>
      </w:hyperlink>
      <w:r>
        <w:rPr>
          <w:rStyle w:val="Hyperlink"/>
          <w:sz w:val="16"/>
          <w:szCs w:val="16"/>
        </w:rPr>
        <w:t xml:space="preserve"> </w:t>
      </w:r>
    </w:p>
  </w:footnote>
  <w:footnote w:id="162">
    <w:p w14:paraId="2008FA53" w14:textId="480294DE" w:rsidR="00400295" w:rsidRPr="002A61BC" w:rsidRDefault="00400295" w:rsidP="003D00D8">
      <w:pPr>
        <w:pStyle w:val="FootnoteText"/>
        <w:rPr>
          <w:rStyle w:val="FootnoteReference"/>
        </w:rPr>
      </w:pPr>
      <w:r w:rsidRPr="00A251C8">
        <w:rPr>
          <w:rStyle w:val="FootnoteReference"/>
          <w:sz w:val="16"/>
          <w:szCs w:val="16"/>
        </w:rPr>
        <w:footnoteRef/>
      </w:r>
      <w:r w:rsidRPr="00A251C8">
        <w:rPr>
          <w:sz w:val="16"/>
          <w:szCs w:val="16"/>
        </w:rPr>
        <w:t xml:space="preserve"> Productivity Commission. (2009). Australia’s Productivity Performance: Submission to the House of Representatives Standing Committee on Economics. Productivity Commission. </w:t>
      </w:r>
      <w:hyperlink r:id="rId135" w:history="1">
        <w:r w:rsidRPr="00521D51">
          <w:rPr>
            <w:rStyle w:val="Hyperlink"/>
            <w:sz w:val="16"/>
            <w:szCs w:val="16"/>
          </w:rPr>
          <w:t>www.pc.gov.au/research/supporting/productivity-growth/productivity-growth.pdf</w:t>
        </w:r>
      </w:hyperlink>
      <w:r w:rsidRPr="00A251C8">
        <w:rPr>
          <w:sz w:val="16"/>
          <w:szCs w:val="16"/>
        </w:rPr>
        <w:t xml:space="preserve"> </w:t>
      </w:r>
    </w:p>
  </w:footnote>
  <w:footnote w:id="163">
    <w:p w14:paraId="6D2B29C0" w14:textId="7CDC29D5" w:rsidR="00400295" w:rsidRPr="00E83837" w:rsidRDefault="00400295">
      <w:pPr>
        <w:pStyle w:val="FootnoteText"/>
        <w:rPr>
          <w:sz w:val="16"/>
          <w:szCs w:val="16"/>
          <w:lang w:val="en-AU"/>
        </w:rPr>
      </w:pPr>
      <w:r w:rsidRPr="00E83837">
        <w:rPr>
          <w:rStyle w:val="FootnoteReference"/>
          <w:sz w:val="16"/>
          <w:szCs w:val="16"/>
        </w:rPr>
        <w:footnoteRef/>
      </w:r>
      <w:r w:rsidRPr="00E83837">
        <w:rPr>
          <w:sz w:val="16"/>
          <w:szCs w:val="16"/>
        </w:rPr>
        <w:t xml:space="preserve"> </w:t>
      </w:r>
      <w:r w:rsidRPr="00E83837" w:rsidDel="000D6835">
        <w:rPr>
          <w:sz w:val="16"/>
          <w:szCs w:val="16"/>
        </w:rPr>
        <w:t>Innovation and Science Australia. (2</w:t>
      </w:r>
      <w:r w:rsidRPr="00E83837">
        <w:rPr>
          <w:sz w:val="16"/>
          <w:szCs w:val="16"/>
        </w:rPr>
        <w:t xml:space="preserve">016). </w:t>
      </w:r>
      <w:r w:rsidRPr="00E83837" w:rsidDel="000D6835">
        <w:rPr>
          <w:sz w:val="16"/>
          <w:szCs w:val="16"/>
        </w:rPr>
        <w:t>Performance review of the Australian Innovation, Science and Research System.</w:t>
      </w:r>
      <w:r w:rsidRPr="00E83837">
        <w:rPr>
          <w:sz w:val="16"/>
          <w:szCs w:val="16"/>
        </w:rPr>
        <w:t xml:space="preserve"> </w:t>
      </w:r>
      <w:hyperlink r:id="rId136" w:history="1">
        <w:r w:rsidRPr="0043107F">
          <w:rPr>
            <w:rStyle w:val="Hyperlink"/>
            <w:sz w:val="16"/>
            <w:szCs w:val="16"/>
          </w:rPr>
          <w:t>www.industry.gov.au/sites/g/files/net3906/f/2018-10/performance-review-of-the-australian-innovation-science-and-research-system-isa.pdf</w:t>
        </w:r>
      </w:hyperlink>
    </w:p>
  </w:footnote>
  <w:footnote w:id="164">
    <w:p w14:paraId="7B6D66DF" w14:textId="7C44654A" w:rsidR="00400295" w:rsidRPr="00964268" w:rsidRDefault="00400295" w:rsidP="00964268">
      <w:pPr>
        <w:spacing w:after="0" w:line="240" w:lineRule="auto"/>
        <w:rPr>
          <w:rFonts w:eastAsia="Times New Roman"/>
          <w:color w:val="000000"/>
          <w:kern w:val="0"/>
          <w:sz w:val="16"/>
          <w:szCs w:val="16"/>
          <w:lang w:val="en" w:eastAsia="en-AU"/>
        </w:rPr>
      </w:pPr>
      <w:r w:rsidRPr="00964268">
        <w:rPr>
          <w:rStyle w:val="FootnoteReference"/>
          <w:sz w:val="16"/>
          <w:szCs w:val="16"/>
        </w:rPr>
        <w:footnoteRef/>
      </w:r>
      <w:r>
        <w:rPr>
          <w:sz w:val="16"/>
          <w:szCs w:val="16"/>
        </w:rPr>
        <w:t>ABS</w:t>
      </w:r>
      <w:r w:rsidRPr="00964268">
        <w:rPr>
          <w:sz w:val="16"/>
          <w:szCs w:val="16"/>
        </w:rPr>
        <w:t xml:space="preserve">. </w:t>
      </w:r>
      <w:r>
        <w:rPr>
          <w:sz w:val="16"/>
          <w:szCs w:val="16"/>
        </w:rPr>
        <w:t xml:space="preserve">(1998). </w:t>
      </w:r>
      <w:r w:rsidRPr="00964268">
        <w:rPr>
          <w:rFonts w:eastAsia="Times New Roman"/>
          <w:color w:val="000000"/>
          <w:kern w:val="0"/>
          <w:sz w:val="16"/>
          <w:szCs w:val="16"/>
          <w:lang w:val="en" w:eastAsia="en-AU"/>
        </w:rPr>
        <w:t>1297.0 - Australian Standard Research Classification (ASRC)</w:t>
      </w:r>
      <w:r>
        <w:rPr>
          <w:rFonts w:eastAsia="Times New Roman"/>
          <w:color w:val="000000"/>
          <w:kern w:val="0"/>
          <w:sz w:val="16"/>
          <w:szCs w:val="16"/>
          <w:lang w:val="en" w:eastAsia="en-AU"/>
        </w:rPr>
        <w:t xml:space="preserve">. </w:t>
      </w:r>
      <w:hyperlink r:id="rId137" w:history="1">
        <w:r w:rsidRPr="0043107F">
          <w:rPr>
            <w:rStyle w:val="Hyperlink"/>
            <w:sz w:val="16"/>
            <w:szCs w:val="16"/>
          </w:rPr>
          <w:t>www.abs.gov.au/ausstats/abs@.nsf/66f306f503e5</w:t>
        </w:r>
        <w:r>
          <w:rPr>
            <w:rStyle w:val="Hyperlink"/>
            <w:sz w:val="16"/>
            <w:szCs w:val="16"/>
          </w:rPr>
          <w:t>‌</w:t>
        </w:r>
        <w:r w:rsidRPr="0043107F">
          <w:rPr>
            <w:rStyle w:val="Hyperlink"/>
            <w:sz w:val="16"/>
            <w:szCs w:val="16"/>
          </w:rPr>
          <w:t>29a5ca25697e0017661f/22E4C184CA111129CA25697E0018FD78?opendocument</w:t>
        </w:r>
      </w:hyperlink>
      <w:r>
        <w:rPr>
          <w:sz w:val="16"/>
          <w:szCs w:val="16"/>
        </w:rPr>
        <w:t xml:space="preserve"> </w:t>
      </w:r>
    </w:p>
  </w:footnote>
  <w:footnote w:id="165">
    <w:p w14:paraId="678D1FC0" w14:textId="2A5A571E" w:rsidR="00400295" w:rsidRPr="00E724C1" w:rsidRDefault="00400295">
      <w:pPr>
        <w:pStyle w:val="FootnoteText"/>
        <w:rPr>
          <w:sz w:val="16"/>
          <w:szCs w:val="16"/>
          <w:lang w:val="en-AU"/>
        </w:rPr>
      </w:pPr>
      <w:r w:rsidRPr="00E724C1">
        <w:rPr>
          <w:rStyle w:val="FootnoteReference"/>
          <w:sz w:val="16"/>
          <w:szCs w:val="16"/>
        </w:rPr>
        <w:footnoteRef/>
      </w:r>
      <w:r w:rsidRPr="00E724C1">
        <w:rPr>
          <w:sz w:val="16"/>
          <w:szCs w:val="16"/>
        </w:rPr>
        <w:t xml:space="preserve"> </w:t>
      </w:r>
      <w:r w:rsidRPr="00E83837" w:rsidDel="000D6835">
        <w:rPr>
          <w:sz w:val="16"/>
          <w:szCs w:val="16"/>
        </w:rPr>
        <w:t>Innovation and Science Australia. (2</w:t>
      </w:r>
      <w:r w:rsidRPr="00E83837">
        <w:rPr>
          <w:sz w:val="16"/>
          <w:szCs w:val="16"/>
        </w:rPr>
        <w:t xml:space="preserve">016). </w:t>
      </w:r>
      <w:r w:rsidRPr="00E83837" w:rsidDel="000D6835">
        <w:rPr>
          <w:sz w:val="16"/>
          <w:szCs w:val="16"/>
        </w:rPr>
        <w:t>Performance review of the Australian Innovation, Science and Research System.</w:t>
      </w:r>
      <w:r w:rsidRPr="00E83837">
        <w:rPr>
          <w:sz w:val="16"/>
          <w:szCs w:val="16"/>
        </w:rPr>
        <w:t xml:space="preserve"> </w:t>
      </w:r>
      <w:hyperlink r:id="rId138" w:history="1">
        <w:r w:rsidRPr="0043107F">
          <w:rPr>
            <w:rStyle w:val="Hyperlink"/>
            <w:sz w:val="16"/>
            <w:szCs w:val="16"/>
          </w:rPr>
          <w:t>www.industry.gov.au/sites/g/files/net3906/f/2018-10/performance-review-of-the-australian-innovation-science-and-research-system-isa.pdf</w:t>
        </w:r>
      </w:hyperlink>
      <w:r w:rsidRPr="00DA559B">
        <w:rPr>
          <w:rStyle w:val="Hyperlink"/>
          <w:color w:val="auto"/>
          <w:sz w:val="16"/>
          <w:szCs w:val="16"/>
          <w:u w:val="none"/>
        </w:rPr>
        <w:t xml:space="preserve"> </w:t>
      </w:r>
    </w:p>
  </w:footnote>
  <w:footnote w:id="166">
    <w:p w14:paraId="2C07E92F" w14:textId="4504EC22" w:rsidR="00400295" w:rsidRPr="004F04BC" w:rsidRDefault="00400295">
      <w:pPr>
        <w:pStyle w:val="FootnoteText"/>
        <w:rPr>
          <w:sz w:val="16"/>
          <w:szCs w:val="16"/>
          <w:lang w:val="en-AU"/>
        </w:rPr>
      </w:pPr>
      <w:r w:rsidRPr="00E83837">
        <w:rPr>
          <w:rStyle w:val="FootnoteReference"/>
          <w:sz w:val="16"/>
          <w:szCs w:val="16"/>
        </w:rPr>
        <w:footnoteRef/>
      </w:r>
      <w:r w:rsidRPr="00E83837">
        <w:rPr>
          <w:sz w:val="16"/>
          <w:szCs w:val="16"/>
        </w:rPr>
        <w:t xml:space="preserve"> European Commission. (2009). An analysis of the efficiency of public spending and national policies in the area of R&amp;D, Directorate-General for Economic</w:t>
      </w:r>
      <w:r w:rsidRPr="004F04BC">
        <w:rPr>
          <w:sz w:val="16"/>
          <w:szCs w:val="16"/>
        </w:rPr>
        <w:t xml:space="preserve"> and Financial Affairs. </w:t>
      </w:r>
      <w:hyperlink r:id="rId139" w:history="1">
        <w:r w:rsidRPr="004F04BC">
          <w:rPr>
            <w:rStyle w:val="Hyperlink"/>
            <w:sz w:val="16"/>
            <w:szCs w:val="16"/>
          </w:rPr>
          <w:t>https://ec.europa.eu/economy_finance/publications/pages/publication15847_en.pdf</w:t>
        </w:r>
      </w:hyperlink>
    </w:p>
  </w:footnote>
  <w:footnote w:id="167">
    <w:p w14:paraId="5931C2A4" w14:textId="4DE8A9D8" w:rsidR="00400295" w:rsidRPr="00964268" w:rsidRDefault="00400295" w:rsidP="00964268">
      <w:pPr>
        <w:spacing w:after="0" w:line="240" w:lineRule="auto"/>
        <w:rPr>
          <w:rFonts w:eastAsia="Times New Roman"/>
          <w:color w:val="000000"/>
          <w:kern w:val="0"/>
          <w:sz w:val="16"/>
          <w:szCs w:val="16"/>
          <w:lang w:val="en" w:eastAsia="en-AU"/>
        </w:rPr>
      </w:pPr>
      <w:r w:rsidRPr="00964268">
        <w:rPr>
          <w:rStyle w:val="FootnoteReference"/>
          <w:sz w:val="16"/>
          <w:szCs w:val="16"/>
        </w:rPr>
        <w:footnoteRef/>
      </w:r>
      <w:r w:rsidRPr="00964268">
        <w:rPr>
          <w:sz w:val="16"/>
          <w:szCs w:val="16"/>
        </w:rPr>
        <w:t xml:space="preserve"> </w:t>
      </w:r>
      <w:r>
        <w:rPr>
          <w:sz w:val="16"/>
          <w:szCs w:val="16"/>
        </w:rPr>
        <w:t>ABS.</w:t>
      </w:r>
      <w:r w:rsidRPr="00964268">
        <w:rPr>
          <w:sz w:val="16"/>
          <w:szCs w:val="16"/>
        </w:rPr>
        <w:t xml:space="preserve"> </w:t>
      </w:r>
      <w:r>
        <w:rPr>
          <w:sz w:val="16"/>
          <w:szCs w:val="16"/>
        </w:rPr>
        <w:t>(</w:t>
      </w:r>
      <w:r w:rsidRPr="00B712EB">
        <w:rPr>
          <w:rFonts w:eastAsia="Times New Roman"/>
          <w:color w:val="000000"/>
          <w:kern w:val="0"/>
          <w:sz w:val="16"/>
          <w:szCs w:val="16"/>
          <w:lang w:val="en" w:eastAsia="en-AU"/>
        </w:rPr>
        <w:t>1998</w:t>
      </w:r>
      <w:r>
        <w:rPr>
          <w:rFonts w:eastAsia="Times New Roman"/>
          <w:color w:val="000000"/>
          <w:kern w:val="0"/>
          <w:sz w:val="16"/>
          <w:szCs w:val="16"/>
          <w:lang w:val="en" w:eastAsia="en-AU"/>
        </w:rPr>
        <w:t>)</w:t>
      </w:r>
      <w:r w:rsidRPr="00B712EB">
        <w:rPr>
          <w:rFonts w:eastAsia="Times New Roman"/>
          <w:color w:val="000000"/>
          <w:kern w:val="0"/>
          <w:sz w:val="16"/>
          <w:szCs w:val="16"/>
          <w:lang w:val="en" w:eastAsia="en-AU"/>
        </w:rPr>
        <w:t xml:space="preserve">. </w:t>
      </w:r>
      <w:r w:rsidRPr="00964268">
        <w:rPr>
          <w:rFonts w:eastAsia="Times New Roman"/>
          <w:color w:val="000000"/>
          <w:kern w:val="0"/>
          <w:sz w:val="16"/>
          <w:szCs w:val="16"/>
          <w:lang w:val="en" w:eastAsia="en-AU"/>
        </w:rPr>
        <w:t>1297.0 - Australian Standard Research Classification (ASRC</w:t>
      </w:r>
      <w:r>
        <w:rPr>
          <w:rFonts w:eastAsia="Times New Roman"/>
          <w:color w:val="000000"/>
          <w:kern w:val="0"/>
          <w:sz w:val="16"/>
          <w:szCs w:val="16"/>
          <w:lang w:val="en" w:eastAsia="en-AU"/>
        </w:rPr>
        <w:t xml:space="preserve">). </w:t>
      </w:r>
      <w:hyperlink r:id="rId140" w:history="1">
        <w:r w:rsidRPr="0043107F">
          <w:rPr>
            <w:rStyle w:val="Hyperlink"/>
            <w:sz w:val="16"/>
            <w:szCs w:val="16"/>
          </w:rPr>
          <w:t>www.abs.gov.au/ausstats/abs@.nsf/‌</w:t>
        </w:r>
        <w:r w:rsidRPr="00EA4ED6">
          <w:rPr>
            <w:rStyle w:val="Hyperlink"/>
            <w:sz w:val="16"/>
            <w:szCs w:val="16"/>
          </w:rPr>
          <w:t>66f306f503e529a5ca25697e0017661f/22E4C184CA111129CA25697E0018FD78?opendocument</w:t>
        </w:r>
      </w:hyperlink>
    </w:p>
  </w:footnote>
  <w:footnote w:id="168">
    <w:p w14:paraId="46898126" w14:textId="0E37EC4C" w:rsidR="00400295" w:rsidRPr="00B50ABD" w:rsidRDefault="00400295">
      <w:pPr>
        <w:pStyle w:val="FootnoteText"/>
        <w:rPr>
          <w:sz w:val="16"/>
          <w:szCs w:val="16"/>
          <w:lang w:val="en-AU"/>
        </w:rPr>
      </w:pPr>
      <w:r w:rsidRPr="00B50ABD">
        <w:rPr>
          <w:rStyle w:val="FootnoteReference"/>
          <w:sz w:val="16"/>
          <w:szCs w:val="16"/>
        </w:rPr>
        <w:footnoteRef/>
      </w:r>
      <w:r>
        <w:rPr>
          <w:sz w:val="16"/>
          <w:szCs w:val="16"/>
        </w:rPr>
        <w:t xml:space="preserve"> ABS.</w:t>
      </w:r>
      <w:r w:rsidRPr="00B712EB">
        <w:rPr>
          <w:sz w:val="16"/>
          <w:szCs w:val="16"/>
        </w:rPr>
        <w:t xml:space="preserve"> </w:t>
      </w:r>
      <w:r>
        <w:rPr>
          <w:sz w:val="16"/>
          <w:szCs w:val="16"/>
        </w:rPr>
        <w:t>(</w:t>
      </w:r>
      <w:r w:rsidRPr="00B712EB">
        <w:rPr>
          <w:rFonts w:eastAsia="Times New Roman"/>
          <w:color w:val="000000"/>
          <w:kern w:val="0"/>
          <w:sz w:val="16"/>
          <w:szCs w:val="16"/>
          <w:lang w:val="en" w:eastAsia="en-AU"/>
        </w:rPr>
        <w:t>1998</w:t>
      </w:r>
      <w:r>
        <w:rPr>
          <w:rFonts w:eastAsia="Times New Roman"/>
          <w:color w:val="000000"/>
          <w:kern w:val="0"/>
          <w:sz w:val="16"/>
          <w:szCs w:val="16"/>
          <w:lang w:val="en" w:eastAsia="en-AU"/>
        </w:rPr>
        <w:t>)</w:t>
      </w:r>
      <w:r w:rsidRPr="00B712EB">
        <w:rPr>
          <w:rFonts w:eastAsia="Times New Roman"/>
          <w:color w:val="000000"/>
          <w:kern w:val="0"/>
          <w:sz w:val="16"/>
          <w:szCs w:val="16"/>
          <w:lang w:val="en" w:eastAsia="en-AU"/>
        </w:rPr>
        <w:t xml:space="preserve">. 1297.0 - Australian Standard </w:t>
      </w:r>
      <w:r>
        <w:rPr>
          <w:rFonts w:eastAsia="Times New Roman"/>
          <w:color w:val="000000"/>
          <w:kern w:val="0"/>
          <w:sz w:val="16"/>
          <w:szCs w:val="16"/>
          <w:lang w:val="en" w:eastAsia="en-AU"/>
        </w:rPr>
        <w:t xml:space="preserve">Research Classification (ASRC). </w:t>
      </w:r>
      <w:hyperlink r:id="rId141" w:history="1">
        <w:r w:rsidRPr="0043107F">
          <w:rPr>
            <w:rStyle w:val="Hyperlink"/>
            <w:sz w:val="16"/>
            <w:szCs w:val="16"/>
          </w:rPr>
          <w:t>www.abs.gov.au/ausstats/abs@‌.nsf/66f306f503e529a5ca25697e0017661f/22E4C184CA111129CA25697E0018FD78?opendocument</w:t>
        </w:r>
      </w:hyperlink>
      <w:r w:rsidRPr="00B712EB">
        <w:rPr>
          <w:sz w:val="16"/>
          <w:szCs w:val="16"/>
        </w:rPr>
        <w:t xml:space="preserve"> </w:t>
      </w:r>
    </w:p>
  </w:footnote>
  <w:footnote w:id="169">
    <w:p w14:paraId="242C56D0" w14:textId="4E78DB49" w:rsidR="00400295" w:rsidRPr="00E724C1" w:rsidRDefault="00400295" w:rsidP="00E724C1">
      <w:pPr>
        <w:pStyle w:val="FootnoteText"/>
        <w:rPr>
          <w:sz w:val="16"/>
          <w:szCs w:val="16"/>
          <w:lang w:val="en-AU"/>
        </w:rPr>
      </w:pPr>
      <w:r w:rsidRPr="00E724C1">
        <w:rPr>
          <w:rStyle w:val="FootnoteReference"/>
          <w:sz w:val="16"/>
          <w:szCs w:val="16"/>
        </w:rPr>
        <w:footnoteRef/>
      </w:r>
      <w:r w:rsidRPr="00E724C1">
        <w:rPr>
          <w:sz w:val="16"/>
          <w:szCs w:val="16"/>
        </w:rPr>
        <w:t xml:space="preserve"> </w:t>
      </w:r>
      <w:r w:rsidRPr="00E83837" w:rsidDel="000D6835">
        <w:rPr>
          <w:sz w:val="16"/>
          <w:szCs w:val="16"/>
        </w:rPr>
        <w:t>Innovation and Science Australia. (2</w:t>
      </w:r>
      <w:r w:rsidRPr="00E83837">
        <w:rPr>
          <w:sz w:val="16"/>
          <w:szCs w:val="16"/>
        </w:rPr>
        <w:t xml:space="preserve">016). </w:t>
      </w:r>
      <w:r w:rsidRPr="00E83837" w:rsidDel="000D6835">
        <w:rPr>
          <w:sz w:val="16"/>
          <w:szCs w:val="16"/>
        </w:rPr>
        <w:t>Performance review of the Australian Innovation, Science and Research System.</w:t>
      </w:r>
      <w:r w:rsidRPr="00E83837">
        <w:rPr>
          <w:sz w:val="16"/>
          <w:szCs w:val="16"/>
        </w:rPr>
        <w:t xml:space="preserve"> </w:t>
      </w:r>
      <w:hyperlink r:id="rId142" w:history="1">
        <w:r w:rsidRPr="0043107F">
          <w:rPr>
            <w:rStyle w:val="Hyperlink"/>
            <w:sz w:val="16"/>
            <w:szCs w:val="16"/>
          </w:rPr>
          <w:t>www.industry.gov.au/sites/g/files/net3906/f/2018-10/performance-review-of-the-australian-innovation-science-and-research-system-isa.pdf</w:t>
        </w:r>
      </w:hyperlink>
      <w:r w:rsidRPr="00DA559B">
        <w:rPr>
          <w:rStyle w:val="Hyperlink"/>
          <w:color w:val="auto"/>
          <w:sz w:val="16"/>
          <w:szCs w:val="16"/>
          <w:u w:val="none"/>
        </w:rPr>
        <w:t xml:space="preserve"> </w:t>
      </w:r>
    </w:p>
  </w:footnote>
  <w:footnote w:id="170">
    <w:p w14:paraId="540B3264" w14:textId="3A3E04EE" w:rsidR="00400295" w:rsidRPr="008E1E7C" w:rsidRDefault="00400295" w:rsidP="0056145F">
      <w:pPr>
        <w:pStyle w:val="FootnoteText"/>
        <w:rPr>
          <w:sz w:val="16"/>
          <w:szCs w:val="16"/>
        </w:rPr>
      </w:pPr>
      <w:r w:rsidRPr="00B00178">
        <w:rPr>
          <w:rStyle w:val="FootnoteReference"/>
          <w:sz w:val="16"/>
          <w:szCs w:val="16"/>
        </w:rPr>
        <w:footnoteRef/>
      </w:r>
      <w:r>
        <w:rPr>
          <w:sz w:val="16"/>
          <w:szCs w:val="16"/>
        </w:rPr>
        <w:t xml:space="preserve"> </w:t>
      </w:r>
      <w:r w:rsidRPr="008E1E7C">
        <w:rPr>
          <w:sz w:val="16"/>
          <w:szCs w:val="16"/>
        </w:rPr>
        <w:t>Innovation and Science Australia (</w:t>
      </w:r>
      <w:r w:rsidRPr="00B00178">
        <w:rPr>
          <w:sz w:val="16"/>
          <w:szCs w:val="16"/>
        </w:rPr>
        <w:t>2020</w:t>
      </w:r>
      <w:r w:rsidRPr="008E1E7C">
        <w:rPr>
          <w:sz w:val="16"/>
          <w:szCs w:val="16"/>
        </w:rPr>
        <w:t>). Stimulating business investment in innovation.</w:t>
      </w:r>
      <w:r>
        <w:rPr>
          <w:sz w:val="16"/>
          <w:szCs w:val="16"/>
        </w:rPr>
        <w:t xml:space="preserve"> </w:t>
      </w:r>
      <w:hyperlink r:id="rId143" w:tooltip="Link to ISA's Stimulating business investment in innovation report" w:history="1">
        <w:r w:rsidRPr="00A15D27">
          <w:rPr>
            <w:rStyle w:val="Hyperlink"/>
            <w:sz w:val="16"/>
            <w:szCs w:val="16"/>
          </w:rPr>
          <w:t>www.industry.gov.au/sites/default/files/2020-02/stimulating-business-investment-in-innovation.pdf</w:t>
        </w:r>
      </w:hyperlink>
      <w:r>
        <w:rPr>
          <w:rStyle w:val="Hyperlink"/>
          <w:sz w:val="16"/>
          <w:szCs w:val="16"/>
        </w:rPr>
        <w:t xml:space="preserve"> </w:t>
      </w:r>
    </w:p>
  </w:footnote>
  <w:footnote w:id="171">
    <w:p w14:paraId="4C991572" w14:textId="77777777" w:rsidR="00400295" w:rsidRPr="008F4A67" w:rsidRDefault="00400295" w:rsidP="0056145F">
      <w:pPr>
        <w:pStyle w:val="FootnoteText"/>
        <w:rPr>
          <w:sz w:val="16"/>
          <w:szCs w:val="16"/>
        </w:rPr>
      </w:pPr>
      <w:r w:rsidRPr="00B00178">
        <w:rPr>
          <w:rStyle w:val="FootnoteReference"/>
          <w:sz w:val="16"/>
          <w:szCs w:val="16"/>
        </w:rPr>
        <w:footnoteRef/>
      </w:r>
      <w:r w:rsidRPr="00B00178">
        <w:rPr>
          <w:sz w:val="16"/>
          <w:szCs w:val="16"/>
        </w:rPr>
        <w:t xml:space="preserve"> </w:t>
      </w:r>
      <w:r w:rsidRPr="008F4A67">
        <w:rPr>
          <w:sz w:val="16"/>
          <w:szCs w:val="16"/>
        </w:rPr>
        <w:t>The Australian Government’s Portfolio Budget statement</w:t>
      </w:r>
      <w:r>
        <w:rPr>
          <w:sz w:val="16"/>
          <w:szCs w:val="16"/>
        </w:rPr>
        <w:t>s</w:t>
      </w:r>
      <w:r w:rsidRPr="008F4A67">
        <w:rPr>
          <w:sz w:val="16"/>
          <w:szCs w:val="16"/>
        </w:rPr>
        <w:t xml:space="preserve"> provide information,</w:t>
      </w:r>
      <w:r>
        <w:rPr>
          <w:sz w:val="16"/>
          <w:szCs w:val="16"/>
        </w:rPr>
        <w:t xml:space="preserve"> </w:t>
      </w:r>
      <w:r w:rsidRPr="008F4A67">
        <w:rPr>
          <w:sz w:val="16"/>
          <w:szCs w:val="16"/>
        </w:rPr>
        <w:t xml:space="preserve">explanation and </w:t>
      </w:r>
      <w:r w:rsidRPr="00B93714">
        <w:rPr>
          <w:sz w:val="16"/>
          <w:szCs w:val="16"/>
        </w:rPr>
        <w:t>justification to</w:t>
      </w:r>
      <w:r w:rsidRPr="008F4A67">
        <w:rPr>
          <w:sz w:val="16"/>
          <w:szCs w:val="16"/>
        </w:rPr>
        <w:t xml:space="preserve"> enable an understanding of proposed annual appropriations for Australian Government departments and agencies.</w:t>
      </w:r>
    </w:p>
  </w:footnote>
  <w:footnote w:id="172">
    <w:p w14:paraId="27D89E91" w14:textId="5C9C191C" w:rsidR="00400295" w:rsidRPr="00B712EB" w:rsidRDefault="00400295" w:rsidP="00B712EB">
      <w:pPr>
        <w:pStyle w:val="FootnoteText"/>
        <w:rPr>
          <w:sz w:val="16"/>
          <w:szCs w:val="16"/>
          <w:lang w:val="en-AU"/>
        </w:rPr>
      </w:pPr>
      <w:r w:rsidRPr="00B712EB">
        <w:rPr>
          <w:rStyle w:val="FootnoteReference"/>
          <w:sz w:val="16"/>
          <w:szCs w:val="16"/>
        </w:rPr>
        <w:footnoteRef/>
      </w:r>
      <w:r w:rsidRPr="00B712EB">
        <w:rPr>
          <w:sz w:val="16"/>
          <w:szCs w:val="16"/>
        </w:rPr>
        <w:t xml:space="preserve"> </w:t>
      </w:r>
      <w:r w:rsidRPr="00E83837" w:rsidDel="000D6835">
        <w:rPr>
          <w:sz w:val="16"/>
          <w:szCs w:val="16"/>
        </w:rPr>
        <w:t>Innovation and Science Australia. (2</w:t>
      </w:r>
      <w:r w:rsidRPr="00E83837">
        <w:rPr>
          <w:sz w:val="16"/>
          <w:szCs w:val="16"/>
        </w:rPr>
        <w:t xml:space="preserve">016). </w:t>
      </w:r>
      <w:r w:rsidRPr="00E83837" w:rsidDel="000D6835">
        <w:rPr>
          <w:sz w:val="16"/>
          <w:szCs w:val="16"/>
        </w:rPr>
        <w:t>Performance review of the Australian Innovation, Science and Research System.</w:t>
      </w:r>
      <w:r w:rsidRPr="00E83837">
        <w:rPr>
          <w:sz w:val="16"/>
          <w:szCs w:val="16"/>
        </w:rPr>
        <w:t xml:space="preserve"> </w:t>
      </w:r>
      <w:hyperlink r:id="rId144" w:history="1">
        <w:r w:rsidRPr="0043107F">
          <w:rPr>
            <w:rStyle w:val="Hyperlink"/>
            <w:sz w:val="16"/>
            <w:szCs w:val="16"/>
          </w:rPr>
          <w:t>www.industry.gov.au/sites/g/files/net3906/f/2018-10/performance-review-of-the-australian-innovation-science-and-research-system-isa.pdf</w:t>
        </w:r>
      </w:hyperlink>
      <w:r w:rsidRPr="00DA559B">
        <w:rPr>
          <w:rStyle w:val="Hyperlink"/>
          <w:color w:val="auto"/>
          <w:sz w:val="16"/>
          <w:szCs w:val="16"/>
          <w:u w:val="none"/>
        </w:rPr>
        <w:t xml:space="preserve"> </w:t>
      </w:r>
    </w:p>
  </w:footnote>
  <w:footnote w:id="173">
    <w:p w14:paraId="3C47E696" w14:textId="1BB7F3E2" w:rsidR="00400295" w:rsidRPr="00B712EB" w:rsidRDefault="00400295" w:rsidP="00B712EB">
      <w:pPr>
        <w:pStyle w:val="FootnoteText"/>
        <w:rPr>
          <w:sz w:val="16"/>
          <w:szCs w:val="16"/>
          <w:lang w:val="en-AU"/>
        </w:rPr>
      </w:pPr>
      <w:r w:rsidRPr="00B712EB">
        <w:rPr>
          <w:rStyle w:val="FootnoteReference"/>
          <w:sz w:val="16"/>
          <w:szCs w:val="16"/>
        </w:rPr>
        <w:footnoteRef/>
      </w:r>
      <w:r w:rsidRPr="00B712EB">
        <w:rPr>
          <w:sz w:val="16"/>
          <w:szCs w:val="16"/>
        </w:rPr>
        <w:t xml:space="preserve"> </w:t>
      </w:r>
      <w:r w:rsidRPr="00E83837" w:rsidDel="000D6835">
        <w:rPr>
          <w:sz w:val="16"/>
          <w:szCs w:val="16"/>
        </w:rPr>
        <w:t>Innovation and Science Australia. (2</w:t>
      </w:r>
      <w:r w:rsidRPr="00E83837">
        <w:rPr>
          <w:sz w:val="16"/>
          <w:szCs w:val="16"/>
        </w:rPr>
        <w:t xml:space="preserve">016). </w:t>
      </w:r>
      <w:r w:rsidRPr="00E83837" w:rsidDel="000D6835">
        <w:rPr>
          <w:sz w:val="16"/>
          <w:szCs w:val="16"/>
        </w:rPr>
        <w:t>Performance review of the Australian Innovation, Science and Research System.</w:t>
      </w:r>
      <w:r w:rsidRPr="00E83837">
        <w:rPr>
          <w:sz w:val="16"/>
          <w:szCs w:val="16"/>
        </w:rPr>
        <w:t xml:space="preserve"> </w:t>
      </w:r>
      <w:hyperlink r:id="rId145" w:history="1">
        <w:r w:rsidRPr="0043107F">
          <w:rPr>
            <w:rStyle w:val="Hyperlink"/>
            <w:sz w:val="16"/>
            <w:szCs w:val="16"/>
          </w:rPr>
          <w:t>www.industry.gov.au/sites/g/files/net3906/f/2018-10/performance-review-of-the-australian-innovation-science-and-research-system-isa.pdf</w:t>
        </w:r>
      </w:hyperlink>
      <w:r w:rsidRPr="00DA559B">
        <w:rPr>
          <w:rStyle w:val="Hyperlink"/>
          <w:color w:val="auto"/>
          <w:sz w:val="16"/>
          <w:szCs w:val="16"/>
          <w:u w:val="none"/>
        </w:rPr>
        <w:t xml:space="preserve"> </w:t>
      </w:r>
    </w:p>
  </w:footnote>
  <w:footnote w:id="174">
    <w:p w14:paraId="2D65CE07" w14:textId="08C98991" w:rsidR="00400295" w:rsidRPr="00B712EB" w:rsidRDefault="00400295" w:rsidP="00B712EB">
      <w:pPr>
        <w:pStyle w:val="FootnoteText"/>
        <w:rPr>
          <w:sz w:val="16"/>
          <w:szCs w:val="16"/>
          <w:lang w:val="en-AU"/>
        </w:rPr>
      </w:pPr>
      <w:r w:rsidRPr="00B712EB">
        <w:rPr>
          <w:rStyle w:val="FootnoteReference"/>
          <w:sz w:val="16"/>
          <w:szCs w:val="16"/>
        </w:rPr>
        <w:footnoteRef/>
      </w:r>
      <w:r w:rsidRPr="00B712EB">
        <w:rPr>
          <w:sz w:val="16"/>
          <w:szCs w:val="16"/>
        </w:rPr>
        <w:t xml:space="preserve"> Vanstone, C. (2016). What can the social and public sector learn about effective innovation from science, business and biscuits. The Australian Centre for Social Innovation, Adelaide. </w:t>
      </w:r>
      <w:hyperlink r:id="rId146" w:history="1">
        <w:r w:rsidRPr="00B712EB">
          <w:rPr>
            <w:rStyle w:val="Hyperlink"/>
            <w:sz w:val="16"/>
            <w:szCs w:val="16"/>
          </w:rPr>
          <w:t>https://publicpurpose.com.au/wp-content/uploads/2016/05/160405-8-Practices-for-Chris-Vanstone.pdf</w:t>
        </w:r>
      </w:hyperlink>
      <w:r w:rsidRPr="00B712EB">
        <w:rPr>
          <w:sz w:val="16"/>
          <w:szCs w:val="16"/>
        </w:rPr>
        <w:t xml:space="preserve"> </w:t>
      </w:r>
    </w:p>
  </w:footnote>
  <w:footnote w:id="175">
    <w:p w14:paraId="359DAB99" w14:textId="7B02288F" w:rsidR="00400295" w:rsidRPr="00B712EB" w:rsidRDefault="00400295" w:rsidP="00B712EB">
      <w:pPr>
        <w:pStyle w:val="FootnoteText"/>
        <w:rPr>
          <w:sz w:val="16"/>
          <w:szCs w:val="16"/>
          <w:lang w:val="en-AU"/>
        </w:rPr>
      </w:pPr>
      <w:r w:rsidRPr="00B712EB">
        <w:rPr>
          <w:rStyle w:val="FootnoteReference"/>
          <w:sz w:val="16"/>
          <w:szCs w:val="16"/>
        </w:rPr>
        <w:footnoteRef/>
      </w:r>
      <w:r w:rsidRPr="00B712EB">
        <w:rPr>
          <w:sz w:val="16"/>
          <w:szCs w:val="16"/>
        </w:rPr>
        <w:t xml:space="preserve"> OECD and Eurostat. (2005). Oslo Manual: Guidelines for Collecting and Interpreting Innovation Data (3</w:t>
      </w:r>
      <w:r w:rsidRPr="00B712EB">
        <w:rPr>
          <w:sz w:val="16"/>
          <w:szCs w:val="16"/>
          <w:vertAlign w:val="superscript"/>
        </w:rPr>
        <w:t>rd</w:t>
      </w:r>
      <w:r w:rsidRPr="00B712EB">
        <w:rPr>
          <w:sz w:val="16"/>
          <w:szCs w:val="16"/>
        </w:rPr>
        <w:t xml:space="preserve"> Edition). OECD Publishing Paris. </w:t>
      </w:r>
      <w:hyperlink r:id="rId147" w:history="1">
        <w:r w:rsidRPr="00B712EB">
          <w:rPr>
            <w:rStyle w:val="Hyperlink"/>
            <w:sz w:val="16"/>
            <w:szCs w:val="16"/>
          </w:rPr>
          <w:t>https://doi.org/10.1787/9789264013100-en</w:t>
        </w:r>
      </w:hyperlink>
      <w:r>
        <w:rPr>
          <w:rStyle w:val="Hyperlink"/>
          <w:sz w:val="16"/>
          <w:szCs w:val="16"/>
        </w:rPr>
        <w:t xml:space="preserve"> </w:t>
      </w:r>
    </w:p>
  </w:footnote>
  <w:footnote w:id="176">
    <w:p w14:paraId="7CCCEA3D" w14:textId="17C8C06B" w:rsidR="00400295" w:rsidRPr="00B712EB" w:rsidDel="000D6835" w:rsidRDefault="00400295" w:rsidP="00B712EB">
      <w:pPr>
        <w:pStyle w:val="FootnoteText"/>
        <w:rPr>
          <w:sz w:val="16"/>
          <w:szCs w:val="16"/>
        </w:rPr>
      </w:pPr>
      <w:r w:rsidRPr="00B712EB" w:rsidDel="000D6835">
        <w:rPr>
          <w:rStyle w:val="FootnoteReference"/>
          <w:sz w:val="16"/>
          <w:szCs w:val="16"/>
        </w:rPr>
        <w:footnoteRef/>
      </w:r>
      <w:r w:rsidRPr="00B712EB" w:rsidDel="000D6835">
        <w:rPr>
          <w:sz w:val="16"/>
          <w:szCs w:val="16"/>
        </w:rPr>
        <w:t xml:space="preserve"> Innovation and Science Australia. (2016). Performance review of the Australian Innovation, Science and Research System.</w:t>
      </w:r>
      <w:r w:rsidRPr="00B712EB">
        <w:rPr>
          <w:sz w:val="16"/>
          <w:szCs w:val="16"/>
        </w:rPr>
        <w:t xml:space="preserve"> </w:t>
      </w:r>
      <w:hyperlink r:id="rId148" w:history="1">
        <w:r w:rsidRPr="00D90026">
          <w:rPr>
            <w:rStyle w:val="Hyperlink"/>
            <w:sz w:val="16"/>
            <w:szCs w:val="16"/>
          </w:rPr>
          <w:t>www.industry.gov.au/sites/g/files/net3906/f/2018-10/performance-review-of-the-australian-innovation-science-and-research-system-isa.pdf</w:t>
        </w:r>
      </w:hyperlink>
      <w:r w:rsidRPr="00B712EB">
        <w:rPr>
          <w:sz w:val="16"/>
          <w:szCs w:val="16"/>
        </w:rPr>
        <w:t xml:space="preserve"> </w:t>
      </w:r>
    </w:p>
  </w:footnote>
  <w:footnote w:id="177">
    <w:p w14:paraId="5C43284F" w14:textId="0B8A7A07" w:rsidR="00400295" w:rsidRPr="00B712EB" w:rsidRDefault="00400295" w:rsidP="00B712EB">
      <w:pPr>
        <w:pStyle w:val="FootnoteText"/>
        <w:rPr>
          <w:sz w:val="16"/>
          <w:szCs w:val="16"/>
          <w:lang w:val="en-AU"/>
        </w:rPr>
      </w:pPr>
      <w:r w:rsidRPr="00B712EB">
        <w:rPr>
          <w:rStyle w:val="FootnoteReference"/>
          <w:sz w:val="16"/>
          <w:szCs w:val="16"/>
        </w:rPr>
        <w:footnoteRef/>
      </w:r>
      <w:r w:rsidRPr="00B712EB">
        <w:rPr>
          <w:sz w:val="16"/>
          <w:szCs w:val="16"/>
        </w:rPr>
        <w:t xml:space="preserve"> OECD and Eurostat. (2005). Oslo Manual: Guidelines for Collecting and Interpreting Innovation Data (3</w:t>
      </w:r>
      <w:r w:rsidRPr="00B712EB">
        <w:rPr>
          <w:sz w:val="16"/>
          <w:szCs w:val="16"/>
          <w:vertAlign w:val="superscript"/>
        </w:rPr>
        <w:t>rd</w:t>
      </w:r>
      <w:r w:rsidRPr="00B712EB">
        <w:rPr>
          <w:sz w:val="16"/>
          <w:szCs w:val="16"/>
        </w:rPr>
        <w:t xml:space="preserve"> Edition). OECD Publishing Paris. </w:t>
      </w:r>
      <w:hyperlink r:id="rId149" w:history="1">
        <w:r w:rsidRPr="00B712EB">
          <w:rPr>
            <w:rStyle w:val="Hyperlink"/>
            <w:sz w:val="16"/>
            <w:szCs w:val="16"/>
          </w:rPr>
          <w:t>https://doi.org/10.1787/9789264013100-en</w:t>
        </w:r>
      </w:hyperlink>
      <w:r>
        <w:rPr>
          <w:rStyle w:val="Hyperlink"/>
          <w:sz w:val="16"/>
          <w:szCs w:val="16"/>
        </w:rPr>
        <w:t xml:space="preserve"> </w:t>
      </w:r>
    </w:p>
  </w:footnote>
  <w:footnote w:id="178">
    <w:p w14:paraId="176E4C2C" w14:textId="4C3E1124" w:rsidR="00400295" w:rsidRPr="00B712EB" w:rsidRDefault="00400295" w:rsidP="00B712EB">
      <w:pPr>
        <w:pStyle w:val="FootnoteText"/>
        <w:rPr>
          <w:sz w:val="16"/>
          <w:szCs w:val="16"/>
        </w:rPr>
      </w:pPr>
      <w:r w:rsidRPr="00B712EB">
        <w:rPr>
          <w:rStyle w:val="FootnoteReference"/>
          <w:sz w:val="16"/>
          <w:szCs w:val="16"/>
        </w:rPr>
        <w:footnoteRef/>
      </w:r>
      <w:r w:rsidRPr="00B712EB">
        <w:rPr>
          <w:sz w:val="16"/>
          <w:szCs w:val="16"/>
        </w:rPr>
        <w:t xml:space="preserve"> Innovation and Science Australia. (2020). Stimulating business investment in innovation. </w:t>
      </w:r>
      <w:hyperlink r:id="rId150" w:tooltip="Link to ISA's Stimulating business investment in innovation report" w:history="1">
        <w:r w:rsidRPr="00A15D27">
          <w:rPr>
            <w:rStyle w:val="Hyperlink"/>
            <w:sz w:val="16"/>
            <w:szCs w:val="16"/>
          </w:rPr>
          <w:t>www.industry.gov.au/sites/default/files/2020-02/stimulating-business-investment-in-innovation.pdf</w:t>
        </w:r>
      </w:hyperlink>
      <w:r>
        <w:rPr>
          <w:rStyle w:val="Hyperlink"/>
          <w:sz w:val="16"/>
          <w:szCs w:val="16"/>
        </w:rPr>
        <w:t xml:space="preserve"> </w:t>
      </w:r>
    </w:p>
  </w:footnote>
  <w:footnote w:id="179">
    <w:p w14:paraId="7D6CF5EB" w14:textId="06918DEC" w:rsidR="00400295" w:rsidRPr="00B712EB" w:rsidRDefault="00400295" w:rsidP="00B712EB">
      <w:pPr>
        <w:pStyle w:val="FootnoteText"/>
        <w:rPr>
          <w:sz w:val="16"/>
          <w:szCs w:val="16"/>
          <w:lang w:val="en-AU"/>
        </w:rPr>
      </w:pPr>
      <w:r w:rsidRPr="00B712EB">
        <w:rPr>
          <w:rStyle w:val="FootnoteReference"/>
          <w:sz w:val="16"/>
          <w:szCs w:val="16"/>
        </w:rPr>
        <w:footnoteRef/>
      </w:r>
      <w:r w:rsidRPr="00B712EB">
        <w:rPr>
          <w:sz w:val="16"/>
          <w:szCs w:val="16"/>
        </w:rPr>
        <w:t xml:space="preserve"> OECD and Eurostat. (2005). Oslo Manual: Guidelines for Collecting and Interpreting Innovation Data (3</w:t>
      </w:r>
      <w:r w:rsidRPr="00B712EB">
        <w:rPr>
          <w:sz w:val="16"/>
          <w:szCs w:val="16"/>
          <w:vertAlign w:val="superscript"/>
        </w:rPr>
        <w:t>rd</w:t>
      </w:r>
      <w:r w:rsidRPr="00B712EB">
        <w:rPr>
          <w:sz w:val="16"/>
          <w:szCs w:val="16"/>
        </w:rPr>
        <w:t xml:space="preserve"> Edition). OECD Publishing Paris. </w:t>
      </w:r>
      <w:hyperlink r:id="rId151" w:history="1">
        <w:r w:rsidRPr="00B712EB">
          <w:rPr>
            <w:rStyle w:val="Hyperlink"/>
            <w:sz w:val="16"/>
            <w:szCs w:val="16"/>
          </w:rPr>
          <w:t>https://doi.org/10.1787/9789264013100-en</w:t>
        </w:r>
      </w:hyperlink>
      <w:r>
        <w:rPr>
          <w:rStyle w:val="Hyperlink"/>
          <w:sz w:val="16"/>
          <w:szCs w:val="16"/>
        </w:rPr>
        <w:t xml:space="preserve"> </w:t>
      </w:r>
    </w:p>
  </w:footnote>
  <w:footnote w:id="180">
    <w:p w14:paraId="58233294" w14:textId="701B3825" w:rsidR="00400295" w:rsidRPr="00B712EB" w:rsidRDefault="00400295" w:rsidP="00B712EB">
      <w:pPr>
        <w:pStyle w:val="FootnoteText"/>
        <w:rPr>
          <w:sz w:val="16"/>
          <w:szCs w:val="16"/>
          <w:lang w:val="en-AU"/>
        </w:rPr>
      </w:pPr>
      <w:r w:rsidRPr="00B712EB">
        <w:rPr>
          <w:rStyle w:val="FootnoteReference"/>
          <w:sz w:val="16"/>
          <w:szCs w:val="16"/>
        </w:rPr>
        <w:footnoteRef/>
      </w:r>
      <w:r w:rsidRPr="00B712EB">
        <w:rPr>
          <w:sz w:val="16"/>
          <w:szCs w:val="16"/>
        </w:rPr>
        <w:t xml:space="preserve"> OECD and Eurostat. (2005). Oslo Manual: Guidelines for Collecting and Interpreting Innovation Data (3</w:t>
      </w:r>
      <w:r w:rsidRPr="00B712EB">
        <w:rPr>
          <w:sz w:val="16"/>
          <w:szCs w:val="16"/>
          <w:vertAlign w:val="superscript"/>
        </w:rPr>
        <w:t>rd</w:t>
      </w:r>
      <w:r w:rsidRPr="00B712EB">
        <w:rPr>
          <w:sz w:val="16"/>
          <w:szCs w:val="16"/>
        </w:rPr>
        <w:t xml:space="preserve"> Edition). OECD Publishing Paris. </w:t>
      </w:r>
      <w:hyperlink r:id="rId152" w:history="1">
        <w:r w:rsidRPr="00B712EB">
          <w:rPr>
            <w:rStyle w:val="Hyperlink"/>
            <w:sz w:val="16"/>
            <w:szCs w:val="16"/>
          </w:rPr>
          <w:t>https://doi.org/10.1787/9789264013100-en</w:t>
        </w:r>
      </w:hyperlink>
      <w:r>
        <w:rPr>
          <w:rStyle w:val="Hyperlink"/>
          <w:sz w:val="16"/>
          <w:szCs w:val="16"/>
        </w:rPr>
        <w:t xml:space="preserve"> </w:t>
      </w:r>
    </w:p>
  </w:footnote>
  <w:footnote w:id="181">
    <w:p w14:paraId="59583B7E" w14:textId="5F45E717" w:rsidR="00400295" w:rsidRPr="00B712EB" w:rsidRDefault="00400295" w:rsidP="00B712EB">
      <w:pPr>
        <w:pStyle w:val="FootnoteText"/>
        <w:rPr>
          <w:sz w:val="16"/>
          <w:szCs w:val="16"/>
          <w:lang w:val="en-AU"/>
        </w:rPr>
      </w:pPr>
      <w:r w:rsidRPr="00B712EB">
        <w:rPr>
          <w:rStyle w:val="FootnoteReference"/>
          <w:sz w:val="16"/>
          <w:szCs w:val="16"/>
        </w:rPr>
        <w:footnoteRef/>
      </w:r>
      <w:r w:rsidRPr="00B712EB">
        <w:rPr>
          <w:sz w:val="16"/>
          <w:szCs w:val="16"/>
        </w:rPr>
        <w:t xml:space="preserve"> OECD and Eurostat. (2005). Oslo Manual: Guidelines for Collecting and Interpreting Innovation Data (3</w:t>
      </w:r>
      <w:r w:rsidRPr="00B712EB">
        <w:rPr>
          <w:sz w:val="16"/>
          <w:szCs w:val="16"/>
          <w:vertAlign w:val="superscript"/>
        </w:rPr>
        <w:t>rd</w:t>
      </w:r>
      <w:r w:rsidRPr="00B712EB">
        <w:rPr>
          <w:sz w:val="16"/>
          <w:szCs w:val="16"/>
        </w:rPr>
        <w:t xml:space="preserve"> Edition). OECD Publishing Paris. </w:t>
      </w:r>
      <w:hyperlink r:id="rId153" w:history="1">
        <w:r w:rsidRPr="00B712EB">
          <w:rPr>
            <w:rStyle w:val="Hyperlink"/>
            <w:sz w:val="16"/>
            <w:szCs w:val="16"/>
          </w:rPr>
          <w:t>https://doi.org/10.1787/9789264013100-en</w:t>
        </w:r>
      </w:hyperlink>
      <w:r>
        <w:rPr>
          <w:rStyle w:val="Hyperlink"/>
          <w:sz w:val="16"/>
          <w:szCs w:val="16"/>
        </w:rPr>
        <w:t xml:space="preserve"> </w:t>
      </w:r>
    </w:p>
  </w:footnote>
  <w:footnote w:id="182">
    <w:p w14:paraId="004E0CEB" w14:textId="0FF97A18" w:rsidR="00400295" w:rsidRPr="00B712EB" w:rsidRDefault="00400295" w:rsidP="00B712EB">
      <w:pPr>
        <w:spacing w:after="0" w:line="240" w:lineRule="auto"/>
        <w:rPr>
          <w:rFonts w:eastAsia="Times New Roman"/>
          <w:color w:val="000000"/>
          <w:kern w:val="0"/>
          <w:sz w:val="16"/>
          <w:szCs w:val="16"/>
          <w:lang w:val="en" w:eastAsia="en-AU"/>
        </w:rPr>
      </w:pPr>
      <w:r w:rsidRPr="00B712EB">
        <w:rPr>
          <w:rStyle w:val="FootnoteReference"/>
          <w:sz w:val="16"/>
          <w:szCs w:val="16"/>
        </w:rPr>
        <w:footnoteRef/>
      </w:r>
      <w:r>
        <w:rPr>
          <w:sz w:val="16"/>
          <w:szCs w:val="16"/>
        </w:rPr>
        <w:t>ABS.</w:t>
      </w:r>
      <w:r w:rsidRPr="00B712EB">
        <w:rPr>
          <w:sz w:val="16"/>
          <w:szCs w:val="16"/>
        </w:rPr>
        <w:t xml:space="preserve"> </w:t>
      </w:r>
      <w:r>
        <w:rPr>
          <w:sz w:val="16"/>
          <w:szCs w:val="16"/>
        </w:rPr>
        <w:t>(</w:t>
      </w:r>
      <w:r w:rsidRPr="00B712EB">
        <w:rPr>
          <w:rFonts w:eastAsia="Times New Roman"/>
          <w:color w:val="000000"/>
          <w:kern w:val="0"/>
          <w:sz w:val="16"/>
          <w:szCs w:val="16"/>
          <w:lang w:val="en" w:eastAsia="en-AU"/>
        </w:rPr>
        <w:t>1998</w:t>
      </w:r>
      <w:r>
        <w:rPr>
          <w:rFonts w:eastAsia="Times New Roman"/>
          <w:color w:val="000000"/>
          <w:kern w:val="0"/>
          <w:sz w:val="16"/>
          <w:szCs w:val="16"/>
          <w:lang w:val="en" w:eastAsia="en-AU"/>
        </w:rPr>
        <w:t>)</w:t>
      </w:r>
      <w:r w:rsidRPr="00B712EB">
        <w:rPr>
          <w:rFonts w:eastAsia="Times New Roman"/>
          <w:color w:val="000000"/>
          <w:kern w:val="0"/>
          <w:sz w:val="16"/>
          <w:szCs w:val="16"/>
          <w:lang w:val="en" w:eastAsia="en-AU"/>
        </w:rPr>
        <w:t>. 1297.0 - Australian Standard Research Classification (ASRC</w:t>
      </w:r>
      <w:r>
        <w:rPr>
          <w:rFonts w:eastAsia="Times New Roman"/>
          <w:color w:val="000000"/>
          <w:kern w:val="0"/>
          <w:sz w:val="16"/>
          <w:szCs w:val="16"/>
          <w:lang w:val="en" w:eastAsia="en-AU"/>
        </w:rPr>
        <w:t>).</w:t>
      </w:r>
      <w:r w:rsidRPr="00B712EB">
        <w:rPr>
          <w:rFonts w:eastAsia="Times New Roman"/>
          <w:color w:val="000000"/>
          <w:kern w:val="0"/>
          <w:sz w:val="16"/>
          <w:szCs w:val="16"/>
          <w:lang w:val="en" w:eastAsia="en-AU"/>
        </w:rPr>
        <w:t xml:space="preserve"> </w:t>
      </w:r>
      <w:hyperlink r:id="rId154" w:history="1">
        <w:r w:rsidRPr="00EA4ED6">
          <w:rPr>
            <w:rStyle w:val="Hyperlink"/>
            <w:sz w:val="16"/>
            <w:szCs w:val="16"/>
          </w:rPr>
          <w:t>www.abs.gov.au/ausstats/abs@‌.nsf/66f306f503e529a5ca25697e0017661f/22E4C184CA111129CA25697E0018FD78?opendocument</w:t>
        </w:r>
      </w:hyperlink>
      <w:r w:rsidRPr="00B712EB">
        <w:rPr>
          <w:sz w:val="16"/>
          <w:szCs w:val="16"/>
        </w:rPr>
        <w:t xml:space="preserve"> </w:t>
      </w:r>
    </w:p>
  </w:footnote>
  <w:footnote w:id="183">
    <w:p w14:paraId="7EA68823" w14:textId="703EEC0A" w:rsidR="00400295" w:rsidRPr="00B712EB" w:rsidRDefault="00400295" w:rsidP="00B712EB">
      <w:pPr>
        <w:pStyle w:val="FootnoteText"/>
        <w:rPr>
          <w:sz w:val="16"/>
          <w:szCs w:val="16"/>
          <w:lang w:val="en-AU"/>
        </w:rPr>
      </w:pPr>
      <w:r w:rsidRPr="00B712EB">
        <w:rPr>
          <w:rStyle w:val="FootnoteReference"/>
          <w:sz w:val="16"/>
          <w:szCs w:val="16"/>
        </w:rPr>
        <w:footnoteRef/>
      </w:r>
      <w:r w:rsidRPr="00B712EB">
        <w:rPr>
          <w:sz w:val="16"/>
          <w:szCs w:val="16"/>
        </w:rPr>
        <w:t xml:space="preserve"> </w:t>
      </w:r>
      <w:r w:rsidRPr="00B712EB">
        <w:rPr>
          <w:sz w:val="16"/>
          <w:szCs w:val="16"/>
          <w:lang w:val="en-AU"/>
        </w:rPr>
        <w:t xml:space="preserve">Innovation and Science Australia. (2016). Performance Review of the Australian Innovation, Science and Research System. </w:t>
      </w:r>
      <w:hyperlink r:id="rId155" w:history="1">
        <w:r w:rsidRPr="00EA4ED6">
          <w:rPr>
            <w:rStyle w:val="Hyperlink"/>
            <w:sz w:val="16"/>
            <w:szCs w:val="16"/>
            <w:lang w:val="en-AU"/>
          </w:rPr>
          <w:t>www.industry.gov.au/sites/default/files/2018-10/performance-review-of-the-australian-innovation-science-and-research-system-isa.pdf</w:t>
        </w:r>
      </w:hyperlink>
      <w:r w:rsidRPr="00B712EB">
        <w:rPr>
          <w:sz w:val="16"/>
          <w:szCs w:val="16"/>
          <w:lang w:val="en-AU"/>
        </w:rPr>
        <w:t xml:space="preserve"> </w:t>
      </w:r>
    </w:p>
  </w:footnote>
  <w:footnote w:id="184">
    <w:p w14:paraId="55C1A664" w14:textId="2FFCC24F" w:rsidR="00400295" w:rsidRPr="002A61BC" w:rsidRDefault="00400295">
      <w:pPr>
        <w:pStyle w:val="FootnoteText"/>
        <w:rPr>
          <w:sz w:val="16"/>
          <w:szCs w:val="16"/>
          <w:lang w:val="en-AU"/>
        </w:rPr>
      </w:pPr>
      <w:r w:rsidRPr="002A61BC">
        <w:rPr>
          <w:rStyle w:val="FootnoteReference"/>
          <w:sz w:val="16"/>
          <w:szCs w:val="16"/>
        </w:rPr>
        <w:footnoteRef/>
      </w:r>
      <w:r w:rsidRPr="002A61BC">
        <w:rPr>
          <w:sz w:val="16"/>
          <w:szCs w:val="16"/>
        </w:rPr>
        <w:t xml:space="preserve"> </w:t>
      </w:r>
      <w:r w:rsidRPr="00F07C7A">
        <w:rPr>
          <w:sz w:val="16"/>
          <w:szCs w:val="16"/>
          <w:lang w:val="en-AU"/>
        </w:rPr>
        <w:t xml:space="preserve">Innovation and Science Australia. (2016). Performance Review of the Australian Innovation, Science and Research System. </w:t>
      </w:r>
      <w:hyperlink r:id="rId156" w:history="1">
        <w:r w:rsidRPr="007E5CCA">
          <w:rPr>
            <w:rStyle w:val="Hyperlink"/>
            <w:sz w:val="16"/>
            <w:szCs w:val="16"/>
            <w:lang w:val="en-AU"/>
          </w:rPr>
          <w:t>www.industry.gov.au/sites/default/files/2018-10/performance-review-of-the-australian-innovation-science-and-research-system-isa.pdf</w:t>
        </w:r>
      </w:hyperlink>
      <w:r>
        <w:rPr>
          <w:rStyle w:val="Hyperlink"/>
          <w:sz w:val="16"/>
          <w:szCs w:val="16"/>
          <w:lang w:val="en-AU"/>
        </w:rPr>
        <w:t xml:space="preserve"> </w:t>
      </w:r>
    </w:p>
  </w:footnote>
  <w:footnote w:id="185">
    <w:p w14:paraId="011937F4" w14:textId="0A7688B6" w:rsidR="00400295" w:rsidRPr="00B712EB" w:rsidRDefault="00400295">
      <w:pPr>
        <w:pStyle w:val="FootnoteText"/>
        <w:rPr>
          <w:sz w:val="16"/>
          <w:szCs w:val="16"/>
          <w:lang w:val="en-AU"/>
        </w:rPr>
      </w:pPr>
      <w:r w:rsidRPr="002B328C">
        <w:rPr>
          <w:rStyle w:val="FootnoteReference"/>
          <w:sz w:val="16"/>
          <w:szCs w:val="16"/>
        </w:rPr>
        <w:footnoteRef/>
      </w:r>
      <w:r w:rsidRPr="002B328C">
        <w:rPr>
          <w:sz w:val="16"/>
          <w:szCs w:val="16"/>
        </w:rPr>
        <w:t xml:space="preserve"> Definitions used in the SRI </w:t>
      </w:r>
      <w:r w:rsidRPr="00B712EB">
        <w:rPr>
          <w:sz w:val="16"/>
          <w:szCs w:val="16"/>
        </w:rPr>
        <w:t xml:space="preserve">Budget tables can be found at </w:t>
      </w:r>
      <w:hyperlink r:id="rId157" w:tooltip="Link to SRI budget tables website" w:history="1">
        <w:r w:rsidRPr="007E5CCA">
          <w:rPr>
            <w:rStyle w:val="Hyperlink"/>
            <w:sz w:val="16"/>
            <w:szCs w:val="16"/>
          </w:rPr>
          <w:t>www.industry.gov.au/data-and-publications/science-research-and-innovation-sri-budget-tables</w:t>
        </w:r>
      </w:hyperlink>
      <w:r>
        <w:rPr>
          <w:rStyle w:val="Hyperlink"/>
          <w:sz w:val="16"/>
          <w:szCs w:val="16"/>
        </w:rPr>
        <w:t xml:space="preserve"> </w:t>
      </w:r>
    </w:p>
  </w:footnote>
  <w:footnote w:id="186">
    <w:p w14:paraId="47F10F40" w14:textId="15705B7D" w:rsidR="00400295" w:rsidRPr="00B712EB" w:rsidRDefault="00400295" w:rsidP="00357A9F">
      <w:pPr>
        <w:spacing w:after="0" w:line="240" w:lineRule="auto"/>
        <w:rPr>
          <w:rFonts w:eastAsia="Times New Roman"/>
          <w:color w:val="000000"/>
          <w:kern w:val="0"/>
          <w:sz w:val="16"/>
          <w:szCs w:val="16"/>
          <w:lang w:val="en" w:eastAsia="en-AU"/>
        </w:rPr>
      </w:pPr>
      <w:r w:rsidRPr="00B712EB">
        <w:rPr>
          <w:rStyle w:val="FootnoteReference"/>
          <w:sz w:val="16"/>
          <w:szCs w:val="16"/>
        </w:rPr>
        <w:footnoteRef/>
      </w:r>
      <w:r w:rsidRPr="00B712EB">
        <w:rPr>
          <w:sz w:val="16"/>
          <w:szCs w:val="16"/>
        </w:rPr>
        <w:t xml:space="preserve"> </w:t>
      </w:r>
      <w:r>
        <w:rPr>
          <w:sz w:val="16"/>
          <w:szCs w:val="16"/>
        </w:rPr>
        <w:t xml:space="preserve">ABS. </w:t>
      </w:r>
      <w:r>
        <w:rPr>
          <w:rFonts w:eastAsia="Times New Roman"/>
          <w:color w:val="000000"/>
          <w:kern w:val="0"/>
          <w:sz w:val="16"/>
          <w:szCs w:val="16"/>
          <w:lang w:val="en" w:eastAsia="en-AU"/>
        </w:rPr>
        <w:t xml:space="preserve">(1998). </w:t>
      </w:r>
      <w:r w:rsidRPr="00B712EB">
        <w:rPr>
          <w:rFonts w:eastAsia="Times New Roman"/>
          <w:color w:val="000000"/>
          <w:kern w:val="0"/>
          <w:sz w:val="16"/>
          <w:szCs w:val="16"/>
          <w:lang w:val="en" w:eastAsia="en-AU"/>
        </w:rPr>
        <w:t xml:space="preserve">1297.0 - Australian Standard </w:t>
      </w:r>
      <w:r>
        <w:rPr>
          <w:rFonts w:eastAsia="Times New Roman"/>
          <w:color w:val="000000"/>
          <w:kern w:val="0"/>
          <w:sz w:val="16"/>
          <w:szCs w:val="16"/>
          <w:lang w:val="en" w:eastAsia="en-AU"/>
        </w:rPr>
        <w:t>Research Classification (ASRC).</w:t>
      </w:r>
      <w:r>
        <w:rPr>
          <w:sz w:val="16"/>
          <w:szCs w:val="16"/>
        </w:rPr>
        <w:t xml:space="preserve"> </w:t>
      </w:r>
      <w:hyperlink r:id="rId158" w:history="1">
        <w:r w:rsidRPr="00D90026">
          <w:rPr>
            <w:rStyle w:val="Hyperlink"/>
            <w:sz w:val="16"/>
            <w:szCs w:val="16"/>
          </w:rPr>
          <w:t>www.abs.gov.au/ausstats/abs@‌.nsf/66f306f503e529a5ca25697e0017661f/22E4C184CA111129CA25697E0018FD78?opendocument</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F6E24" w14:textId="415A842C" w:rsidR="00400295" w:rsidRPr="005A7AAF" w:rsidRDefault="00400295" w:rsidP="00BE36AD">
    <w:pPr>
      <w:tabs>
        <w:tab w:val="center" w:pos="4535"/>
        <w:tab w:val="left" w:pos="7210"/>
      </w:tabs>
      <w:spacing w:after="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2B2D1" w14:textId="29987223" w:rsidR="00400295" w:rsidRPr="00636DF2" w:rsidRDefault="00400295" w:rsidP="00636D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E8AED" w14:textId="15390ACA" w:rsidR="00400295" w:rsidRPr="00514634" w:rsidRDefault="00400295" w:rsidP="00AE03DE">
    <w:pPr>
      <w:tabs>
        <w:tab w:val="center" w:pos="4535"/>
        <w:tab w:val="left" w:pos="7210"/>
      </w:tabs>
      <w:spacing w:after="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5770"/>
        </w:tabs>
        <w:ind w:left="577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62585640"/>
    <w:styleLink w:val="AnnualReport"/>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5" w15:restartNumberingAfterBreak="0">
    <w:nsid w:val="FFFFFF89"/>
    <w:multiLevelType w:val="singleLevel"/>
    <w:tmpl w:val="7634447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60206E"/>
    <w:multiLevelType w:val="hybridMultilevel"/>
    <w:tmpl w:val="C1460E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2A0028"/>
    <w:multiLevelType w:val="hybridMultilevel"/>
    <w:tmpl w:val="5E184DBC"/>
    <w:lvl w:ilvl="0" w:tplc="664624AC">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F417B2"/>
    <w:multiLevelType w:val="hybridMultilevel"/>
    <w:tmpl w:val="9CCCB6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513226"/>
    <w:multiLevelType w:val="hybridMultilevel"/>
    <w:tmpl w:val="1E003C2A"/>
    <w:lvl w:ilvl="0" w:tplc="0C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webHidden w:val="0"/>
        <w:color w:val="5B9BD5"/>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0F517AB"/>
    <w:multiLevelType w:val="hybridMultilevel"/>
    <w:tmpl w:val="5CBAE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757DCE"/>
    <w:multiLevelType w:val="multilevel"/>
    <w:tmpl w:val="429A60DE"/>
    <w:lvl w:ilvl="0">
      <w:start w:val="1"/>
      <w:numFmt w:val="upperLetter"/>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81B415F"/>
    <w:multiLevelType w:val="hybridMultilevel"/>
    <w:tmpl w:val="3496E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DC4059"/>
    <w:multiLevelType w:val="hybridMultilevel"/>
    <w:tmpl w:val="C23E7AB6"/>
    <w:lvl w:ilvl="0" w:tplc="0C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webHidden w:val="0"/>
        <w:color w:val="5B9BD5"/>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3877E3A"/>
    <w:multiLevelType w:val="hybridMultilevel"/>
    <w:tmpl w:val="8A72D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8B1306"/>
    <w:multiLevelType w:val="hybridMultilevel"/>
    <w:tmpl w:val="71C04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735AF2"/>
    <w:multiLevelType w:val="hybridMultilevel"/>
    <w:tmpl w:val="7534B6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3C64A1"/>
    <w:multiLevelType w:val="multilevel"/>
    <w:tmpl w:val="7FE0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4409BA"/>
    <w:multiLevelType w:val="hybridMultilevel"/>
    <w:tmpl w:val="C5501BFE"/>
    <w:lvl w:ilvl="0" w:tplc="1780F744">
      <w:start w:val="1"/>
      <w:numFmt w:val="upperLetter"/>
      <w:pStyle w:val="Heading2recommendationnumbered"/>
      <w:lvlText w:val="Appendix %1:"/>
      <w:lvlJc w:val="left"/>
      <w:pPr>
        <w:ind w:left="1193" w:hanging="360"/>
      </w:pPr>
      <w:rPr>
        <w:rFonts w:hint="default"/>
        <w:caps w:val="0"/>
        <w:strike w:val="0"/>
        <w:dstrike w:val="0"/>
        <w:vanish w:val="0"/>
        <w:spacing w:val="0"/>
        <w:w w:val="100"/>
        <w:position w:val="0"/>
        <w:u w:val="none"/>
        <w:vertAlign w:val="baseline"/>
      </w:rPr>
    </w:lvl>
    <w:lvl w:ilvl="1" w:tplc="0C090019" w:tentative="1">
      <w:start w:val="1"/>
      <w:numFmt w:val="lowerLetter"/>
      <w:lvlText w:val="%2."/>
      <w:lvlJc w:val="left"/>
      <w:pPr>
        <w:ind w:left="1913" w:hanging="360"/>
      </w:pPr>
    </w:lvl>
    <w:lvl w:ilvl="2" w:tplc="0C09001B" w:tentative="1">
      <w:start w:val="1"/>
      <w:numFmt w:val="lowerRoman"/>
      <w:lvlText w:val="%3."/>
      <w:lvlJc w:val="right"/>
      <w:pPr>
        <w:ind w:left="2633" w:hanging="180"/>
      </w:pPr>
    </w:lvl>
    <w:lvl w:ilvl="3" w:tplc="0C09000F" w:tentative="1">
      <w:start w:val="1"/>
      <w:numFmt w:val="decimal"/>
      <w:lvlText w:val="%4."/>
      <w:lvlJc w:val="left"/>
      <w:pPr>
        <w:ind w:left="3353" w:hanging="360"/>
      </w:pPr>
    </w:lvl>
    <w:lvl w:ilvl="4" w:tplc="0C090019" w:tentative="1">
      <w:start w:val="1"/>
      <w:numFmt w:val="lowerLetter"/>
      <w:lvlText w:val="%5."/>
      <w:lvlJc w:val="left"/>
      <w:pPr>
        <w:ind w:left="4073" w:hanging="360"/>
      </w:pPr>
    </w:lvl>
    <w:lvl w:ilvl="5" w:tplc="0C09001B" w:tentative="1">
      <w:start w:val="1"/>
      <w:numFmt w:val="lowerRoman"/>
      <w:lvlText w:val="%6."/>
      <w:lvlJc w:val="right"/>
      <w:pPr>
        <w:ind w:left="4793" w:hanging="180"/>
      </w:pPr>
    </w:lvl>
    <w:lvl w:ilvl="6" w:tplc="0C09000F" w:tentative="1">
      <w:start w:val="1"/>
      <w:numFmt w:val="decimal"/>
      <w:lvlText w:val="%7."/>
      <w:lvlJc w:val="left"/>
      <w:pPr>
        <w:ind w:left="5513" w:hanging="360"/>
      </w:pPr>
    </w:lvl>
    <w:lvl w:ilvl="7" w:tplc="0C090019" w:tentative="1">
      <w:start w:val="1"/>
      <w:numFmt w:val="lowerLetter"/>
      <w:lvlText w:val="%8."/>
      <w:lvlJc w:val="left"/>
      <w:pPr>
        <w:ind w:left="6233" w:hanging="360"/>
      </w:pPr>
    </w:lvl>
    <w:lvl w:ilvl="8" w:tplc="0C09001B" w:tentative="1">
      <w:start w:val="1"/>
      <w:numFmt w:val="lowerRoman"/>
      <w:lvlText w:val="%9."/>
      <w:lvlJc w:val="right"/>
      <w:pPr>
        <w:ind w:left="6953" w:hanging="180"/>
      </w:pPr>
    </w:lvl>
  </w:abstractNum>
  <w:abstractNum w:abstractNumId="19" w15:restartNumberingAfterBreak="0">
    <w:nsid w:val="4E13052E"/>
    <w:multiLevelType w:val="hybridMultilevel"/>
    <w:tmpl w:val="6232881C"/>
    <w:lvl w:ilvl="0" w:tplc="FC060FEE">
      <w:numFmt w:val="bullet"/>
      <w:lvlText w:val="•"/>
      <w:lvlJc w:val="left"/>
      <w:pPr>
        <w:ind w:left="1080" w:hanging="720"/>
      </w:pPr>
      <w:rPr>
        <w:rFonts w:ascii="Microsoft New Tai Lue" w:eastAsiaTheme="minorHAnsi" w:hAnsi="Microsoft New Tai Lue" w:cs="Microsoft New Tai L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CA394B"/>
    <w:multiLevelType w:val="hybridMultilevel"/>
    <w:tmpl w:val="ABAA0C86"/>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C81D74"/>
    <w:multiLevelType w:val="hybridMultilevel"/>
    <w:tmpl w:val="3D86A5A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2" w15:restartNumberingAfterBreak="0">
    <w:nsid w:val="65E70E3F"/>
    <w:multiLevelType w:val="hybridMultilevel"/>
    <w:tmpl w:val="6FA8DC3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664526F0"/>
    <w:multiLevelType w:val="hybridMultilevel"/>
    <w:tmpl w:val="E9C6EF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527FEE"/>
    <w:multiLevelType w:val="hybridMultilevel"/>
    <w:tmpl w:val="3CC813F4"/>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25" w15:restartNumberingAfterBreak="0">
    <w:nsid w:val="70EC6836"/>
    <w:multiLevelType w:val="hybridMultilevel"/>
    <w:tmpl w:val="583A1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4A05B8"/>
    <w:multiLevelType w:val="hybridMultilevel"/>
    <w:tmpl w:val="2A5099A8"/>
    <w:lvl w:ilvl="0" w:tplc="0ADE3202">
      <w:start w:val="1"/>
      <w:numFmt w:val="upperLetter"/>
      <w:pStyle w:val="AppHead"/>
      <w:lvlText w:val="Appendix %1"/>
      <w:lvlJc w:val="left"/>
      <w:pPr>
        <w:ind w:left="720" w:hanging="360"/>
      </w:pPr>
      <w:rPr>
        <w:rFonts w:hint="default"/>
        <w:caps w:val="0"/>
        <w:strike w:val="0"/>
        <w:dstrike w:val="0"/>
        <w:vanish w:val="0"/>
        <w:spacing w:val="0"/>
        <w:w w:val="100"/>
        <w:position w:val="0"/>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093D58"/>
    <w:multiLevelType w:val="hybridMultilevel"/>
    <w:tmpl w:val="47945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CF2467"/>
    <w:multiLevelType w:val="hybridMultilevel"/>
    <w:tmpl w:val="6DF4B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6C1CAA"/>
    <w:multiLevelType w:val="hybridMultilevel"/>
    <w:tmpl w:val="DBC82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A77EB1"/>
    <w:multiLevelType w:val="hybridMultilevel"/>
    <w:tmpl w:val="4492152E"/>
    <w:lvl w:ilvl="0" w:tplc="7668EE14">
      <w:start w:val="6"/>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6"/>
  </w:num>
  <w:num w:numId="7">
    <w:abstractNumId w:val="19"/>
  </w:num>
  <w:num w:numId="8">
    <w:abstractNumId w:val="24"/>
  </w:num>
  <w:num w:numId="9">
    <w:abstractNumId w:val="14"/>
  </w:num>
  <w:num w:numId="10">
    <w:abstractNumId w:val="26"/>
  </w:num>
  <w:num w:numId="11">
    <w:abstractNumId w:val="18"/>
  </w:num>
  <w:num w:numId="12">
    <w:abstractNumId w:val="23"/>
  </w:num>
  <w:num w:numId="13">
    <w:abstractNumId w:val="11"/>
  </w:num>
  <w:num w:numId="14">
    <w:abstractNumId w:val="27"/>
  </w:num>
  <w:num w:numId="15">
    <w:abstractNumId w:val="13"/>
  </w:num>
  <w:num w:numId="16">
    <w:abstractNumId w:val="9"/>
  </w:num>
  <w:num w:numId="17">
    <w:abstractNumId w:val="13"/>
  </w:num>
  <w:num w:numId="18">
    <w:abstractNumId w:val="9"/>
  </w:num>
  <w:num w:numId="19">
    <w:abstractNumId w:val="5"/>
  </w:num>
  <w:num w:numId="20">
    <w:abstractNumId w:val="21"/>
  </w:num>
  <w:num w:numId="21">
    <w:abstractNumId w:val="16"/>
  </w:num>
  <w:num w:numId="22">
    <w:abstractNumId w:val="15"/>
  </w:num>
  <w:num w:numId="23">
    <w:abstractNumId w:val="20"/>
  </w:num>
  <w:num w:numId="24">
    <w:abstractNumId w:val="8"/>
  </w:num>
  <w:num w:numId="25">
    <w:abstractNumId w:val="17"/>
  </w:num>
  <w:num w:numId="26">
    <w:abstractNumId w:val="22"/>
  </w:num>
  <w:num w:numId="27">
    <w:abstractNumId w:val="25"/>
  </w:num>
  <w:num w:numId="28">
    <w:abstractNumId w:val="10"/>
  </w:num>
  <w:num w:numId="29">
    <w:abstractNumId w:val="29"/>
  </w:num>
  <w:num w:numId="30">
    <w:abstractNumId w:val="28"/>
  </w:num>
  <w:num w:numId="31">
    <w:abstractNumId w:val="12"/>
  </w:num>
  <w:num w:numId="32">
    <w:abstractNumId w:val="30"/>
  </w:num>
  <w:num w:numId="3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evenAndOddHeaders/>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BB1"/>
    <w:rsid w:val="00000040"/>
    <w:rsid w:val="0000045C"/>
    <w:rsid w:val="00000541"/>
    <w:rsid w:val="00000679"/>
    <w:rsid w:val="00000F3D"/>
    <w:rsid w:val="00000F47"/>
    <w:rsid w:val="00001592"/>
    <w:rsid w:val="000018D6"/>
    <w:rsid w:val="00001E93"/>
    <w:rsid w:val="0000279F"/>
    <w:rsid w:val="00003433"/>
    <w:rsid w:val="00003A81"/>
    <w:rsid w:val="000041E9"/>
    <w:rsid w:val="00004349"/>
    <w:rsid w:val="00004381"/>
    <w:rsid w:val="00004521"/>
    <w:rsid w:val="00004A65"/>
    <w:rsid w:val="00005098"/>
    <w:rsid w:val="000050C1"/>
    <w:rsid w:val="000057FF"/>
    <w:rsid w:val="00005FB2"/>
    <w:rsid w:val="0000609A"/>
    <w:rsid w:val="00006259"/>
    <w:rsid w:val="00006820"/>
    <w:rsid w:val="0000682A"/>
    <w:rsid w:val="00006FFD"/>
    <w:rsid w:val="000070AF"/>
    <w:rsid w:val="00007149"/>
    <w:rsid w:val="00007155"/>
    <w:rsid w:val="000071F0"/>
    <w:rsid w:val="00007220"/>
    <w:rsid w:val="00007665"/>
    <w:rsid w:val="00007C3C"/>
    <w:rsid w:val="00007D4D"/>
    <w:rsid w:val="00007FA7"/>
    <w:rsid w:val="000102D5"/>
    <w:rsid w:val="00010793"/>
    <w:rsid w:val="000110B6"/>
    <w:rsid w:val="0001163D"/>
    <w:rsid w:val="00011C7C"/>
    <w:rsid w:val="000120D4"/>
    <w:rsid w:val="00012498"/>
    <w:rsid w:val="000124D3"/>
    <w:rsid w:val="00012E36"/>
    <w:rsid w:val="0001328C"/>
    <w:rsid w:val="000132E1"/>
    <w:rsid w:val="000134A7"/>
    <w:rsid w:val="000137CA"/>
    <w:rsid w:val="00013934"/>
    <w:rsid w:val="00013B01"/>
    <w:rsid w:val="00013E1F"/>
    <w:rsid w:val="00013EAC"/>
    <w:rsid w:val="00014693"/>
    <w:rsid w:val="0001486D"/>
    <w:rsid w:val="00014A50"/>
    <w:rsid w:val="00014BDF"/>
    <w:rsid w:val="00015035"/>
    <w:rsid w:val="00015248"/>
    <w:rsid w:val="00015AA4"/>
    <w:rsid w:val="00015B4E"/>
    <w:rsid w:val="00015F2C"/>
    <w:rsid w:val="00016259"/>
    <w:rsid w:val="000162E9"/>
    <w:rsid w:val="0001657F"/>
    <w:rsid w:val="0001660F"/>
    <w:rsid w:val="0001672A"/>
    <w:rsid w:val="00016FB8"/>
    <w:rsid w:val="000176E6"/>
    <w:rsid w:val="00017992"/>
    <w:rsid w:val="00017DC7"/>
    <w:rsid w:val="00020294"/>
    <w:rsid w:val="00020885"/>
    <w:rsid w:val="00020A4A"/>
    <w:rsid w:val="00020C45"/>
    <w:rsid w:val="00020C4F"/>
    <w:rsid w:val="00021445"/>
    <w:rsid w:val="00021AD5"/>
    <w:rsid w:val="00021EF2"/>
    <w:rsid w:val="00021F7D"/>
    <w:rsid w:val="00021FBE"/>
    <w:rsid w:val="0002241A"/>
    <w:rsid w:val="00022741"/>
    <w:rsid w:val="0002276A"/>
    <w:rsid w:val="0002284E"/>
    <w:rsid w:val="000228DD"/>
    <w:rsid w:val="0002291D"/>
    <w:rsid w:val="00023096"/>
    <w:rsid w:val="00023982"/>
    <w:rsid w:val="00023CB5"/>
    <w:rsid w:val="00023CC2"/>
    <w:rsid w:val="00023D45"/>
    <w:rsid w:val="00024136"/>
    <w:rsid w:val="000242A4"/>
    <w:rsid w:val="0002473F"/>
    <w:rsid w:val="0002509C"/>
    <w:rsid w:val="0002592A"/>
    <w:rsid w:val="00025BD9"/>
    <w:rsid w:val="00025C7E"/>
    <w:rsid w:val="00025DF9"/>
    <w:rsid w:val="00025E87"/>
    <w:rsid w:val="00025E92"/>
    <w:rsid w:val="000264AC"/>
    <w:rsid w:val="00026AC4"/>
    <w:rsid w:val="00026ACB"/>
    <w:rsid w:val="00026E8D"/>
    <w:rsid w:val="00026EE5"/>
    <w:rsid w:val="00026F35"/>
    <w:rsid w:val="0002741A"/>
    <w:rsid w:val="0002759D"/>
    <w:rsid w:val="0002775B"/>
    <w:rsid w:val="00027B04"/>
    <w:rsid w:val="000302A1"/>
    <w:rsid w:val="000302B6"/>
    <w:rsid w:val="00030753"/>
    <w:rsid w:val="000309D7"/>
    <w:rsid w:val="00030A08"/>
    <w:rsid w:val="00030D58"/>
    <w:rsid w:val="00031F8C"/>
    <w:rsid w:val="00032153"/>
    <w:rsid w:val="00032836"/>
    <w:rsid w:val="00032A38"/>
    <w:rsid w:val="00032B40"/>
    <w:rsid w:val="00032BD5"/>
    <w:rsid w:val="00032D32"/>
    <w:rsid w:val="0003345A"/>
    <w:rsid w:val="000339B9"/>
    <w:rsid w:val="00033A6C"/>
    <w:rsid w:val="00033CD0"/>
    <w:rsid w:val="000341AA"/>
    <w:rsid w:val="00034E11"/>
    <w:rsid w:val="00035214"/>
    <w:rsid w:val="00035372"/>
    <w:rsid w:val="00035384"/>
    <w:rsid w:val="000353A3"/>
    <w:rsid w:val="000356E5"/>
    <w:rsid w:val="0003741E"/>
    <w:rsid w:val="00040553"/>
    <w:rsid w:val="000406D9"/>
    <w:rsid w:val="000409FE"/>
    <w:rsid w:val="00040A09"/>
    <w:rsid w:val="00041122"/>
    <w:rsid w:val="00041354"/>
    <w:rsid w:val="00041490"/>
    <w:rsid w:val="000414F5"/>
    <w:rsid w:val="00041960"/>
    <w:rsid w:val="000421ED"/>
    <w:rsid w:val="000425D2"/>
    <w:rsid w:val="000427D7"/>
    <w:rsid w:val="00042930"/>
    <w:rsid w:val="00042B7C"/>
    <w:rsid w:val="00042BB0"/>
    <w:rsid w:val="0004338B"/>
    <w:rsid w:val="000438FA"/>
    <w:rsid w:val="00043CF1"/>
    <w:rsid w:val="00043D27"/>
    <w:rsid w:val="00043D41"/>
    <w:rsid w:val="00044802"/>
    <w:rsid w:val="00044AF8"/>
    <w:rsid w:val="00044FF2"/>
    <w:rsid w:val="0004535F"/>
    <w:rsid w:val="00045878"/>
    <w:rsid w:val="00045C49"/>
    <w:rsid w:val="00045FAB"/>
    <w:rsid w:val="0004605A"/>
    <w:rsid w:val="00046CCC"/>
    <w:rsid w:val="00047398"/>
    <w:rsid w:val="000474D0"/>
    <w:rsid w:val="000475B8"/>
    <w:rsid w:val="0004772B"/>
    <w:rsid w:val="00047A18"/>
    <w:rsid w:val="00047C40"/>
    <w:rsid w:val="00047F17"/>
    <w:rsid w:val="00050061"/>
    <w:rsid w:val="00050933"/>
    <w:rsid w:val="00050AE0"/>
    <w:rsid w:val="00050BBD"/>
    <w:rsid w:val="00051343"/>
    <w:rsid w:val="00051608"/>
    <w:rsid w:val="000516BA"/>
    <w:rsid w:val="00051EAF"/>
    <w:rsid w:val="00052946"/>
    <w:rsid w:val="000533AF"/>
    <w:rsid w:val="00053584"/>
    <w:rsid w:val="0005385F"/>
    <w:rsid w:val="000540DD"/>
    <w:rsid w:val="00054534"/>
    <w:rsid w:val="000547D7"/>
    <w:rsid w:val="00055242"/>
    <w:rsid w:val="000554A5"/>
    <w:rsid w:val="00055742"/>
    <w:rsid w:val="00055C77"/>
    <w:rsid w:val="00055FE4"/>
    <w:rsid w:val="00056694"/>
    <w:rsid w:val="0005671C"/>
    <w:rsid w:val="00056F03"/>
    <w:rsid w:val="0005748F"/>
    <w:rsid w:val="00057539"/>
    <w:rsid w:val="000578A4"/>
    <w:rsid w:val="00060F0F"/>
    <w:rsid w:val="0006147E"/>
    <w:rsid w:val="00061507"/>
    <w:rsid w:val="00061511"/>
    <w:rsid w:val="00061745"/>
    <w:rsid w:val="000617F7"/>
    <w:rsid w:val="00061CA1"/>
    <w:rsid w:val="00061D37"/>
    <w:rsid w:val="00061EDD"/>
    <w:rsid w:val="00061F43"/>
    <w:rsid w:val="0006213D"/>
    <w:rsid w:val="00062C24"/>
    <w:rsid w:val="00063260"/>
    <w:rsid w:val="000633BB"/>
    <w:rsid w:val="00063BB8"/>
    <w:rsid w:val="00064023"/>
    <w:rsid w:val="000642C0"/>
    <w:rsid w:val="00065E68"/>
    <w:rsid w:val="000660A3"/>
    <w:rsid w:val="000667CB"/>
    <w:rsid w:val="00066E5A"/>
    <w:rsid w:val="00066E66"/>
    <w:rsid w:val="000671ED"/>
    <w:rsid w:val="0006755D"/>
    <w:rsid w:val="000675A4"/>
    <w:rsid w:val="000678DE"/>
    <w:rsid w:val="00067A68"/>
    <w:rsid w:val="00067B39"/>
    <w:rsid w:val="00067C48"/>
    <w:rsid w:val="00067D14"/>
    <w:rsid w:val="00067F3C"/>
    <w:rsid w:val="00070454"/>
    <w:rsid w:val="00070AB6"/>
    <w:rsid w:val="00070B88"/>
    <w:rsid w:val="00070EF7"/>
    <w:rsid w:val="0007154C"/>
    <w:rsid w:val="00071592"/>
    <w:rsid w:val="0007186E"/>
    <w:rsid w:val="00071BBF"/>
    <w:rsid w:val="00071DF9"/>
    <w:rsid w:val="00072510"/>
    <w:rsid w:val="00072539"/>
    <w:rsid w:val="0007339F"/>
    <w:rsid w:val="00073495"/>
    <w:rsid w:val="000738B0"/>
    <w:rsid w:val="00073BD8"/>
    <w:rsid w:val="00075537"/>
    <w:rsid w:val="00075978"/>
    <w:rsid w:val="00076018"/>
    <w:rsid w:val="000768D5"/>
    <w:rsid w:val="000770D9"/>
    <w:rsid w:val="00077211"/>
    <w:rsid w:val="0007729A"/>
    <w:rsid w:val="00077A8A"/>
    <w:rsid w:val="00077ACB"/>
    <w:rsid w:val="00077B34"/>
    <w:rsid w:val="00077DC5"/>
    <w:rsid w:val="00077EA1"/>
    <w:rsid w:val="00077FB0"/>
    <w:rsid w:val="00080558"/>
    <w:rsid w:val="000805C7"/>
    <w:rsid w:val="00080764"/>
    <w:rsid w:val="000807C3"/>
    <w:rsid w:val="000809E1"/>
    <w:rsid w:val="00080AE4"/>
    <w:rsid w:val="00080B4C"/>
    <w:rsid w:val="00080B9B"/>
    <w:rsid w:val="00080BD6"/>
    <w:rsid w:val="00080DBE"/>
    <w:rsid w:val="000813D1"/>
    <w:rsid w:val="000815F2"/>
    <w:rsid w:val="000816CB"/>
    <w:rsid w:val="00081941"/>
    <w:rsid w:val="00081A47"/>
    <w:rsid w:val="00082BBF"/>
    <w:rsid w:val="00082C0E"/>
    <w:rsid w:val="00082C5E"/>
    <w:rsid w:val="00082C93"/>
    <w:rsid w:val="00083179"/>
    <w:rsid w:val="0008416D"/>
    <w:rsid w:val="0008423D"/>
    <w:rsid w:val="000845A5"/>
    <w:rsid w:val="00084650"/>
    <w:rsid w:val="00084B2F"/>
    <w:rsid w:val="00084C0F"/>
    <w:rsid w:val="00084EBD"/>
    <w:rsid w:val="00084F36"/>
    <w:rsid w:val="00085102"/>
    <w:rsid w:val="000858A1"/>
    <w:rsid w:val="000858D7"/>
    <w:rsid w:val="00085989"/>
    <w:rsid w:val="00085AB5"/>
    <w:rsid w:val="00086080"/>
    <w:rsid w:val="0008609C"/>
    <w:rsid w:val="00086CB8"/>
    <w:rsid w:val="000871AE"/>
    <w:rsid w:val="0008720E"/>
    <w:rsid w:val="00087294"/>
    <w:rsid w:val="00087B12"/>
    <w:rsid w:val="0009033E"/>
    <w:rsid w:val="00090385"/>
    <w:rsid w:val="000908AB"/>
    <w:rsid w:val="00090BB0"/>
    <w:rsid w:val="00090BBB"/>
    <w:rsid w:val="00090C68"/>
    <w:rsid w:val="000918CF"/>
    <w:rsid w:val="00091E48"/>
    <w:rsid w:val="00091E7E"/>
    <w:rsid w:val="00091FE5"/>
    <w:rsid w:val="0009213F"/>
    <w:rsid w:val="000921F7"/>
    <w:rsid w:val="0009221E"/>
    <w:rsid w:val="00092A15"/>
    <w:rsid w:val="00092BD6"/>
    <w:rsid w:val="00092FB9"/>
    <w:rsid w:val="0009310D"/>
    <w:rsid w:val="00093C8E"/>
    <w:rsid w:val="00094ABC"/>
    <w:rsid w:val="00094EF0"/>
    <w:rsid w:val="00094F60"/>
    <w:rsid w:val="000952E5"/>
    <w:rsid w:val="00095C92"/>
    <w:rsid w:val="00095F84"/>
    <w:rsid w:val="00096209"/>
    <w:rsid w:val="0009654E"/>
    <w:rsid w:val="000968E7"/>
    <w:rsid w:val="00096CBD"/>
    <w:rsid w:val="00096E78"/>
    <w:rsid w:val="00097015"/>
    <w:rsid w:val="00097104"/>
    <w:rsid w:val="00097914"/>
    <w:rsid w:val="000A0708"/>
    <w:rsid w:val="000A0C1F"/>
    <w:rsid w:val="000A0C46"/>
    <w:rsid w:val="000A0DAB"/>
    <w:rsid w:val="000A11B1"/>
    <w:rsid w:val="000A1271"/>
    <w:rsid w:val="000A13E0"/>
    <w:rsid w:val="000A14D7"/>
    <w:rsid w:val="000A159B"/>
    <w:rsid w:val="000A2295"/>
    <w:rsid w:val="000A26DC"/>
    <w:rsid w:val="000A2BBF"/>
    <w:rsid w:val="000A2DEC"/>
    <w:rsid w:val="000A3158"/>
    <w:rsid w:val="000A32AE"/>
    <w:rsid w:val="000A334D"/>
    <w:rsid w:val="000A33B5"/>
    <w:rsid w:val="000A3AE7"/>
    <w:rsid w:val="000A4E06"/>
    <w:rsid w:val="000A50E1"/>
    <w:rsid w:val="000A5114"/>
    <w:rsid w:val="000A52E2"/>
    <w:rsid w:val="000A54C4"/>
    <w:rsid w:val="000A5787"/>
    <w:rsid w:val="000A6020"/>
    <w:rsid w:val="000A6907"/>
    <w:rsid w:val="000A6A17"/>
    <w:rsid w:val="000A712B"/>
    <w:rsid w:val="000A760D"/>
    <w:rsid w:val="000A767A"/>
    <w:rsid w:val="000A7D0D"/>
    <w:rsid w:val="000B0135"/>
    <w:rsid w:val="000B019C"/>
    <w:rsid w:val="000B0471"/>
    <w:rsid w:val="000B070F"/>
    <w:rsid w:val="000B0D55"/>
    <w:rsid w:val="000B0DD7"/>
    <w:rsid w:val="000B0DDD"/>
    <w:rsid w:val="000B0E88"/>
    <w:rsid w:val="000B0F42"/>
    <w:rsid w:val="000B1076"/>
    <w:rsid w:val="000B165B"/>
    <w:rsid w:val="000B1A46"/>
    <w:rsid w:val="000B1AB8"/>
    <w:rsid w:val="000B1D8D"/>
    <w:rsid w:val="000B1FA2"/>
    <w:rsid w:val="000B205E"/>
    <w:rsid w:val="000B229E"/>
    <w:rsid w:val="000B27E7"/>
    <w:rsid w:val="000B32EE"/>
    <w:rsid w:val="000B357E"/>
    <w:rsid w:val="000B414C"/>
    <w:rsid w:val="000B4357"/>
    <w:rsid w:val="000B452C"/>
    <w:rsid w:val="000B4B25"/>
    <w:rsid w:val="000B4C95"/>
    <w:rsid w:val="000B5284"/>
    <w:rsid w:val="000B5DA5"/>
    <w:rsid w:val="000B66B6"/>
    <w:rsid w:val="000B77E6"/>
    <w:rsid w:val="000B78AF"/>
    <w:rsid w:val="000B7993"/>
    <w:rsid w:val="000B79F5"/>
    <w:rsid w:val="000B7C41"/>
    <w:rsid w:val="000B7FD9"/>
    <w:rsid w:val="000C035D"/>
    <w:rsid w:val="000C075A"/>
    <w:rsid w:val="000C09AF"/>
    <w:rsid w:val="000C09D2"/>
    <w:rsid w:val="000C0A88"/>
    <w:rsid w:val="000C1304"/>
    <w:rsid w:val="000C1587"/>
    <w:rsid w:val="000C275B"/>
    <w:rsid w:val="000C3244"/>
    <w:rsid w:val="000C3479"/>
    <w:rsid w:val="000C3F48"/>
    <w:rsid w:val="000C4253"/>
    <w:rsid w:val="000C4805"/>
    <w:rsid w:val="000C4B89"/>
    <w:rsid w:val="000C4DA8"/>
    <w:rsid w:val="000C4E80"/>
    <w:rsid w:val="000C4EA1"/>
    <w:rsid w:val="000C5083"/>
    <w:rsid w:val="000C50E3"/>
    <w:rsid w:val="000C52D7"/>
    <w:rsid w:val="000C58C1"/>
    <w:rsid w:val="000C5DF5"/>
    <w:rsid w:val="000C5E63"/>
    <w:rsid w:val="000C600E"/>
    <w:rsid w:val="000C6150"/>
    <w:rsid w:val="000C61FB"/>
    <w:rsid w:val="000C6397"/>
    <w:rsid w:val="000C65CD"/>
    <w:rsid w:val="000C7776"/>
    <w:rsid w:val="000D0764"/>
    <w:rsid w:val="000D093F"/>
    <w:rsid w:val="000D097C"/>
    <w:rsid w:val="000D1316"/>
    <w:rsid w:val="000D1875"/>
    <w:rsid w:val="000D18BD"/>
    <w:rsid w:val="000D1D7B"/>
    <w:rsid w:val="000D247A"/>
    <w:rsid w:val="000D26FC"/>
    <w:rsid w:val="000D2A6C"/>
    <w:rsid w:val="000D2AC0"/>
    <w:rsid w:val="000D2F06"/>
    <w:rsid w:val="000D396A"/>
    <w:rsid w:val="000D3BB2"/>
    <w:rsid w:val="000D40CE"/>
    <w:rsid w:val="000D44FA"/>
    <w:rsid w:val="000D476C"/>
    <w:rsid w:val="000D47D0"/>
    <w:rsid w:val="000D4D0D"/>
    <w:rsid w:val="000D4E80"/>
    <w:rsid w:val="000D5453"/>
    <w:rsid w:val="000D576B"/>
    <w:rsid w:val="000D5CC1"/>
    <w:rsid w:val="000D5E44"/>
    <w:rsid w:val="000D5EF1"/>
    <w:rsid w:val="000D64CF"/>
    <w:rsid w:val="000D67B9"/>
    <w:rsid w:val="000D69F7"/>
    <w:rsid w:val="000D6A36"/>
    <w:rsid w:val="000D6E99"/>
    <w:rsid w:val="000D6F1B"/>
    <w:rsid w:val="000D71FF"/>
    <w:rsid w:val="000D788D"/>
    <w:rsid w:val="000D7B03"/>
    <w:rsid w:val="000D7E5C"/>
    <w:rsid w:val="000D7E9D"/>
    <w:rsid w:val="000E026E"/>
    <w:rsid w:val="000E0579"/>
    <w:rsid w:val="000E080F"/>
    <w:rsid w:val="000E0848"/>
    <w:rsid w:val="000E0A74"/>
    <w:rsid w:val="000E0E63"/>
    <w:rsid w:val="000E10AB"/>
    <w:rsid w:val="000E1333"/>
    <w:rsid w:val="000E136D"/>
    <w:rsid w:val="000E13E8"/>
    <w:rsid w:val="000E1912"/>
    <w:rsid w:val="000E1F27"/>
    <w:rsid w:val="000E210E"/>
    <w:rsid w:val="000E228A"/>
    <w:rsid w:val="000E23CA"/>
    <w:rsid w:val="000E2533"/>
    <w:rsid w:val="000E27F3"/>
    <w:rsid w:val="000E2AB1"/>
    <w:rsid w:val="000E3ABC"/>
    <w:rsid w:val="000E43A4"/>
    <w:rsid w:val="000E44A8"/>
    <w:rsid w:val="000E4773"/>
    <w:rsid w:val="000E57BA"/>
    <w:rsid w:val="000E68E4"/>
    <w:rsid w:val="000E7519"/>
    <w:rsid w:val="000E755B"/>
    <w:rsid w:val="000E75B3"/>
    <w:rsid w:val="000E76E0"/>
    <w:rsid w:val="000E7E1E"/>
    <w:rsid w:val="000E7FB3"/>
    <w:rsid w:val="000F0213"/>
    <w:rsid w:val="000F040F"/>
    <w:rsid w:val="000F073F"/>
    <w:rsid w:val="000F07EE"/>
    <w:rsid w:val="000F0B58"/>
    <w:rsid w:val="000F0F2C"/>
    <w:rsid w:val="000F0FA9"/>
    <w:rsid w:val="000F1518"/>
    <w:rsid w:val="000F15A0"/>
    <w:rsid w:val="000F1B1E"/>
    <w:rsid w:val="000F1B37"/>
    <w:rsid w:val="000F21E9"/>
    <w:rsid w:val="000F2239"/>
    <w:rsid w:val="000F22D2"/>
    <w:rsid w:val="000F2B5D"/>
    <w:rsid w:val="000F2C37"/>
    <w:rsid w:val="000F3411"/>
    <w:rsid w:val="000F3540"/>
    <w:rsid w:val="000F37B8"/>
    <w:rsid w:val="000F4075"/>
    <w:rsid w:val="000F42E2"/>
    <w:rsid w:val="000F46A6"/>
    <w:rsid w:val="000F480D"/>
    <w:rsid w:val="000F4D07"/>
    <w:rsid w:val="000F515A"/>
    <w:rsid w:val="000F52C0"/>
    <w:rsid w:val="000F57DD"/>
    <w:rsid w:val="000F6D56"/>
    <w:rsid w:val="000F708B"/>
    <w:rsid w:val="000F7811"/>
    <w:rsid w:val="000F7822"/>
    <w:rsid w:val="000F7A8E"/>
    <w:rsid w:val="000F7D6D"/>
    <w:rsid w:val="000F7FD4"/>
    <w:rsid w:val="00100068"/>
    <w:rsid w:val="0010032E"/>
    <w:rsid w:val="00100D29"/>
    <w:rsid w:val="001021F7"/>
    <w:rsid w:val="00102838"/>
    <w:rsid w:val="00102A85"/>
    <w:rsid w:val="00102B24"/>
    <w:rsid w:val="00102CD3"/>
    <w:rsid w:val="00103012"/>
    <w:rsid w:val="00103172"/>
    <w:rsid w:val="00103325"/>
    <w:rsid w:val="00103762"/>
    <w:rsid w:val="0010377F"/>
    <w:rsid w:val="001038ED"/>
    <w:rsid w:val="001041F1"/>
    <w:rsid w:val="001047A7"/>
    <w:rsid w:val="001049ED"/>
    <w:rsid w:val="001050B7"/>
    <w:rsid w:val="0010518D"/>
    <w:rsid w:val="00105524"/>
    <w:rsid w:val="001057F4"/>
    <w:rsid w:val="00106099"/>
    <w:rsid w:val="00106593"/>
    <w:rsid w:val="00106B95"/>
    <w:rsid w:val="00106DC6"/>
    <w:rsid w:val="0010779B"/>
    <w:rsid w:val="00107845"/>
    <w:rsid w:val="001078F8"/>
    <w:rsid w:val="00107E74"/>
    <w:rsid w:val="0011006C"/>
    <w:rsid w:val="00110184"/>
    <w:rsid w:val="001102CF"/>
    <w:rsid w:val="001103A2"/>
    <w:rsid w:val="001103C7"/>
    <w:rsid w:val="0011053B"/>
    <w:rsid w:val="001115CD"/>
    <w:rsid w:val="00111FE0"/>
    <w:rsid w:val="001120DA"/>
    <w:rsid w:val="001124EA"/>
    <w:rsid w:val="001128C4"/>
    <w:rsid w:val="00112996"/>
    <w:rsid w:val="00113B20"/>
    <w:rsid w:val="00113D8E"/>
    <w:rsid w:val="00113D9D"/>
    <w:rsid w:val="00114160"/>
    <w:rsid w:val="00114218"/>
    <w:rsid w:val="00114282"/>
    <w:rsid w:val="0011439A"/>
    <w:rsid w:val="001144A8"/>
    <w:rsid w:val="00114740"/>
    <w:rsid w:val="00114C3A"/>
    <w:rsid w:val="00114C6A"/>
    <w:rsid w:val="00114FBC"/>
    <w:rsid w:val="0011617E"/>
    <w:rsid w:val="001166AC"/>
    <w:rsid w:val="0011688A"/>
    <w:rsid w:val="001169D6"/>
    <w:rsid w:val="00116DC4"/>
    <w:rsid w:val="00117387"/>
    <w:rsid w:val="0011754B"/>
    <w:rsid w:val="00117FDF"/>
    <w:rsid w:val="00120212"/>
    <w:rsid w:val="00120F40"/>
    <w:rsid w:val="00121016"/>
    <w:rsid w:val="00121031"/>
    <w:rsid w:val="001219B7"/>
    <w:rsid w:val="00121A69"/>
    <w:rsid w:val="00121CC6"/>
    <w:rsid w:val="001222F1"/>
    <w:rsid w:val="00122463"/>
    <w:rsid w:val="00122B7C"/>
    <w:rsid w:val="00122EAE"/>
    <w:rsid w:val="00123263"/>
    <w:rsid w:val="00123319"/>
    <w:rsid w:val="00123666"/>
    <w:rsid w:val="001236D8"/>
    <w:rsid w:val="00123C2B"/>
    <w:rsid w:val="001249E5"/>
    <w:rsid w:val="00124EDB"/>
    <w:rsid w:val="00125171"/>
    <w:rsid w:val="001253B9"/>
    <w:rsid w:val="00125A55"/>
    <w:rsid w:val="00125D02"/>
    <w:rsid w:val="00125E2C"/>
    <w:rsid w:val="00126126"/>
    <w:rsid w:val="001261E6"/>
    <w:rsid w:val="001263E9"/>
    <w:rsid w:val="001263EB"/>
    <w:rsid w:val="0012661F"/>
    <w:rsid w:val="001268DD"/>
    <w:rsid w:val="00126EC3"/>
    <w:rsid w:val="00127108"/>
    <w:rsid w:val="00127F9E"/>
    <w:rsid w:val="00130787"/>
    <w:rsid w:val="00131D48"/>
    <w:rsid w:val="0013230E"/>
    <w:rsid w:val="001325B7"/>
    <w:rsid w:val="00132F4C"/>
    <w:rsid w:val="001334A0"/>
    <w:rsid w:val="0013377E"/>
    <w:rsid w:val="00133BC3"/>
    <w:rsid w:val="00133C37"/>
    <w:rsid w:val="001343DB"/>
    <w:rsid w:val="001345B5"/>
    <w:rsid w:val="001348F8"/>
    <w:rsid w:val="00135780"/>
    <w:rsid w:val="001359ED"/>
    <w:rsid w:val="00135A93"/>
    <w:rsid w:val="00135F16"/>
    <w:rsid w:val="00135FF5"/>
    <w:rsid w:val="00136158"/>
    <w:rsid w:val="001362D1"/>
    <w:rsid w:val="0013633F"/>
    <w:rsid w:val="001370D6"/>
    <w:rsid w:val="00137336"/>
    <w:rsid w:val="001379F9"/>
    <w:rsid w:val="00141902"/>
    <w:rsid w:val="00141B49"/>
    <w:rsid w:val="001422BF"/>
    <w:rsid w:val="0014240B"/>
    <w:rsid w:val="0014290F"/>
    <w:rsid w:val="0014295D"/>
    <w:rsid w:val="00142A1E"/>
    <w:rsid w:val="00142B06"/>
    <w:rsid w:val="00142FB0"/>
    <w:rsid w:val="00142FCB"/>
    <w:rsid w:val="00143E84"/>
    <w:rsid w:val="00144307"/>
    <w:rsid w:val="00144489"/>
    <w:rsid w:val="001447F7"/>
    <w:rsid w:val="001448B3"/>
    <w:rsid w:val="001448B9"/>
    <w:rsid w:val="00144A6C"/>
    <w:rsid w:val="00145446"/>
    <w:rsid w:val="0014671C"/>
    <w:rsid w:val="00146AD8"/>
    <w:rsid w:val="00147B7E"/>
    <w:rsid w:val="00147F09"/>
    <w:rsid w:val="001504DE"/>
    <w:rsid w:val="00150562"/>
    <w:rsid w:val="0015075A"/>
    <w:rsid w:val="00150B93"/>
    <w:rsid w:val="00150CE2"/>
    <w:rsid w:val="00150D0D"/>
    <w:rsid w:val="00150F7F"/>
    <w:rsid w:val="00151A2C"/>
    <w:rsid w:val="00152235"/>
    <w:rsid w:val="0015268F"/>
    <w:rsid w:val="001527EC"/>
    <w:rsid w:val="0015299C"/>
    <w:rsid w:val="001529F5"/>
    <w:rsid w:val="00152C70"/>
    <w:rsid w:val="0015345B"/>
    <w:rsid w:val="00154687"/>
    <w:rsid w:val="00154EBE"/>
    <w:rsid w:val="001550EB"/>
    <w:rsid w:val="001552EC"/>
    <w:rsid w:val="00155AC7"/>
    <w:rsid w:val="00155B13"/>
    <w:rsid w:val="00155E3B"/>
    <w:rsid w:val="00155F64"/>
    <w:rsid w:val="001565C9"/>
    <w:rsid w:val="001567CE"/>
    <w:rsid w:val="00156C58"/>
    <w:rsid w:val="00156CF9"/>
    <w:rsid w:val="00156E9F"/>
    <w:rsid w:val="00157598"/>
    <w:rsid w:val="001578D9"/>
    <w:rsid w:val="0015798C"/>
    <w:rsid w:val="001609E9"/>
    <w:rsid w:val="00160E90"/>
    <w:rsid w:val="00160FED"/>
    <w:rsid w:val="00161285"/>
    <w:rsid w:val="001612E6"/>
    <w:rsid w:val="00161819"/>
    <w:rsid w:val="0016205C"/>
    <w:rsid w:val="00162540"/>
    <w:rsid w:val="00162D6C"/>
    <w:rsid w:val="001632A4"/>
    <w:rsid w:val="0016330A"/>
    <w:rsid w:val="001633CF"/>
    <w:rsid w:val="001635C0"/>
    <w:rsid w:val="00163D4A"/>
    <w:rsid w:val="00163F07"/>
    <w:rsid w:val="0016425B"/>
    <w:rsid w:val="001646B2"/>
    <w:rsid w:val="001646C8"/>
    <w:rsid w:val="00165459"/>
    <w:rsid w:val="001656C7"/>
    <w:rsid w:val="00165D2E"/>
    <w:rsid w:val="00165D35"/>
    <w:rsid w:val="00166E42"/>
    <w:rsid w:val="00167879"/>
    <w:rsid w:val="00167F9F"/>
    <w:rsid w:val="0017017B"/>
    <w:rsid w:val="001701EC"/>
    <w:rsid w:val="001702C8"/>
    <w:rsid w:val="001703EC"/>
    <w:rsid w:val="00170637"/>
    <w:rsid w:val="001711CD"/>
    <w:rsid w:val="001715EC"/>
    <w:rsid w:val="001716D4"/>
    <w:rsid w:val="00171F35"/>
    <w:rsid w:val="001722F6"/>
    <w:rsid w:val="0017236A"/>
    <w:rsid w:val="0017251C"/>
    <w:rsid w:val="001725CE"/>
    <w:rsid w:val="00172675"/>
    <w:rsid w:val="001727FB"/>
    <w:rsid w:val="00173C0D"/>
    <w:rsid w:val="00173E6B"/>
    <w:rsid w:val="00173E71"/>
    <w:rsid w:val="0017473F"/>
    <w:rsid w:val="00174AAB"/>
    <w:rsid w:val="00174E73"/>
    <w:rsid w:val="001750EC"/>
    <w:rsid w:val="001751D0"/>
    <w:rsid w:val="001757B3"/>
    <w:rsid w:val="00175C24"/>
    <w:rsid w:val="00175CC6"/>
    <w:rsid w:val="00176541"/>
    <w:rsid w:val="001765AB"/>
    <w:rsid w:val="00176783"/>
    <w:rsid w:val="0017688C"/>
    <w:rsid w:val="00176D3B"/>
    <w:rsid w:val="00176EB1"/>
    <w:rsid w:val="00180030"/>
    <w:rsid w:val="001807E7"/>
    <w:rsid w:val="00180F87"/>
    <w:rsid w:val="00180FCC"/>
    <w:rsid w:val="0018138E"/>
    <w:rsid w:val="0018146F"/>
    <w:rsid w:val="00181772"/>
    <w:rsid w:val="00181CB3"/>
    <w:rsid w:val="0018290B"/>
    <w:rsid w:val="00182A5B"/>
    <w:rsid w:val="00182BAD"/>
    <w:rsid w:val="00182C20"/>
    <w:rsid w:val="001837F4"/>
    <w:rsid w:val="00183D5B"/>
    <w:rsid w:val="00183D8D"/>
    <w:rsid w:val="0018438F"/>
    <w:rsid w:val="00184494"/>
    <w:rsid w:val="00184825"/>
    <w:rsid w:val="00184945"/>
    <w:rsid w:val="00185011"/>
    <w:rsid w:val="0018538E"/>
    <w:rsid w:val="001858A9"/>
    <w:rsid w:val="00185CAF"/>
    <w:rsid w:val="00186593"/>
    <w:rsid w:val="00186A99"/>
    <w:rsid w:val="00186D6D"/>
    <w:rsid w:val="00186E55"/>
    <w:rsid w:val="001871ED"/>
    <w:rsid w:val="001873AF"/>
    <w:rsid w:val="001873FF"/>
    <w:rsid w:val="0019100D"/>
    <w:rsid w:val="001916E1"/>
    <w:rsid w:val="00191AD6"/>
    <w:rsid w:val="00192603"/>
    <w:rsid w:val="00193998"/>
    <w:rsid w:val="001939D5"/>
    <w:rsid w:val="00193B4F"/>
    <w:rsid w:val="00193D01"/>
    <w:rsid w:val="001943B0"/>
    <w:rsid w:val="00194C68"/>
    <w:rsid w:val="00194DB2"/>
    <w:rsid w:val="00195B25"/>
    <w:rsid w:val="00195CCC"/>
    <w:rsid w:val="00195D19"/>
    <w:rsid w:val="001962AE"/>
    <w:rsid w:val="001962C3"/>
    <w:rsid w:val="00196575"/>
    <w:rsid w:val="00196965"/>
    <w:rsid w:val="00196A3D"/>
    <w:rsid w:val="0019725E"/>
    <w:rsid w:val="0019733E"/>
    <w:rsid w:val="001973B4"/>
    <w:rsid w:val="001975DA"/>
    <w:rsid w:val="001976E6"/>
    <w:rsid w:val="00197859"/>
    <w:rsid w:val="001979EF"/>
    <w:rsid w:val="001A0341"/>
    <w:rsid w:val="001A064F"/>
    <w:rsid w:val="001A0681"/>
    <w:rsid w:val="001A0870"/>
    <w:rsid w:val="001A08DE"/>
    <w:rsid w:val="001A09E4"/>
    <w:rsid w:val="001A1048"/>
    <w:rsid w:val="001A10A6"/>
    <w:rsid w:val="001A14AC"/>
    <w:rsid w:val="001A1656"/>
    <w:rsid w:val="001A18F4"/>
    <w:rsid w:val="001A1C5F"/>
    <w:rsid w:val="001A1ECC"/>
    <w:rsid w:val="001A21DD"/>
    <w:rsid w:val="001A255F"/>
    <w:rsid w:val="001A25B9"/>
    <w:rsid w:val="001A295D"/>
    <w:rsid w:val="001A2C90"/>
    <w:rsid w:val="001A3011"/>
    <w:rsid w:val="001A3594"/>
    <w:rsid w:val="001A4334"/>
    <w:rsid w:val="001A47A5"/>
    <w:rsid w:val="001A4B7A"/>
    <w:rsid w:val="001A5222"/>
    <w:rsid w:val="001A58BC"/>
    <w:rsid w:val="001A5A61"/>
    <w:rsid w:val="001A5CC1"/>
    <w:rsid w:val="001A5EA5"/>
    <w:rsid w:val="001A60C6"/>
    <w:rsid w:val="001A61F8"/>
    <w:rsid w:val="001A6332"/>
    <w:rsid w:val="001A65B5"/>
    <w:rsid w:val="001A6B74"/>
    <w:rsid w:val="001A6C44"/>
    <w:rsid w:val="001A70E1"/>
    <w:rsid w:val="001A77E7"/>
    <w:rsid w:val="001A7CC8"/>
    <w:rsid w:val="001B06F4"/>
    <w:rsid w:val="001B0752"/>
    <w:rsid w:val="001B0CB7"/>
    <w:rsid w:val="001B0D35"/>
    <w:rsid w:val="001B0F69"/>
    <w:rsid w:val="001B1390"/>
    <w:rsid w:val="001B185F"/>
    <w:rsid w:val="001B1BC8"/>
    <w:rsid w:val="001B1FB5"/>
    <w:rsid w:val="001B22C0"/>
    <w:rsid w:val="001B2742"/>
    <w:rsid w:val="001B2B66"/>
    <w:rsid w:val="001B2BDC"/>
    <w:rsid w:val="001B37B5"/>
    <w:rsid w:val="001B4092"/>
    <w:rsid w:val="001B4139"/>
    <w:rsid w:val="001B4220"/>
    <w:rsid w:val="001B490B"/>
    <w:rsid w:val="001B4BB4"/>
    <w:rsid w:val="001B5640"/>
    <w:rsid w:val="001B5643"/>
    <w:rsid w:val="001B596E"/>
    <w:rsid w:val="001B5A26"/>
    <w:rsid w:val="001B5F56"/>
    <w:rsid w:val="001B61BF"/>
    <w:rsid w:val="001B6755"/>
    <w:rsid w:val="001B6C7B"/>
    <w:rsid w:val="001B71C4"/>
    <w:rsid w:val="001B73CE"/>
    <w:rsid w:val="001B7504"/>
    <w:rsid w:val="001B7703"/>
    <w:rsid w:val="001B7726"/>
    <w:rsid w:val="001B774C"/>
    <w:rsid w:val="001B77A3"/>
    <w:rsid w:val="001B77E2"/>
    <w:rsid w:val="001B7A33"/>
    <w:rsid w:val="001B7D1D"/>
    <w:rsid w:val="001C06C8"/>
    <w:rsid w:val="001C119B"/>
    <w:rsid w:val="001C11DC"/>
    <w:rsid w:val="001C142A"/>
    <w:rsid w:val="001C16E5"/>
    <w:rsid w:val="001C1A31"/>
    <w:rsid w:val="001C1FCA"/>
    <w:rsid w:val="001C22DE"/>
    <w:rsid w:val="001C29AB"/>
    <w:rsid w:val="001C2B48"/>
    <w:rsid w:val="001C2C7B"/>
    <w:rsid w:val="001C2FF5"/>
    <w:rsid w:val="001C3313"/>
    <w:rsid w:val="001C34F5"/>
    <w:rsid w:val="001C367E"/>
    <w:rsid w:val="001C3C61"/>
    <w:rsid w:val="001C3D84"/>
    <w:rsid w:val="001C4350"/>
    <w:rsid w:val="001C4B5E"/>
    <w:rsid w:val="001C4BAE"/>
    <w:rsid w:val="001C51BA"/>
    <w:rsid w:val="001C568A"/>
    <w:rsid w:val="001C5788"/>
    <w:rsid w:val="001C5D85"/>
    <w:rsid w:val="001C5F62"/>
    <w:rsid w:val="001C666B"/>
    <w:rsid w:val="001C6875"/>
    <w:rsid w:val="001C68F0"/>
    <w:rsid w:val="001C69C6"/>
    <w:rsid w:val="001C7390"/>
    <w:rsid w:val="001C74FF"/>
    <w:rsid w:val="001D022A"/>
    <w:rsid w:val="001D0B25"/>
    <w:rsid w:val="001D0D2D"/>
    <w:rsid w:val="001D160D"/>
    <w:rsid w:val="001D1946"/>
    <w:rsid w:val="001D2552"/>
    <w:rsid w:val="001D25E5"/>
    <w:rsid w:val="001D2689"/>
    <w:rsid w:val="001D26C7"/>
    <w:rsid w:val="001D30E9"/>
    <w:rsid w:val="001D3702"/>
    <w:rsid w:val="001D3828"/>
    <w:rsid w:val="001D468A"/>
    <w:rsid w:val="001D4774"/>
    <w:rsid w:val="001D4E80"/>
    <w:rsid w:val="001D51A7"/>
    <w:rsid w:val="001D521C"/>
    <w:rsid w:val="001D5307"/>
    <w:rsid w:val="001D5653"/>
    <w:rsid w:val="001D5A6D"/>
    <w:rsid w:val="001D5BF2"/>
    <w:rsid w:val="001D61AD"/>
    <w:rsid w:val="001D66D7"/>
    <w:rsid w:val="001D6709"/>
    <w:rsid w:val="001D674D"/>
    <w:rsid w:val="001D678F"/>
    <w:rsid w:val="001D6BA3"/>
    <w:rsid w:val="001D72D8"/>
    <w:rsid w:val="001D7559"/>
    <w:rsid w:val="001D7FF4"/>
    <w:rsid w:val="001E01E5"/>
    <w:rsid w:val="001E05ED"/>
    <w:rsid w:val="001E0A1D"/>
    <w:rsid w:val="001E10AF"/>
    <w:rsid w:val="001E118F"/>
    <w:rsid w:val="001E1A32"/>
    <w:rsid w:val="001E1DA3"/>
    <w:rsid w:val="001E21D3"/>
    <w:rsid w:val="001E22EE"/>
    <w:rsid w:val="001E26DD"/>
    <w:rsid w:val="001E2E33"/>
    <w:rsid w:val="001E4146"/>
    <w:rsid w:val="001E42F3"/>
    <w:rsid w:val="001E4303"/>
    <w:rsid w:val="001E45CB"/>
    <w:rsid w:val="001E4607"/>
    <w:rsid w:val="001E4C87"/>
    <w:rsid w:val="001E4EF9"/>
    <w:rsid w:val="001E5A28"/>
    <w:rsid w:val="001E5A7B"/>
    <w:rsid w:val="001E5AD6"/>
    <w:rsid w:val="001E5C27"/>
    <w:rsid w:val="001E5DD5"/>
    <w:rsid w:val="001E64FD"/>
    <w:rsid w:val="001E65A6"/>
    <w:rsid w:val="001E68C4"/>
    <w:rsid w:val="001E72C0"/>
    <w:rsid w:val="001E7427"/>
    <w:rsid w:val="001E7431"/>
    <w:rsid w:val="001E758B"/>
    <w:rsid w:val="001E7924"/>
    <w:rsid w:val="001E7C7C"/>
    <w:rsid w:val="001E7DBA"/>
    <w:rsid w:val="001F0046"/>
    <w:rsid w:val="001F0735"/>
    <w:rsid w:val="001F09AF"/>
    <w:rsid w:val="001F09F1"/>
    <w:rsid w:val="001F0BEB"/>
    <w:rsid w:val="001F0DA6"/>
    <w:rsid w:val="001F12ED"/>
    <w:rsid w:val="001F1336"/>
    <w:rsid w:val="001F13BC"/>
    <w:rsid w:val="001F1768"/>
    <w:rsid w:val="001F1A93"/>
    <w:rsid w:val="001F1DD5"/>
    <w:rsid w:val="001F1FF4"/>
    <w:rsid w:val="001F2215"/>
    <w:rsid w:val="001F2630"/>
    <w:rsid w:val="001F2DD2"/>
    <w:rsid w:val="001F2DD8"/>
    <w:rsid w:val="001F31E1"/>
    <w:rsid w:val="001F34E7"/>
    <w:rsid w:val="001F39F7"/>
    <w:rsid w:val="001F47D4"/>
    <w:rsid w:val="001F4E20"/>
    <w:rsid w:val="001F4EAE"/>
    <w:rsid w:val="001F4FFD"/>
    <w:rsid w:val="001F59ED"/>
    <w:rsid w:val="001F5F28"/>
    <w:rsid w:val="001F6264"/>
    <w:rsid w:val="001F65AC"/>
    <w:rsid w:val="001F665A"/>
    <w:rsid w:val="001F6B17"/>
    <w:rsid w:val="001F7505"/>
    <w:rsid w:val="001F7719"/>
    <w:rsid w:val="0020065C"/>
    <w:rsid w:val="002007A2"/>
    <w:rsid w:val="00200BC1"/>
    <w:rsid w:val="00200F22"/>
    <w:rsid w:val="002013CD"/>
    <w:rsid w:val="002018B9"/>
    <w:rsid w:val="002018D2"/>
    <w:rsid w:val="00201994"/>
    <w:rsid w:val="00201E21"/>
    <w:rsid w:val="002022B5"/>
    <w:rsid w:val="002022F1"/>
    <w:rsid w:val="00202566"/>
    <w:rsid w:val="0020267C"/>
    <w:rsid w:val="002030B8"/>
    <w:rsid w:val="00203AA9"/>
    <w:rsid w:val="002041E9"/>
    <w:rsid w:val="00204901"/>
    <w:rsid w:val="00204FB3"/>
    <w:rsid w:val="0020501B"/>
    <w:rsid w:val="0020512D"/>
    <w:rsid w:val="0020520A"/>
    <w:rsid w:val="00205BA0"/>
    <w:rsid w:val="0020619A"/>
    <w:rsid w:val="00206361"/>
    <w:rsid w:val="00206E61"/>
    <w:rsid w:val="002070A4"/>
    <w:rsid w:val="00207468"/>
    <w:rsid w:val="002078CB"/>
    <w:rsid w:val="00207900"/>
    <w:rsid w:val="00207AF1"/>
    <w:rsid w:val="00207C56"/>
    <w:rsid w:val="00210281"/>
    <w:rsid w:val="0021046C"/>
    <w:rsid w:val="0021062A"/>
    <w:rsid w:val="00210BAB"/>
    <w:rsid w:val="00210D96"/>
    <w:rsid w:val="0021159E"/>
    <w:rsid w:val="00211702"/>
    <w:rsid w:val="00211A64"/>
    <w:rsid w:val="00211B25"/>
    <w:rsid w:val="00211B4B"/>
    <w:rsid w:val="00211DDA"/>
    <w:rsid w:val="00211E98"/>
    <w:rsid w:val="0021276E"/>
    <w:rsid w:val="0021288F"/>
    <w:rsid w:val="00212912"/>
    <w:rsid w:val="00212A76"/>
    <w:rsid w:val="00212DF3"/>
    <w:rsid w:val="0021338F"/>
    <w:rsid w:val="00213446"/>
    <w:rsid w:val="00213B5A"/>
    <w:rsid w:val="00213DD5"/>
    <w:rsid w:val="00213F33"/>
    <w:rsid w:val="002146C6"/>
    <w:rsid w:val="002148FB"/>
    <w:rsid w:val="00214A2B"/>
    <w:rsid w:val="00215038"/>
    <w:rsid w:val="002153D1"/>
    <w:rsid w:val="002154F6"/>
    <w:rsid w:val="00216547"/>
    <w:rsid w:val="0021658B"/>
    <w:rsid w:val="002169D6"/>
    <w:rsid w:val="00217944"/>
    <w:rsid w:val="00217AD0"/>
    <w:rsid w:val="00220714"/>
    <w:rsid w:val="00220954"/>
    <w:rsid w:val="00220B7D"/>
    <w:rsid w:val="00220EF7"/>
    <w:rsid w:val="00220FA8"/>
    <w:rsid w:val="002210DD"/>
    <w:rsid w:val="00221109"/>
    <w:rsid w:val="002213CF"/>
    <w:rsid w:val="00221522"/>
    <w:rsid w:val="002216CE"/>
    <w:rsid w:val="0022181E"/>
    <w:rsid w:val="002218C6"/>
    <w:rsid w:val="00221A7F"/>
    <w:rsid w:val="00222230"/>
    <w:rsid w:val="0022257B"/>
    <w:rsid w:val="00222759"/>
    <w:rsid w:val="00222A4E"/>
    <w:rsid w:val="00222B5F"/>
    <w:rsid w:val="00222DAF"/>
    <w:rsid w:val="00222EAB"/>
    <w:rsid w:val="0022393C"/>
    <w:rsid w:val="00223A7F"/>
    <w:rsid w:val="00223B55"/>
    <w:rsid w:val="00223ED8"/>
    <w:rsid w:val="00224370"/>
    <w:rsid w:val="00224396"/>
    <w:rsid w:val="00224CD8"/>
    <w:rsid w:val="00224E04"/>
    <w:rsid w:val="00224F87"/>
    <w:rsid w:val="002250CB"/>
    <w:rsid w:val="00225397"/>
    <w:rsid w:val="00225489"/>
    <w:rsid w:val="0022590C"/>
    <w:rsid w:val="00225940"/>
    <w:rsid w:val="00225DC7"/>
    <w:rsid w:val="002264EA"/>
    <w:rsid w:val="002267DA"/>
    <w:rsid w:val="00227337"/>
    <w:rsid w:val="00227FF9"/>
    <w:rsid w:val="002305B0"/>
    <w:rsid w:val="002309F1"/>
    <w:rsid w:val="00230ADF"/>
    <w:rsid w:val="00230BBB"/>
    <w:rsid w:val="00230F6B"/>
    <w:rsid w:val="00231778"/>
    <w:rsid w:val="00231B4E"/>
    <w:rsid w:val="00231CB0"/>
    <w:rsid w:val="00231D4B"/>
    <w:rsid w:val="002329B7"/>
    <w:rsid w:val="00232D2E"/>
    <w:rsid w:val="00233988"/>
    <w:rsid w:val="00233D4C"/>
    <w:rsid w:val="002340E2"/>
    <w:rsid w:val="00234517"/>
    <w:rsid w:val="00234975"/>
    <w:rsid w:val="00234ACB"/>
    <w:rsid w:val="00235249"/>
    <w:rsid w:val="00235955"/>
    <w:rsid w:val="00235B3A"/>
    <w:rsid w:val="0023633A"/>
    <w:rsid w:val="00236358"/>
    <w:rsid w:val="00236888"/>
    <w:rsid w:val="00236A61"/>
    <w:rsid w:val="00236E62"/>
    <w:rsid w:val="00236EB0"/>
    <w:rsid w:val="0023727F"/>
    <w:rsid w:val="002373A2"/>
    <w:rsid w:val="00237CF1"/>
    <w:rsid w:val="00237D36"/>
    <w:rsid w:val="00240377"/>
    <w:rsid w:val="00240482"/>
    <w:rsid w:val="00240502"/>
    <w:rsid w:val="00240725"/>
    <w:rsid w:val="00240D7A"/>
    <w:rsid w:val="00240D9C"/>
    <w:rsid w:val="00241050"/>
    <w:rsid w:val="002411B5"/>
    <w:rsid w:val="002413E1"/>
    <w:rsid w:val="0024169B"/>
    <w:rsid w:val="0024178B"/>
    <w:rsid w:val="00241997"/>
    <w:rsid w:val="002419B8"/>
    <w:rsid w:val="00241A35"/>
    <w:rsid w:val="00241B03"/>
    <w:rsid w:val="00241B9A"/>
    <w:rsid w:val="00241F19"/>
    <w:rsid w:val="00242247"/>
    <w:rsid w:val="002424A7"/>
    <w:rsid w:val="0024299E"/>
    <w:rsid w:val="00242D0C"/>
    <w:rsid w:val="00243840"/>
    <w:rsid w:val="00243C86"/>
    <w:rsid w:val="00243E5D"/>
    <w:rsid w:val="002446D4"/>
    <w:rsid w:val="002450C2"/>
    <w:rsid w:val="0024533E"/>
    <w:rsid w:val="00245347"/>
    <w:rsid w:val="00245563"/>
    <w:rsid w:val="002459AE"/>
    <w:rsid w:val="00245CFD"/>
    <w:rsid w:val="00245F50"/>
    <w:rsid w:val="002461E9"/>
    <w:rsid w:val="00246515"/>
    <w:rsid w:val="00246695"/>
    <w:rsid w:val="00246855"/>
    <w:rsid w:val="00246C6F"/>
    <w:rsid w:val="00247092"/>
    <w:rsid w:val="0024768C"/>
    <w:rsid w:val="00247F6F"/>
    <w:rsid w:val="00250BDF"/>
    <w:rsid w:val="00250D88"/>
    <w:rsid w:val="00250E97"/>
    <w:rsid w:val="0025136B"/>
    <w:rsid w:val="002517AC"/>
    <w:rsid w:val="002520F3"/>
    <w:rsid w:val="002523E1"/>
    <w:rsid w:val="0025247D"/>
    <w:rsid w:val="00252686"/>
    <w:rsid w:val="0025289C"/>
    <w:rsid w:val="00253189"/>
    <w:rsid w:val="0025389B"/>
    <w:rsid w:val="00253E32"/>
    <w:rsid w:val="0025442D"/>
    <w:rsid w:val="00254499"/>
    <w:rsid w:val="00254544"/>
    <w:rsid w:val="002550D3"/>
    <w:rsid w:val="0025527E"/>
    <w:rsid w:val="002553B1"/>
    <w:rsid w:val="0025557A"/>
    <w:rsid w:val="002558FA"/>
    <w:rsid w:val="00255B3A"/>
    <w:rsid w:val="00255E6E"/>
    <w:rsid w:val="00256286"/>
    <w:rsid w:val="00256328"/>
    <w:rsid w:val="0025632B"/>
    <w:rsid w:val="002567FA"/>
    <w:rsid w:val="00256889"/>
    <w:rsid w:val="00256D90"/>
    <w:rsid w:val="00256E2C"/>
    <w:rsid w:val="00256FEC"/>
    <w:rsid w:val="00257EAC"/>
    <w:rsid w:val="00257FB2"/>
    <w:rsid w:val="002600F1"/>
    <w:rsid w:val="00260145"/>
    <w:rsid w:val="00261164"/>
    <w:rsid w:val="0026128E"/>
    <w:rsid w:val="00261995"/>
    <w:rsid w:val="002621A1"/>
    <w:rsid w:val="002623AF"/>
    <w:rsid w:val="00262B54"/>
    <w:rsid w:val="00262C36"/>
    <w:rsid w:val="00262DAF"/>
    <w:rsid w:val="00263BD0"/>
    <w:rsid w:val="00263E04"/>
    <w:rsid w:val="00264257"/>
    <w:rsid w:val="002645A9"/>
    <w:rsid w:val="00264ED6"/>
    <w:rsid w:val="00265111"/>
    <w:rsid w:val="00265298"/>
    <w:rsid w:val="00265824"/>
    <w:rsid w:val="00265876"/>
    <w:rsid w:val="0026608C"/>
    <w:rsid w:val="002660B2"/>
    <w:rsid w:val="002665F0"/>
    <w:rsid w:val="00266717"/>
    <w:rsid w:val="002667EE"/>
    <w:rsid w:val="0026697F"/>
    <w:rsid w:val="002671B7"/>
    <w:rsid w:val="002673CC"/>
    <w:rsid w:val="002679A7"/>
    <w:rsid w:val="00267B12"/>
    <w:rsid w:val="00267E8D"/>
    <w:rsid w:val="002701B4"/>
    <w:rsid w:val="00270852"/>
    <w:rsid w:val="00270C73"/>
    <w:rsid w:val="00270D9F"/>
    <w:rsid w:val="002714BE"/>
    <w:rsid w:val="00271FC3"/>
    <w:rsid w:val="00272325"/>
    <w:rsid w:val="00272BE9"/>
    <w:rsid w:val="0027313A"/>
    <w:rsid w:val="00273481"/>
    <w:rsid w:val="0027362E"/>
    <w:rsid w:val="0027372A"/>
    <w:rsid w:val="00273C4F"/>
    <w:rsid w:val="00274628"/>
    <w:rsid w:val="00274B46"/>
    <w:rsid w:val="00274BA4"/>
    <w:rsid w:val="00274E88"/>
    <w:rsid w:val="002754F2"/>
    <w:rsid w:val="00275C65"/>
    <w:rsid w:val="0027603D"/>
    <w:rsid w:val="00276983"/>
    <w:rsid w:val="00277029"/>
    <w:rsid w:val="002774A8"/>
    <w:rsid w:val="00277ADE"/>
    <w:rsid w:val="00277CAD"/>
    <w:rsid w:val="00280962"/>
    <w:rsid w:val="00280B5E"/>
    <w:rsid w:val="00280C65"/>
    <w:rsid w:val="00280C73"/>
    <w:rsid w:val="00280CFF"/>
    <w:rsid w:val="00280DE3"/>
    <w:rsid w:val="002810BC"/>
    <w:rsid w:val="002810E9"/>
    <w:rsid w:val="002811C6"/>
    <w:rsid w:val="00281659"/>
    <w:rsid w:val="002816E6"/>
    <w:rsid w:val="00281903"/>
    <w:rsid w:val="00281D67"/>
    <w:rsid w:val="00281DC7"/>
    <w:rsid w:val="00281F59"/>
    <w:rsid w:val="00283234"/>
    <w:rsid w:val="00284652"/>
    <w:rsid w:val="00284695"/>
    <w:rsid w:val="00284903"/>
    <w:rsid w:val="00284AD2"/>
    <w:rsid w:val="00284E50"/>
    <w:rsid w:val="0028564F"/>
    <w:rsid w:val="00285A80"/>
    <w:rsid w:val="00285AAD"/>
    <w:rsid w:val="00285BD9"/>
    <w:rsid w:val="00285CF7"/>
    <w:rsid w:val="00285D13"/>
    <w:rsid w:val="0028649D"/>
    <w:rsid w:val="0028654D"/>
    <w:rsid w:val="00286696"/>
    <w:rsid w:val="00286B3D"/>
    <w:rsid w:val="00286DE8"/>
    <w:rsid w:val="00287E2A"/>
    <w:rsid w:val="002903C9"/>
    <w:rsid w:val="00290BFB"/>
    <w:rsid w:val="00290EE8"/>
    <w:rsid w:val="0029127F"/>
    <w:rsid w:val="00291B18"/>
    <w:rsid w:val="00291B6A"/>
    <w:rsid w:val="00292383"/>
    <w:rsid w:val="00292A55"/>
    <w:rsid w:val="00292B87"/>
    <w:rsid w:val="00292BA4"/>
    <w:rsid w:val="00292CA4"/>
    <w:rsid w:val="0029318A"/>
    <w:rsid w:val="00293B3A"/>
    <w:rsid w:val="00293CF4"/>
    <w:rsid w:val="00293E97"/>
    <w:rsid w:val="00293EC3"/>
    <w:rsid w:val="002940F6"/>
    <w:rsid w:val="002941B8"/>
    <w:rsid w:val="00294F1A"/>
    <w:rsid w:val="00295061"/>
    <w:rsid w:val="00295110"/>
    <w:rsid w:val="002958DE"/>
    <w:rsid w:val="00295914"/>
    <w:rsid w:val="00295C68"/>
    <w:rsid w:val="002960D2"/>
    <w:rsid w:val="002961ED"/>
    <w:rsid w:val="00296372"/>
    <w:rsid w:val="00296924"/>
    <w:rsid w:val="00296A5B"/>
    <w:rsid w:val="00296D03"/>
    <w:rsid w:val="00296FB2"/>
    <w:rsid w:val="002970B0"/>
    <w:rsid w:val="00297D7C"/>
    <w:rsid w:val="00297FE9"/>
    <w:rsid w:val="002A005C"/>
    <w:rsid w:val="002A0347"/>
    <w:rsid w:val="002A0A99"/>
    <w:rsid w:val="002A0AF8"/>
    <w:rsid w:val="002A1139"/>
    <w:rsid w:val="002A113B"/>
    <w:rsid w:val="002A14DD"/>
    <w:rsid w:val="002A1C37"/>
    <w:rsid w:val="002A2296"/>
    <w:rsid w:val="002A24FD"/>
    <w:rsid w:val="002A29BE"/>
    <w:rsid w:val="002A2FFC"/>
    <w:rsid w:val="002A318B"/>
    <w:rsid w:val="002A359D"/>
    <w:rsid w:val="002A36C8"/>
    <w:rsid w:val="002A3A76"/>
    <w:rsid w:val="002A3B4D"/>
    <w:rsid w:val="002A3B9B"/>
    <w:rsid w:val="002A3CE1"/>
    <w:rsid w:val="002A3F8D"/>
    <w:rsid w:val="002A4362"/>
    <w:rsid w:val="002A5A80"/>
    <w:rsid w:val="002A5BD7"/>
    <w:rsid w:val="002A5C19"/>
    <w:rsid w:val="002A61BC"/>
    <w:rsid w:val="002A6527"/>
    <w:rsid w:val="002A66A4"/>
    <w:rsid w:val="002A66DE"/>
    <w:rsid w:val="002A681A"/>
    <w:rsid w:val="002A731B"/>
    <w:rsid w:val="002A7370"/>
    <w:rsid w:val="002A7777"/>
    <w:rsid w:val="002A7C96"/>
    <w:rsid w:val="002A7E08"/>
    <w:rsid w:val="002B00F5"/>
    <w:rsid w:val="002B0411"/>
    <w:rsid w:val="002B1065"/>
    <w:rsid w:val="002B1987"/>
    <w:rsid w:val="002B1B04"/>
    <w:rsid w:val="002B2253"/>
    <w:rsid w:val="002B24B1"/>
    <w:rsid w:val="002B2510"/>
    <w:rsid w:val="002B28A9"/>
    <w:rsid w:val="002B2AC8"/>
    <w:rsid w:val="002B2ED3"/>
    <w:rsid w:val="002B328C"/>
    <w:rsid w:val="002B32BC"/>
    <w:rsid w:val="002B3A49"/>
    <w:rsid w:val="002B4442"/>
    <w:rsid w:val="002B4C24"/>
    <w:rsid w:val="002B55F3"/>
    <w:rsid w:val="002B5637"/>
    <w:rsid w:val="002B5AEB"/>
    <w:rsid w:val="002B5CB1"/>
    <w:rsid w:val="002B6276"/>
    <w:rsid w:val="002B7C11"/>
    <w:rsid w:val="002B7F06"/>
    <w:rsid w:val="002C0BB3"/>
    <w:rsid w:val="002C0F77"/>
    <w:rsid w:val="002C12A8"/>
    <w:rsid w:val="002C1597"/>
    <w:rsid w:val="002C1748"/>
    <w:rsid w:val="002C2308"/>
    <w:rsid w:val="002C2326"/>
    <w:rsid w:val="002C2371"/>
    <w:rsid w:val="002C23B1"/>
    <w:rsid w:val="002C247B"/>
    <w:rsid w:val="002C26FE"/>
    <w:rsid w:val="002C2755"/>
    <w:rsid w:val="002C27B0"/>
    <w:rsid w:val="002C2DAC"/>
    <w:rsid w:val="002C3035"/>
    <w:rsid w:val="002C3235"/>
    <w:rsid w:val="002C3C1D"/>
    <w:rsid w:val="002C44AB"/>
    <w:rsid w:val="002C49AA"/>
    <w:rsid w:val="002C54D4"/>
    <w:rsid w:val="002C56DF"/>
    <w:rsid w:val="002C587E"/>
    <w:rsid w:val="002C5907"/>
    <w:rsid w:val="002C5E39"/>
    <w:rsid w:val="002C5E92"/>
    <w:rsid w:val="002C61B0"/>
    <w:rsid w:val="002C64FA"/>
    <w:rsid w:val="002C6B04"/>
    <w:rsid w:val="002C6F3C"/>
    <w:rsid w:val="002C7872"/>
    <w:rsid w:val="002C7CD3"/>
    <w:rsid w:val="002D0234"/>
    <w:rsid w:val="002D0391"/>
    <w:rsid w:val="002D040B"/>
    <w:rsid w:val="002D0472"/>
    <w:rsid w:val="002D05B5"/>
    <w:rsid w:val="002D0C80"/>
    <w:rsid w:val="002D0D84"/>
    <w:rsid w:val="002D145D"/>
    <w:rsid w:val="002D1BCA"/>
    <w:rsid w:val="002D3451"/>
    <w:rsid w:val="002D36C1"/>
    <w:rsid w:val="002D43A3"/>
    <w:rsid w:val="002D4690"/>
    <w:rsid w:val="002D46E4"/>
    <w:rsid w:val="002D58A9"/>
    <w:rsid w:val="002D5A71"/>
    <w:rsid w:val="002D69F2"/>
    <w:rsid w:val="002D729F"/>
    <w:rsid w:val="002D7950"/>
    <w:rsid w:val="002D797F"/>
    <w:rsid w:val="002D7CD5"/>
    <w:rsid w:val="002E0206"/>
    <w:rsid w:val="002E0480"/>
    <w:rsid w:val="002E081A"/>
    <w:rsid w:val="002E0CB1"/>
    <w:rsid w:val="002E1B03"/>
    <w:rsid w:val="002E1BF6"/>
    <w:rsid w:val="002E227F"/>
    <w:rsid w:val="002E23D4"/>
    <w:rsid w:val="002E2B3F"/>
    <w:rsid w:val="002E2D28"/>
    <w:rsid w:val="002E34EA"/>
    <w:rsid w:val="002E38BC"/>
    <w:rsid w:val="002E3ABA"/>
    <w:rsid w:val="002E3D4A"/>
    <w:rsid w:val="002E3E98"/>
    <w:rsid w:val="002E4AE9"/>
    <w:rsid w:val="002E4AEB"/>
    <w:rsid w:val="002E4E63"/>
    <w:rsid w:val="002E5494"/>
    <w:rsid w:val="002E5C1E"/>
    <w:rsid w:val="002E62C1"/>
    <w:rsid w:val="002E70D7"/>
    <w:rsid w:val="002E72FC"/>
    <w:rsid w:val="002E754A"/>
    <w:rsid w:val="002E763A"/>
    <w:rsid w:val="002E7733"/>
    <w:rsid w:val="002E7BD3"/>
    <w:rsid w:val="002F0058"/>
    <w:rsid w:val="002F06AE"/>
    <w:rsid w:val="002F0B70"/>
    <w:rsid w:val="002F0EDC"/>
    <w:rsid w:val="002F0FA7"/>
    <w:rsid w:val="002F13B7"/>
    <w:rsid w:val="002F1A97"/>
    <w:rsid w:val="002F2376"/>
    <w:rsid w:val="002F27C0"/>
    <w:rsid w:val="002F2887"/>
    <w:rsid w:val="002F29C5"/>
    <w:rsid w:val="002F3205"/>
    <w:rsid w:val="002F339D"/>
    <w:rsid w:val="002F376A"/>
    <w:rsid w:val="002F385E"/>
    <w:rsid w:val="002F4422"/>
    <w:rsid w:val="002F4536"/>
    <w:rsid w:val="002F48B6"/>
    <w:rsid w:val="002F4910"/>
    <w:rsid w:val="002F4E6A"/>
    <w:rsid w:val="002F52E4"/>
    <w:rsid w:val="002F5337"/>
    <w:rsid w:val="002F6139"/>
    <w:rsid w:val="002F645E"/>
    <w:rsid w:val="002F674E"/>
    <w:rsid w:val="002F680E"/>
    <w:rsid w:val="002F6F64"/>
    <w:rsid w:val="002F77CD"/>
    <w:rsid w:val="003002C9"/>
    <w:rsid w:val="003009AE"/>
    <w:rsid w:val="003009AF"/>
    <w:rsid w:val="00300BA7"/>
    <w:rsid w:val="003010DE"/>
    <w:rsid w:val="00301935"/>
    <w:rsid w:val="0030193E"/>
    <w:rsid w:val="00301CB0"/>
    <w:rsid w:val="00301E9C"/>
    <w:rsid w:val="0030216B"/>
    <w:rsid w:val="00302222"/>
    <w:rsid w:val="00302573"/>
    <w:rsid w:val="00302605"/>
    <w:rsid w:val="003029F8"/>
    <w:rsid w:val="00302E3F"/>
    <w:rsid w:val="0030300E"/>
    <w:rsid w:val="003031D7"/>
    <w:rsid w:val="0030325C"/>
    <w:rsid w:val="003033D8"/>
    <w:rsid w:val="00303634"/>
    <w:rsid w:val="00304475"/>
    <w:rsid w:val="00304548"/>
    <w:rsid w:val="00305B49"/>
    <w:rsid w:val="00305B4F"/>
    <w:rsid w:val="0030621F"/>
    <w:rsid w:val="00306495"/>
    <w:rsid w:val="003066EA"/>
    <w:rsid w:val="0030688F"/>
    <w:rsid w:val="0030693A"/>
    <w:rsid w:val="0030713A"/>
    <w:rsid w:val="00307164"/>
    <w:rsid w:val="0030742B"/>
    <w:rsid w:val="0030766A"/>
    <w:rsid w:val="00310513"/>
    <w:rsid w:val="003110DE"/>
    <w:rsid w:val="00311522"/>
    <w:rsid w:val="003116E0"/>
    <w:rsid w:val="00311B48"/>
    <w:rsid w:val="003120AA"/>
    <w:rsid w:val="003120D1"/>
    <w:rsid w:val="00313345"/>
    <w:rsid w:val="0031338D"/>
    <w:rsid w:val="00313C80"/>
    <w:rsid w:val="00313F95"/>
    <w:rsid w:val="0031415F"/>
    <w:rsid w:val="0031416A"/>
    <w:rsid w:val="00314338"/>
    <w:rsid w:val="00314621"/>
    <w:rsid w:val="0031464B"/>
    <w:rsid w:val="00314827"/>
    <w:rsid w:val="003150BA"/>
    <w:rsid w:val="00315246"/>
    <w:rsid w:val="0031585A"/>
    <w:rsid w:val="00315DC8"/>
    <w:rsid w:val="00315F67"/>
    <w:rsid w:val="003165E6"/>
    <w:rsid w:val="003169B9"/>
    <w:rsid w:val="00316A2E"/>
    <w:rsid w:val="00316D29"/>
    <w:rsid w:val="003173BA"/>
    <w:rsid w:val="00317682"/>
    <w:rsid w:val="00317916"/>
    <w:rsid w:val="00317C52"/>
    <w:rsid w:val="00320300"/>
    <w:rsid w:val="003213BD"/>
    <w:rsid w:val="00321887"/>
    <w:rsid w:val="00321C2C"/>
    <w:rsid w:val="00321D13"/>
    <w:rsid w:val="00321DE0"/>
    <w:rsid w:val="003222CC"/>
    <w:rsid w:val="00322383"/>
    <w:rsid w:val="00322656"/>
    <w:rsid w:val="00322804"/>
    <w:rsid w:val="003228FA"/>
    <w:rsid w:val="00322A9E"/>
    <w:rsid w:val="00322D7C"/>
    <w:rsid w:val="00322D82"/>
    <w:rsid w:val="003232A1"/>
    <w:rsid w:val="00323F63"/>
    <w:rsid w:val="00323FA0"/>
    <w:rsid w:val="00324568"/>
    <w:rsid w:val="00324636"/>
    <w:rsid w:val="00324A83"/>
    <w:rsid w:val="00324AFC"/>
    <w:rsid w:val="00325432"/>
    <w:rsid w:val="00326136"/>
    <w:rsid w:val="00326891"/>
    <w:rsid w:val="00326CE1"/>
    <w:rsid w:val="00326D5F"/>
    <w:rsid w:val="00327FBD"/>
    <w:rsid w:val="00331320"/>
    <w:rsid w:val="00331F18"/>
    <w:rsid w:val="0033212E"/>
    <w:rsid w:val="003323BC"/>
    <w:rsid w:val="00332735"/>
    <w:rsid w:val="00332A6A"/>
    <w:rsid w:val="003333A0"/>
    <w:rsid w:val="00333E68"/>
    <w:rsid w:val="0033475A"/>
    <w:rsid w:val="0033476C"/>
    <w:rsid w:val="003347EA"/>
    <w:rsid w:val="00334F06"/>
    <w:rsid w:val="00335332"/>
    <w:rsid w:val="00335C26"/>
    <w:rsid w:val="00335D73"/>
    <w:rsid w:val="0033606F"/>
    <w:rsid w:val="003360C2"/>
    <w:rsid w:val="00336CE8"/>
    <w:rsid w:val="00337192"/>
    <w:rsid w:val="0033795F"/>
    <w:rsid w:val="003379E7"/>
    <w:rsid w:val="00340129"/>
    <w:rsid w:val="00340923"/>
    <w:rsid w:val="0034115C"/>
    <w:rsid w:val="003419FB"/>
    <w:rsid w:val="00341B71"/>
    <w:rsid w:val="00341B82"/>
    <w:rsid w:val="00341C3C"/>
    <w:rsid w:val="00341E40"/>
    <w:rsid w:val="00342479"/>
    <w:rsid w:val="00342EB6"/>
    <w:rsid w:val="00343281"/>
    <w:rsid w:val="003434C4"/>
    <w:rsid w:val="0034350F"/>
    <w:rsid w:val="0034375C"/>
    <w:rsid w:val="00343788"/>
    <w:rsid w:val="003437D7"/>
    <w:rsid w:val="003439D0"/>
    <w:rsid w:val="00343C58"/>
    <w:rsid w:val="00343C98"/>
    <w:rsid w:val="00343E70"/>
    <w:rsid w:val="00343FC5"/>
    <w:rsid w:val="00344341"/>
    <w:rsid w:val="00344529"/>
    <w:rsid w:val="00344752"/>
    <w:rsid w:val="003449EA"/>
    <w:rsid w:val="00345770"/>
    <w:rsid w:val="0034593B"/>
    <w:rsid w:val="00345998"/>
    <w:rsid w:val="003461D6"/>
    <w:rsid w:val="00346BD8"/>
    <w:rsid w:val="00346CE9"/>
    <w:rsid w:val="00346F8C"/>
    <w:rsid w:val="0034700E"/>
    <w:rsid w:val="003471A5"/>
    <w:rsid w:val="00347356"/>
    <w:rsid w:val="00347380"/>
    <w:rsid w:val="003473B1"/>
    <w:rsid w:val="003474B1"/>
    <w:rsid w:val="00347713"/>
    <w:rsid w:val="00347A68"/>
    <w:rsid w:val="00347B12"/>
    <w:rsid w:val="003500A2"/>
    <w:rsid w:val="00350299"/>
    <w:rsid w:val="0035030C"/>
    <w:rsid w:val="0035044C"/>
    <w:rsid w:val="00350701"/>
    <w:rsid w:val="003507EB"/>
    <w:rsid w:val="0035097F"/>
    <w:rsid w:val="003511BE"/>
    <w:rsid w:val="003514DE"/>
    <w:rsid w:val="0035223D"/>
    <w:rsid w:val="0035252B"/>
    <w:rsid w:val="00352893"/>
    <w:rsid w:val="00352BA7"/>
    <w:rsid w:val="00352C41"/>
    <w:rsid w:val="00352E8C"/>
    <w:rsid w:val="003532E0"/>
    <w:rsid w:val="0035346F"/>
    <w:rsid w:val="0035442D"/>
    <w:rsid w:val="00354A58"/>
    <w:rsid w:val="00354AD2"/>
    <w:rsid w:val="00354B19"/>
    <w:rsid w:val="00354E14"/>
    <w:rsid w:val="00354F3B"/>
    <w:rsid w:val="00355260"/>
    <w:rsid w:val="003553D6"/>
    <w:rsid w:val="0035541B"/>
    <w:rsid w:val="003556CC"/>
    <w:rsid w:val="00355842"/>
    <w:rsid w:val="00356166"/>
    <w:rsid w:val="00356411"/>
    <w:rsid w:val="00356649"/>
    <w:rsid w:val="003566DA"/>
    <w:rsid w:val="00356734"/>
    <w:rsid w:val="00356774"/>
    <w:rsid w:val="003567A6"/>
    <w:rsid w:val="00356C94"/>
    <w:rsid w:val="00356D19"/>
    <w:rsid w:val="00357028"/>
    <w:rsid w:val="003575DD"/>
    <w:rsid w:val="00357A9F"/>
    <w:rsid w:val="00357DD6"/>
    <w:rsid w:val="00357F0B"/>
    <w:rsid w:val="0036049F"/>
    <w:rsid w:val="003608D3"/>
    <w:rsid w:val="00360909"/>
    <w:rsid w:val="00360D0D"/>
    <w:rsid w:val="00360D58"/>
    <w:rsid w:val="0036143C"/>
    <w:rsid w:val="0036147E"/>
    <w:rsid w:val="00361BD7"/>
    <w:rsid w:val="00361D34"/>
    <w:rsid w:val="00362608"/>
    <w:rsid w:val="00362984"/>
    <w:rsid w:val="00362A2D"/>
    <w:rsid w:val="00362DE8"/>
    <w:rsid w:val="003631CB"/>
    <w:rsid w:val="00363657"/>
    <w:rsid w:val="00363B6E"/>
    <w:rsid w:val="00363FC7"/>
    <w:rsid w:val="00364451"/>
    <w:rsid w:val="003645E9"/>
    <w:rsid w:val="00364BBF"/>
    <w:rsid w:val="00364C37"/>
    <w:rsid w:val="00364C67"/>
    <w:rsid w:val="00365402"/>
    <w:rsid w:val="00366508"/>
    <w:rsid w:val="00366CEB"/>
    <w:rsid w:val="00367932"/>
    <w:rsid w:val="00367FE4"/>
    <w:rsid w:val="00370011"/>
    <w:rsid w:val="003705EF"/>
    <w:rsid w:val="003708A5"/>
    <w:rsid w:val="00370A81"/>
    <w:rsid w:val="00370E92"/>
    <w:rsid w:val="0037114C"/>
    <w:rsid w:val="00371263"/>
    <w:rsid w:val="00371489"/>
    <w:rsid w:val="003716A5"/>
    <w:rsid w:val="00371AF5"/>
    <w:rsid w:val="00371F50"/>
    <w:rsid w:val="00372000"/>
    <w:rsid w:val="00372403"/>
    <w:rsid w:val="003727A7"/>
    <w:rsid w:val="00372877"/>
    <w:rsid w:val="00372B3E"/>
    <w:rsid w:val="00373802"/>
    <w:rsid w:val="00373878"/>
    <w:rsid w:val="0037387D"/>
    <w:rsid w:val="00373DA4"/>
    <w:rsid w:val="00373F28"/>
    <w:rsid w:val="00374AED"/>
    <w:rsid w:val="00375BB0"/>
    <w:rsid w:val="00375C40"/>
    <w:rsid w:val="00375E7A"/>
    <w:rsid w:val="0037632A"/>
    <w:rsid w:val="00376730"/>
    <w:rsid w:val="0037689B"/>
    <w:rsid w:val="00377F55"/>
    <w:rsid w:val="00380173"/>
    <w:rsid w:val="003802E5"/>
    <w:rsid w:val="00380955"/>
    <w:rsid w:val="00380FF4"/>
    <w:rsid w:val="00381138"/>
    <w:rsid w:val="00381214"/>
    <w:rsid w:val="003812D5"/>
    <w:rsid w:val="003814D9"/>
    <w:rsid w:val="0038181C"/>
    <w:rsid w:val="00381C54"/>
    <w:rsid w:val="00382478"/>
    <w:rsid w:val="00382720"/>
    <w:rsid w:val="00382A4A"/>
    <w:rsid w:val="00382A79"/>
    <w:rsid w:val="0038340B"/>
    <w:rsid w:val="00383770"/>
    <w:rsid w:val="003838CF"/>
    <w:rsid w:val="00383ABC"/>
    <w:rsid w:val="00383AFC"/>
    <w:rsid w:val="0038433B"/>
    <w:rsid w:val="00384546"/>
    <w:rsid w:val="003845AC"/>
    <w:rsid w:val="00384B8C"/>
    <w:rsid w:val="00384BA7"/>
    <w:rsid w:val="00384C10"/>
    <w:rsid w:val="003857BD"/>
    <w:rsid w:val="003857F3"/>
    <w:rsid w:val="003857F4"/>
    <w:rsid w:val="00385DB0"/>
    <w:rsid w:val="003860A0"/>
    <w:rsid w:val="00386379"/>
    <w:rsid w:val="00386844"/>
    <w:rsid w:val="003873C8"/>
    <w:rsid w:val="0038757E"/>
    <w:rsid w:val="00387652"/>
    <w:rsid w:val="00387AB8"/>
    <w:rsid w:val="00387E05"/>
    <w:rsid w:val="00387EC9"/>
    <w:rsid w:val="00387F52"/>
    <w:rsid w:val="003900A9"/>
    <w:rsid w:val="003903A7"/>
    <w:rsid w:val="00390583"/>
    <w:rsid w:val="00390FCC"/>
    <w:rsid w:val="0039110D"/>
    <w:rsid w:val="0039122E"/>
    <w:rsid w:val="0039175E"/>
    <w:rsid w:val="003919F3"/>
    <w:rsid w:val="00391BCA"/>
    <w:rsid w:val="00392465"/>
    <w:rsid w:val="00392D88"/>
    <w:rsid w:val="00393564"/>
    <w:rsid w:val="0039381C"/>
    <w:rsid w:val="003939AC"/>
    <w:rsid w:val="00393AD2"/>
    <w:rsid w:val="00393BB1"/>
    <w:rsid w:val="00393D32"/>
    <w:rsid w:val="003940DB"/>
    <w:rsid w:val="00394132"/>
    <w:rsid w:val="00394206"/>
    <w:rsid w:val="00394641"/>
    <w:rsid w:val="00395263"/>
    <w:rsid w:val="0039595C"/>
    <w:rsid w:val="00395C8B"/>
    <w:rsid w:val="00395FC9"/>
    <w:rsid w:val="003968CA"/>
    <w:rsid w:val="00396A05"/>
    <w:rsid w:val="00396BF7"/>
    <w:rsid w:val="00397B9E"/>
    <w:rsid w:val="00397C0D"/>
    <w:rsid w:val="00397D4F"/>
    <w:rsid w:val="003A1081"/>
    <w:rsid w:val="003A1480"/>
    <w:rsid w:val="003A199B"/>
    <w:rsid w:val="003A1B1B"/>
    <w:rsid w:val="003A1B97"/>
    <w:rsid w:val="003A2305"/>
    <w:rsid w:val="003A279E"/>
    <w:rsid w:val="003A2940"/>
    <w:rsid w:val="003A2F58"/>
    <w:rsid w:val="003A32E6"/>
    <w:rsid w:val="003A3CED"/>
    <w:rsid w:val="003A5154"/>
    <w:rsid w:val="003A517B"/>
    <w:rsid w:val="003A571F"/>
    <w:rsid w:val="003A5929"/>
    <w:rsid w:val="003A5F3B"/>
    <w:rsid w:val="003A65B0"/>
    <w:rsid w:val="003A676D"/>
    <w:rsid w:val="003A6AFD"/>
    <w:rsid w:val="003A6B29"/>
    <w:rsid w:val="003A709F"/>
    <w:rsid w:val="003A7159"/>
    <w:rsid w:val="003A7164"/>
    <w:rsid w:val="003A7194"/>
    <w:rsid w:val="003A71E6"/>
    <w:rsid w:val="003A72B1"/>
    <w:rsid w:val="003A7384"/>
    <w:rsid w:val="003A739A"/>
    <w:rsid w:val="003A757A"/>
    <w:rsid w:val="003A7634"/>
    <w:rsid w:val="003A79A9"/>
    <w:rsid w:val="003A7CCD"/>
    <w:rsid w:val="003B042A"/>
    <w:rsid w:val="003B0457"/>
    <w:rsid w:val="003B0E3C"/>
    <w:rsid w:val="003B151F"/>
    <w:rsid w:val="003B15E5"/>
    <w:rsid w:val="003B19F7"/>
    <w:rsid w:val="003B1A25"/>
    <w:rsid w:val="003B1B68"/>
    <w:rsid w:val="003B2A2B"/>
    <w:rsid w:val="003B2B09"/>
    <w:rsid w:val="003B2BD8"/>
    <w:rsid w:val="003B335E"/>
    <w:rsid w:val="003B35B2"/>
    <w:rsid w:val="003B3A86"/>
    <w:rsid w:val="003B449B"/>
    <w:rsid w:val="003B46F8"/>
    <w:rsid w:val="003B47BE"/>
    <w:rsid w:val="003B47F9"/>
    <w:rsid w:val="003B4B69"/>
    <w:rsid w:val="003B4FC2"/>
    <w:rsid w:val="003B50EF"/>
    <w:rsid w:val="003B5188"/>
    <w:rsid w:val="003B5309"/>
    <w:rsid w:val="003B585B"/>
    <w:rsid w:val="003B5AE1"/>
    <w:rsid w:val="003B5AF5"/>
    <w:rsid w:val="003B5B02"/>
    <w:rsid w:val="003B603B"/>
    <w:rsid w:val="003B619D"/>
    <w:rsid w:val="003B62DB"/>
    <w:rsid w:val="003B6535"/>
    <w:rsid w:val="003B65B8"/>
    <w:rsid w:val="003B68DB"/>
    <w:rsid w:val="003B7172"/>
    <w:rsid w:val="003B7604"/>
    <w:rsid w:val="003B7B14"/>
    <w:rsid w:val="003B7F60"/>
    <w:rsid w:val="003C0372"/>
    <w:rsid w:val="003C088D"/>
    <w:rsid w:val="003C0941"/>
    <w:rsid w:val="003C0B54"/>
    <w:rsid w:val="003C0C8C"/>
    <w:rsid w:val="003C0EBE"/>
    <w:rsid w:val="003C10D7"/>
    <w:rsid w:val="003C11F1"/>
    <w:rsid w:val="003C1825"/>
    <w:rsid w:val="003C1A75"/>
    <w:rsid w:val="003C1D7B"/>
    <w:rsid w:val="003C1FD8"/>
    <w:rsid w:val="003C2268"/>
    <w:rsid w:val="003C25DE"/>
    <w:rsid w:val="003C2689"/>
    <w:rsid w:val="003C2735"/>
    <w:rsid w:val="003C2E5F"/>
    <w:rsid w:val="003C3309"/>
    <w:rsid w:val="003C34F9"/>
    <w:rsid w:val="003C3BC1"/>
    <w:rsid w:val="003C3E38"/>
    <w:rsid w:val="003C402C"/>
    <w:rsid w:val="003C42B3"/>
    <w:rsid w:val="003C4442"/>
    <w:rsid w:val="003C456A"/>
    <w:rsid w:val="003C464A"/>
    <w:rsid w:val="003C53D8"/>
    <w:rsid w:val="003C548C"/>
    <w:rsid w:val="003C5597"/>
    <w:rsid w:val="003C56AB"/>
    <w:rsid w:val="003C56CE"/>
    <w:rsid w:val="003C5A6B"/>
    <w:rsid w:val="003C5B35"/>
    <w:rsid w:val="003C61E0"/>
    <w:rsid w:val="003C62FB"/>
    <w:rsid w:val="003C6320"/>
    <w:rsid w:val="003C6C4A"/>
    <w:rsid w:val="003C6D35"/>
    <w:rsid w:val="003C6D84"/>
    <w:rsid w:val="003C7011"/>
    <w:rsid w:val="003C7131"/>
    <w:rsid w:val="003C7A4F"/>
    <w:rsid w:val="003D002A"/>
    <w:rsid w:val="003D00D8"/>
    <w:rsid w:val="003D03A6"/>
    <w:rsid w:val="003D092C"/>
    <w:rsid w:val="003D0AF8"/>
    <w:rsid w:val="003D0C89"/>
    <w:rsid w:val="003D0CA7"/>
    <w:rsid w:val="003D11D5"/>
    <w:rsid w:val="003D168E"/>
    <w:rsid w:val="003D1751"/>
    <w:rsid w:val="003D19C4"/>
    <w:rsid w:val="003D1A2F"/>
    <w:rsid w:val="003D1A47"/>
    <w:rsid w:val="003D1F96"/>
    <w:rsid w:val="003D212A"/>
    <w:rsid w:val="003D2185"/>
    <w:rsid w:val="003D248A"/>
    <w:rsid w:val="003D2571"/>
    <w:rsid w:val="003D27C3"/>
    <w:rsid w:val="003D2A72"/>
    <w:rsid w:val="003D2D21"/>
    <w:rsid w:val="003D2EBF"/>
    <w:rsid w:val="003D337F"/>
    <w:rsid w:val="003D3647"/>
    <w:rsid w:val="003D3711"/>
    <w:rsid w:val="003D3A3F"/>
    <w:rsid w:val="003D3FDA"/>
    <w:rsid w:val="003D462E"/>
    <w:rsid w:val="003D4717"/>
    <w:rsid w:val="003D4B11"/>
    <w:rsid w:val="003D521D"/>
    <w:rsid w:val="003D52BD"/>
    <w:rsid w:val="003D55B3"/>
    <w:rsid w:val="003D57D5"/>
    <w:rsid w:val="003D5B5B"/>
    <w:rsid w:val="003D5C90"/>
    <w:rsid w:val="003D5CA6"/>
    <w:rsid w:val="003D5F5A"/>
    <w:rsid w:val="003D625F"/>
    <w:rsid w:val="003D6342"/>
    <w:rsid w:val="003D634F"/>
    <w:rsid w:val="003D6532"/>
    <w:rsid w:val="003D6BCE"/>
    <w:rsid w:val="003D70D5"/>
    <w:rsid w:val="003D734B"/>
    <w:rsid w:val="003D75CE"/>
    <w:rsid w:val="003D7622"/>
    <w:rsid w:val="003D79AB"/>
    <w:rsid w:val="003D7B21"/>
    <w:rsid w:val="003E07A0"/>
    <w:rsid w:val="003E08D2"/>
    <w:rsid w:val="003E0B65"/>
    <w:rsid w:val="003E1451"/>
    <w:rsid w:val="003E1815"/>
    <w:rsid w:val="003E1E4F"/>
    <w:rsid w:val="003E1F21"/>
    <w:rsid w:val="003E1F3E"/>
    <w:rsid w:val="003E251F"/>
    <w:rsid w:val="003E4985"/>
    <w:rsid w:val="003E51DA"/>
    <w:rsid w:val="003E522E"/>
    <w:rsid w:val="003E5622"/>
    <w:rsid w:val="003E6095"/>
    <w:rsid w:val="003E6575"/>
    <w:rsid w:val="003E66BC"/>
    <w:rsid w:val="003E6C8C"/>
    <w:rsid w:val="003E6C98"/>
    <w:rsid w:val="003E6D98"/>
    <w:rsid w:val="003E74AB"/>
    <w:rsid w:val="003E782E"/>
    <w:rsid w:val="003F0A03"/>
    <w:rsid w:val="003F0DB5"/>
    <w:rsid w:val="003F0EB3"/>
    <w:rsid w:val="003F1557"/>
    <w:rsid w:val="003F15CA"/>
    <w:rsid w:val="003F162E"/>
    <w:rsid w:val="003F16A0"/>
    <w:rsid w:val="003F1BA1"/>
    <w:rsid w:val="003F1E48"/>
    <w:rsid w:val="003F1F33"/>
    <w:rsid w:val="003F263D"/>
    <w:rsid w:val="003F2681"/>
    <w:rsid w:val="003F27C3"/>
    <w:rsid w:val="003F2CA7"/>
    <w:rsid w:val="003F2D6E"/>
    <w:rsid w:val="003F2FF6"/>
    <w:rsid w:val="003F315F"/>
    <w:rsid w:val="003F3276"/>
    <w:rsid w:val="003F4314"/>
    <w:rsid w:val="003F4492"/>
    <w:rsid w:val="003F480A"/>
    <w:rsid w:val="003F4FDB"/>
    <w:rsid w:val="003F56B3"/>
    <w:rsid w:val="003F5761"/>
    <w:rsid w:val="003F58D8"/>
    <w:rsid w:val="003F5F01"/>
    <w:rsid w:val="003F6066"/>
    <w:rsid w:val="003F65ED"/>
    <w:rsid w:val="003F6672"/>
    <w:rsid w:val="003F69D8"/>
    <w:rsid w:val="003F6CA3"/>
    <w:rsid w:val="003F738E"/>
    <w:rsid w:val="003F778B"/>
    <w:rsid w:val="003F77CB"/>
    <w:rsid w:val="0040011F"/>
    <w:rsid w:val="00400295"/>
    <w:rsid w:val="004006E6"/>
    <w:rsid w:val="00400D7B"/>
    <w:rsid w:val="00401032"/>
    <w:rsid w:val="00401116"/>
    <w:rsid w:val="0040114F"/>
    <w:rsid w:val="004013EE"/>
    <w:rsid w:val="00401A8D"/>
    <w:rsid w:val="00401E30"/>
    <w:rsid w:val="00402348"/>
    <w:rsid w:val="0040235F"/>
    <w:rsid w:val="00402568"/>
    <w:rsid w:val="0040272A"/>
    <w:rsid w:val="004027DF"/>
    <w:rsid w:val="00402A04"/>
    <w:rsid w:val="00403307"/>
    <w:rsid w:val="00403310"/>
    <w:rsid w:val="0040351A"/>
    <w:rsid w:val="00403C2B"/>
    <w:rsid w:val="00403E5A"/>
    <w:rsid w:val="00404096"/>
    <w:rsid w:val="00404764"/>
    <w:rsid w:val="00404A77"/>
    <w:rsid w:val="00404B2C"/>
    <w:rsid w:val="00404D97"/>
    <w:rsid w:val="00404E21"/>
    <w:rsid w:val="0040595C"/>
    <w:rsid w:val="0040595E"/>
    <w:rsid w:val="00405E83"/>
    <w:rsid w:val="00406448"/>
    <w:rsid w:val="00406465"/>
    <w:rsid w:val="004065BA"/>
    <w:rsid w:val="00406951"/>
    <w:rsid w:val="00406F28"/>
    <w:rsid w:val="00407040"/>
    <w:rsid w:val="00407072"/>
    <w:rsid w:val="00407967"/>
    <w:rsid w:val="00407A41"/>
    <w:rsid w:val="00407E92"/>
    <w:rsid w:val="00407F03"/>
    <w:rsid w:val="0041145D"/>
    <w:rsid w:val="00411B58"/>
    <w:rsid w:val="00411D2E"/>
    <w:rsid w:val="0041203B"/>
    <w:rsid w:val="00412408"/>
    <w:rsid w:val="004126C3"/>
    <w:rsid w:val="00412C03"/>
    <w:rsid w:val="00413DA6"/>
    <w:rsid w:val="00413F32"/>
    <w:rsid w:val="00413FC2"/>
    <w:rsid w:val="004144F3"/>
    <w:rsid w:val="0041470C"/>
    <w:rsid w:val="00414A71"/>
    <w:rsid w:val="00414CD1"/>
    <w:rsid w:val="0041561C"/>
    <w:rsid w:val="00415C80"/>
    <w:rsid w:val="00416736"/>
    <w:rsid w:val="00416BB0"/>
    <w:rsid w:val="00416BF6"/>
    <w:rsid w:val="0041724C"/>
    <w:rsid w:val="0041735B"/>
    <w:rsid w:val="00417582"/>
    <w:rsid w:val="0041782A"/>
    <w:rsid w:val="0042011C"/>
    <w:rsid w:val="00420185"/>
    <w:rsid w:val="00420E7A"/>
    <w:rsid w:val="004212C5"/>
    <w:rsid w:val="004214D7"/>
    <w:rsid w:val="0042196F"/>
    <w:rsid w:val="00421998"/>
    <w:rsid w:val="00421A23"/>
    <w:rsid w:val="00421E5F"/>
    <w:rsid w:val="004224F9"/>
    <w:rsid w:val="00422FE3"/>
    <w:rsid w:val="00423521"/>
    <w:rsid w:val="00423967"/>
    <w:rsid w:val="00423C8E"/>
    <w:rsid w:val="00423EB4"/>
    <w:rsid w:val="00424334"/>
    <w:rsid w:val="004247E5"/>
    <w:rsid w:val="004247F9"/>
    <w:rsid w:val="00424886"/>
    <w:rsid w:val="004252FE"/>
    <w:rsid w:val="004254A2"/>
    <w:rsid w:val="00425E68"/>
    <w:rsid w:val="00425F8F"/>
    <w:rsid w:val="00425FC6"/>
    <w:rsid w:val="004260BD"/>
    <w:rsid w:val="00426524"/>
    <w:rsid w:val="0042654D"/>
    <w:rsid w:val="00426981"/>
    <w:rsid w:val="00426B24"/>
    <w:rsid w:val="00426B55"/>
    <w:rsid w:val="00426ED8"/>
    <w:rsid w:val="00426F4D"/>
    <w:rsid w:val="00427065"/>
    <w:rsid w:val="0042749D"/>
    <w:rsid w:val="00427D5E"/>
    <w:rsid w:val="00427DDE"/>
    <w:rsid w:val="0043064D"/>
    <w:rsid w:val="00430867"/>
    <w:rsid w:val="00430943"/>
    <w:rsid w:val="00430AC9"/>
    <w:rsid w:val="00430DED"/>
    <w:rsid w:val="0043107F"/>
    <w:rsid w:val="0043150D"/>
    <w:rsid w:val="00431C74"/>
    <w:rsid w:val="004329E5"/>
    <w:rsid w:val="00432C01"/>
    <w:rsid w:val="00433138"/>
    <w:rsid w:val="004335CA"/>
    <w:rsid w:val="00433D83"/>
    <w:rsid w:val="00434723"/>
    <w:rsid w:val="004348B4"/>
    <w:rsid w:val="00434B88"/>
    <w:rsid w:val="00434C7D"/>
    <w:rsid w:val="00434F90"/>
    <w:rsid w:val="00435077"/>
    <w:rsid w:val="00435A01"/>
    <w:rsid w:val="00435EE2"/>
    <w:rsid w:val="00436028"/>
    <w:rsid w:val="004361A3"/>
    <w:rsid w:val="00436342"/>
    <w:rsid w:val="00436344"/>
    <w:rsid w:val="00436366"/>
    <w:rsid w:val="0043642A"/>
    <w:rsid w:val="004365F2"/>
    <w:rsid w:val="004366F2"/>
    <w:rsid w:val="00436C4E"/>
    <w:rsid w:val="0043708F"/>
    <w:rsid w:val="00437212"/>
    <w:rsid w:val="00437BAB"/>
    <w:rsid w:val="00437EDB"/>
    <w:rsid w:val="00440064"/>
    <w:rsid w:val="004403A1"/>
    <w:rsid w:val="004404A2"/>
    <w:rsid w:val="00440707"/>
    <w:rsid w:val="00440E48"/>
    <w:rsid w:val="004411C4"/>
    <w:rsid w:val="0044152B"/>
    <w:rsid w:val="0044163E"/>
    <w:rsid w:val="00441836"/>
    <w:rsid w:val="004419A3"/>
    <w:rsid w:val="00441B87"/>
    <w:rsid w:val="00442329"/>
    <w:rsid w:val="00442ADB"/>
    <w:rsid w:val="00442E85"/>
    <w:rsid w:val="00443448"/>
    <w:rsid w:val="0044389A"/>
    <w:rsid w:val="00443990"/>
    <w:rsid w:val="00444591"/>
    <w:rsid w:val="00444AFD"/>
    <w:rsid w:val="00444D20"/>
    <w:rsid w:val="00445156"/>
    <w:rsid w:val="0044544B"/>
    <w:rsid w:val="004454B6"/>
    <w:rsid w:val="00445584"/>
    <w:rsid w:val="00445948"/>
    <w:rsid w:val="00445BC4"/>
    <w:rsid w:val="004465D3"/>
    <w:rsid w:val="00446AFD"/>
    <w:rsid w:val="00446C82"/>
    <w:rsid w:val="00446D0E"/>
    <w:rsid w:val="00447885"/>
    <w:rsid w:val="00447C6C"/>
    <w:rsid w:val="0045001E"/>
    <w:rsid w:val="0045102C"/>
    <w:rsid w:val="004510E3"/>
    <w:rsid w:val="004518B9"/>
    <w:rsid w:val="00451DF5"/>
    <w:rsid w:val="0045232B"/>
    <w:rsid w:val="00452368"/>
    <w:rsid w:val="004523CA"/>
    <w:rsid w:val="00452613"/>
    <w:rsid w:val="004528D1"/>
    <w:rsid w:val="00452968"/>
    <w:rsid w:val="00452F29"/>
    <w:rsid w:val="004534D2"/>
    <w:rsid w:val="00453BF5"/>
    <w:rsid w:val="004542D6"/>
    <w:rsid w:val="00454409"/>
    <w:rsid w:val="0045448B"/>
    <w:rsid w:val="0045465F"/>
    <w:rsid w:val="00454E73"/>
    <w:rsid w:val="00454EE3"/>
    <w:rsid w:val="00455618"/>
    <w:rsid w:val="00455967"/>
    <w:rsid w:val="00455B4C"/>
    <w:rsid w:val="00455E99"/>
    <w:rsid w:val="004561A8"/>
    <w:rsid w:val="00456326"/>
    <w:rsid w:val="00456A69"/>
    <w:rsid w:val="00456B14"/>
    <w:rsid w:val="00456C50"/>
    <w:rsid w:val="00457352"/>
    <w:rsid w:val="00457C85"/>
    <w:rsid w:val="00457D1F"/>
    <w:rsid w:val="0046023E"/>
    <w:rsid w:val="004609C7"/>
    <w:rsid w:val="00460AB7"/>
    <w:rsid w:val="00460B5E"/>
    <w:rsid w:val="00460BAA"/>
    <w:rsid w:val="0046120C"/>
    <w:rsid w:val="0046120E"/>
    <w:rsid w:val="0046155C"/>
    <w:rsid w:val="004615F3"/>
    <w:rsid w:val="00461765"/>
    <w:rsid w:val="00462A5C"/>
    <w:rsid w:val="00462C47"/>
    <w:rsid w:val="004632CD"/>
    <w:rsid w:val="004632F2"/>
    <w:rsid w:val="00463318"/>
    <w:rsid w:val="0046331E"/>
    <w:rsid w:val="00463F51"/>
    <w:rsid w:val="0046402A"/>
    <w:rsid w:val="00464CDA"/>
    <w:rsid w:val="00464E7A"/>
    <w:rsid w:val="00464F09"/>
    <w:rsid w:val="0046551E"/>
    <w:rsid w:val="00465686"/>
    <w:rsid w:val="00465982"/>
    <w:rsid w:val="00465E60"/>
    <w:rsid w:val="004662EE"/>
    <w:rsid w:val="004666B9"/>
    <w:rsid w:val="0046698F"/>
    <w:rsid w:val="00466A50"/>
    <w:rsid w:val="00467705"/>
    <w:rsid w:val="0046770E"/>
    <w:rsid w:val="00470172"/>
    <w:rsid w:val="004706C6"/>
    <w:rsid w:val="00470A4B"/>
    <w:rsid w:val="004714EF"/>
    <w:rsid w:val="00471BAD"/>
    <w:rsid w:val="00472883"/>
    <w:rsid w:val="00472A43"/>
    <w:rsid w:val="00472F5B"/>
    <w:rsid w:val="0047323F"/>
    <w:rsid w:val="00473367"/>
    <w:rsid w:val="0047389E"/>
    <w:rsid w:val="00473ADB"/>
    <w:rsid w:val="00473CC6"/>
    <w:rsid w:val="00473DBC"/>
    <w:rsid w:val="00473FA0"/>
    <w:rsid w:val="004745BB"/>
    <w:rsid w:val="0047474A"/>
    <w:rsid w:val="00474984"/>
    <w:rsid w:val="00475044"/>
    <w:rsid w:val="004750A9"/>
    <w:rsid w:val="00475289"/>
    <w:rsid w:val="0047599D"/>
    <w:rsid w:val="00475A8D"/>
    <w:rsid w:val="004769FB"/>
    <w:rsid w:val="00476A39"/>
    <w:rsid w:val="00476D47"/>
    <w:rsid w:val="00476D9F"/>
    <w:rsid w:val="00476FD7"/>
    <w:rsid w:val="00477230"/>
    <w:rsid w:val="004773EB"/>
    <w:rsid w:val="00480009"/>
    <w:rsid w:val="004801C7"/>
    <w:rsid w:val="00480EF5"/>
    <w:rsid w:val="004816AF"/>
    <w:rsid w:val="0048269F"/>
    <w:rsid w:val="004826C0"/>
    <w:rsid w:val="00482723"/>
    <w:rsid w:val="00482A46"/>
    <w:rsid w:val="00482D3A"/>
    <w:rsid w:val="00482E39"/>
    <w:rsid w:val="0048314B"/>
    <w:rsid w:val="00483281"/>
    <w:rsid w:val="00483320"/>
    <w:rsid w:val="00483B4F"/>
    <w:rsid w:val="00483BB8"/>
    <w:rsid w:val="00483BEE"/>
    <w:rsid w:val="00484061"/>
    <w:rsid w:val="00484503"/>
    <w:rsid w:val="0048457A"/>
    <w:rsid w:val="004845C1"/>
    <w:rsid w:val="0048519B"/>
    <w:rsid w:val="004852CD"/>
    <w:rsid w:val="004856F6"/>
    <w:rsid w:val="00485AC8"/>
    <w:rsid w:val="00485DFC"/>
    <w:rsid w:val="004864C4"/>
    <w:rsid w:val="00486520"/>
    <w:rsid w:val="00487682"/>
    <w:rsid w:val="00487D8F"/>
    <w:rsid w:val="00487F1D"/>
    <w:rsid w:val="00487F7C"/>
    <w:rsid w:val="004902DC"/>
    <w:rsid w:val="0049030B"/>
    <w:rsid w:val="004903C6"/>
    <w:rsid w:val="004905EC"/>
    <w:rsid w:val="00490648"/>
    <w:rsid w:val="00490965"/>
    <w:rsid w:val="00490B7E"/>
    <w:rsid w:val="00491586"/>
    <w:rsid w:val="00491A06"/>
    <w:rsid w:val="00491AF9"/>
    <w:rsid w:val="00491D58"/>
    <w:rsid w:val="00491F7E"/>
    <w:rsid w:val="004920D5"/>
    <w:rsid w:val="00492239"/>
    <w:rsid w:val="00492303"/>
    <w:rsid w:val="0049271C"/>
    <w:rsid w:val="00493090"/>
    <w:rsid w:val="004932CF"/>
    <w:rsid w:val="0049355B"/>
    <w:rsid w:val="00494499"/>
    <w:rsid w:val="00494E5D"/>
    <w:rsid w:val="00495295"/>
    <w:rsid w:val="0049595A"/>
    <w:rsid w:val="00495CC3"/>
    <w:rsid w:val="00495CD3"/>
    <w:rsid w:val="00495E50"/>
    <w:rsid w:val="00495E58"/>
    <w:rsid w:val="00495F30"/>
    <w:rsid w:val="00496AC8"/>
    <w:rsid w:val="004971F1"/>
    <w:rsid w:val="0049727E"/>
    <w:rsid w:val="00497311"/>
    <w:rsid w:val="004974F3"/>
    <w:rsid w:val="004975CD"/>
    <w:rsid w:val="00497869"/>
    <w:rsid w:val="0049793F"/>
    <w:rsid w:val="00497B11"/>
    <w:rsid w:val="00497E3F"/>
    <w:rsid w:val="004A03E5"/>
    <w:rsid w:val="004A03F6"/>
    <w:rsid w:val="004A0768"/>
    <w:rsid w:val="004A0B8B"/>
    <w:rsid w:val="004A198E"/>
    <w:rsid w:val="004A1B78"/>
    <w:rsid w:val="004A1BFA"/>
    <w:rsid w:val="004A27F3"/>
    <w:rsid w:val="004A2C82"/>
    <w:rsid w:val="004A327C"/>
    <w:rsid w:val="004A335C"/>
    <w:rsid w:val="004A450D"/>
    <w:rsid w:val="004A4820"/>
    <w:rsid w:val="004A4CF8"/>
    <w:rsid w:val="004A4E69"/>
    <w:rsid w:val="004A573D"/>
    <w:rsid w:val="004A6345"/>
    <w:rsid w:val="004A65F7"/>
    <w:rsid w:val="004A67A4"/>
    <w:rsid w:val="004A73C3"/>
    <w:rsid w:val="004A78B5"/>
    <w:rsid w:val="004A7A22"/>
    <w:rsid w:val="004B019B"/>
    <w:rsid w:val="004B061A"/>
    <w:rsid w:val="004B083F"/>
    <w:rsid w:val="004B0A4A"/>
    <w:rsid w:val="004B0D2D"/>
    <w:rsid w:val="004B10C4"/>
    <w:rsid w:val="004B16A4"/>
    <w:rsid w:val="004B1C3B"/>
    <w:rsid w:val="004B21F2"/>
    <w:rsid w:val="004B22AA"/>
    <w:rsid w:val="004B264F"/>
    <w:rsid w:val="004B2774"/>
    <w:rsid w:val="004B2E55"/>
    <w:rsid w:val="004B317B"/>
    <w:rsid w:val="004B38AB"/>
    <w:rsid w:val="004B38E7"/>
    <w:rsid w:val="004B3A9D"/>
    <w:rsid w:val="004B40C0"/>
    <w:rsid w:val="004B44FA"/>
    <w:rsid w:val="004B463B"/>
    <w:rsid w:val="004B46B9"/>
    <w:rsid w:val="004B485F"/>
    <w:rsid w:val="004B4B94"/>
    <w:rsid w:val="004B4DD2"/>
    <w:rsid w:val="004B5766"/>
    <w:rsid w:val="004B57F2"/>
    <w:rsid w:val="004B5958"/>
    <w:rsid w:val="004B59F5"/>
    <w:rsid w:val="004B5DC4"/>
    <w:rsid w:val="004B6710"/>
    <w:rsid w:val="004B69DD"/>
    <w:rsid w:val="004B74B1"/>
    <w:rsid w:val="004B74B9"/>
    <w:rsid w:val="004B76CC"/>
    <w:rsid w:val="004C059C"/>
    <w:rsid w:val="004C0DC2"/>
    <w:rsid w:val="004C0E06"/>
    <w:rsid w:val="004C10E4"/>
    <w:rsid w:val="004C12B0"/>
    <w:rsid w:val="004C13E5"/>
    <w:rsid w:val="004C1734"/>
    <w:rsid w:val="004C1CA5"/>
    <w:rsid w:val="004C1E22"/>
    <w:rsid w:val="004C2001"/>
    <w:rsid w:val="004C2295"/>
    <w:rsid w:val="004C22C4"/>
    <w:rsid w:val="004C2356"/>
    <w:rsid w:val="004C25C0"/>
    <w:rsid w:val="004C28E9"/>
    <w:rsid w:val="004C3038"/>
    <w:rsid w:val="004C327F"/>
    <w:rsid w:val="004C494B"/>
    <w:rsid w:val="004C4BAD"/>
    <w:rsid w:val="004C5E7D"/>
    <w:rsid w:val="004C615A"/>
    <w:rsid w:val="004C6875"/>
    <w:rsid w:val="004C70D6"/>
    <w:rsid w:val="004C74EF"/>
    <w:rsid w:val="004C7C9C"/>
    <w:rsid w:val="004D0040"/>
    <w:rsid w:val="004D0230"/>
    <w:rsid w:val="004D050E"/>
    <w:rsid w:val="004D0AFE"/>
    <w:rsid w:val="004D0B5D"/>
    <w:rsid w:val="004D0E70"/>
    <w:rsid w:val="004D0E81"/>
    <w:rsid w:val="004D0FF1"/>
    <w:rsid w:val="004D104C"/>
    <w:rsid w:val="004D1179"/>
    <w:rsid w:val="004D1774"/>
    <w:rsid w:val="004D2146"/>
    <w:rsid w:val="004D21EA"/>
    <w:rsid w:val="004D2410"/>
    <w:rsid w:val="004D2B2F"/>
    <w:rsid w:val="004D3651"/>
    <w:rsid w:val="004D43D1"/>
    <w:rsid w:val="004D494C"/>
    <w:rsid w:val="004D58A0"/>
    <w:rsid w:val="004D5C06"/>
    <w:rsid w:val="004D6314"/>
    <w:rsid w:val="004D666E"/>
    <w:rsid w:val="004D681B"/>
    <w:rsid w:val="004D6AD9"/>
    <w:rsid w:val="004D7009"/>
    <w:rsid w:val="004D70B7"/>
    <w:rsid w:val="004D7305"/>
    <w:rsid w:val="004D769B"/>
    <w:rsid w:val="004D7C24"/>
    <w:rsid w:val="004D7E13"/>
    <w:rsid w:val="004E0350"/>
    <w:rsid w:val="004E0578"/>
    <w:rsid w:val="004E0B1D"/>
    <w:rsid w:val="004E0CFA"/>
    <w:rsid w:val="004E0F8A"/>
    <w:rsid w:val="004E1270"/>
    <w:rsid w:val="004E14B1"/>
    <w:rsid w:val="004E15A4"/>
    <w:rsid w:val="004E210E"/>
    <w:rsid w:val="004E243B"/>
    <w:rsid w:val="004E27E7"/>
    <w:rsid w:val="004E3477"/>
    <w:rsid w:val="004E3C78"/>
    <w:rsid w:val="004E41D0"/>
    <w:rsid w:val="004E426F"/>
    <w:rsid w:val="004E49D6"/>
    <w:rsid w:val="004E50AB"/>
    <w:rsid w:val="004E53F4"/>
    <w:rsid w:val="004E5D93"/>
    <w:rsid w:val="004E5F4A"/>
    <w:rsid w:val="004E5FC3"/>
    <w:rsid w:val="004E6341"/>
    <w:rsid w:val="004E6BEF"/>
    <w:rsid w:val="004E6D74"/>
    <w:rsid w:val="004E6E8D"/>
    <w:rsid w:val="004E6F21"/>
    <w:rsid w:val="004E70D0"/>
    <w:rsid w:val="004E729D"/>
    <w:rsid w:val="004E7A98"/>
    <w:rsid w:val="004E7D1C"/>
    <w:rsid w:val="004E7E22"/>
    <w:rsid w:val="004F009A"/>
    <w:rsid w:val="004F00A0"/>
    <w:rsid w:val="004F00A9"/>
    <w:rsid w:val="004F0423"/>
    <w:rsid w:val="004F04BC"/>
    <w:rsid w:val="004F0A44"/>
    <w:rsid w:val="004F1BA1"/>
    <w:rsid w:val="004F1BF5"/>
    <w:rsid w:val="004F1F98"/>
    <w:rsid w:val="004F26F1"/>
    <w:rsid w:val="004F27EC"/>
    <w:rsid w:val="004F2C71"/>
    <w:rsid w:val="004F2CF9"/>
    <w:rsid w:val="004F34F7"/>
    <w:rsid w:val="004F36C7"/>
    <w:rsid w:val="004F3A37"/>
    <w:rsid w:val="004F3D2B"/>
    <w:rsid w:val="004F3DFB"/>
    <w:rsid w:val="004F41A6"/>
    <w:rsid w:val="004F4523"/>
    <w:rsid w:val="004F47D3"/>
    <w:rsid w:val="004F4ABA"/>
    <w:rsid w:val="004F4B5A"/>
    <w:rsid w:val="004F594F"/>
    <w:rsid w:val="004F5F30"/>
    <w:rsid w:val="004F6B69"/>
    <w:rsid w:val="004F6FEC"/>
    <w:rsid w:val="004F746E"/>
    <w:rsid w:val="004F767D"/>
    <w:rsid w:val="004F76BD"/>
    <w:rsid w:val="004F7734"/>
    <w:rsid w:val="004F7DB8"/>
    <w:rsid w:val="005005E7"/>
    <w:rsid w:val="00500850"/>
    <w:rsid w:val="00501168"/>
    <w:rsid w:val="00501403"/>
    <w:rsid w:val="005015F9"/>
    <w:rsid w:val="005016B4"/>
    <w:rsid w:val="00501767"/>
    <w:rsid w:val="00501A1B"/>
    <w:rsid w:val="00501D7A"/>
    <w:rsid w:val="00501E3B"/>
    <w:rsid w:val="00501F6D"/>
    <w:rsid w:val="00501FB4"/>
    <w:rsid w:val="00502346"/>
    <w:rsid w:val="0050237D"/>
    <w:rsid w:val="00502667"/>
    <w:rsid w:val="00503678"/>
    <w:rsid w:val="0050376D"/>
    <w:rsid w:val="00503AEE"/>
    <w:rsid w:val="00503C3D"/>
    <w:rsid w:val="00503E40"/>
    <w:rsid w:val="00503FAF"/>
    <w:rsid w:val="005040FB"/>
    <w:rsid w:val="005042AB"/>
    <w:rsid w:val="00504329"/>
    <w:rsid w:val="00504586"/>
    <w:rsid w:val="0050458E"/>
    <w:rsid w:val="005049C3"/>
    <w:rsid w:val="00504B1F"/>
    <w:rsid w:val="00504F18"/>
    <w:rsid w:val="00505107"/>
    <w:rsid w:val="005057C9"/>
    <w:rsid w:val="00505BD8"/>
    <w:rsid w:val="00505BDA"/>
    <w:rsid w:val="00505DEB"/>
    <w:rsid w:val="005072D8"/>
    <w:rsid w:val="00507441"/>
    <w:rsid w:val="005076A2"/>
    <w:rsid w:val="005106D0"/>
    <w:rsid w:val="00510947"/>
    <w:rsid w:val="005116A7"/>
    <w:rsid w:val="00511D08"/>
    <w:rsid w:val="0051213C"/>
    <w:rsid w:val="0051245D"/>
    <w:rsid w:val="00512688"/>
    <w:rsid w:val="00512C83"/>
    <w:rsid w:val="005138F7"/>
    <w:rsid w:val="00514634"/>
    <w:rsid w:val="005148CB"/>
    <w:rsid w:val="00514ADF"/>
    <w:rsid w:val="00514C33"/>
    <w:rsid w:val="00514C45"/>
    <w:rsid w:val="005150E3"/>
    <w:rsid w:val="00515CD9"/>
    <w:rsid w:val="00515DA2"/>
    <w:rsid w:val="00515E97"/>
    <w:rsid w:val="00516059"/>
    <w:rsid w:val="00516158"/>
    <w:rsid w:val="00516417"/>
    <w:rsid w:val="0051678E"/>
    <w:rsid w:val="00516836"/>
    <w:rsid w:val="005173F3"/>
    <w:rsid w:val="0051774E"/>
    <w:rsid w:val="0051793B"/>
    <w:rsid w:val="00517DE0"/>
    <w:rsid w:val="005204EE"/>
    <w:rsid w:val="0052055F"/>
    <w:rsid w:val="005205E2"/>
    <w:rsid w:val="005206D1"/>
    <w:rsid w:val="00521127"/>
    <w:rsid w:val="005216D0"/>
    <w:rsid w:val="00521A03"/>
    <w:rsid w:val="0052297C"/>
    <w:rsid w:val="005229B7"/>
    <w:rsid w:val="00522BFB"/>
    <w:rsid w:val="00522E7D"/>
    <w:rsid w:val="005233B5"/>
    <w:rsid w:val="00523472"/>
    <w:rsid w:val="0052351B"/>
    <w:rsid w:val="00523D4F"/>
    <w:rsid w:val="00524002"/>
    <w:rsid w:val="005249BC"/>
    <w:rsid w:val="005249D6"/>
    <w:rsid w:val="00524C65"/>
    <w:rsid w:val="00525306"/>
    <w:rsid w:val="00525481"/>
    <w:rsid w:val="00525773"/>
    <w:rsid w:val="00525AEB"/>
    <w:rsid w:val="00525BCC"/>
    <w:rsid w:val="00525CB5"/>
    <w:rsid w:val="00525D90"/>
    <w:rsid w:val="00525E1D"/>
    <w:rsid w:val="00526AD7"/>
    <w:rsid w:val="00526EDF"/>
    <w:rsid w:val="00526FDD"/>
    <w:rsid w:val="0052715F"/>
    <w:rsid w:val="00527163"/>
    <w:rsid w:val="00527BA8"/>
    <w:rsid w:val="00527DEA"/>
    <w:rsid w:val="00530118"/>
    <w:rsid w:val="00530142"/>
    <w:rsid w:val="00530315"/>
    <w:rsid w:val="0053049C"/>
    <w:rsid w:val="00530C21"/>
    <w:rsid w:val="00530E44"/>
    <w:rsid w:val="0053142E"/>
    <w:rsid w:val="00531725"/>
    <w:rsid w:val="00531821"/>
    <w:rsid w:val="00531B9A"/>
    <w:rsid w:val="00531BD6"/>
    <w:rsid w:val="00531DC1"/>
    <w:rsid w:val="0053219D"/>
    <w:rsid w:val="00532468"/>
    <w:rsid w:val="005328A7"/>
    <w:rsid w:val="00532BAE"/>
    <w:rsid w:val="005332DD"/>
    <w:rsid w:val="0053346F"/>
    <w:rsid w:val="00534226"/>
    <w:rsid w:val="005355B0"/>
    <w:rsid w:val="005358F6"/>
    <w:rsid w:val="005364D2"/>
    <w:rsid w:val="00537404"/>
    <w:rsid w:val="0053785D"/>
    <w:rsid w:val="00540A34"/>
    <w:rsid w:val="00541059"/>
    <w:rsid w:val="00541495"/>
    <w:rsid w:val="005416D5"/>
    <w:rsid w:val="0054227B"/>
    <w:rsid w:val="00542753"/>
    <w:rsid w:val="00542898"/>
    <w:rsid w:val="00542931"/>
    <w:rsid w:val="00542A13"/>
    <w:rsid w:val="00542E12"/>
    <w:rsid w:val="00542E2F"/>
    <w:rsid w:val="005433E8"/>
    <w:rsid w:val="005438E9"/>
    <w:rsid w:val="00543D5C"/>
    <w:rsid w:val="00544109"/>
    <w:rsid w:val="00544425"/>
    <w:rsid w:val="00544A08"/>
    <w:rsid w:val="005453FF"/>
    <w:rsid w:val="00545916"/>
    <w:rsid w:val="00546239"/>
    <w:rsid w:val="005464E6"/>
    <w:rsid w:val="0054650C"/>
    <w:rsid w:val="00546846"/>
    <w:rsid w:val="00546862"/>
    <w:rsid w:val="005471A6"/>
    <w:rsid w:val="00547297"/>
    <w:rsid w:val="00547408"/>
    <w:rsid w:val="0055095A"/>
    <w:rsid w:val="005511C3"/>
    <w:rsid w:val="005518C3"/>
    <w:rsid w:val="00551C23"/>
    <w:rsid w:val="00553C96"/>
    <w:rsid w:val="00553CF5"/>
    <w:rsid w:val="00553D1A"/>
    <w:rsid w:val="00553E99"/>
    <w:rsid w:val="0055459D"/>
    <w:rsid w:val="00554883"/>
    <w:rsid w:val="00554A9E"/>
    <w:rsid w:val="00554D0B"/>
    <w:rsid w:val="00554DD9"/>
    <w:rsid w:val="005550F3"/>
    <w:rsid w:val="0055574C"/>
    <w:rsid w:val="00555754"/>
    <w:rsid w:val="00556105"/>
    <w:rsid w:val="005562CB"/>
    <w:rsid w:val="00556F6A"/>
    <w:rsid w:val="005571DF"/>
    <w:rsid w:val="00557404"/>
    <w:rsid w:val="005575FB"/>
    <w:rsid w:val="00557983"/>
    <w:rsid w:val="00557E95"/>
    <w:rsid w:val="00557FAA"/>
    <w:rsid w:val="00560709"/>
    <w:rsid w:val="0056096F"/>
    <w:rsid w:val="00561425"/>
    <w:rsid w:val="0056145F"/>
    <w:rsid w:val="005619AB"/>
    <w:rsid w:val="00561CDE"/>
    <w:rsid w:val="00561DE0"/>
    <w:rsid w:val="00561EEC"/>
    <w:rsid w:val="00562060"/>
    <w:rsid w:val="005620E8"/>
    <w:rsid w:val="00562E5D"/>
    <w:rsid w:val="00562FBB"/>
    <w:rsid w:val="005630B1"/>
    <w:rsid w:val="005630E6"/>
    <w:rsid w:val="005638AF"/>
    <w:rsid w:val="00563975"/>
    <w:rsid w:val="00563CC2"/>
    <w:rsid w:val="00564151"/>
    <w:rsid w:val="005641D8"/>
    <w:rsid w:val="00564969"/>
    <w:rsid w:val="00564B8F"/>
    <w:rsid w:val="00564C23"/>
    <w:rsid w:val="00564F5B"/>
    <w:rsid w:val="005650BD"/>
    <w:rsid w:val="00565F6A"/>
    <w:rsid w:val="005662D8"/>
    <w:rsid w:val="0056638D"/>
    <w:rsid w:val="00566AB0"/>
    <w:rsid w:val="00566AF4"/>
    <w:rsid w:val="00566BD5"/>
    <w:rsid w:val="00566D47"/>
    <w:rsid w:val="00566EDE"/>
    <w:rsid w:val="00567076"/>
    <w:rsid w:val="00567448"/>
    <w:rsid w:val="00567AB2"/>
    <w:rsid w:val="005707B2"/>
    <w:rsid w:val="00570EA3"/>
    <w:rsid w:val="00571093"/>
    <w:rsid w:val="005710A0"/>
    <w:rsid w:val="0057175C"/>
    <w:rsid w:val="00571D1E"/>
    <w:rsid w:val="005723D3"/>
    <w:rsid w:val="00572491"/>
    <w:rsid w:val="00572550"/>
    <w:rsid w:val="005733EC"/>
    <w:rsid w:val="005737B9"/>
    <w:rsid w:val="0057408E"/>
    <w:rsid w:val="00574246"/>
    <w:rsid w:val="0057466F"/>
    <w:rsid w:val="00574FA6"/>
    <w:rsid w:val="00575BD5"/>
    <w:rsid w:val="00575FD1"/>
    <w:rsid w:val="0057609C"/>
    <w:rsid w:val="0057625E"/>
    <w:rsid w:val="005762F0"/>
    <w:rsid w:val="00576375"/>
    <w:rsid w:val="00577398"/>
    <w:rsid w:val="00577615"/>
    <w:rsid w:val="005776F5"/>
    <w:rsid w:val="00577712"/>
    <w:rsid w:val="0057785C"/>
    <w:rsid w:val="0057795A"/>
    <w:rsid w:val="00577F83"/>
    <w:rsid w:val="0058097B"/>
    <w:rsid w:val="00580C5C"/>
    <w:rsid w:val="00580D00"/>
    <w:rsid w:val="00581A7F"/>
    <w:rsid w:val="00581BB9"/>
    <w:rsid w:val="00581CD5"/>
    <w:rsid w:val="00581E1A"/>
    <w:rsid w:val="00582040"/>
    <w:rsid w:val="00582341"/>
    <w:rsid w:val="005827B2"/>
    <w:rsid w:val="00582895"/>
    <w:rsid w:val="00582C27"/>
    <w:rsid w:val="00583A01"/>
    <w:rsid w:val="005842E6"/>
    <w:rsid w:val="00584540"/>
    <w:rsid w:val="005846F6"/>
    <w:rsid w:val="0058475A"/>
    <w:rsid w:val="00584825"/>
    <w:rsid w:val="00584A8E"/>
    <w:rsid w:val="00584B70"/>
    <w:rsid w:val="00584D6E"/>
    <w:rsid w:val="00585443"/>
    <w:rsid w:val="00585A3A"/>
    <w:rsid w:val="00585E4B"/>
    <w:rsid w:val="00586110"/>
    <w:rsid w:val="00586173"/>
    <w:rsid w:val="0058648E"/>
    <w:rsid w:val="00586E2F"/>
    <w:rsid w:val="0058745E"/>
    <w:rsid w:val="005877BF"/>
    <w:rsid w:val="00587E49"/>
    <w:rsid w:val="005900BC"/>
    <w:rsid w:val="005900C0"/>
    <w:rsid w:val="005907F3"/>
    <w:rsid w:val="00590929"/>
    <w:rsid w:val="0059092E"/>
    <w:rsid w:val="00590AEA"/>
    <w:rsid w:val="00590B0D"/>
    <w:rsid w:val="0059113E"/>
    <w:rsid w:val="005914F0"/>
    <w:rsid w:val="0059153B"/>
    <w:rsid w:val="005918B8"/>
    <w:rsid w:val="00591963"/>
    <w:rsid w:val="00592223"/>
    <w:rsid w:val="005922C5"/>
    <w:rsid w:val="005922DA"/>
    <w:rsid w:val="00593017"/>
    <w:rsid w:val="005930CD"/>
    <w:rsid w:val="005937B8"/>
    <w:rsid w:val="00593886"/>
    <w:rsid w:val="0059427C"/>
    <w:rsid w:val="005942BC"/>
    <w:rsid w:val="005946BA"/>
    <w:rsid w:val="00594DB6"/>
    <w:rsid w:val="00594F07"/>
    <w:rsid w:val="00595781"/>
    <w:rsid w:val="00595C69"/>
    <w:rsid w:val="00596817"/>
    <w:rsid w:val="005979E2"/>
    <w:rsid w:val="005A0041"/>
    <w:rsid w:val="005A017A"/>
    <w:rsid w:val="005A05CE"/>
    <w:rsid w:val="005A091E"/>
    <w:rsid w:val="005A1091"/>
    <w:rsid w:val="005A122C"/>
    <w:rsid w:val="005A14E0"/>
    <w:rsid w:val="005A1614"/>
    <w:rsid w:val="005A1622"/>
    <w:rsid w:val="005A196C"/>
    <w:rsid w:val="005A1A38"/>
    <w:rsid w:val="005A1B7C"/>
    <w:rsid w:val="005A2578"/>
    <w:rsid w:val="005A25C8"/>
    <w:rsid w:val="005A26E1"/>
    <w:rsid w:val="005A2B03"/>
    <w:rsid w:val="005A2B04"/>
    <w:rsid w:val="005A2C5C"/>
    <w:rsid w:val="005A38C2"/>
    <w:rsid w:val="005A3CF9"/>
    <w:rsid w:val="005A4243"/>
    <w:rsid w:val="005A46AA"/>
    <w:rsid w:val="005A50CA"/>
    <w:rsid w:val="005A5372"/>
    <w:rsid w:val="005A54A2"/>
    <w:rsid w:val="005A5B96"/>
    <w:rsid w:val="005A60B4"/>
    <w:rsid w:val="005A678A"/>
    <w:rsid w:val="005A6DB4"/>
    <w:rsid w:val="005A6DCB"/>
    <w:rsid w:val="005A6EE3"/>
    <w:rsid w:val="005A7679"/>
    <w:rsid w:val="005A779A"/>
    <w:rsid w:val="005A7AAF"/>
    <w:rsid w:val="005A7E19"/>
    <w:rsid w:val="005B0168"/>
    <w:rsid w:val="005B033A"/>
    <w:rsid w:val="005B1076"/>
    <w:rsid w:val="005B10AA"/>
    <w:rsid w:val="005B12C4"/>
    <w:rsid w:val="005B1640"/>
    <w:rsid w:val="005B1736"/>
    <w:rsid w:val="005B1A2A"/>
    <w:rsid w:val="005B1B5D"/>
    <w:rsid w:val="005B1B5E"/>
    <w:rsid w:val="005B1F19"/>
    <w:rsid w:val="005B20DF"/>
    <w:rsid w:val="005B21FD"/>
    <w:rsid w:val="005B2444"/>
    <w:rsid w:val="005B36EE"/>
    <w:rsid w:val="005B3751"/>
    <w:rsid w:val="005B37A2"/>
    <w:rsid w:val="005B4211"/>
    <w:rsid w:val="005B49B8"/>
    <w:rsid w:val="005B5197"/>
    <w:rsid w:val="005B56E1"/>
    <w:rsid w:val="005B6437"/>
    <w:rsid w:val="005B6A16"/>
    <w:rsid w:val="005B6A49"/>
    <w:rsid w:val="005B6E22"/>
    <w:rsid w:val="005B6FCA"/>
    <w:rsid w:val="005B719B"/>
    <w:rsid w:val="005B7660"/>
    <w:rsid w:val="005B7AB2"/>
    <w:rsid w:val="005B7B13"/>
    <w:rsid w:val="005B7BE5"/>
    <w:rsid w:val="005C040F"/>
    <w:rsid w:val="005C10C1"/>
    <w:rsid w:val="005C1644"/>
    <w:rsid w:val="005C1DD4"/>
    <w:rsid w:val="005C205C"/>
    <w:rsid w:val="005C2241"/>
    <w:rsid w:val="005C22E1"/>
    <w:rsid w:val="005C23A3"/>
    <w:rsid w:val="005C2B86"/>
    <w:rsid w:val="005C2BB8"/>
    <w:rsid w:val="005C2DA9"/>
    <w:rsid w:val="005C2EE7"/>
    <w:rsid w:val="005C32A9"/>
    <w:rsid w:val="005C3341"/>
    <w:rsid w:val="005C3ED2"/>
    <w:rsid w:val="005C4944"/>
    <w:rsid w:val="005C4A1F"/>
    <w:rsid w:val="005C5465"/>
    <w:rsid w:val="005C58F3"/>
    <w:rsid w:val="005C5BB6"/>
    <w:rsid w:val="005C5E38"/>
    <w:rsid w:val="005C5E7D"/>
    <w:rsid w:val="005C6302"/>
    <w:rsid w:val="005C63A0"/>
    <w:rsid w:val="005C6C49"/>
    <w:rsid w:val="005C6C4F"/>
    <w:rsid w:val="005C71F5"/>
    <w:rsid w:val="005C7559"/>
    <w:rsid w:val="005C75E0"/>
    <w:rsid w:val="005C7B23"/>
    <w:rsid w:val="005C7D1F"/>
    <w:rsid w:val="005D0699"/>
    <w:rsid w:val="005D0905"/>
    <w:rsid w:val="005D091D"/>
    <w:rsid w:val="005D15D7"/>
    <w:rsid w:val="005D1DBD"/>
    <w:rsid w:val="005D34B5"/>
    <w:rsid w:val="005D39CB"/>
    <w:rsid w:val="005D3B1D"/>
    <w:rsid w:val="005D3D31"/>
    <w:rsid w:val="005D4A18"/>
    <w:rsid w:val="005D551B"/>
    <w:rsid w:val="005D637D"/>
    <w:rsid w:val="005D663F"/>
    <w:rsid w:val="005D6B60"/>
    <w:rsid w:val="005D6C52"/>
    <w:rsid w:val="005D6C70"/>
    <w:rsid w:val="005D6F7D"/>
    <w:rsid w:val="005D75EF"/>
    <w:rsid w:val="005E029A"/>
    <w:rsid w:val="005E077A"/>
    <w:rsid w:val="005E0A3E"/>
    <w:rsid w:val="005E0BEA"/>
    <w:rsid w:val="005E0C90"/>
    <w:rsid w:val="005E11BA"/>
    <w:rsid w:val="005E2246"/>
    <w:rsid w:val="005E27C7"/>
    <w:rsid w:val="005E2D65"/>
    <w:rsid w:val="005E2F42"/>
    <w:rsid w:val="005E313E"/>
    <w:rsid w:val="005E3178"/>
    <w:rsid w:val="005E3207"/>
    <w:rsid w:val="005E3642"/>
    <w:rsid w:val="005E378D"/>
    <w:rsid w:val="005E383F"/>
    <w:rsid w:val="005E39CD"/>
    <w:rsid w:val="005E3A03"/>
    <w:rsid w:val="005E3DCF"/>
    <w:rsid w:val="005E3FE7"/>
    <w:rsid w:val="005E423B"/>
    <w:rsid w:val="005E465A"/>
    <w:rsid w:val="005E469C"/>
    <w:rsid w:val="005E579D"/>
    <w:rsid w:val="005E63F6"/>
    <w:rsid w:val="005E641D"/>
    <w:rsid w:val="005E70D1"/>
    <w:rsid w:val="005E731D"/>
    <w:rsid w:val="005E798A"/>
    <w:rsid w:val="005F0308"/>
    <w:rsid w:val="005F0578"/>
    <w:rsid w:val="005F07D3"/>
    <w:rsid w:val="005F1299"/>
    <w:rsid w:val="005F1553"/>
    <w:rsid w:val="005F17A3"/>
    <w:rsid w:val="005F1871"/>
    <w:rsid w:val="005F19D8"/>
    <w:rsid w:val="005F1E01"/>
    <w:rsid w:val="005F218B"/>
    <w:rsid w:val="005F2604"/>
    <w:rsid w:val="005F2922"/>
    <w:rsid w:val="005F2EC5"/>
    <w:rsid w:val="005F2F2E"/>
    <w:rsid w:val="005F2FF8"/>
    <w:rsid w:val="005F3212"/>
    <w:rsid w:val="005F36D9"/>
    <w:rsid w:val="005F3D18"/>
    <w:rsid w:val="005F4282"/>
    <w:rsid w:val="005F458D"/>
    <w:rsid w:val="005F4605"/>
    <w:rsid w:val="005F466A"/>
    <w:rsid w:val="005F472B"/>
    <w:rsid w:val="005F476C"/>
    <w:rsid w:val="005F4D2A"/>
    <w:rsid w:val="005F4D36"/>
    <w:rsid w:val="005F59D0"/>
    <w:rsid w:val="005F5B4D"/>
    <w:rsid w:val="005F5C24"/>
    <w:rsid w:val="005F5C6A"/>
    <w:rsid w:val="005F6393"/>
    <w:rsid w:val="005F70E4"/>
    <w:rsid w:val="005F70FC"/>
    <w:rsid w:val="005F725A"/>
    <w:rsid w:val="005F752C"/>
    <w:rsid w:val="005F790C"/>
    <w:rsid w:val="006005B0"/>
    <w:rsid w:val="006005EE"/>
    <w:rsid w:val="00600F50"/>
    <w:rsid w:val="0060103D"/>
    <w:rsid w:val="00601315"/>
    <w:rsid w:val="006013FD"/>
    <w:rsid w:val="00602084"/>
    <w:rsid w:val="00602592"/>
    <w:rsid w:val="006025A0"/>
    <w:rsid w:val="00602642"/>
    <w:rsid w:val="00602707"/>
    <w:rsid w:val="00602B62"/>
    <w:rsid w:val="006034D8"/>
    <w:rsid w:val="00603B5F"/>
    <w:rsid w:val="00603CBE"/>
    <w:rsid w:val="00604030"/>
    <w:rsid w:val="006042D6"/>
    <w:rsid w:val="006045AB"/>
    <w:rsid w:val="00604DD7"/>
    <w:rsid w:val="00604FBF"/>
    <w:rsid w:val="00605CFD"/>
    <w:rsid w:val="00605DA3"/>
    <w:rsid w:val="00606F83"/>
    <w:rsid w:val="00606F86"/>
    <w:rsid w:val="0060714D"/>
    <w:rsid w:val="006075B8"/>
    <w:rsid w:val="00607B57"/>
    <w:rsid w:val="00607CED"/>
    <w:rsid w:val="00607D2F"/>
    <w:rsid w:val="00610772"/>
    <w:rsid w:val="0061097D"/>
    <w:rsid w:val="006115A3"/>
    <w:rsid w:val="00611C0A"/>
    <w:rsid w:val="00611D58"/>
    <w:rsid w:val="00611E1F"/>
    <w:rsid w:val="0061214C"/>
    <w:rsid w:val="006129B7"/>
    <w:rsid w:val="00612A21"/>
    <w:rsid w:val="00612B15"/>
    <w:rsid w:val="00612B3C"/>
    <w:rsid w:val="006134E9"/>
    <w:rsid w:val="00613729"/>
    <w:rsid w:val="006145DB"/>
    <w:rsid w:val="0061473E"/>
    <w:rsid w:val="0061477C"/>
    <w:rsid w:val="00614809"/>
    <w:rsid w:val="00614AE4"/>
    <w:rsid w:val="00614CDD"/>
    <w:rsid w:val="00614CF1"/>
    <w:rsid w:val="00614D2D"/>
    <w:rsid w:val="00615108"/>
    <w:rsid w:val="00615FBA"/>
    <w:rsid w:val="0061621E"/>
    <w:rsid w:val="006162E6"/>
    <w:rsid w:val="00616A13"/>
    <w:rsid w:val="00616F8A"/>
    <w:rsid w:val="0061717A"/>
    <w:rsid w:val="00617651"/>
    <w:rsid w:val="00617EFF"/>
    <w:rsid w:val="00617F5D"/>
    <w:rsid w:val="00617FC9"/>
    <w:rsid w:val="00620097"/>
    <w:rsid w:val="00620122"/>
    <w:rsid w:val="006202F8"/>
    <w:rsid w:val="006205E6"/>
    <w:rsid w:val="00621063"/>
    <w:rsid w:val="00621CE7"/>
    <w:rsid w:val="00622017"/>
    <w:rsid w:val="00622185"/>
    <w:rsid w:val="0062231D"/>
    <w:rsid w:val="00622AE8"/>
    <w:rsid w:val="00622C75"/>
    <w:rsid w:val="00624105"/>
    <w:rsid w:val="0062441A"/>
    <w:rsid w:val="0062479E"/>
    <w:rsid w:val="006249A7"/>
    <w:rsid w:val="006249F8"/>
    <w:rsid w:val="00624C4A"/>
    <w:rsid w:val="00625138"/>
    <w:rsid w:val="006251CD"/>
    <w:rsid w:val="00625E91"/>
    <w:rsid w:val="006260A4"/>
    <w:rsid w:val="006260B7"/>
    <w:rsid w:val="006266DB"/>
    <w:rsid w:val="00626A63"/>
    <w:rsid w:val="00626B55"/>
    <w:rsid w:val="00626DD0"/>
    <w:rsid w:val="00627C1F"/>
    <w:rsid w:val="00627DD5"/>
    <w:rsid w:val="00627EAD"/>
    <w:rsid w:val="00627FDB"/>
    <w:rsid w:val="006303E2"/>
    <w:rsid w:val="006308A3"/>
    <w:rsid w:val="00630E46"/>
    <w:rsid w:val="00630E79"/>
    <w:rsid w:val="006316D4"/>
    <w:rsid w:val="00631824"/>
    <w:rsid w:val="0063198A"/>
    <w:rsid w:val="00631DCC"/>
    <w:rsid w:val="00631E04"/>
    <w:rsid w:val="00632188"/>
    <w:rsid w:val="00632374"/>
    <w:rsid w:val="00632761"/>
    <w:rsid w:val="00632D6D"/>
    <w:rsid w:val="00632DB6"/>
    <w:rsid w:val="0063383D"/>
    <w:rsid w:val="00633DDA"/>
    <w:rsid w:val="00633E0D"/>
    <w:rsid w:val="00633E8A"/>
    <w:rsid w:val="00633E8B"/>
    <w:rsid w:val="006343AC"/>
    <w:rsid w:val="0063446B"/>
    <w:rsid w:val="00634707"/>
    <w:rsid w:val="00634B69"/>
    <w:rsid w:val="0063527E"/>
    <w:rsid w:val="00635423"/>
    <w:rsid w:val="0063554E"/>
    <w:rsid w:val="00635899"/>
    <w:rsid w:val="00635A65"/>
    <w:rsid w:val="00635CD4"/>
    <w:rsid w:val="00636125"/>
    <w:rsid w:val="006362A2"/>
    <w:rsid w:val="00636320"/>
    <w:rsid w:val="006365CF"/>
    <w:rsid w:val="0063670E"/>
    <w:rsid w:val="0063684C"/>
    <w:rsid w:val="00636DF2"/>
    <w:rsid w:val="00636FD0"/>
    <w:rsid w:val="00637073"/>
    <w:rsid w:val="006371D2"/>
    <w:rsid w:val="00637438"/>
    <w:rsid w:val="00637DB8"/>
    <w:rsid w:val="00640718"/>
    <w:rsid w:val="00640765"/>
    <w:rsid w:val="00640849"/>
    <w:rsid w:val="00640888"/>
    <w:rsid w:val="00640D9F"/>
    <w:rsid w:val="00640F03"/>
    <w:rsid w:val="00640F09"/>
    <w:rsid w:val="00640FF7"/>
    <w:rsid w:val="006411F7"/>
    <w:rsid w:val="0064164D"/>
    <w:rsid w:val="00641860"/>
    <w:rsid w:val="00641E7A"/>
    <w:rsid w:val="00641F37"/>
    <w:rsid w:val="0064215F"/>
    <w:rsid w:val="006423BB"/>
    <w:rsid w:val="00642528"/>
    <w:rsid w:val="00642984"/>
    <w:rsid w:val="00642B09"/>
    <w:rsid w:val="006432A3"/>
    <w:rsid w:val="00643642"/>
    <w:rsid w:val="00643792"/>
    <w:rsid w:val="00644C4B"/>
    <w:rsid w:val="0064533B"/>
    <w:rsid w:val="0064581A"/>
    <w:rsid w:val="00645933"/>
    <w:rsid w:val="0064615F"/>
    <w:rsid w:val="00646294"/>
    <w:rsid w:val="006462DE"/>
    <w:rsid w:val="006462FA"/>
    <w:rsid w:val="00646919"/>
    <w:rsid w:val="006470C6"/>
    <w:rsid w:val="006473A0"/>
    <w:rsid w:val="00647F8E"/>
    <w:rsid w:val="006501B4"/>
    <w:rsid w:val="00650C46"/>
    <w:rsid w:val="00650E89"/>
    <w:rsid w:val="00651926"/>
    <w:rsid w:val="006519EF"/>
    <w:rsid w:val="00651C2C"/>
    <w:rsid w:val="00651CA4"/>
    <w:rsid w:val="00651E8F"/>
    <w:rsid w:val="00652057"/>
    <w:rsid w:val="00652652"/>
    <w:rsid w:val="00653485"/>
    <w:rsid w:val="0065362E"/>
    <w:rsid w:val="00653921"/>
    <w:rsid w:val="006543AC"/>
    <w:rsid w:val="0065448D"/>
    <w:rsid w:val="00654939"/>
    <w:rsid w:val="00654DC2"/>
    <w:rsid w:val="00654F65"/>
    <w:rsid w:val="006551FD"/>
    <w:rsid w:val="006553AA"/>
    <w:rsid w:val="006555C7"/>
    <w:rsid w:val="006559D1"/>
    <w:rsid w:val="006562B5"/>
    <w:rsid w:val="00656A85"/>
    <w:rsid w:val="00656B6E"/>
    <w:rsid w:val="00656DD3"/>
    <w:rsid w:val="0065716F"/>
    <w:rsid w:val="006571C2"/>
    <w:rsid w:val="00657239"/>
    <w:rsid w:val="00657AF1"/>
    <w:rsid w:val="00657DFE"/>
    <w:rsid w:val="00660223"/>
    <w:rsid w:val="00660293"/>
    <w:rsid w:val="00660937"/>
    <w:rsid w:val="00660C56"/>
    <w:rsid w:val="00660F72"/>
    <w:rsid w:val="00661027"/>
    <w:rsid w:val="0066149E"/>
    <w:rsid w:val="0066165C"/>
    <w:rsid w:val="00661947"/>
    <w:rsid w:val="00661A8C"/>
    <w:rsid w:val="0066275C"/>
    <w:rsid w:val="00662848"/>
    <w:rsid w:val="00662B59"/>
    <w:rsid w:val="00663235"/>
    <w:rsid w:val="006635BB"/>
    <w:rsid w:val="006638BD"/>
    <w:rsid w:val="006638CC"/>
    <w:rsid w:val="006639C9"/>
    <w:rsid w:val="00663BC8"/>
    <w:rsid w:val="00663C78"/>
    <w:rsid w:val="006641FF"/>
    <w:rsid w:val="006645C2"/>
    <w:rsid w:val="00664727"/>
    <w:rsid w:val="00665025"/>
    <w:rsid w:val="00665797"/>
    <w:rsid w:val="00665A13"/>
    <w:rsid w:val="00666C16"/>
    <w:rsid w:val="00667542"/>
    <w:rsid w:val="006679E5"/>
    <w:rsid w:val="00667E09"/>
    <w:rsid w:val="00670157"/>
    <w:rsid w:val="00670468"/>
    <w:rsid w:val="00670473"/>
    <w:rsid w:val="00670803"/>
    <w:rsid w:val="006709A8"/>
    <w:rsid w:val="00670B64"/>
    <w:rsid w:val="00670C06"/>
    <w:rsid w:val="00670CE6"/>
    <w:rsid w:val="00670D5D"/>
    <w:rsid w:val="00670E56"/>
    <w:rsid w:val="00670EBE"/>
    <w:rsid w:val="00671056"/>
    <w:rsid w:val="0067129A"/>
    <w:rsid w:val="0067146D"/>
    <w:rsid w:val="00671546"/>
    <w:rsid w:val="006716BB"/>
    <w:rsid w:val="00671BCA"/>
    <w:rsid w:val="0067224F"/>
    <w:rsid w:val="00672AE5"/>
    <w:rsid w:val="00672EFD"/>
    <w:rsid w:val="0067336D"/>
    <w:rsid w:val="00673616"/>
    <w:rsid w:val="00673681"/>
    <w:rsid w:val="006739A5"/>
    <w:rsid w:val="00673AAC"/>
    <w:rsid w:val="006745C0"/>
    <w:rsid w:val="00674735"/>
    <w:rsid w:val="006747A5"/>
    <w:rsid w:val="006749A3"/>
    <w:rsid w:val="006753CC"/>
    <w:rsid w:val="00675405"/>
    <w:rsid w:val="00675418"/>
    <w:rsid w:val="00675C02"/>
    <w:rsid w:val="00675DF3"/>
    <w:rsid w:val="006761F2"/>
    <w:rsid w:val="006767EB"/>
    <w:rsid w:val="00676E4D"/>
    <w:rsid w:val="006770C3"/>
    <w:rsid w:val="00677308"/>
    <w:rsid w:val="006775D3"/>
    <w:rsid w:val="0067790B"/>
    <w:rsid w:val="00677D15"/>
    <w:rsid w:val="006801B2"/>
    <w:rsid w:val="0068096A"/>
    <w:rsid w:val="00680EB3"/>
    <w:rsid w:val="00681ACF"/>
    <w:rsid w:val="0068231F"/>
    <w:rsid w:val="006824F1"/>
    <w:rsid w:val="0068261B"/>
    <w:rsid w:val="00682BAE"/>
    <w:rsid w:val="00682BF6"/>
    <w:rsid w:val="00682E85"/>
    <w:rsid w:val="00682FC2"/>
    <w:rsid w:val="006832BB"/>
    <w:rsid w:val="00683C1E"/>
    <w:rsid w:val="00683D78"/>
    <w:rsid w:val="006845DB"/>
    <w:rsid w:val="00684FAE"/>
    <w:rsid w:val="00685291"/>
    <w:rsid w:val="00685609"/>
    <w:rsid w:val="006858ED"/>
    <w:rsid w:val="0068590D"/>
    <w:rsid w:val="00685ADB"/>
    <w:rsid w:val="00685CC7"/>
    <w:rsid w:val="00686331"/>
    <w:rsid w:val="00686496"/>
    <w:rsid w:val="00686AD8"/>
    <w:rsid w:val="00686C59"/>
    <w:rsid w:val="00686D94"/>
    <w:rsid w:val="0068713E"/>
    <w:rsid w:val="0068759A"/>
    <w:rsid w:val="006875C4"/>
    <w:rsid w:val="00687665"/>
    <w:rsid w:val="00687711"/>
    <w:rsid w:val="00687722"/>
    <w:rsid w:val="00687BC2"/>
    <w:rsid w:val="00687C03"/>
    <w:rsid w:val="00687EDC"/>
    <w:rsid w:val="006908F8"/>
    <w:rsid w:val="00690C28"/>
    <w:rsid w:val="0069120F"/>
    <w:rsid w:val="00691393"/>
    <w:rsid w:val="006915F5"/>
    <w:rsid w:val="00691A36"/>
    <w:rsid w:val="00691CFA"/>
    <w:rsid w:val="00691D51"/>
    <w:rsid w:val="00691D72"/>
    <w:rsid w:val="00691DC8"/>
    <w:rsid w:val="00691F22"/>
    <w:rsid w:val="0069223D"/>
    <w:rsid w:val="006923C6"/>
    <w:rsid w:val="006924D7"/>
    <w:rsid w:val="00692588"/>
    <w:rsid w:val="00692725"/>
    <w:rsid w:val="00692AC1"/>
    <w:rsid w:val="00692CD9"/>
    <w:rsid w:val="00693223"/>
    <w:rsid w:val="00693258"/>
    <w:rsid w:val="006933C9"/>
    <w:rsid w:val="006937E0"/>
    <w:rsid w:val="00693D98"/>
    <w:rsid w:val="00693FCD"/>
    <w:rsid w:val="00694793"/>
    <w:rsid w:val="00694B8F"/>
    <w:rsid w:val="00694C4E"/>
    <w:rsid w:val="0069507F"/>
    <w:rsid w:val="00695A9E"/>
    <w:rsid w:val="00695BE0"/>
    <w:rsid w:val="00695D1A"/>
    <w:rsid w:val="00695F3E"/>
    <w:rsid w:val="00695F7B"/>
    <w:rsid w:val="006960E3"/>
    <w:rsid w:val="00696136"/>
    <w:rsid w:val="006964EA"/>
    <w:rsid w:val="00696633"/>
    <w:rsid w:val="00696A93"/>
    <w:rsid w:val="00696B60"/>
    <w:rsid w:val="00697057"/>
    <w:rsid w:val="00697081"/>
    <w:rsid w:val="00697533"/>
    <w:rsid w:val="00697729"/>
    <w:rsid w:val="00697A14"/>
    <w:rsid w:val="00697DA3"/>
    <w:rsid w:val="006A05FB"/>
    <w:rsid w:val="006A0896"/>
    <w:rsid w:val="006A0B2C"/>
    <w:rsid w:val="006A0D13"/>
    <w:rsid w:val="006A0FBC"/>
    <w:rsid w:val="006A1C7D"/>
    <w:rsid w:val="006A1C9F"/>
    <w:rsid w:val="006A1CF2"/>
    <w:rsid w:val="006A2EF3"/>
    <w:rsid w:val="006A36D7"/>
    <w:rsid w:val="006A39DC"/>
    <w:rsid w:val="006A3ACE"/>
    <w:rsid w:val="006A4111"/>
    <w:rsid w:val="006A4202"/>
    <w:rsid w:val="006A4418"/>
    <w:rsid w:val="006A44A0"/>
    <w:rsid w:val="006A4765"/>
    <w:rsid w:val="006A4788"/>
    <w:rsid w:val="006A4C60"/>
    <w:rsid w:val="006A527D"/>
    <w:rsid w:val="006A5E53"/>
    <w:rsid w:val="006A5EBF"/>
    <w:rsid w:val="006A66EC"/>
    <w:rsid w:val="006A69D9"/>
    <w:rsid w:val="006A6BCA"/>
    <w:rsid w:val="006A6C65"/>
    <w:rsid w:val="006A7002"/>
    <w:rsid w:val="006A716F"/>
    <w:rsid w:val="006A7A46"/>
    <w:rsid w:val="006A7BAD"/>
    <w:rsid w:val="006A7D88"/>
    <w:rsid w:val="006B04DB"/>
    <w:rsid w:val="006B0605"/>
    <w:rsid w:val="006B0F9F"/>
    <w:rsid w:val="006B11BF"/>
    <w:rsid w:val="006B1261"/>
    <w:rsid w:val="006B131D"/>
    <w:rsid w:val="006B181F"/>
    <w:rsid w:val="006B1900"/>
    <w:rsid w:val="006B1BA3"/>
    <w:rsid w:val="006B1DCD"/>
    <w:rsid w:val="006B23C8"/>
    <w:rsid w:val="006B2519"/>
    <w:rsid w:val="006B2BC5"/>
    <w:rsid w:val="006B2F15"/>
    <w:rsid w:val="006B3192"/>
    <w:rsid w:val="006B33A8"/>
    <w:rsid w:val="006B33AD"/>
    <w:rsid w:val="006B35D5"/>
    <w:rsid w:val="006B389D"/>
    <w:rsid w:val="006B3E3D"/>
    <w:rsid w:val="006B409F"/>
    <w:rsid w:val="006B4316"/>
    <w:rsid w:val="006B4687"/>
    <w:rsid w:val="006B47CA"/>
    <w:rsid w:val="006B52A9"/>
    <w:rsid w:val="006B5458"/>
    <w:rsid w:val="006B5844"/>
    <w:rsid w:val="006B5FB3"/>
    <w:rsid w:val="006B61E8"/>
    <w:rsid w:val="006B6AAC"/>
    <w:rsid w:val="006B710B"/>
    <w:rsid w:val="006B7B18"/>
    <w:rsid w:val="006B7DC7"/>
    <w:rsid w:val="006C056B"/>
    <w:rsid w:val="006C0F29"/>
    <w:rsid w:val="006C108B"/>
    <w:rsid w:val="006C115F"/>
    <w:rsid w:val="006C157E"/>
    <w:rsid w:val="006C1A50"/>
    <w:rsid w:val="006C1ACB"/>
    <w:rsid w:val="006C1CA1"/>
    <w:rsid w:val="006C2622"/>
    <w:rsid w:val="006C28FC"/>
    <w:rsid w:val="006C29E3"/>
    <w:rsid w:val="006C3043"/>
    <w:rsid w:val="006C34CE"/>
    <w:rsid w:val="006C3C85"/>
    <w:rsid w:val="006C4632"/>
    <w:rsid w:val="006C4797"/>
    <w:rsid w:val="006C5B6C"/>
    <w:rsid w:val="006C60D3"/>
    <w:rsid w:val="006C67F3"/>
    <w:rsid w:val="006C69F0"/>
    <w:rsid w:val="006C6C8A"/>
    <w:rsid w:val="006C6D1D"/>
    <w:rsid w:val="006C6E96"/>
    <w:rsid w:val="006C7596"/>
    <w:rsid w:val="006C7818"/>
    <w:rsid w:val="006C7CEE"/>
    <w:rsid w:val="006C7F1D"/>
    <w:rsid w:val="006C7FA6"/>
    <w:rsid w:val="006D0113"/>
    <w:rsid w:val="006D0A6A"/>
    <w:rsid w:val="006D0B3D"/>
    <w:rsid w:val="006D0E7F"/>
    <w:rsid w:val="006D140F"/>
    <w:rsid w:val="006D188C"/>
    <w:rsid w:val="006D1FAD"/>
    <w:rsid w:val="006D211A"/>
    <w:rsid w:val="006D27A1"/>
    <w:rsid w:val="006D2A25"/>
    <w:rsid w:val="006D3167"/>
    <w:rsid w:val="006D3306"/>
    <w:rsid w:val="006D33D9"/>
    <w:rsid w:val="006D361D"/>
    <w:rsid w:val="006D4528"/>
    <w:rsid w:val="006D46F7"/>
    <w:rsid w:val="006D4F45"/>
    <w:rsid w:val="006D53FA"/>
    <w:rsid w:val="006D59F2"/>
    <w:rsid w:val="006D5AEB"/>
    <w:rsid w:val="006D65F3"/>
    <w:rsid w:val="006D6D11"/>
    <w:rsid w:val="006D712D"/>
    <w:rsid w:val="006D74D2"/>
    <w:rsid w:val="006D75C1"/>
    <w:rsid w:val="006D784E"/>
    <w:rsid w:val="006D7C3A"/>
    <w:rsid w:val="006D7E86"/>
    <w:rsid w:val="006E021A"/>
    <w:rsid w:val="006E0723"/>
    <w:rsid w:val="006E0B92"/>
    <w:rsid w:val="006E0DF2"/>
    <w:rsid w:val="006E10C7"/>
    <w:rsid w:val="006E140C"/>
    <w:rsid w:val="006E156F"/>
    <w:rsid w:val="006E17D5"/>
    <w:rsid w:val="006E1B77"/>
    <w:rsid w:val="006E2398"/>
    <w:rsid w:val="006E2627"/>
    <w:rsid w:val="006E2991"/>
    <w:rsid w:val="006E2993"/>
    <w:rsid w:val="006E2C0B"/>
    <w:rsid w:val="006E2C5F"/>
    <w:rsid w:val="006E2C93"/>
    <w:rsid w:val="006E2D7F"/>
    <w:rsid w:val="006E3159"/>
    <w:rsid w:val="006E3EB9"/>
    <w:rsid w:val="006E4A25"/>
    <w:rsid w:val="006E4A79"/>
    <w:rsid w:val="006E514F"/>
    <w:rsid w:val="006E551E"/>
    <w:rsid w:val="006E5E37"/>
    <w:rsid w:val="006E6324"/>
    <w:rsid w:val="006E68A4"/>
    <w:rsid w:val="006E6D08"/>
    <w:rsid w:val="006E6F9A"/>
    <w:rsid w:val="006E702B"/>
    <w:rsid w:val="006E7323"/>
    <w:rsid w:val="006E7325"/>
    <w:rsid w:val="006E7656"/>
    <w:rsid w:val="006E7714"/>
    <w:rsid w:val="006E78C6"/>
    <w:rsid w:val="006E7C17"/>
    <w:rsid w:val="006E7DD3"/>
    <w:rsid w:val="006F03DB"/>
    <w:rsid w:val="006F0808"/>
    <w:rsid w:val="006F14E9"/>
    <w:rsid w:val="006F17D1"/>
    <w:rsid w:val="006F1961"/>
    <w:rsid w:val="006F1EE4"/>
    <w:rsid w:val="006F20D9"/>
    <w:rsid w:val="006F2FD6"/>
    <w:rsid w:val="006F3351"/>
    <w:rsid w:val="006F3420"/>
    <w:rsid w:val="006F3E16"/>
    <w:rsid w:val="006F46A2"/>
    <w:rsid w:val="006F4794"/>
    <w:rsid w:val="006F4977"/>
    <w:rsid w:val="006F4B81"/>
    <w:rsid w:val="006F4C48"/>
    <w:rsid w:val="006F5629"/>
    <w:rsid w:val="006F5A7E"/>
    <w:rsid w:val="006F5B0A"/>
    <w:rsid w:val="006F6349"/>
    <w:rsid w:val="006F63C6"/>
    <w:rsid w:val="006F686D"/>
    <w:rsid w:val="006F69AD"/>
    <w:rsid w:val="006F6D7C"/>
    <w:rsid w:val="006F6E56"/>
    <w:rsid w:val="006F7100"/>
    <w:rsid w:val="006F722C"/>
    <w:rsid w:val="006F753A"/>
    <w:rsid w:val="006F7D10"/>
    <w:rsid w:val="006F7DB0"/>
    <w:rsid w:val="006F7E0A"/>
    <w:rsid w:val="006F7E97"/>
    <w:rsid w:val="006F7EFF"/>
    <w:rsid w:val="006F7F08"/>
    <w:rsid w:val="0070042B"/>
    <w:rsid w:val="007004BF"/>
    <w:rsid w:val="007006B8"/>
    <w:rsid w:val="00700AF4"/>
    <w:rsid w:val="00700EB8"/>
    <w:rsid w:val="00700FD5"/>
    <w:rsid w:val="00701203"/>
    <w:rsid w:val="007012D8"/>
    <w:rsid w:val="0070189D"/>
    <w:rsid w:val="00701983"/>
    <w:rsid w:val="00701BD3"/>
    <w:rsid w:val="00701FE2"/>
    <w:rsid w:val="007024DF"/>
    <w:rsid w:val="007026B6"/>
    <w:rsid w:val="0070277F"/>
    <w:rsid w:val="00702BB6"/>
    <w:rsid w:val="00702F04"/>
    <w:rsid w:val="00703385"/>
    <w:rsid w:val="00703419"/>
    <w:rsid w:val="00703515"/>
    <w:rsid w:val="007038E0"/>
    <w:rsid w:val="007038FF"/>
    <w:rsid w:val="007040C8"/>
    <w:rsid w:val="00704277"/>
    <w:rsid w:val="00704663"/>
    <w:rsid w:val="00704CC6"/>
    <w:rsid w:val="00704D7B"/>
    <w:rsid w:val="007050DE"/>
    <w:rsid w:val="0070558F"/>
    <w:rsid w:val="0070566D"/>
    <w:rsid w:val="00705960"/>
    <w:rsid w:val="007063E5"/>
    <w:rsid w:val="007064B6"/>
    <w:rsid w:val="007067FF"/>
    <w:rsid w:val="00706945"/>
    <w:rsid w:val="00706BB1"/>
    <w:rsid w:val="0070749B"/>
    <w:rsid w:val="007075EB"/>
    <w:rsid w:val="00707B80"/>
    <w:rsid w:val="00707C41"/>
    <w:rsid w:val="00707EB8"/>
    <w:rsid w:val="00707EF4"/>
    <w:rsid w:val="00710365"/>
    <w:rsid w:val="0071048D"/>
    <w:rsid w:val="00710505"/>
    <w:rsid w:val="0071096C"/>
    <w:rsid w:val="00710FCC"/>
    <w:rsid w:val="00711AC1"/>
    <w:rsid w:val="0071226C"/>
    <w:rsid w:val="007123BD"/>
    <w:rsid w:val="00712FEB"/>
    <w:rsid w:val="0071321F"/>
    <w:rsid w:val="00713CDB"/>
    <w:rsid w:val="00713E9E"/>
    <w:rsid w:val="0071461E"/>
    <w:rsid w:val="00714894"/>
    <w:rsid w:val="0071490E"/>
    <w:rsid w:val="00714B2C"/>
    <w:rsid w:val="00714FCC"/>
    <w:rsid w:val="007153B9"/>
    <w:rsid w:val="0071578E"/>
    <w:rsid w:val="00716624"/>
    <w:rsid w:val="00716A39"/>
    <w:rsid w:val="00716B04"/>
    <w:rsid w:val="00716B0E"/>
    <w:rsid w:val="00717272"/>
    <w:rsid w:val="00717749"/>
    <w:rsid w:val="007178BC"/>
    <w:rsid w:val="00717DAE"/>
    <w:rsid w:val="00717DB8"/>
    <w:rsid w:val="00717DF6"/>
    <w:rsid w:val="00720060"/>
    <w:rsid w:val="007213F8"/>
    <w:rsid w:val="00721DE9"/>
    <w:rsid w:val="007220BF"/>
    <w:rsid w:val="007231F0"/>
    <w:rsid w:val="007237D1"/>
    <w:rsid w:val="00723A09"/>
    <w:rsid w:val="00723B56"/>
    <w:rsid w:val="0072404D"/>
    <w:rsid w:val="00724664"/>
    <w:rsid w:val="00724690"/>
    <w:rsid w:val="00724BA9"/>
    <w:rsid w:val="00725D82"/>
    <w:rsid w:val="0072634C"/>
    <w:rsid w:val="0072659F"/>
    <w:rsid w:val="00726863"/>
    <w:rsid w:val="00726AD4"/>
    <w:rsid w:val="00727217"/>
    <w:rsid w:val="007272FC"/>
    <w:rsid w:val="007273F1"/>
    <w:rsid w:val="0072786D"/>
    <w:rsid w:val="00727B84"/>
    <w:rsid w:val="00730205"/>
    <w:rsid w:val="0073056C"/>
    <w:rsid w:val="00730B9C"/>
    <w:rsid w:val="00730CBA"/>
    <w:rsid w:val="00730F61"/>
    <w:rsid w:val="00731368"/>
    <w:rsid w:val="00731463"/>
    <w:rsid w:val="00732325"/>
    <w:rsid w:val="007324D3"/>
    <w:rsid w:val="007327B8"/>
    <w:rsid w:val="00732B2A"/>
    <w:rsid w:val="00732D53"/>
    <w:rsid w:val="007330B2"/>
    <w:rsid w:val="00734231"/>
    <w:rsid w:val="007342F9"/>
    <w:rsid w:val="00734A73"/>
    <w:rsid w:val="00734D37"/>
    <w:rsid w:val="00734FE5"/>
    <w:rsid w:val="007354E5"/>
    <w:rsid w:val="0073571B"/>
    <w:rsid w:val="007357F1"/>
    <w:rsid w:val="00735BB5"/>
    <w:rsid w:val="00736531"/>
    <w:rsid w:val="0073673C"/>
    <w:rsid w:val="00736CB4"/>
    <w:rsid w:val="007375FC"/>
    <w:rsid w:val="0073768E"/>
    <w:rsid w:val="007406EE"/>
    <w:rsid w:val="0074079D"/>
    <w:rsid w:val="0074091B"/>
    <w:rsid w:val="007410B8"/>
    <w:rsid w:val="0074111B"/>
    <w:rsid w:val="007411DC"/>
    <w:rsid w:val="0074143E"/>
    <w:rsid w:val="00741696"/>
    <w:rsid w:val="0074189D"/>
    <w:rsid w:val="007418A0"/>
    <w:rsid w:val="00741AF3"/>
    <w:rsid w:val="00741C7B"/>
    <w:rsid w:val="00742248"/>
    <w:rsid w:val="007423EF"/>
    <w:rsid w:val="00742932"/>
    <w:rsid w:val="00742AE0"/>
    <w:rsid w:val="00742B6A"/>
    <w:rsid w:val="00742D1D"/>
    <w:rsid w:val="0074313F"/>
    <w:rsid w:val="007433E2"/>
    <w:rsid w:val="00743675"/>
    <w:rsid w:val="00743E38"/>
    <w:rsid w:val="00743F75"/>
    <w:rsid w:val="00744162"/>
    <w:rsid w:val="007444AF"/>
    <w:rsid w:val="0074482B"/>
    <w:rsid w:val="007448D1"/>
    <w:rsid w:val="00744D6A"/>
    <w:rsid w:val="00745379"/>
    <w:rsid w:val="00745873"/>
    <w:rsid w:val="007458EF"/>
    <w:rsid w:val="00745ADD"/>
    <w:rsid w:val="0074616A"/>
    <w:rsid w:val="007463AB"/>
    <w:rsid w:val="00746840"/>
    <w:rsid w:val="00746CB6"/>
    <w:rsid w:val="00746D13"/>
    <w:rsid w:val="00746EF3"/>
    <w:rsid w:val="00747404"/>
    <w:rsid w:val="00747642"/>
    <w:rsid w:val="00750056"/>
    <w:rsid w:val="007504BE"/>
    <w:rsid w:val="007508F4"/>
    <w:rsid w:val="00750CB7"/>
    <w:rsid w:val="007510A5"/>
    <w:rsid w:val="00751104"/>
    <w:rsid w:val="00751674"/>
    <w:rsid w:val="007519E3"/>
    <w:rsid w:val="00751C7D"/>
    <w:rsid w:val="00751D47"/>
    <w:rsid w:val="00751DE4"/>
    <w:rsid w:val="00751DEB"/>
    <w:rsid w:val="00751F31"/>
    <w:rsid w:val="0075213A"/>
    <w:rsid w:val="00752430"/>
    <w:rsid w:val="00752704"/>
    <w:rsid w:val="00752BDC"/>
    <w:rsid w:val="007535BB"/>
    <w:rsid w:val="0075369C"/>
    <w:rsid w:val="00753A00"/>
    <w:rsid w:val="00753A75"/>
    <w:rsid w:val="007542ED"/>
    <w:rsid w:val="007544D3"/>
    <w:rsid w:val="00754927"/>
    <w:rsid w:val="00754B50"/>
    <w:rsid w:val="0075507B"/>
    <w:rsid w:val="0075518B"/>
    <w:rsid w:val="007559C4"/>
    <w:rsid w:val="007559D8"/>
    <w:rsid w:val="00755AAC"/>
    <w:rsid w:val="00756554"/>
    <w:rsid w:val="007566A3"/>
    <w:rsid w:val="0075682B"/>
    <w:rsid w:val="007568F7"/>
    <w:rsid w:val="00756A78"/>
    <w:rsid w:val="00756EA7"/>
    <w:rsid w:val="00756F2D"/>
    <w:rsid w:val="0075712A"/>
    <w:rsid w:val="00757643"/>
    <w:rsid w:val="0075792C"/>
    <w:rsid w:val="00757A96"/>
    <w:rsid w:val="00757C45"/>
    <w:rsid w:val="00757CB8"/>
    <w:rsid w:val="00757F35"/>
    <w:rsid w:val="0076046D"/>
    <w:rsid w:val="007605E7"/>
    <w:rsid w:val="0076064C"/>
    <w:rsid w:val="007608C1"/>
    <w:rsid w:val="0076091A"/>
    <w:rsid w:val="00760AE7"/>
    <w:rsid w:val="00760B4B"/>
    <w:rsid w:val="00760B96"/>
    <w:rsid w:val="00761164"/>
    <w:rsid w:val="00761BF2"/>
    <w:rsid w:val="00761EC6"/>
    <w:rsid w:val="0076202D"/>
    <w:rsid w:val="0076233E"/>
    <w:rsid w:val="007627DC"/>
    <w:rsid w:val="00762830"/>
    <w:rsid w:val="00762BC0"/>
    <w:rsid w:val="00762F91"/>
    <w:rsid w:val="0076300E"/>
    <w:rsid w:val="00763354"/>
    <w:rsid w:val="0076358E"/>
    <w:rsid w:val="00763841"/>
    <w:rsid w:val="00763B89"/>
    <w:rsid w:val="00763BAF"/>
    <w:rsid w:val="00763C5C"/>
    <w:rsid w:val="00763D26"/>
    <w:rsid w:val="007645E8"/>
    <w:rsid w:val="007645FB"/>
    <w:rsid w:val="00765773"/>
    <w:rsid w:val="0076585B"/>
    <w:rsid w:val="00765A01"/>
    <w:rsid w:val="00765E14"/>
    <w:rsid w:val="00765F1F"/>
    <w:rsid w:val="00766456"/>
    <w:rsid w:val="00766470"/>
    <w:rsid w:val="0076689F"/>
    <w:rsid w:val="00767DF1"/>
    <w:rsid w:val="007701D1"/>
    <w:rsid w:val="007702C0"/>
    <w:rsid w:val="00770309"/>
    <w:rsid w:val="00770506"/>
    <w:rsid w:val="00770921"/>
    <w:rsid w:val="00770B25"/>
    <w:rsid w:val="0077100B"/>
    <w:rsid w:val="00771632"/>
    <w:rsid w:val="00772419"/>
    <w:rsid w:val="00772460"/>
    <w:rsid w:val="0077246A"/>
    <w:rsid w:val="00772913"/>
    <w:rsid w:val="00772D37"/>
    <w:rsid w:val="00772D81"/>
    <w:rsid w:val="00773005"/>
    <w:rsid w:val="00773138"/>
    <w:rsid w:val="00773591"/>
    <w:rsid w:val="00773815"/>
    <w:rsid w:val="00773D41"/>
    <w:rsid w:val="00773E49"/>
    <w:rsid w:val="00773FA3"/>
    <w:rsid w:val="0077448E"/>
    <w:rsid w:val="0077461B"/>
    <w:rsid w:val="0077468E"/>
    <w:rsid w:val="007746AD"/>
    <w:rsid w:val="007746F5"/>
    <w:rsid w:val="007748CA"/>
    <w:rsid w:val="00774945"/>
    <w:rsid w:val="00774A9C"/>
    <w:rsid w:val="00774F6E"/>
    <w:rsid w:val="007750A9"/>
    <w:rsid w:val="00775103"/>
    <w:rsid w:val="007754EC"/>
    <w:rsid w:val="00775A66"/>
    <w:rsid w:val="00775E09"/>
    <w:rsid w:val="00775FE8"/>
    <w:rsid w:val="00776232"/>
    <w:rsid w:val="00776661"/>
    <w:rsid w:val="007767E9"/>
    <w:rsid w:val="00776AF7"/>
    <w:rsid w:val="00776BAC"/>
    <w:rsid w:val="0077701D"/>
    <w:rsid w:val="007777B4"/>
    <w:rsid w:val="00777AE8"/>
    <w:rsid w:val="00777CB6"/>
    <w:rsid w:val="007805E0"/>
    <w:rsid w:val="0078067B"/>
    <w:rsid w:val="007808CB"/>
    <w:rsid w:val="00781BB0"/>
    <w:rsid w:val="00781DA7"/>
    <w:rsid w:val="00781E5E"/>
    <w:rsid w:val="00782273"/>
    <w:rsid w:val="00783696"/>
    <w:rsid w:val="00783875"/>
    <w:rsid w:val="0078453B"/>
    <w:rsid w:val="007846A6"/>
    <w:rsid w:val="00784EF7"/>
    <w:rsid w:val="007850BF"/>
    <w:rsid w:val="007855DD"/>
    <w:rsid w:val="0078568F"/>
    <w:rsid w:val="00785774"/>
    <w:rsid w:val="00785AA2"/>
    <w:rsid w:val="00786098"/>
    <w:rsid w:val="0078619F"/>
    <w:rsid w:val="00786464"/>
    <w:rsid w:val="007865A5"/>
    <w:rsid w:val="00786AE5"/>
    <w:rsid w:val="00786C61"/>
    <w:rsid w:val="00786E6C"/>
    <w:rsid w:val="0078706F"/>
    <w:rsid w:val="007871A8"/>
    <w:rsid w:val="007871D4"/>
    <w:rsid w:val="007874A2"/>
    <w:rsid w:val="00787900"/>
    <w:rsid w:val="007879FE"/>
    <w:rsid w:val="00787F0D"/>
    <w:rsid w:val="00787FA2"/>
    <w:rsid w:val="00787FC7"/>
    <w:rsid w:val="00790382"/>
    <w:rsid w:val="00790397"/>
    <w:rsid w:val="007904A0"/>
    <w:rsid w:val="00790685"/>
    <w:rsid w:val="00790A30"/>
    <w:rsid w:val="00790FA7"/>
    <w:rsid w:val="00790FD7"/>
    <w:rsid w:val="007911F6"/>
    <w:rsid w:val="00791C3A"/>
    <w:rsid w:val="00792530"/>
    <w:rsid w:val="007926BA"/>
    <w:rsid w:val="00792763"/>
    <w:rsid w:val="0079297F"/>
    <w:rsid w:val="007931AF"/>
    <w:rsid w:val="0079327C"/>
    <w:rsid w:val="007934FE"/>
    <w:rsid w:val="0079360F"/>
    <w:rsid w:val="00793B45"/>
    <w:rsid w:val="00793BD1"/>
    <w:rsid w:val="00793EFE"/>
    <w:rsid w:val="00793F54"/>
    <w:rsid w:val="0079427B"/>
    <w:rsid w:val="00794308"/>
    <w:rsid w:val="00794335"/>
    <w:rsid w:val="0079468C"/>
    <w:rsid w:val="00794DD4"/>
    <w:rsid w:val="007950E9"/>
    <w:rsid w:val="007952B2"/>
    <w:rsid w:val="00795779"/>
    <w:rsid w:val="007957E0"/>
    <w:rsid w:val="00795AF9"/>
    <w:rsid w:val="00796028"/>
    <w:rsid w:val="00796876"/>
    <w:rsid w:val="0079797B"/>
    <w:rsid w:val="00797D77"/>
    <w:rsid w:val="007A052F"/>
    <w:rsid w:val="007A05FE"/>
    <w:rsid w:val="007A0E67"/>
    <w:rsid w:val="007A1053"/>
    <w:rsid w:val="007A1765"/>
    <w:rsid w:val="007A1959"/>
    <w:rsid w:val="007A1D1D"/>
    <w:rsid w:val="007A2EFF"/>
    <w:rsid w:val="007A33B1"/>
    <w:rsid w:val="007A3695"/>
    <w:rsid w:val="007A37E1"/>
    <w:rsid w:val="007A3CDE"/>
    <w:rsid w:val="007A46AC"/>
    <w:rsid w:val="007A4DA0"/>
    <w:rsid w:val="007A51AA"/>
    <w:rsid w:val="007A526F"/>
    <w:rsid w:val="007A56D4"/>
    <w:rsid w:val="007A5E76"/>
    <w:rsid w:val="007A5FFD"/>
    <w:rsid w:val="007A619D"/>
    <w:rsid w:val="007A642A"/>
    <w:rsid w:val="007A651C"/>
    <w:rsid w:val="007A6592"/>
    <w:rsid w:val="007A6597"/>
    <w:rsid w:val="007A674B"/>
    <w:rsid w:val="007A682E"/>
    <w:rsid w:val="007A6CEA"/>
    <w:rsid w:val="007A6E2C"/>
    <w:rsid w:val="007A6F66"/>
    <w:rsid w:val="007A72A6"/>
    <w:rsid w:val="007A72C9"/>
    <w:rsid w:val="007A740F"/>
    <w:rsid w:val="007A75AB"/>
    <w:rsid w:val="007A7EF7"/>
    <w:rsid w:val="007A7F4E"/>
    <w:rsid w:val="007B0338"/>
    <w:rsid w:val="007B0444"/>
    <w:rsid w:val="007B0BD6"/>
    <w:rsid w:val="007B0C29"/>
    <w:rsid w:val="007B0F52"/>
    <w:rsid w:val="007B1317"/>
    <w:rsid w:val="007B14B3"/>
    <w:rsid w:val="007B191A"/>
    <w:rsid w:val="007B1B30"/>
    <w:rsid w:val="007B2296"/>
    <w:rsid w:val="007B2392"/>
    <w:rsid w:val="007B23D1"/>
    <w:rsid w:val="007B26A1"/>
    <w:rsid w:val="007B2737"/>
    <w:rsid w:val="007B2FF0"/>
    <w:rsid w:val="007B30A8"/>
    <w:rsid w:val="007B3395"/>
    <w:rsid w:val="007B3544"/>
    <w:rsid w:val="007B3758"/>
    <w:rsid w:val="007B3E03"/>
    <w:rsid w:val="007B4294"/>
    <w:rsid w:val="007B4333"/>
    <w:rsid w:val="007B4473"/>
    <w:rsid w:val="007B4D08"/>
    <w:rsid w:val="007B54E4"/>
    <w:rsid w:val="007B5634"/>
    <w:rsid w:val="007B56DF"/>
    <w:rsid w:val="007B5CBC"/>
    <w:rsid w:val="007B62B2"/>
    <w:rsid w:val="007B6363"/>
    <w:rsid w:val="007B6964"/>
    <w:rsid w:val="007B6D8B"/>
    <w:rsid w:val="007B6FDD"/>
    <w:rsid w:val="007B7107"/>
    <w:rsid w:val="007B72E2"/>
    <w:rsid w:val="007B730F"/>
    <w:rsid w:val="007B7350"/>
    <w:rsid w:val="007C0204"/>
    <w:rsid w:val="007C05B1"/>
    <w:rsid w:val="007C0B81"/>
    <w:rsid w:val="007C1158"/>
    <w:rsid w:val="007C14B4"/>
    <w:rsid w:val="007C150F"/>
    <w:rsid w:val="007C15C0"/>
    <w:rsid w:val="007C1BD6"/>
    <w:rsid w:val="007C2460"/>
    <w:rsid w:val="007C2B95"/>
    <w:rsid w:val="007C3053"/>
    <w:rsid w:val="007C3317"/>
    <w:rsid w:val="007C338A"/>
    <w:rsid w:val="007C3505"/>
    <w:rsid w:val="007C5017"/>
    <w:rsid w:val="007C51C5"/>
    <w:rsid w:val="007C5472"/>
    <w:rsid w:val="007C6C40"/>
    <w:rsid w:val="007C6D91"/>
    <w:rsid w:val="007C74A7"/>
    <w:rsid w:val="007D00D0"/>
    <w:rsid w:val="007D079A"/>
    <w:rsid w:val="007D07FA"/>
    <w:rsid w:val="007D0FB7"/>
    <w:rsid w:val="007D1197"/>
    <w:rsid w:val="007D14E5"/>
    <w:rsid w:val="007D1D8A"/>
    <w:rsid w:val="007D20E9"/>
    <w:rsid w:val="007D27CB"/>
    <w:rsid w:val="007D2FB1"/>
    <w:rsid w:val="007D3118"/>
    <w:rsid w:val="007D3448"/>
    <w:rsid w:val="007D3E6D"/>
    <w:rsid w:val="007D3F75"/>
    <w:rsid w:val="007D4203"/>
    <w:rsid w:val="007D4377"/>
    <w:rsid w:val="007D47CF"/>
    <w:rsid w:val="007D48C2"/>
    <w:rsid w:val="007D4E3C"/>
    <w:rsid w:val="007D5186"/>
    <w:rsid w:val="007D5219"/>
    <w:rsid w:val="007D57BE"/>
    <w:rsid w:val="007D5856"/>
    <w:rsid w:val="007D5AFC"/>
    <w:rsid w:val="007D5CD2"/>
    <w:rsid w:val="007D619A"/>
    <w:rsid w:val="007D647C"/>
    <w:rsid w:val="007D6635"/>
    <w:rsid w:val="007D66B7"/>
    <w:rsid w:val="007D6B53"/>
    <w:rsid w:val="007D6B58"/>
    <w:rsid w:val="007D72C6"/>
    <w:rsid w:val="007D7341"/>
    <w:rsid w:val="007D76E1"/>
    <w:rsid w:val="007E050E"/>
    <w:rsid w:val="007E0E5A"/>
    <w:rsid w:val="007E0FB5"/>
    <w:rsid w:val="007E11F5"/>
    <w:rsid w:val="007E1391"/>
    <w:rsid w:val="007E14CF"/>
    <w:rsid w:val="007E15B8"/>
    <w:rsid w:val="007E3357"/>
    <w:rsid w:val="007E389A"/>
    <w:rsid w:val="007E3A6C"/>
    <w:rsid w:val="007E40A8"/>
    <w:rsid w:val="007E4A4C"/>
    <w:rsid w:val="007E4A7A"/>
    <w:rsid w:val="007E4AED"/>
    <w:rsid w:val="007E4C7C"/>
    <w:rsid w:val="007E54E3"/>
    <w:rsid w:val="007E5CCA"/>
    <w:rsid w:val="007E5D19"/>
    <w:rsid w:val="007E6038"/>
    <w:rsid w:val="007E623E"/>
    <w:rsid w:val="007E6E60"/>
    <w:rsid w:val="007E6E75"/>
    <w:rsid w:val="007E7051"/>
    <w:rsid w:val="007E7866"/>
    <w:rsid w:val="007E7C14"/>
    <w:rsid w:val="007E7CBB"/>
    <w:rsid w:val="007F01E9"/>
    <w:rsid w:val="007F039A"/>
    <w:rsid w:val="007F09B1"/>
    <w:rsid w:val="007F0A7C"/>
    <w:rsid w:val="007F0EE2"/>
    <w:rsid w:val="007F1193"/>
    <w:rsid w:val="007F176B"/>
    <w:rsid w:val="007F1928"/>
    <w:rsid w:val="007F1D7F"/>
    <w:rsid w:val="007F2020"/>
    <w:rsid w:val="007F21AD"/>
    <w:rsid w:val="007F22A6"/>
    <w:rsid w:val="007F269A"/>
    <w:rsid w:val="007F2C04"/>
    <w:rsid w:val="007F2CA8"/>
    <w:rsid w:val="007F34D6"/>
    <w:rsid w:val="007F3B5B"/>
    <w:rsid w:val="007F3E8A"/>
    <w:rsid w:val="007F4051"/>
    <w:rsid w:val="007F44D3"/>
    <w:rsid w:val="007F46E4"/>
    <w:rsid w:val="007F4A88"/>
    <w:rsid w:val="007F4D7E"/>
    <w:rsid w:val="007F50AC"/>
    <w:rsid w:val="007F5178"/>
    <w:rsid w:val="007F5499"/>
    <w:rsid w:val="007F54CF"/>
    <w:rsid w:val="007F5B17"/>
    <w:rsid w:val="007F60E1"/>
    <w:rsid w:val="007F69BB"/>
    <w:rsid w:val="007F6C1E"/>
    <w:rsid w:val="007F7191"/>
    <w:rsid w:val="007F7394"/>
    <w:rsid w:val="007F75EA"/>
    <w:rsid w:val="007F764D"/>
    <w:rsid w:val="007F78DA"/>
    <w:rsid w:val="007F7C51"/>
    <w:rsid w:val="007F7D7A"/>
    <w:rsid w:val="008008DC"/>
    <w:rsid w:val="00800A50"/>
    <w:rsid w:val="00800E5C"/>
    <w:rsid w:val="00801A7D"/>
    <w:rsid w:val="00801B38"/>
    <w:rsid w:val="00801C5D"/>
    <w:rsid w:val="00801FA0"/>
    <w:rsid w:val="008020A0"/>
    <w:rsid w:val="0080212A"/>
    <w:rsid w:val="0080224B"/>
    <w:rsid w:val="00802BBB"/>
    <w:rsid w:val="00802EF6"/>
    <w:rsid w:val="0080386B"/>
    <w:rsid w:val="00803DE9"/>
    <w:rsid w:val="00803E6C"/>
    <w:rsid w:val="00804516"/>
    <w:rsid w:val="00804E94"/>
    <w:rsid w:val="0080560F"/>
    <w:rsid w:val="00805824"/>
    <w:rsid w:val="008058C4"/>
    <w:rsid w:val="00805D9A"/>
    <w:rsid w:val="00806170"/>
    <w:rsid w:val="0080674E"/>
    <w:rsid w:val="00806B11"/>
    <w:rsid w:val="00806B6F"/>
    <w:rsid w:val="00806DB1"/>
    <w:rsid w:val="008078F9"/>
    <w:rsid w:val="008102E1"/>
    <w:rsid w:val="008105CC"/>
    <w:rsid w:val="008109F5"/>
    <w:rsid w:val="00810C89"/>
    <w:rsid w:val="00811079"/>
    <w:rsid w:val="008111F2"/>
    <w:rsid w:val="008112FC"/>
    <w:rsid w:val="0081143C"/>
    <w:rsid w:val="00811EBC"/>
    <w:rsid w:val="008120CD"/>
    <w:rsid w:val="008121D1"/>
    <w:rsid w:val="008123A3"/>
    <w:rsid w:val="00812BC4"/>
    <w:rsid w:val="00812DE0"/>
    <w:rsid w:val="00812E4C"/>
    <w:rsid w:val="0081340A"/>
    <w:rsid w:val="0081461C"/>
    <w:rsid w:val="00814701"/>
    <w:rsid w:val="00814846"/>
    <w:rsid w:val="00814A36"/>
    <w:rsid w:val="00814AE0"/>
    <w:rsid w:val="00814DA0"/>
    <w:rsid w:val="00814DBE"/>
    <w:rsid w:val="00815727"/>
    <w:rsid w:val="008158A1"/>
    <w:rsid w:val="0081591A"/>
    <w:rsid w:val="00815B27"/>
    <w:rsid w:val="00815E81"/>
    <w:rsid w:val="00815E8A"/>
    <w:rsid w:val="008161FB"/>
    <w:rsid w:val="00816710"/>
    <w:rsid w:val="00816820"/>
    <w:rsid w:val="00817439"/>
    <w:rsid w:val="008175A3"/>
    <w:rsid w:val="0081772B"/>
    <w:rsid w:val="008179AA"/>
    <w:rsid w:val="00817BF4"/>
    <w:rsid w:val="00820082"/>
    <w:rsid w:val="008204F7"/>
    <w:rsid w:val="008205AD"/>
    <w:rsid w:val="008205FA"/>
    <w:rsid w:val="008206BE"/>
    <w:rsid w:val="00820C96"/>
    <w:rsid w:val="00820ECF"/>
    <w:rsid w:val="008211AA"/>
    <w:rsid w:val="00821679"/>
    <w:rsid w:val="008217C4"/>
    <w:rsid w:val="00821F1E"/>
    <w:rsid w:val="00821F5E"/>
    <w:rsid w:val="00822107"/>
    <w:rsid w:val="0082243C"/>
    <w:rsid w:val="008225F6"/>
    <w:rsid w:val="00822B3F"/>
    <w:rsid w:val="008230B1"/>
    <w:rsid w:val="0082330D"/>
    <w:rsid w:val="008238ED"/>
    <w:rsid w:val="0082536A"/>
    <w:rsid w:val="008253C1"/>
    <w:rsid w:val="00825FE0"/>
    <w:rsid w:val="00826E1B"/>
    <w:rsid w:val="00827375"/>
    <w:rsid w:val="00827612"/>
    <w:rsid w:val="008279EB"/>
    <w:rsid w:val="00830941"/>
    <w:rsid w:val="00830967"/>
    <w:rsid w:val="00830F32"/>
    <w:rsid w:val="00830F4D"/>
    <w:rsid w:val="00831002"/>
    <w:rsid w:val="00831244"/>
    <w:rsid w:val="00831CD0"/>
    <w:rsid w:val="00831F14"/>
    <w:rsid w:val="008322EB"/>
    <w:rsid w:val="00832756"/>
    <w:rsid w:val="00832B28"/>
    <w:rsid w:val="00832CFF"/>
    <w:rsid w:val="00832DB6"/>
    <w:rsid w:val="0083388C"/>
    <w:rsid w:val="00834548"/>
    <w:rsid w:val="008346CE"/>
    <w:rsid w:val="0083599D"/>
    <w:rsid w:val="00835ED2"/>
    <w:rsid w:val="0083634C"/>
    <w:rsid w:val="00836D0B"/>
    <w:rsid w:val="00836F6F"/>
    <w:rsid w:val="008373DF"/>
    <w:rsid w:val="0083742C"/>
    <w:rsid w:val="0083778E"/>
    <w:rsid w:val="00837981"/>
    <w:rsid w:val="00837AB9"/>
    <w:rsid w:val="00840020"/>
    <w:rsid w:val="0084018B"/>
    <w:rsid w:val="008402D7"/>
    <w:rsid w:val="0084037B"/>
    <w:rsid w:val="008407A6"/>
    <w:rsid w:val="008407FC"/>
    <w:rsid w:val="00840D2B"/>
    <w:rsid w:val="008416CE"/>
    <w:rsid w:val="008418D0"/>
    <w:rsid w:val="00841B15"/>
    <w:rsid w:val="00841B60"/>
    <w:rsid w:val="00842780"/>
    <w:rsid w:val="00842803"/>
    <w:rsid w:val="00842A8E"/>
    <w:rsid w:val="00842C93"/>
    <w:rsid w:val="00842F04"/>
    <w:rsid w:val="00843250"/>
    <w:rsid w:val="0084349F"/>
    <w:rsid w:val="00843FA2"/>
    <w:rsid w:val="0084469A"/>
    <w:rsid w:val="0084498D"/>
    <w:rsid w:val="00844D45"/>
    <w:rsid w:val="008450B2"/>
    <w:rsid w:val="00845D28"/>
    <w:rsid w:val="00846212"/>
    <w:rsid w:val="008463F6"/>
    <w:rsid w:val="00846CF4"/>
    <w:rsid w:val="00846EBC"/>
    <w:rsid w:val="00847072"/>
    <w:rsid w:val="00847928"/>
    <w:rsid w:val="00847CE2"/>
    <w:rsid w:val="00847F3A"/>
    <w:rsid w:val="00850044"/>
    <w:rsid w:val="0085013C"/>
    <w:rsid w:val="008511E7"/>
    <w:rsid w:val="0085178D"/>
    <w:rsid w:val="008523E8"/>
    <w:rsid w:val="00852502"/>
    <w:rsid w:val="00852709"/>
    <w:rsid w:val="00852C19"/>
    <w:rsid w:val="0085308F"/>
    <w:rsid w:val="00853C05"/>
    <w:rsid w:val="008540E5"/>
    <w:rsid w:val="0085464B"/>
    <w:rsid w:val="0085466E"/>
    <w:rsid w:val="008546C0"/>
    <w:rsid w:val="008548E0"/>
    <w:rsid w:val="008548F7"/>
    <w:rsid w:val="00854E95"/>
    <w:rsid w:val="00855053"/>
    <w:rsid w:val="00855307"/>
    <w:rsid w:val="0085551C"/>
    <w:rsid w:val="0085576C"/>
    <w:rsid w:val="008559C4"/>
    <w:rsid w:val="00855A4B"/>
    <w:rsid w:val="00855AB5"/>
    <w:rsid w:val="00855D65"/>
    <w:rsid w:val="00855F24"/>
    <w:rsid w:val="008560C0"/>
    <w:rsid w:val="008563DE"/>
    <w:rsid w:val="00856672"/>
    <w:rsid w:val="00856807"/>
    <w:rsid w:val="0085689F"/>
    <w:rsid w:val="00856DB3"/>
    <w:rsid w:val="008572F3"/>
    <w:rsid w:val="00857553"/>
    <w:rsid w:val="008575DA"/>
    <w:rsid w:val="00857E11"/>
    <w:rsid w:val="00857F36"/>
    <w:rsid w:val="008603AC"/>
    <w:rsid w:val="00860708"/>
    <w:rsid w:val="00860D0D"/>
    <w:rsid w:val="0086126A"/>
    <w:rsid w:val="00861AE9"/>
    <w:rsid w:val="0086230B"/>
    <w:rsid w:val="008628B4"/>
    <w:rsid w:val="00862B2C"/>
    <w:rsid w:val="00863084"/>
    <w:rsid w:val="008632ED"/>
    <w:rsid w:val="00863A82"/>
    <w:rsid w:val="0086406A"/>
    <w:rsid w:val="00864B79"/>
    <w:rsid w:val="008652A8"/>
    <w:rsid w:val="008657A2"/>
    <w:rsid w:val="008658DA"/>
    <w:rsid w:val="00865940"/>
    <w:rsid w:val="00865EE0"/>
    <w:rsid w:val="0086642F"/>
    <w:rsid w:val="008667EB"/>
    <w:rsid w:val="00866AD3"/>
    <w:rsid w:val="00866E8D"/>
    <w:rsid w:val="0086732E"/>
    <w:rsid w:val="0086783A"/>
    <w:rsid w:val="008678CD"/>
    <w:rsid w:val="00867B8B"/>
    <w:rsid w:val="00867C00"/>
    <w:rsid w:val="008700F9"/>
    <w:rsid w:val="008701A9"/>
    <w:rsid w:val="008703C5"/>
    <w:rsid w:val="00870658"/>
    <w:rsid w:val="00870EDE"/>
    <w:rsid w:val="00870FF0"/>
    <w:rsid w:val="00871295"/>
    <w:rsid w:val="008712D1"/>
    <w:rsid w:val="00871746"/>
    <w:rsid w:val="0087182D"/>
    <w:rsid w:val="00871982"/>
    <w:rsid w:val="00871BD9"/>
    <w:rsid w:val="00871C8E"/>
    <w:rsid w:val="00871D9B"/>
    <w:rsid w:val="00872134"/>
    <w:rsid w:val="00873236"/>
    <w:rsid w:val="0087337B"/>
    <w:rsid w:val="00873629"/>
    <w:rsid w:val="008740B1"/>
    <w:rsid w:val="0087493E"/>
    <w:rsid w:val="00874A4A"/>
    <w:rsid w:val="00874AD0"/>
    <w:rsid w:val="008753D4"/>
    <w:rsid w:val="0087546E"/>
    <w:rsid w:val="0087596F"/>
    <w:rsid w:val="008762CD"/>
    <w:rsid w:val="00876502"/>
    <w:rsid w:val="0087698E"/>
    <w:rsid w:val="00876E74"/>
    <w:rsid w:val="00877052"/>
    <w:rsid w:val="0087744C"/>
    <w:rsid w:val="0087771E"/>
    <w:rsid w:val="00877751"/>
    <w:rsid w:val="0087789D"/>
    <w:rsid w:val="00877952"/>
    <w:rsid w:val="00877C1F"/>
    <w:rsid w:val="00877ECF"/>
    <w:rsid w:val="008804E8"/>
    <w:rsid w:val="00880534"/>
    <w:rsid w:val="0088054C"/>
    <w:rsid w:val="008805E0"/>
    <w:rsid w:val="008808E9"/>
    <w:rsid w:val="00880A2C"/>
    <w:rsid w:val="00880A98"/>
    <w:rsid w:val="00880C2E"/>
    <w:rsid w:val="00880FC3"/>
    <w:rsid w:val="00881049"/>
    <w:rsid w:val="008813F6"/>
    <w:rsid w:val="00881524"/>
    <w:rsid w:val="00881538"/>
    <w:rsid w:val="00881656"/>
    <w:rsid w:val="0088185A"/>
    <w:rsid w:val="00881FF8"/>
    <w:rsid w:val="008821D0"/>
    <w:rsid w:val="008821D2"/>
    <w:rsid w:val="00882471"/>
    <w:rsid w:val="00882FD4"/>
    <w:rsid w:val="00883AB9"/>
    <w:rsid w:val="00883BD7"/>
    <w:rsid w:val="0088444E"/>
    <w:rsid w:val="00884DC3"/>
    <w:rsid w:val="00885889"/>
    <w:rsid w:val="00885A43"/>
    <w:rsid w:val="00885EF0"/>
    <w:rsid w:val="00886914"/>
    <w:rsid w:val="008878CB"/>
    <w:rsid w:val="00887BA2"/>
    <w:rsid w:val="00887DF0"/>
    <w:rsid w:val="008902B2"/>
    <w:rsid w:val="0089032A"/>
    <w:rsid w:val="0089040A"/>
    <w:rsid w:val="008908C3"/>
    <w:rsid w:val="0089101E"/>
    <w:rsid w:val="0089111A"/>
    <w:rsid w:val="008915F1"/>
    <w:rsid w:val="0089236E"/>
    <w:rsid w:val="00892568"/>
    <w:rsid w:val="0089263B"/>
    <w:rsid w:val="0089397D"/>
    <w:rsid w:val="00893AC2"/>
    <w:rsid w:val="00893D4E"/>
    <w:rsid w:val="00893E6D"/>
    <w:rsid w:val="008949D7"/>
    <w:rsid w:val="00894A9E"/>
    <w:rsid w:val="00895050"/>
    <w:rsid w:val="00895535"/>
    <w:rsid w:val="008955FE"/>
    <w:rsid w:val="00895918"/>
    <w:rsid w:val="00895EBF"/>
    <w:rsid w:val="008967FB"/>
    <w:rsid w:val="008969B9"/>
    <w:rsid w:val="00896CD8"/>
    <w:rsid w:val="00896DFA"/>
    <w:rsid w:val="0089749D"/>
    <w:rsid w:val="008979D9"/>
    <w:rsid w:val="008A041B"/>
    <w:rsid w:val="008A0F87"/>
    <w:rsid w:val="008A14B5"/>
    <w:rsid w:val="008A19D1"/>
    <w:rsid w:val="008A1B8C"/>
    <w:rsid w:val="008A1E4F"/>
    <w:rsid w:val="008A2AE3"/>
    <w:rsid w:val="008A2E57"/>
    <w:rsid w:val="008A338D"/>
    <w:rsid w:val="008A33D9"/>
    <w:rsid w:val="008A3B3C"/>
    <w:rsid w:val="008A3F5A"/>
    <w:rsid w:val="008A427C"/>
    <w:rsid w:val="008A4778"/>
    <w:rsid w:val="008A501D"/>
    <w:rsid w:val="008A59AE"/>
    <w:rsid w:val="008A5D7A"/>
    <w:rsid w:val="008A6BD8"/>
    <w:rsid w:val="008A6DF2"/>
    <w:rsid w:val="008A6E55"/>
    <w:rsid w:val="008A6E9F"/>
    <w:rsid w:val="008A6F42"/>
    <w:rsid w:val="008A7013"/>
    <w:rsid w:val="008A72CD"/>
    <w:rsid w:val="008A73E3"/>
    <w:rsid w:val="008A78CA"/>
    <w:rsid w:val="008A7A17"/>
    <w:rsid w:val="008A7C86"/>
    <w:rsid w:val="008B070F"/>
    <w:rsid w:val="008B0B4C"/>
    <w:rsid w:val="008B0BAD"/>
    <w:rsid w:val="008B0E0F"/>
    <w:rsid w:val="008B179B"/>
    <w:rsid w:val="008B207F"/>
    <w:rsid w:val="008B21EB"/>
    <w:rsid w:val="008B2A5C"/>
    <w:rsid w:val="008B32B4"/>
    <w:rsid w:val="008B33B9"/>
    <w:rsid w:val="008B3725"/>
    <w:rsid w:val="008B3751"/>
    <w:rsid w:val="008B3820"/>
    <w:rsid w:val="008B38BB"/>
    <w:rsid w:val="008B39AB"/>
    <w:rsid w:val="008B3A4B"/>
    <w:rsid w:val="008B42BD"/>
    <w:rsid w:val="008B43B5"/>
    <w:rsid w:val="008B4871"/>
    <w:rsid w:val="008B48DA"/>
    <w:rsid w:val="008B49F8"/>
    <w:rsid w:val="008B54A4"/>
    <w:rsid w:val="008B555D"/>
    <w:rsid w:val="008B5A58"/>
    <w:rsid w:val="008B5FB6"/>
    <w:rsid w:val="008B615E"/>
    <w:rsid w:val="008B66D1"/>
    <w:rsid w:val="008B6C72"/>
    <w:rsid w:val="008B7451"/>
    <w:rsid w:val="008B76C0"/>
    <w:rsid w:val="008B7A71"/>
    <w:rsid w:val="008C006D"/>
    <w:rsid w:val="008C1578"/>
    <w:rsid w:val="008C1F78"/>
    <w:rsid w:val="008C2371"/>
    <w:rsid w:val="008C24E3"/>
    <w:rsid w:val="008C2A94"/>
    <w:rsid w:val="008C2B6C"/>
    <w:rsid w:val="008C2EE7"/>
    <w:rsid w:val="008C32BA"/>
    <w:rsid w:val="008C3BDF"/>
    <w:rsid w:val="008C3D38"/>
    <w:rsid w:val="008C47E0"/>
    <w:rsid w:val="008C4815"/>
    <w:rsid w:val="008C49A1"/>
    <w:rsid w:val="008C4CF2"/>
    <w:rsid w:val="008C4F13"/>
    <w:rsid w:val="008C51DB"/>
    <w:rsid w:val="008C5555"/>
    <w:rsid w:val="008C57AB"/>
    <w:rsid w:val="008C6612"/>
    <w:rsid w:val="008C671C"/>
    <w:rsid w:val="008C6B0C"/>
    <w:rsid w:val="008C75A4"/>
    <w:rsid w:val="008C7631"/>
    <w:rsid w:val="008C7A1E"/>
    <w:rsid w:val="008C7BB9"/>
    <w:rsid w:val="008C7CAC"/>
    <w:rsid w:val="008D0189"/>
    <w:rsid w:val="008D0242"/>
    <w:rsid w:val="008D0697"/>
    <w:rsid w:val="008D0B73"/>
    <w:rsid w:val="008D15F5"/>
    <w:rsid w:val="008D170D"/>
    <w:rsid w:val="008D1A71"/>
    <w:rsid w:val="008D1AD3"/>
    <w:rsid w:val="008D24AE"/>
    <w:rsid w:val="008D2B21"/>
    <w:rsid w:val="008D34A8"/>
    <w:rsid w:val="008D386B"/>
    <w:rsid w:val="008D3AEE"/>
    <w:rsid w:val="008D4A79"/>
    <w:rsid w:val="008D4E45"/>
    <w:rsid w:val="008D5127"/>
    <w:rsid w:val="008D538C"/>
    <w:rsid w:val="008D569B"/>
    <w:rsid w:val="008D5A64"/>
    <w:rsid w:val="008D61E2"/>
    <w:rsid w:val="008D675B"/>
    <w:rsid w:val="008D6E22"/>
    <w:rsid w:val="008D725C"/>
    <w:rsid w:val="008D7F97"/>
    <w:rsid w:val="008E0185"/>
    <w:rsid w:val="008E0C03"/>
    <w:rsid w:val="008E109F"/>
    <w:rsid w:val="008E113D"/>
    <w:rsid w:val="008E12C7"/>
    <w:rsid w:val="008E1591"/>
    <w:rsid w:val="008E1905"/>
    <w:rsid w:val="008E201C"/>
    <w:rsid w:val="008E2049"/>
    <w:rsid w:val="008E229E"/>
    <w:rsid w:val="008E2364"/>
    <w:rsid w:val="008E2BDB"/>
    <w:rsid w:val="008E2C50"/>
    <w:rsid w:val="008E2DA9"/>
    <w:rsid w:val="008E2F38"/>
    <w:rsid w:val="008E302E"/>
    <w:rsid w:val="008E33DA"/>
    <w:rsid w:val="008E3597"/>
    <w:rsid w:val="008E366A"/>
    <w:rsid w:val="008E3BCE"/>
    <w:rsid w:val="008E3C6B"/>
    <w:rsid w:val="008E3EB9"/>
    <w:rsid w:val="008E4014"/>
    <w:rsid w:val="008E4067"/>
    <w:rsid w:val="008E40D8"/>
    <w:rsid w:val="008E45D7"/>
    <w:rsid w:val="008E4771"/>
    <w:rsid w:val="008E4B6A"/>
    <w:rsid w:val="008E5112"/>
    <w:rsid w:val="008E5712"/>
    <w:rsid w:val="008E5E02"/>
    <w:rsid w:val="008E6275"/>
    <w:rsid w:val="008E648C"/>
    <w:rsid w:val="008E667E"/>
    <w:rsid w:val="008E66C7"/>
    <w:rsid w:val="008E67C5"/>
    <w:rsid w:val="008E694F"/>
    <w:rsid w:val="008E6B2A"/>
    <w:rsid w:val="008E6BA7"/>
    <w:rsid w:val="008E6FB7"/>
    <w:rsid w:val="008E7DED"/>
    <w:rsid w:val="008E7DF3"/>
    <w:rsid w:val="008E7E55"/>
    <w:rsid w:val="008F016C"/>
    <w:rsid w:val="008F0285"/>
    <w:rsid w:val="008F0597"/>
    <w:rsid w:val="008F1107"/>
    <w:rsid w:val="008F1279"/>
    <w:rsid w:val="008F19D8"/>
    <w:rsid w:val="008F1A91"/>
    <w:rsid w:val="008F22BC"/>
    <w:rsid w:val="008F2A37"/>
    <w:rsid w:val="008F2B52"/>
    <w:rsid w:val="008F3009"/>
    <w:rsid w:val="008F313D"/>
    <w:rsid w:val="008F3310"/>
    <w:rsid w:val="008F3A76"/>
    <w:rsid w:val="008F3D95"/>
    <w:rsid w:val="008F3F0A"/>
    <w:rsid w:val="008F4010"/>
    <w:rsid w:val="008F4128"/>
    <w:rsid w:val="008F4998"/>
    <w:rsid w:val="008F4A67"/>
    <w:rsid w:val="008F4D9F"/>
    <w:rsid w:val="008F5548"/>
    <w:rsid w:val="008F5C54"/>
    <w:rsid w:val="008F63DF"/>
    <w:rsid w:val="008F650E"/>
    <w:rsid w:val="008F7285"/>
    <w:rsid w:val="008F79F9"/>
    <w:rsid w:val="009000BE"/>
    <w:rsid w:val="0090021B"/>
    <w:rsid w:val="0090042E"/>
    <w:rsid w:val="00900784"/>
    <w:rsid w:val="009007AE"/>
    <w:rsid w:val="00900BEC"/>
    <w:rsid w:val="0090122C"/>
    <w:rsid w:val="009014AC"/>
    <w:rsid w:val="00901571"/>
    <w:rsid w:val="009017A7"/>
    <w:rsid w:val="00901A0A"/>
    <w:rsid w:val="0090203B"/>
    <w:rsid w:val="009023F2"/>
    <w:rsid w:val="009026FC"/>
    <w:rsid w:val="00902A26"/>
    <w:rsid w:val="00902B8A"/>
    <w:rsid w:val="00902C27"/>
    <w:rsid w:val="00902F9E"/>
    <w:rsid w:val="009032FD"/>
    <w:rsid w:val="00903844"/>
    <w:rsid w:val="00903D86"/>
    <w:rsid w:val="0090406C"/>
    <w:rsid w:val="009040A4"/>
    <w:rsid w:val="009047A3"/>
    <w:rsid w:val="00904A86"/>
    <w:rsid w:val="00905645"/>
    <w:rsid w:val="00905AA7"/>
    <w:rsid w:val="00905ED0"/>
    <w:rsid w:val="00906099"/>
    <w:rsid w:val="00906477"/>
    <w:rsid w:val="00906B64"/>
    <w:rsid w:val="00906C92"/>
    <w:rsid w:val="00906CCB"/>
    <w:rsid w:val="00906F41"/>
    <w:rsid w:val="009070C5"/>
    <w:rsid w:val="00907376"/>
    <w:rsid w:val="009073D6"/>
    <w:rsid w:val="00907B5D"/>
    <w:rsid w:val="00907CDB"/>
    <w:rsid w:val="00910AA9"/>
    <w:rsid w:val="009113C6"/>
    <w:rsid w:val="009119A6"/>
    <w:rsid w:val="009119D8"/>
    <w:rsid w:val="009121D1"/>
    <w:rsid w:val="00912A95"/>
    <w:rsid w:val="00912ADF"/>
    <w:rsid w:val="00912B12"/>
    <w:rsid w:val="00912BCE"/>
    <w:rsid w:val="00912FB6"/>
    <w:rsid w:val="00913316"/>
    <w:rsid w:val="009135A9"/>
    <w:rsid w:val="009138DC"/>
    <w:rsid w:val="00913C49"/>
    <w:rsid w:val="00914838"/>
    <w:rsid w:val="00914C90"/>
    <w:rsid w:val="009150DC"/>
    <w:rsid w:val="00915266"/>
    <w:rsid w:val="00915510"/>
    <w:rsid w:val="009155EC"/>
    <w:rsid w:val="00915D02"/>
    <w:rsid w:val="00915E38"/>
    <w:rsid w:val="00915E62"/>
    <w:rsid w:val="00915E6F"/>
    <w:rsid w:val="00915F07"/>
    <w:rsid w:val="00915F0A"/>
    <w:rsid w:val="00916259"/>
    <w:rsid w:val="00916677"/>
    <w:rsid w:val="00916A63"/>
    <w:rsid w:val="00916ABE"/>
    <w:rsid w:val="00916E8E"/>
    <w:rsid w:val="0091718E"/>
    <w:rsid w:val="0091727E"/>
    <w:rsid w:val="009177A1"/>
    <w:rsid w:val="00917EBA"/>
    <w:rsid w:val="00920E5C"/>
    <w:rsid w:val="0092115A"/>
    <w:rsid w:val="0092154A"/>
    <w:rsid w:val="00921CB1"/>
    <w:rsid w:val="00921CF7"/>
    <w:rsid w:val="00921E17"/>
    <w:rsid w:val="00921F4D"/>
    <w:rsid w:val="00922F33"/>
    <w:rsid w:val="00923192"/>
    <w:rsid w:val="009234B6"/>
    <w:rsid w:val="00923953"/>
    <w:rsid w:val="009239DA"/>
    <w:rsid w:val="009239E8"/>
    <w:rsid w:val="00923B1C"/>
    <w:rsid w:val="00923BC2"/>
    <w:rsid w:val="00923DDC"/>
    <w:rsid w:val="00923F2A"/>
    <w:rsid w:val="0092416D"/>
    <w:rsid w:val="00924B57"/>
    <w:rsid w:val="00924FFA"/>
    <w:rsid w:val="009250A6"/>
    <w:rsid w:val="00925250"/>
    <w:rsid w:val="009253FF"/>
    <w:rsid w:val="00925441"/>
    <w:rsid w:val="0092596B"/>
    <w:rsid w:val="009259B7"/>
    <w:rsid w:val="009259BD"/>
    <w:rsid w:val="00925C3F"/>
    <w:rsid w:val="00925C4C"/>
    <w:rsid w:val="009260EF"/>
    <w:rsid w:val="009264C0"/>
    <w:rsid w:val="009264DF"/>
    <w:rsid w:val="009266C1"/>
    <w:rsid w:val="00926784"/>
    <w:rsid w:val="00926BC9"/>
    <w:rsid w:val="00926F42"/>
    <w:rsid w:val="0092741A"/>
    <w:rsid w:val="009274C7"/>
    <w:rsid w:val="00927994"/>
    <w:rsid w:val="009279A1"/>
    <w:rsid w:val="00927A74"/>
    <w:rsid w:val="00927B76"/>
    <w:rsid w:val="00927BE2"/>
    <w:rsid w:val="00927FA8"/>
    <w:rsid w:val="00930021"/>
    <w:rsid w:val="00930B87"/>
    <w:rsid w:val="00930FDD"/>
    <w:rsid w:val="009310C0"/>
    <w:rsid w:val="0093138E"/>
    <w:rsid w:val="00931619"/>
    <w:rsid w:val="00931FE6"/>
    <w:rsid w:val="00932417"/>
    <w:rsid w:val="00932516"/>
    <w:rsid w:val="00932E95"/>
    <w:rsid w:val="009330DA"/>
    <w:rsid w:val="00933224"/>
    <w:rsid w:val="0093343F"/>
    <w:rsid w:val="00933902"/>
    <w:rsid w:val="00933CD1"/>
    <w:rsid w:val="00933E2B"/>
    <w:rsid w:val="00933EE2"/>
    <w:rsid w:val="00935B7E"/>
    <w:rsid w:val="00935BB9"/>
    <w:rsid w:val="00935ED0"/>
    <w:rsid w:val="00935F4C"/>
    <w:rsid w:val="009363A7"/>
    <w:rsid w:val="00936434"/>
    <w:rsid w:val="00936451"/>
    <w:rsid w:val="009367BD"/>
    <w:rsid w:val="00936A1B"/>
    <w:rsid w:val="00937079"/>
    <w:rsid w:val="00937170"/>
    <w:rsid w:val="00937181"/>
    <w:rsid w:val="009371AA"/>
    <w:rsid w:val="00937D58"/>
    <w:rsid w:val="009401A2"/>
    <w:rsid w:val="009401DC"/>
    <w:rsid w:val="00940757"/>
    <w:rsid w:val="0094081C"/>
    <w:rsid w:val="00940D4B"/>
    <w:rsid w:val="00940DF1"/>
    <w:rsid w:val="0094173D"/>
    <w:rsid w:val="00941CD0"/>
    <w:rsid w:val="00942364"/>
    <w:rsid w:val="009438D5"/>
    <w:rsid w:val="00943ACD"/>
    <w:rsid w:val="00943E01"/>
    <w:rsid w:val="00944357"/>
    <w:rsid w:val="00944460"/>
    <w:rsid w:val="0094452B"/>
    <w:rsid w:val="00944639"/>
    <w:rsid w:val="009448FE"/>
    <w:rsid w:val="00944E2E"/>
    <w:rsid w:val="00945200"/>
    <w:rsid w:val="009455C8"/>
    <w:rsid w:val="00945813"/>
    <w:rsid w:val="0094589C"/>
    <w:rsid w:val="00945AC3"/>
    <w:rsid w:val="00945CF5"/>
    <w:rsid w:val="009460CF"/>
    <w:rsid w:val="009468CF"/>
    <w:rsid w:val="009477DC"/>
    <w:rsid w:val="00947D04"/>
    <w:rsid w:val="00947E5E"/>
    <w:rsid w:val="0095001B"/>
    <w:rsid w:val="009500B6"/>
    <w:rsid w:val="009501A0"/>
    <w:rsid w:val="00950519"/>
    <w:rsid w:val="009509FC"/>
    <w:rsid w:val="00950AB1"/>
    <w:rsid w:val="00950EB4"/>
    <w:rsid w:val="00950FBD"/>
    <w:rsid w:val="00951C7A"/>
    <w:rsid w:val="009522C0"/>
    <w:rsid w:val="009526FD"/>
    <w:rsid w:val="00952812"/>
    <w:rsid w:val="00952819"/>
    <w:rsid w:val="00952D0F"/>
    <w:rsid w:val="00953075"/>
    <w:rsid w:val="009530BC"/>
    <w:rsid w:val="009532DA"/>
    <w:rsid w:val="009534A3"/>
    <w:rsid w:val="00953E7F"/>
    <w:rsid w:val="00954368"/>
    <w:rsid w:val="00954AAA"/>
    <w:rsid w:val="00954B38"/>
    <w:rsid w:val="00954EBA"/>
    <w:rsid w:val="0095500F"/>
    <w:rsid w:val="009559E5"/>
    <w:rsid w:val="00955BE2"/>
    <w:rsid w:val="00955D44"/>
    <w:rsid w:val="00955E88"/>
    <w:rsid w:val="00956080"/>
    <w:rsid w:val="009567D4"/>
    <w:rsid w:val="00956A8E"/>
    <w:rsid w:val="00956B65"/>
    <w:rsid w:val="009571B6"/>
    <w:rsid w:val="00957C8E"/>
    <w:rsid w:val="009601F9"/>
    <w:rsid w:val="009605E8"/>
    <w:rsid w:val="00961886"/>
    <w:rsid w:val="00961F67"/>
    <w:rsid w:val="009620A5"/>
    <w:rsid w:val="009624CA"/>
    <w:rsid w:val="009625D9"/>
    <w:rsid w:val="00962E29"/>
    <w:rsid w:val="00962E34"/>
    <w:rsid w:val="00963335"/>
    <w:rsid w:val="00964068"/>
    <w:rsid w:val="0096418F"/>
    <w:rsid w:val="00964213"/>
    <w:rsid w:val="00964268"/>
    <w:rsid w:val="0096449F"/>
    <w:rsid w:val="0096484C"/>
    <w:rsid w:val="009649F5"/>
    <w:rsid w:val="00964F38"/>
    <w:rsid w:val="00965473"/>
    <w:rsid w:val="0096568C"/>
    <w:rsid w:val="00965B74"/>
    <w:rsid w:val="009671D8"/>
    <w:rsid w:val="009674F2"/>
    <w:rsid w:val="009675AC"/>
    <w:rsid w:val="00967A73"/>
    <w:rsid w:val="00967B17"/>
    <w:rsid w:val="00970BB0"/>
    <w:rsid w:val="00970C73"/>
    <w:rsid w:val="00971047"/>
    <w:rsid w:val="009716B5"/>
    <w:rsid w:val="00971801"/>
    <w:rsid w:val="00971B9F"/>
    <w:rsid w:val="00971C73"/>
    <w:rsid w:val="00971D36"/>
    <w:rsid w:val="00971E11"/>
    <w:rsid w:val="00972208"/>
    <w:rsid w:val="00972344"/>
    <w:rsid w:val="009725DC"/>
    <w:rsid w:val="00972750"/>
    <w:rsid w:val="00972C17"/>
    <w:rsid w:val="00972D70"/>
    <w:rsid w:val="00972EAB"/>
    <w:rsid w:val="00972EDE"/>
    <w:rsid w:val="00972F3B"/>
    <w:rsid w:val="00973525"/>
    <w:rsid w:val="00973B35"/>
    <w:rsid w:val="00973B84"/>
    <w:rsid w:val="00973C00"/>
    <w:rsid w:val="00973C79"/>
    <w:rsid w:val="009742C3"/>
    <w:rsid w:val="009742D2"/>
    <w:rsid w:val="00974683"/>
    <w:rsid w:val="00974DC0"/>
    <w:rsid w:val="00975399"/>
    <w:rsid w:val="00975511"/>
    <w:rsid w:val="00975838"/>
    <w:rsid w:val="0097583B"/>
    <w:rsid w:val="00975BEC"/>
    <w:rsid w:val="00976005"/>
    <w:rsid w:val="00976013"/>
    <w:rsid w:val="00976573"/>
    <w:rsid w:val="00976853"/>
    <w:rsid w:val="00976936"/>
    <w:rsid w:val="00976B1D"/>
    <w:rsid w:val="00976BEB"/>
    <w:rsid w:val="00976E56"/>
    <w:rsid w:val="0097743A"/>
    <w:rsid w:val="00977B2F"/>
    <w:rsid w:val="00977E94"/>
    <w:rsid w:val="00980186"/>
    <w:rsid w:val="0098098B"/>
    <w:rsid w:val="009809CE"/>
    <w:rsid w:val="00980CBE"/>
    <w:rsid w:val="00980E05"/>
    <w:rsid w:val="0098172A"/>
    <w:rsid w:val="009817EE"/>
    <w:rsid w:val="00982120"/>
    <w:rsid w:val="00982210"/>
    <w:rsid w:val="0098223C"/>
    <w:rsid w:val="009822C2"/>
    <w:rsid w:val="00982C02"/>
    <w:rsid w:val="00982D11"/>
    <w:rsid w:val="00982DEA"/>
    <w:rsid w:val="009833C6"/>
    <w:rsid w:val="009834D0"/>
    <w:rsid w:val="009836B5"/>
    <w:rsid w:val="00983817"/>
    <w:rsid w:val="00983B12"/>
    <w:rsid w:val="00983B6D"/>
    <w:rsid w:val="00984060"/>
    <w:rsid w:val="0098414F"/>
    <w:rsid w:val="00984212"/>
    <w:rsid w:val="00984864"/>
    <w:rsid w:val="009848AD"/>
    <w:rsid w:val="00984A74"/>
    <w:rsid w:val="00984D7C"/>
    <w:rsid w:val="009850D5"/>
    <w:rsid w:val="009850DE"/>
    <w:rsid w:val="00985CFF"/>
    <w:rsid w:val="00985FAF"/>
    <w:rsid w:val="00986697"/>
    <w:rsid w:val="0098679C"/>
    <w:rsid w:val="00986B78"/>
    <w:rsid w:val="00986C63"/>
    <w:rsid w:val="009875C6"/>
    <w:rsid w:val="00987F3F"/>
    <w:rsid w:val="009906A6"/>
    <w:rsid w:val="00990781"/>
    <w:rsid w:val="00990C42"/>
    <w:rsid w:val="009911AD"/>
    <w:rsid w:val="009917A4"/>
    <w:rsid w:val="009918FB"/>
    <w:rsid w:val="009919D2"/>
    <w:rsid w:val="00991C0C"/>
    <w:rsid w:val="009924EA"/>
    <w:rsid w:val="00992ADD"/>
    <w:rsid w:val="00992D40"/>
    <w:rsid w:val="009932A1"/>
    <w:rsid w:val="009934A6"/>
    <w:rsid w:val="009937D4"/>
    <w:rsid w:val="0099433A"/>
    <w:rsid w:val="00994BD6"/>
    <w:rsid w:val="00995086"/>
    <w:rsid w:val="009951DF"/>
    <w:rsid w:val="0099578E"/>
    <w:rsid w:val="00995DF4"/>
    <w:rsid w:val="009964BB"/>
    <w:rsid w:val="00996606"/>
    <w:rsid w:val="00996E1F"/>
    <w:rsid w:val="0099725F"/>
    <w:rsid w:val="009977DB"/>
    <w:rsid w:val="0099784E"/>
    <w:rsid w:val="009979A2"/>
    <w:rsid w:val="00997A0F"/>
    <w:rsid w:val="00997C45"/>
    <w:rsid w:val="00997D55"/>
    <w:rsid w:val="009A0160"/>
    <w:rsid w:val="009A01D5"/>
    <w:rsid w:val="009A07A6"/>
    <w:rsid w:val="009A0A90"/>
    <w:rsid w:val="009A0D6D"/>
    <w:rsid w:val="009A1BF1"/>
    <w:rsid w:val="009A1E17"/>
    <w:rsid w:val="009A22F8"/>
    <w:rsid w:val="009A2486"/>
    <w:rsid w:val="009A2A03"/>
    <w:rsid w:val="009A2A95"/>
    <w:rsid w:val="009A305F"/>
    <w:rsid w:val="009A35FD"/>
    <w:rsid w:val="009A36C9"/>
    <w:rsid w:val="009A3B8A"/>
    <w:rsid w:val="009A3F0A"/>
    <w:rsid w:val="009A3FE6"/>
    <w:rsid w:val="009A4297"/>
    <w:rsid w:val="009A4918"/>
    <w:rsid w:val="009A4B47"/>
    <w:rsid w:val="009A4E3C"/>
    <w:rsid w:val="009A4EE7"/>
    <w:rsid w:val="009A5280"/>
    <w:rsid w:val="009A54B7"/>
    <w:rsid w:val="009A5BE3"/>
    <w:rsid w:val="009A5D6D"/>
    <w:rsid w:val="009A6243"/>
    <w:rsid w:val="009A6255"/>
    <w:rsid w:val="009A692D"/>
    <w:rsid w:val="009A71A7"/>
    <w:rsid w:val="009A73F7"/>
    <w:rsid w:val="009A7488"/>
    <w:rsid w:val="009A764F"/>
    <w:rsid w:val="009A77B0"/>
    <w:rsid w:val="009A7F78"/>
    <w:rsid w:val="009B01E4"/>
    <w:rsid w:val="009B0FB2"/>
    <w:rsid w:val="009B125A"/>
    <w:rsid w:val="009B1AE6"/>
    <w:rsid w:val="009B1DB1"/>
    <w:rsid w:val="009B20F7"/>
    <w:rsid w:val="009B2481"/>
    <w:rsid w:val="009B25B2"/>
    <w:rsid w:val="009B2A01"/>
    <w:rsid w:val="009B2A84"/>
    <w:rsid w:val="009B2B36"/>
    <w:rsid w:val="009B2CDD"/>
    <w:rsid w:val="009B416A"/>
    <w:rsid w:val="009B41AA"/>
    <w:rsid w:val="009B49F9"/>
    <w:rsid w:val="009B4F29"/>
    <w:rsid w:val="009B5411"/>
    <w:rsid w:val="009B5519"/>
    <w:rsid w:val="009B6080"/>
    <w:rsid w:val="009B624C"/>
    <w:rsid w:val="009B63E0"/>
    <w:rsid w:val="009B6774"/>
    <w:rsid w:val="009B6B27"/>
    <w:rsid w:val="009B6BDF"/>
    <w:rsid w:val="009B6C48"/>
    <w:rsid w:val="009B6CFE"/>
    <w:rsid w:val="009B6D7E"/>
    <w:rsid w:val="009B7446"/>
    <w:rsid w:val="009B7B1C"/>
    <w:rsid w:val="009C0107"/>
    <w:rsid w:val="009C0F2C"/>
    <w:rsid w:val="009C142F"/>
    <w:rsid w:val="009C1441"/>
    <w:rsid w:val="009C17B1"/>
    <w:rsid w:val="009C1808"/>
    <w:rsid w:val="009C1836"/>
    <w:rsid w:val="009C1903"/>
    <w:rsid w:val="009C2380"/>
    <w:rsid w:val="009C249E"/>
    <w:rsid w:val="009C2AFC"/>
    <w:rsid w:val="009C30E1"/>
    <w:rsid w:val="009C3A6E"/>
    <w:rsid w:val="009C3A87"/>
    <w:rsid w:val="009C3B8D"/>
    <w:rsid w:val="009C3D7B"/>
    <w:rsid w:val="009C443E"/>
    <w:rsid w:val="009C4583"/>
    <w:rsid w:val="009C504F"/>
    <w:rsid w:val="009C5640"/>
    <w:rsid w:val="009C594E"/>
    <w:rsid w:val="009C5EA5"/>
    <w:rsid w:val="009C6000"/>
    <w:rsid w:val="009C6804"/>
    <w:rsid w:val="009C6E74"/>
    <w:rsid w:val="009C7652"/>
    <w:rsid w:val="009C7F83"/>
    <w:rsid w:val="009D0961"/>
    <w:rsid w:val="009D0B3E"/>
    <w:rsid w:val="009D116C"/>
    <w:rsid w:val="009D147B"/>
    <w:rsid w:val="009D166E"/>
    <w:rsid w:val="009D1753"/>
    <w:rsid w:val="009D1DE7"/>
    <w:rsid w:val="009D22CD"/>
    <w:rsid w:val="009D2E88"/>
    <w:rsid w:val="009D351E"/>
    <w:rsid w:val="009D35BF"/>
    <w:rsid w:val="009D36C0"/>
    <w:rsid w:val="009D3DDB"/>
    <w:rsid w:val="009D4409"/>
    <w:rsid w:val="009D56F5"/>
    <w:rsid w:val="009D578B"/>
    <w:rsid w:val="009D5894"/>
    <w:rsid w:val="009D5C67"/>
    <w:rsid w:val="009D5F5F"/>
    <w:rsid w:val="009D6091"/>
    <w:rsid w:val="009D6324"/>
    <w:rsid w:val="009D63B1"/>
    <w:rsid w:val="009D69AF"/>
    <w:rsid w:val="009D69FC"/>
    <w:rsid w:val="009D709E"/>
    <w:rsid w:val="009D7245"/>
    <w:rsid w:val="009D7515"/>
    <w:rsid w:val="009D758C"/>
    <w:rsid w:val="009D7B55"/>
    <w:rsid w:val="009D7CD4"/>
    <w:rsid w:val="009D7DCB"/>
    <w:rsid w:val="009D7EE1"/>
    <w:rsid w:val="009E052F"/>
    <w:rsid w:val="009E0869"/>
    <w:rsid w:val="009E0DC9"/>
    <w:rsid w:val="009E103F"/>
    <w:rsid w:val="009E1937"/>
    <w:rsid w:val="009E1A1E"/>
    <w:rsid w:val="009E1AC5"/>
    <w:rsid w:val="009E1B7A"/>
    <w:rsid w:val="009E1D49"/>
    <w:rsid w:val="009E21E6"/>
    <w:rsid w:val="009E2B61"/>
    <w:rsid w:val="009E2FFD"/>
    <w:rsid w:val="009E316C"/>
    <w:rsid w:val="009E319F"/>
    <w:rsid w:val="009E31A2"/>
    <w:rsid w:val="009E3451"/>
    <w:rsid w:val="009E3783"/>
    <w:rsid w:val="009E39AC"/>
    <w:rsid w:val="009E3C5E"/>
    <w:rsid w:val="009E3D7D"/>
    <w:rsid w:val="009E3DCC"/>
    <w:rsid w:val="009E4673"/>
    <w:rsid w:val="009E5A64"/>
    <w:rsid w:val="009E67F9"/>
    <w:rsid w:val="009E6882"/>
    <w:rsid w:val="009E6A83"/>
    <w:rsid w:val="009E6B66"/>
    <w:rsid w:val="009E6E64"/>
    <w:rsid w:val="009E72CC"/>
    <w:rsid w:val="009E7669"/>
    <w:rsid w:val="009E7683"/>
    <w:rsid w:val="009E7909"/>
    <w:rsid w:val="009E7DCD"/>
    <w:rsid w:val="009F028B"/>
    <w:rsid w:val="009F082F"/>
    <w:rsid w:val="009F09A5"/>
    <w:rsid w:val="009F1475"/>
    <w:rsid w:val="009F14CC"/>
    <w:rsid w:val="009F21AD"/>
    <w:rsid w:val="009F2628"/>
    <w:rsid w:val="009F27C6"/>
    <w:rsid w:val="009F2CA4"/>
    <w:rsid w:val="009F2F45"/>
    <w:rsid w:val="009F2F8A"/>
    <w:rsid w:val="009F3461"/>
    <w:rsid w:val="009F3C7F"/>
    <w:rsid w:val="009F3D04"/>
    <w:rsid w:val="009F3D42"/>
    <w:rsid w:val="009F417A"/>
    <w:rsid w:val="009F4225"/>
    <w:rsid w:val="009F4462"/>
    <w:rsid w:val="009F483E"/>
    <w:rsid w:val="009F49F3"/>
    <w:rsid w:val="009F4DDE"/>
    <w:rsid w:val="009F573C"/>
    <w:rsid w:val="009F63FA"/>
    <w:rsid w:val="009F6D36"/>
    <w:rsid w:val="009F6F51"/>
    <w:rsid w:val="009F6F97"/>
    <w:rsid w:val="009F71BB"/>
    <w:rsid w:val="009F7369"/>
    <w:rsid w:val="009F7A40"/>
    <w:rsid w:val="009F7B3F"/>
    <w:rsid w:val="009F7F9E"/>
    <w:rsid w:val="00A000BA"/>
    <w:rsid w:val="00A001EF"/>
    <w:rsid w:val="00A0041A"/>
    <w:rsid w:val="00A00438"/>
    <w:rsid w:val="00A01042"/>
    <w:rsid w:val="00A01546"/>
    <w:rsid w:val="00A01692"/>
    <w:rsid w:val="00A01AF1"/>
    <w:rsid w:val="00A01C41"/>
    <w:rsid w:val="00A01D75"/>
    <w:rsid w:val="00A0243C"/>
    <w:rsid w:val="00A03000"/>
    <w:rsid w:val="00A030C5"/>
    <w:rsid w:val="00A035A3"/>
    <w:rsid w:val="00A038C3"/>
    <w:rsid w:val="00A038F9"/>
    <w:rsid w:val="00A0396A"/>
    <w:rsid w:val="00A03D03"/>
    <w:rsid w:val="00A0402C"/>
    <w:rsid w:val="00A04351"/>
    <w:rsid w:val="00A046AC"/>
    <w:rsid w:val="00A04CDE"/>
    <w:rsid w:val="00A04E46"/>
    <w:rsid w:val="00A04F6C"/>
    <w:rsid w:val="00A04F76"/>
    <w:rsid w:val="00A051C5"/>
    <w:rsid w:val="00A06515"/>
    <w:rsid w:val="00A06DD2"/>
    <w:rsid w:val="00A07560"/>
    <w:rsid w:val="00A07C17"/>
    <w:rsid w:val="00A07CA1"/>
    <w:rsid w:val="00A10C0E"/>
    <w:rsid w:val="00A10F0B"/>
    <w:rsid w:val="00A110A7"/>
    <w:rsid w:val="00A11169"/>
    <w:rsid w:val="00A11232"/>
    <w:rsid w:val="00A11A9B"/>
    <w:rsid w:val="00A11AE6"/>
    <w:rsid w:val="00A11B9F"/>
    <w:rsid w:val="00A11F68"/>
    <w:rsid w:val="00A12335"/>
    <w:rsid w:val="00A1278F"/>
    <w:rsid w:val="00A1295B"/>
    <w:rsid w:val="00A12DB0"/>
    <w:rsid w:val="00A13267"/>
    <w:rsid w:val="00A136CC"/>
    <w:rsid w:val="00A137C7"/>
    <w:rsid w:val="00A13AC0"/>
    <w:rsid w:val="00A1488B"/>
    <w:rsid w:val="00A149EC"/>
    <w:rsid w:val="00A14AF3"/>
    <w:rsid w:val="00A157A9"/>
    <w:rsid w:val="00A16177"/>
    <w:rsid w:val="00A165A1"/>
    <w:rsid w:val="00A16B16"/>
    <w:rsid w:val="00A16F0C"/>
    <w:rsid w:val="00A172CB"/>
    <w:rsid w:val="00A17A9E"/>
    <w:rsid w:val="00A21F3E"/>
    <w:rsid w:val="00A22287"/>
    <w:rsid w:val="00A22505"/>
    <w:rsid w:val="00A228FE"/>
    <w:rsid w:val="00A22D37"/>
    <w:rsid w:val="00A236DB"/>
    <w:rsid w:val="00A24119"/>
    <w:rsid w:val="00A2483A"/>
    <w:rsid w:val="00A2483B"/>
    <w:rsid w:val="00A24CE9"/>
    <w:rsid w:val="00A24EF1"/>
    <w:rsid w:val="00A251C8"/>
    <w:rsid w:val="00A25759"/>
    <w:rsid w:val="00A25BBE"/>
    <w:rsid w:val="00A260D4"/>
    <w:rsid w:val="00A2641A"/>
    <w:rsid w:val="00A268BF"/>
    <w:rsid w:val="00A26ED0"/>
    <w:rsid w:val="00A26F28"/>
    <w:rsid w:val="00A271CB"/>
    <w:rsid w:val="00A2727F"/>
    <w:rsid w:val="00A27494"/>
    <w:rsid w:val="00A27623"/>
    <w:rsid w:val="00A27902"/>
    <w:rsid w:val="00A27B9F"/>
    <w:rsid w:val="00A27EA1"/>
    <w:rsid w:val="00A3010A"/>
    <w:rsid w:val="00A30ACA"/>
    <w:rsid w:val="00A30D16"/>
    <w:rsid w:val="00A31235"/>
    <w:rsid w:val="00A31527"/>
    <w:rsid w:val="00A31870"/>
    <w:rsid w:val="00A319E0"/>
    <w:rsid w:val="00A32805"/>
    <w:rsid w:val="00A32D26"/>
    <w:rsid w:val="00A33403"/>
    <w:rsid w:val="00A33828"/>
    <w:rsid w:val="00A3387B"/>
    <w:rsid w:val="00A34758"/>
    <w:rsid w:val="00A3523B"/>
    <w:rsid w:val="00A35614"/>
    <w:rsid w:val="00A357B6"/>
    <w:rsid w:val="00A3598F"/>
    <w:rsid w:val="00A35B7A"/>
    <w:rsid w:val="00A35D31"/>
    <w:rsid w:val="00A36196"/>
    <w:rsid w:val="00A36667"/>
    <w:rsid w:val="00A368B1"/>
    <w:rsid w:val="00A36D06"/>
    <w:rsid w:val="00A36F73"/>
    <w:rsid w:val="00A37217"/>
    <w:rsid w:val="00A3761B"/>
    <w:rsid w:val="00A37DA1"/>
    <w:rsid w:val="00A40D9B"/>
    <w:rsid w:val="00A40DF4"/>
    <w:rsid w:val="00A40F78"/>
    <w:rsid w:val="00A4139E"/>
    <w:rsid w:val="00A4168F"/>
    <w:rsid w:val="00A42EBA"/>
    <w:rsid w:val="00A43366"/>
    <w:rsid w:val="00A438C1"/>
    <w:rsid w:val="00A43C0C"/>
    <w:rsid w:val="00A43C79"/>
    <w:rsid w:val="00A43D32"/>
    <w:rsid w:val="00A43EA7"/>
    <w:rsid w:val="00A44244"/>
    <w:rsid w:val="00A445E7"/>
    <w:rsid w:val="00A44667"/>
    <w:rsid w:val="00A448BD"/>
    <w:rsid w:val="00A4492D"/>
    <w:rsid w:val="00A45010"/>
    <w:rsid w:val="00A45445"/>
    <w:rsid w:val="00A46226"/>
    <w:rsid w:val="00A462A1"/>
    <w:rsid w:val="00A46BBE"/>
    <w:rsid w:val="00A46F25"/>
    <w:rsid w:val="00A473B8"/>
    <w:rsid w:val="00A47E2C"/>
    <w:rsid w:val="00A50620"/>
    <w:rsid w:val="00A50A37"/>
    <w:rsid w:val="00A50AF6"/>
    <w:rsid w:val="00A5117C"/>
    <w:rsid w:val="00A5164B"/>
    <w:rsid w:val="00A51911"/>
    <w:rsid w:val="00A51AF9"/>
    <w:rsid w:val="00A52350"/>
    <w:rsid w:val="00A5293F"/>
    <w:rsid w:val="00A52E74"/>
    <w:rsid w:val="00A539A9"/>
    <w:rsid w:val="00A5450F"/>
    <w:rsid w:val="00A54645"/>
    <w:rsid w:val="00A54848"/>
    <w:rsid w:val="00A55781"/>
    <w:rsid w:val="00A559EF"/>
    <w:rsid w:val="00A56102"/>
    <w:rsid w:val="00A5631B"/>
    <w:rsid w:val="00A5664C"/>
    <w:rsid w:val="00A5690F"/>
    <w:rsid w:val="00A56B0D"/>
    <w:rsid w:val="00A56B4A"/>
    <w:rsid w:val="00A57519"/>
    <w:rsid w:val="00A60553"/>
    <w:rsid w:val="00A60896"/>
    <w:rsid w:val="00A60E99"/>
    <w:rsid w:val="00A60EC1"/>
    <w:rsid w:val="00A6124C"/>
    <w:rsid w:val="00A61256"/>
    <w:rsid w:val="00A614A0"/>
    <w:rsid w:val="00A6154A"/>
    <w:rsid w:val="00A61821"/>
    <w:rsid w:val="00A618A1"/>
    <w:rsid w:val="00A61F39"/>
    <w:rsid w:val="00A6234D"/>
    <w:rsid w:val="00A624D5"/>
    <w:rsid w:val="00A62D2C"/>
    <w:rsid w:val="00A62F3A"/>
    <w:rsid w:val="00A63A27"/>
    <w:rsid w:val="00A63C0F"/>
    <w:rsid w:val="00A64224"/>
    <w:rsid w:val="00A6430C"/>
    <w:rsid w:val="00A64521"/>
    <w:rsid w:val="00A64AC6"/>
    <w:rsid w:val="00A64B69"/>
    <w:rsid w:val="00A65520"/>
    <w:rsid w:val="00A65859"/>
    <w:rsid w:val="00A66278"/>
    <w:rsid w:val="00A6628A"/>
    <w:rsid w:val="00A66580"/>
    <w:rsid w:val="00A66C88"/>
    <w:rsid w:val="00A66CE2"/>
    <w:rsid w:val="00A67172"/>
    <w:rsid w:val="00A67743"/>
    <w:rsid w:val="00A67D6E"/>
    <w:rsid w:val="00A70040"/>
    <w:rsid w:val="00A702C3"/>
    <w:rsid w:val="00A70658"/>
    <w:rsid w:val="00A70843"/>
    <w:rsid w:val="00A70968"/>
    <w:rsid w:val="00A70FC9"/>
    <w:rsid w:val="00A71471"/>
    <w:rsid w:val="00A7157C"/>
    <w:rsid w:val="00A71791"/>
    <w:rsid w:val="00A71861"/>
    <w:rsid w:val="00A71AE5"/>
    <w:rsid w:val="00A71C19"/>
    <w:rsid w:val="00A71C68"/>
    <w:rsid w:val="00A71DD1"/>
    <w:rsid w:val="00A7213A"/>
    <w:rsid w:val="00A72327"/>
    <w:rsid w:val="00A72396"/>
    <w:rsid w:val="00A72690"/>
    <w:rsid w:val="00A727C4"/>
    <w:rsid w:val="00A72992"/>
    <w:rsid w:val="00A72F40"/>
    <w:rsid w:val="00A73277"/>
    <w:rsid w:val="00A73514"/>
    <w:rsid w:val="00A73FE2"/>
    <w:rsid w:val="00A741B9"/>
    <w:rsid w:val="00A74CCC"/>
    <w:rsid w:val="00A751D7"/>
    <w:rsid w:val="00A758EC"/>
    <w:rsid w:val="00A75C2A"/>
    <w:rsid w:val="00A766B6"/>
    <w:rsid w:val="00A76E1E"/>
    <w:rsid w:val="00A771EA"/>
    <w:rsid w:val="00A7735B"/>
    <w:rsid w:val="00A77419"/>
    <w:rsid w:val="00A7742B"/>
    <w:rsid w:val="00A77433"/>
    <w:rsid w:val="00A779AC"/>
    <w:rsid w:val="00A800B5"/>
    <w:rsid w:val="00A8030B"/>
    <w:rsid w:val="00A808ED"/>
    <w:rsid w:val="00A80E63"/>
    <w:rsid w:val="00A80E77"/>
    <w:rsid w:val="00A80FF9"/>
    <w:rsid w:val="00A81362"/>
    <w:rsid w:val="00A81644"/>
    <w:rsid w:val="00A816B6"/>
    <w:rsid w:val="00A81B0F"/>
    <w:rsid w:val="00A824C2"/>
    <w:rsid w:val="00A82654"/>
    <w:rsid w:val="00A82D3D"/>
    <w:rsid w:val="00A82E54"/>
    <w:rsid w:val="00A83200"/>
    <w:rsid w:val="00A83655"/>
    <w:rsid w:val="00A83978"/>
    <w:rsid w:val="00A83F7F"/>
    <w:rsid w:val="00A84AA5"/>
    <w:rsid w:val="00A84ACE"/>
    <w:rsid w:val="00A84CB6"/>
    <w:rsid w:val="00A84F93"/>
    <w:rsid w:val="00A85090"/>
    <w:rsid w:val="00A8516E"/>
    <w:rsid w:val="00A853CC"/>
    <w:rsid w:val="00A85667"/>
    <w:rsid w:val="00A85699"/>
    <w:rsid w:val="00A85745"/>
    <w:rsid w:val="00A85CF3"/>
    <w:rsid w:val="00A85DC8"/>
    <w:rsid w:val="00A8630C"/>
    <w:rsid w:val="00A86531"/>
    <w:rsid w:val="00A865D8"/>
    <w:rsid w:val="00A8695A"/>
    <w:rsid w:val="00A87035"/>
    <w:rsid w:val="00A87518"/>
    <w:rsid w:val="00A876A7"/>
    <w:rsid w:val="00A8778C"/>
    <w:rsid w:val="00A87BD6"/>
    <w:rsid w:val="00A87CAD"/>
    <w:rsid w:val="00A900B6"/>
    <w:rsid w:val="00A9050B"/>
    <w:rsid w:val="00A90E4A"/>
    <w:rsid w:val="00A91490"/>
    <w:rsid w:val="00A918CC"/>
    <w:rsid w:val="00A91A37"/>
    <w:rsid w:val="00A9216D"/>
    <w:rsid w:val="00A9269D"/>
    <w:rsid w:val="00A92C98"/>
    <w:rsid w:val="00A92CE8"/>
    <w:rsid w:val="00A92D19"/>
    <w:rsid w:val="00A934BE"/>
    <w:rsid w:val="00A93518"/>
    <w:rsid w:val="00A94AD6"/>
    <w:rsid w:val="00A94CE7"/>
    <w:rsid w:val="00A95220"/>
    <w:rsid w:val="00A957D3"/>
    <w:rsid w:val="00A95B92"/>
    <w:rsid w:val="00A95C85"/>
    <w:rsid w:val="00A95D13"/>
    <w:rsid w:val="00A96823"/>
    <w:rsid w:val="00A96BCE"/>
    <w:rsid w:val="00A96FE4"/>
    <w:rsid w:val="00A976DD"/>
    <w:rsid w:val="00A977DA"/>
    <w:rsid w:val="00A97FE2"/>
    <w:rsid w:val="00AA03E7"/>
    <w:rsid w:val="00AA055D"/>
    <w:rsid w:val="00AA06E7"/>
    <w:rsid w:val="00AA0A61"/>
    <w:rsid w:val="00AA0D4B"/>
    <w:rsid w:val="00AA1236"/>
    <w:rsid w:val="00AA14DC"/>
    <w:rsid w:val="00AA1648"/>
    <w:rsid w:val="00AA21AE"/>
    <w:rsid w:val="00AA260F"/>
    <w:rsid w:val="00AA38A2"/>
    <w:rsid w:val="00AA3B38"/>
    <w:rsid w:val="00AA3E44"/>
    <w:rsid w:val="00AA40A0"/>
    <w:rsid w:val="00AA4529"/>
    <w:rsid w:val="00AA45C0"/>
    <w:rsid w:val="00AA5194"/>
    <w:rsid w:val="00AA5287"/>
    <w:rsid w:val="00AA5855"/>
    <w:rsid w:val="00AA60AF"/>
    <w:rsid w:val="00AA67F4"/>
    <w:rsid w:val="00AA6850"/>
    <w:rsid w:val="00AA6D5A"/>
    <w:rsid w:val="00AA76A3"/>
    <w:rsid w:val="00AA7C68"/>
    <w:rsid w:val="00AA7F4A"/>
    <w:rsid w:val="00AB0062"/>
    <w:rsid w:val="00AB03F4"/>
    <w:rsid w:val="00AB0E55"/>
    <w:rsid w:val="00AB1373"/>
    <w:rsid w:val="00AB17D1"/>
    <w:rsid w:val="00AB1890"/>
    <w:rsid w:val="00AB1D47"/>
    <w:rsid w:val="00AB1EDA"/>
    <w:rsid w:val="00AB2891"/>
    <w:rsid w:val="00AB2DDD"/>
    <w:rsid w:val="00AB2FEF"/>
    <w:rsid w:val="00AB30F5"/>
    <w:rsid w:val="00AB37DD"/>
    <w:rsid w:val="00AB3917"/>
    <w:rsid w:val="00AB393A"/>
    <w:rsid w:val="00AB3C05"/>
    <w:rsid w:val="00AB4371"/>
    <w:rsid w:val="00AB45CE"/>
    <w:rsid w:val="00AB47A2"/>
    <w:rsid w:val="00AB49D7"/>
    <w:rsid w:val="00AB4B5D"/>
    <w:rsid w:val="00AB4EA7"/>
    <w:rsid w:val="00AB5292"/>
    <w:rsid w:val="00AB55AC"/>
    <w:rsid w:val="00AB56A4"/>
    <w:rsid w:val="00AB572C"/>
    <w:rsid w:val="00AB57AD"/>
    <w:rsid w:val="00AB60DA"/>
    <w:rsid w:val="00AB642C"/>
    <w:rsid w:val="00AB68AD"/>
    <w:rsid w:val="00AB72F0"/>
    <w:rsid w:val="00AB76BD"/>
    <w:rsid w:val="00AB774A"/>
    <w:rsid w:val="00AB782D"/>
    <w:rsid w:val="00AB798F"/>
    <w:rsid w:val="00AC022C"/>
    <w:rsid w:val="00AC0823"/>
    <w:rsid w:val="00AC0D88"/>
    <w:rsid w:val="00AC0DEC"/>
    <w:rsid w:val="00AC0E4B"/>
    <w:rsid w:val="00AC0F69"/>
    <w:rsid w:val="00AC11FD"/>
    <w:rsid w:val="00AC1213"/>
    <w:rsid w:val="00AC1303"/>
    <w:rsid w:val="00AC1AD4"/>
    <w:rsid w:val="00AC1E3A"/>
    <w:rsid w:val="00AC1ED8"/>
    <w:rsid w:val="00AC1F45"/>
    <w:rsid w:val="00AC24B4"/>
    <w:rsid w:val="00AC2BE8"/>
    <w:rsid w:val="00AC3515"/>
    <w:rsid w:val="00AC36CA"/>
    <w:rsid w:val="00AC37E9"/>
    <w:rsid w:val="00AC4273"/>
    <w:rsid w:val="00AC48F7"/>
    <w:rsid w:val="00AC4932"/>
    <w:rsid w:val="00AC49A1"/>
    <w:rsid w:val="00AC4B6A"/>
    <w:rsid w:val="00AC515A"/>
    <w:rsid w:val="00AC5E1D"/>
    <w:rsid w:val="00AC62AD"/>
    <w:rsid w:val="00AC6D0F"/>
    <w:rsid w:val="00AC6F87"/>
    <w:rsid w:val="00AC75DF"/>
    <w:rsid w:val="00AC7A0E"/>
    <w:rsid w:val="00AD0042"/>
    <w:rsid w:val="00AD0630"/>
    <w:rsid w:val="00AD117E"/>
    <w:rsid w:val="00AD12EF"/>
    <w:rsid w:val="00AD1388"/>
    <w:rsid w:val="00AD142B"/>
    <w:rsid w:val="00AD1454"/>
    <w:rsid w:val="00AD16EE"/>
    <w:rsid w:val="00AD1900"/>
    <w:rsid w:val="00AD1969"/>
    <w:rsid w:val="00AD1B0B"/>
    <w:rsid w:val="00AD1E79"/>
    <w:rsid w:val="00AD1FB5"/>
    <w:rsid w:val="00AD217E"/>
    <w:rsid w:val="00AD250F"/>
    <w:rsid w:val="00AD2523"/>
    <w:rsid w:val="00AD2540"/>
    <w:rsid w:val="00AD273D"/>
    <w:rsid w:val="00AD315B"/>
    <w:rsid w:val="00AD3714"/>
    <w:rsid w:val="00AD3C83"/>
    <w:rsid w:val="00AD3F10"/>
    <w:rsid w:val="00AD4000"/>
    <w:rsid w:val="00AD45C2"/>
    <w:rsid w:val="00AD4698"/>
    <w:rsid w:val="00AD48FD"/>
    <w:rsid w:val="00AD5D7E"/>
    <w:rsid w:val="00AD6107"/>
    <w:rsid w:val="00AD6153"/>
    <w:rsid w:val="00AD62B7"/>
    <w:rsid w:val="00AD6954"/>
    <w:rsid w:val="00AD69FE"/>
    <w:rsid w:val="00AD6A8D"/>
    <w:rsid w:val="00AD70D0"/>
    <w:rsid w:val="00AD7890"/>
    <w:rsid w:val="00AD7A1F"/>
    <w:rsid w:val="00AE030D"/>
    <w:rsid w:val="00AE03DE"/>
    <w:rsid w:val="00AE0548"/>
    <w:rsid w:val="00AE124C"/>
    <w:rsid w:val="00AE159A"/>
    <w:rsid w:val="00AE1705"/>
    <w:rsid w:val="00AE18E8"/>
    <w:rsid w:val="00AE1C37"/>
    <w:rsid w:val="00AE1E27"/>
    <w:rsid w:val="00AE22D1"/>
    <w:rsid w:val="00AE24E7"/>
    <w:rsid w:val="00AE2ECE"/>
    <w:rsid w:val="00AE3396"/>
    <w:rsid w:val="00AE37ED"/>
    <w:rsid w:val="00AE3A34"/>
    <w:rsid w:val="00AE3A53"/>
    <w:rsid w:val="00AE3AEB"/>
    <w:rsid w:val="00AE3D42"/>
    <w:rsid w:val="00AE4083"/>
    <w:rsid w:val="00AE419E"/>
    <w:rsid w:val="00AE43AD"/>
    <w:rsid w:val="00AE4C49"/>
    <w:rsid w:val="00AE52C9"/>
    <w:rsid w:val="00AE55C9"/>
    <w:rsid w:val="00AE634C"/>
    <w:rsid w:val="00AE6750"/>
    <w:rsid w:val="00AE6A17"/>
    <w:rsid w:val="00AE710B"/>
    <w:rsid w:val="00AE75DC"/>
    <w:rsid w:val="00AE7958"/>
    <w:rsid w:val="00AE7E99"/>
    <w:rsid w:val="00AF043E"/>
    <w:rsid w:val="00AF0780"/>
    <w:rsid w:val="00AF0ED3"/>
    <w:rsid w:val="00AF1782"/>
    <w:rsid w:val="00AF1864"/>
    <w:rsid w:val="00AF217B"/>
    <w:rsid w:val="00AF228D"/>
    <w:rsid w:val="00AF2491"/>
    <w:rsid w:val="00AF3275"/>
    <w:rsid w:val="00AF379B"/>
    <w:rsid w:val="00AF3F9D"/>
    <w:rsid w:val="00AF44C1"/>
    <w:rsid w:val="00AF4C7D"/>
    <w:rsid w:val="00AF4E14"/>
    <w:rsid w:val="00AF50D4"/>
    <w:rsid w:val="00AF5347"/>
    <w:rsid w:val="00AF6113"/>
    <w:rsid w:val="00AF6412"/>
    <w:rsid w:val="00AF67D0"/>
    <w:rsid w:val="00AF6F91"/>
    <w:rsid w:val="00AF7181"/>
    <w:rsid w:val="00AF7BEE"/>
    <w:rsid w:val="00AF7EBB"/>
    <w:rsid w:val="00B00178"/>
    <w:rsid w:val="00B001CD"/>
    <w:rsid w:val="00B003D3"/>
    <w:rsid w:val="00B0052C"/>
    <w:rsid w:val="00B00E7C"/>
    <w:rsid w:val="00B01406"/>
    <w:rsid w:val="00B0194C"/>
    <w:rsid w:val="00B0199D"/>
    <w:rsid w:val="00B01AE5"/>
    <w:rsid w:val="00B01C19"/>
    <w:rsid w:val="00B01CD6"/>
    <w:rsid w:val="00B01E6A"/>
    <w:rsid w:val="00B01F24"/>
    <w:rsid w:val="00B01FBB"/>
    <w:rsid w:val="00B02857"/>
    <w:rsid w:val="00B02E8C"/>
    <w:rsid w:val="00B02FB3"/>
    <w:rsid w:val="00B03459"/>
    <w:rsid w:val="00B03591"/>
    <w:rsid w:val="00B03B28"/>
    <w:rsid w:val="00B03EF7"/>
    <w:rsid w:val="00B046D6"/>
    <w:rsid w:val="00B04778"/>
    <w:rsid w:val="00B049B3"/>
    <w:rsid w:val="00B04BF6"/>
    <w:rsid w:val="00B05CAD"/>
    <w:rsid w:val="00B06068"/>
    <w:rsid w:val="00B0616A"/>
    <w:rsid w:val="00B06A5C"/>
    <w:rsid w:val="00B07068"/>
    <w:rsid w:val="00B0716B"/>
    <w:rsid w:val="00B07308"/>
    <w:rsid w:val="00B0742D"/>
    <w:rsid w:val="00B07477"/>
    <w:rsid w:val="00B07B8B"/>
    <w:rsid w:val="00B07E07"/>
    <w:rsid w:val="00B10227"/>
    <w:rsid w:val="00B102BD"/>
    <w:rsid w:val="00B1089B"/>
    <w:rsid w:val="00B10CB2"/>
    <w:rsid w:val="00B10CC6"/>
    <w:rsid w:val="00B10FCA"/>
    <w:rsid w:val="00B1132B"/>
    <w:rsid w:val="00B118AF"/>
    <w:rsid w:val="00B11984"/>
    <w:rsid w:val="00B12334"/>
    <w:rsid w:val="00B12717"/>
    <w:rsid w:val="00B127C0"/>
    <w:rsid w:val="00B12941"/>
    <w:rsid w:val="00B12A60"/>
    <w:rsid w:val="00B131EE"/>
    <w:rsid w:val="00B13532"/>
    <w:rsid w:val="00B135A9"/>
    <w:rsid w:val="00B13664"/>
    <w:rsid w:val="00B1368F"/>
    <w:rsid w:val="00B13780"/>
    <w:rsid w:val="00B13A3A"/>
    <w:rsid w:val="00B13F38"/>
    <w:rsid w:val="00B140E4"/>
    <w:rsid w:val="00B140F5"/>
    <w:rsid w:val="00B14CE2"/>
    <w:rsid w:val="00B15273"/>
    <w:rsid w:val="00B1550B"/>
    <w:rsid w:val="00B15580"/>
    <w:rsid w:val="00B15AD4"/>
    <w:rsid w:val="00B1613F"/>
    <w:rsid w:val="00B16898"/>
    <w:rsid w:val="00B168ED"/>
    <w:rsid w:val="00B16A40"/>
    <w:rsid w:val="00B16B10"/>
    <w:rsid w:val="00B171A8"/>
    <w:rsid w:val="00B17F43"/>
    <w:rsid w:val="00B2004E"/>
    <w:rsid w:val="00B20A85"/>
    <w:rsid w:val="00B20A8B"/>
    <w:rsid w:val="00B216C7"/>
    <w:rsid w:val="00B2177F"/>
    <w:rsid w:val="00B217FB"/>
    <w:rsid w:val="00B21F81"/>
    <w:rsid w:val="00B22185"/>
    <w:rsid w:val="00B2278D"/>
    <w:rsid w:val="00B22A07"/>
    <w:rsid w:val="00B22EA0"/>
    <w:rsid w:val="00B2301B"/>
    <w:rsid w:val="00B23039"/>
    <w:rsid w:val="00B232F3"/>
    <w:rsid w:val="00B23542"/>
    <w:rsid w:val="00B235FE"/>
    <w:rsid w:val="00B2360A"/>
    <w:rsid w:val="00B236F9"/>
    <w:rsid w:val="00B23F3E"/>
    <w:rsid w:val="00B24140"/>
    <w:rsid w:val="00B2430D"/>
    <w:rsid w:val="00B2431E"/>
    <w:rsid w:val="00B24377"/>
    <w:rsid w:val="00B247AB"/>
    <w:rsid w:val="00B24981"/>
    <w:rsid w:val="00B24FAA"/>
    <w:rsid w:val="00B2582E"/>
    <w:rsid w:val="00B259DB"/>
    <w:rsid w:val="00B25EBD"/>
    <w:rsid w:val="00B265BF"/>
    <w:rsid w:val="00B267A3"/>
    <w:rsid w:val="00B269EA"/>
    <w:rsid w:val="00B26A5C"/>
    <w:rsid w:val="00B26C41"/>
    <w:rsid w:val="00B270CC"/>
    <w:rsid w:val="00B277DA"/>
    <w:rsid w:val="00B27FA8"/>
    <w:rsid w:val="00B302D5"/>
    <w:rsid w:val="00B306AC"/>
    <w:rsid w:val="00B30B5E"/>
    <w:rsid w:val="00B31233"/>
    <w:rsid w:val="00B3127B"/>
    <w:rsid w:val="00B314F2"/>
    <w:rsid w:val="00B31553"/>
    <w:rsid w:val="00B31D92"/>
    <w:rsid w:val="00B32003"/>
    <w:rsid w:val="00B32BC2"/>
    <w:rsid w:val="00B335C5"/>
    <w:rsid w:val="00B335F2"/>
    <w:rsid w:val="00B337BA"/>
    <w:rsid w:val="00B338C6"/>
    <w:rsid w:val="00B33B38"/>
    <w:rsid w:val="00B33D57"/>
    <w:rsid w:val="00B33FED"/>
    <w:rsid w:val="00B3418B"/>
    <w:rsid w:val="00B34486"/>
    <w:rsid w:val="00B3485E"/>
    <w:rsid w:val="00B34AB5"/>
    <w:rsid w:val="00B35A6A"/>
    <w:rsid w:val="00B35C19"/>
    <w:rsid w:val="00B35DCD"/>
    <w:rsid w:val="00B35F90"/>
    <w:rsid w:val="00B3646B"/>
    <w:rsid w:val="00B36F8B"/>
    <w:rsid w:val="00B3777B"/>
    <w:rsid w:val="00B40019"/>
    <w:rsid w:val="00B4004F"/>
    <w:rsid w:val="00B409EB"/>
    <w:rsid w:val="00B4164A"/>
    <w:rsid w:val="00B41CD1"/>
    <w:rsid w:val="00B42E54"/>
    <w:rsid w:val="00B43271"/>
    <w:rsid w:val="00B432A0"/>
    <w:rsid w:val="00B436C7"/>
    <w:rsid w:val="00B43A86"/>
    <w:rsid w:val="00B441C4"/>
    <w:rsid w:val="00B44302"/>
    <w:rsid w:val="00B444AE"/>
    <w:rsid w:val="00B44583"/>
    <w:rsid w:val="00B44669"/>
    <w:rsid w:val="00B44BFB"/>
    <w:rsid w:val="00B44DF3"/>
    <w:rsid w:val="00B44DF6"/>
    <w:rsid w:val="00B44F9E"/>
    <w:rsid w:val="00B4510E"/>
    <w:rsid w:val="00B451A1"/>
    <w:rsid w:val="00B45705"/>
    <w:rsid w:val="00B45A21"/>
    <w:rsid w:val="00B45ACA"/>
    <w:rsid w:val="00B46392"/>
    <w:rsid w:val="00B47752"/>
    <w:rsid w:val="00B47BD3"/>
    <w:rsid w:val="00B47C73"/>
    <w:rsid w:val="00B47FF1"/>
    <w:rsid w:val="00B502E1"/>
    <w:rsid w:val="00B50566"/>
    <w:rsid w:val="00B509F8"/>
    <w:rsid w:val="00B50ABD"/>
    <w:rsid w:val="00B50B4A"/>
    <w:rsid w:val="00B513E6"/>
    <w:rsid w:val="00B5165D"/>
    <w:rsid w:val="00B527E7"/>
    <w:rsid w:val="00B52A44"/>
    <w:rsid w:val="00B52C93"/>
    <w:rsid w:val="00B52EFA"/>
    <w:rsid w:val="00B5445D"/>
    <w:rsid w:val="00B54722"/>
    <w:rsid w:val="00B54CE4"/>
    <w:rsid w:val="00B54DEA"/>
    <w:rsid w:val="00B54EBD"/>
    <w:rsid w:val="00B560C8"/>
    <w:rsid w:val="00B56173"/>
    <w:rsid w:val="00B56B28"/>
    <w:rsid w:val="00B56C79"/>
    <w:rsid w:val="00B56E3E"/>
    <w:rsid w:val="00B570E9"/>
    <w:rsid w:val="00B5754B"/>
    <w:rsid w:val="00B57B81"/>
    <w:rsid w:val="00B600B4"/>
    <w:rsid w:val="00B60E22"/>
    <w:rsid w:val="00B61CB7"/>
    <w:rsid w:val="00B61CED"/>
    <w:rsid w:val="00B61EE4"/>
    <w:rsid w:val="00B62363"/>
    <w:rsid w:val="00B62574"/>
    <w:rsid w:val="00B62D8A"/>
    <w:rsid w:val="00B63200"/>
    <w:rsid w:val="00B63CD2"/>
    <w:rsid w:val="00B63F3A"/>
    <w:rsid w:val="00B6413C"/>
    <w:rsid w:val="00B6474D"/>
    <w:rsid w:val="00B649B5"/>
    <w:rsid w:val="00B64F33"/>
    <w:rsid w:val="00B64FCE"/>
    <w:rsid w:val="00B65043"/>
    <w:rsid w:val="00B65623"/>
    <w:rsid w:val="00B65ACC"/>
    <w:rsid w:val="00B65B14"/>
    <w:rsid w:val="00B65F29"/>
    <w:rsid w:val="00B661A9"/>
    <w:rsid w:val="00B66A80"/>
    <w:rsid w:val="00B66D34"/>
    <w:rsid w:val="00B66D63"/>
    <w:rsid w:val="00B66DE4"/>
    <w:rsid w:val="00B67650"/>
    <w:rsid w:val="00B67881"/>
    <w:rsid w:val="00B678BA"/>
    <w:rsid w:val="00B67D0D"/>
    <w:rsid w:val="00B7033B"/>
    <w:rsid w:val="00B704B7"/>
    <w:rsid w:val="00B707DB"/>
    <w:rsid w:val="00B70C2E"/>
    <w:rsid w:val="00B712EB"/>
    <w:rsid w:val="00B71638"/>
    <w:rsid w:val="00B71A25"/>
    <w:rsid w:val="00B71B40"/>
    <w:rsid w:val="00B71C9B"/>
    <w:rsid w:val="00B72408"/>
    <w:rsid w:val="00B72523"/>
    <w:rsid w:val="00B72CBA"/>
    <w:rsid w:val="00B72FA1"/>
    <w:rsid w:val="00B73126"/>
    <w:rsid w:val="00B73288"/>
    <w:rsid w:val="00B738FE"/>
    <w:rsid w:val="00B7394D"/>
    <w:rsid w:val="00B739A0"/>
    <w:rsid w:val="00B74130"/>
    <w:rsid w:val="00B74372"/>
    <w:rsid w:val="00B74462"/>
    <w:rsid w:val="00B74A3E"/>
    <w:rsid w:val="00B74DF8"/>
    <w:rsid w:val="00B74FA2"/>
    <w:rsid w:val="00B7553F"/>
    <w:rsid w:val="00B761D9"/>
    <w:rsid w:val="00B76A90"/>
    <w:rsid w:val="00B76BAC"/>
    <w:rsid w:val="00B7717E"/>
    <w:rsid w:val="00B77334"/>
    <w:rsid w:val="00B77FDC"/>
    <w:rsid w:val="00B804E3"/>
    <w:rsid w:val="00B80841"/>
    <w:rsid w:val="00B80872"/>
    <w:rsid w:val="00B808FA"/>
    <w:rsid w:val="00B80B4D"/>
    <w:rsid w:val="00B80E20"/>
    <w:rsid w:val="00B80FE4"/>
    <w:rsid w:val="00B815A1"/>
    <w:rsid w:val="00B81A86"/>
    <w:rsid w:val="00B81F40"/>
    <w:rsid w:val="00B82816"/>
    <w:rsid w:val="00B82AA9"/>
    <w:rsid w:val="00B83148"/>
    <w:rsid w:val="00B8336F"/>
    <w:rsid w:val="00B83853"/>
    <w:rsid w:val="00B8391D"/>
    <w:rsid w:val="00B83C35"/>
    <w:rsid w:val="00B83E80"/>
    <w:rsid w:val="00B84DA2"/>
    <w:rsid w:val="00B850EE"/>
    <w:rsid w:val="00B854BC"/>
    <w:rsid w:val="00B856C3"/>
    <w:rsid w:val="00B85B26"/>
    <w:rsid w:val="00B85DF3"/>
    <w:rsid w:val="00B8609D"/>
    <w:rsid w:val="00B86C2A"/>
    <w:rsid w:val="00B86D28"/>
    <w:rsid w:val="00B87731"/>
    <w:rsid w:val="00B87C62"/>
    <w:rsid w:val="00B9044D"/>
    <w:rsid w:val="00B905F3"/>
    <w:rsid w:val="00B90E38"/>
    <w:rsid w:val="00B90EA1"/>
    <w:rsid w:val="00B915C6"/>
    <w:rsid w:val="00B91D12"/>
    <w:rsid w:val="00B922B6"/>
    <w:rsid w:val="00B923D4"/>
    <w:rsid w:val="00B92408"/>
    <w:rsid w:val="00B92415"/>
    <w:rsid w:val="00B929C9"/>
    <w:rsid w:val="00B92F23"/>
    <w:rsid w:val="00B93714"/>
    <w:rsid w:val="00B9387B"/>
    <w:rsid w:val="00B94660"/>
    <w:rsid w:val="00B94666"/>
    <w:rsid w:val="00B94A94"/>
    <w:rsid w:val="00B94D60"/>
    <w:rsid w:val="00B95032"/>
    <w:rsid w:val="00B9561F"/>
    <w:rsid w:val="00B95711"/>
    <w:rsid w:val="00B95E35"/>
    <w:rsid w:val="00B960AA"/>
    <w:rsid w:val="00B965B0"/>
    <w:rsid w:val="00B96866"/>
    <w:rsid w:val="00B969AA"/>
    <w:rsid w:val="00B96E19"/>
    <w:rsid w:val="00B96E24"/>
    <w:rsid w:val="00B973FF"/>
    <w:rsid w:val="00B97608"/>
    <w:rsid w:val="00B9780F"/>
    <w:rsid w:val="00B97AA1"/>
    <w:rsid w:val="00B97DF8"/>
    <w:rsid w:val="00B97E65"/>
    <w:rsid w:val="00BA01DA"/>
    <w:rsid w:val="00BA055B"/>
    <w:rsid w:val="00BA055F"/>
    <w:rsid w:val="00BA15EB"/>
    <w:rsid w:val="00BA181D"/>
    <w:rsid w:val="00BA206A"/>
    <w:rsid w:val="00BA20A0"/>
    <w:rsid w:val="00BA2787"/>
    <w:rsid w:val="00BA27C5"/>
    <w:rsid w:val="00BA2CC8"/>
    <w:rsid w:val="00BA3470"/>
    <w:rsid w:val="00BA347F"/>
    <w:rsid w:val="00BA3F63"/>
    <w:rsid w:val="00BA4981"/>
    <w:rsid w:val="00BA4A0D"/>
    <w:rsid w:val="00BA556D"/>
    <w:rsid w:val="00BA55DC"/>
    <w:rsid w:val="00BA5635"/>
    <w:rsid w:val="00BA5771"/>
    <w:rsid w:val="00BA68C4"/>
    <w:rsid w:val="00BA6E75"/>
    <w:rsid w:val="00BA7044"/>
    <w:rsid w:val="00BA7279"/>
    <w:rsid w:val="00BA735E"/>
    <w:rsid w:val="00BA7CCA"/>
    <w:rsid w:val="00BB08C7"/>
    <w:rsid w:val="00BB1167"/>
    <w:rsid w:val="00BB1509"/>
    <w:rsid w:val="00BB1555"/>
    <w:rsid w:val="00BB21CE"/>
    <w:rsid w:val="00BB2400"/>
    <w:rsid w:val="00BB2874"/>
    <w:rsid w:val="00BB2C0A"/>
    <w:rsid w:val="00BB30F5"/>
    <w:rsid w:val="00BB338F"/>
    <w:rsid w:val="00BB423A"/>
    <w:rsid w:val="00BB4382"/>
    <w:rsid w:val="00BB469E"/>
    <w:rsid w:val="00BB4D55"/>
    <w:rsid w:val="00BB4D7F"/>
    <w:rsid w:val="00BB4DC9"/>
    <w:rsid w:val="00BB53A4"/>
    <w:rsid w:val="00BB53B0"/>
    <w:rsid w:val="00BB57EC"/>
    <w:rsid w:val="00BB586C"/>
    <w:rsid w:val="00BB5D8D"/>
    <w:rsid w:val="00BB5F09"/>
    <w:rsid w:val="00BB6037"/>
    <w:rsid w:val="00BB616B"/>
    <w:rsid w:val="00BB6659"/>
    <w:rsid w:val="00BB6690"/>
    <w:rsid w:val="00BB6699"/>
    <w:rsid w:val="00BB6E26"/>
    <w:rsid w:val="00BB7506"/>
    <w:rsid w:val="00BB7A0F"/>
    <w:rsid w:val="00BC000F"/>
    <w:rsid w:val="00BC015E"/>
    <w:rsid w:val="00BC0471"/>
    <w:rsid w:val="00BC0582"/>
    <w:rsid w:val="00BC0868"/>
    <w:rsid w:val="00BC08F5"/>
    <w:rsid w:val="00BC0992"/>
    <w:rsid w:val="00BC187B"/>
    <w:rsid w:val="00BC1C6C"/>
    <w:rsid w:val="00BC2880"/>
    <w:rsid w:val="00BC2C8B"/>
    <w:rsid w:val="00BC2E40"/>
    <w:rsid w:val="00BC3533"/>
    <w:rsid w:val="00BC366A"/>
    <w:rsid w:val="00BC3801"/>
    <w:rsid w:val="00BC3FAA"/>
    <w:rsid w:val="00BC42BB"/>
    <w:rsid w:val="00BC43D5"/>
    <w:rsid w:val="00BC498A"/>
    <w:rsid w:val="00BC5127"/>
    <w:rsid w:val="00BC53E1"/>
    <w:rsid w:val="00BC6128"/>
    <w:rsid w:val="00BC6174"/>
    <w:rsid w:val="00BC63E9"/>
    <w:rsid w:val="00BC64F1"/>
    <w:rsid w:val="00BC65BE"/>
    <w:rsid w:val="00BD0078"/>
    <w:rsid w:val="00BD00EE"/>
    <w:rsid w:val="00BD0438"/>
    <w:rsid w:val="00BD072C"/>
    <w:rsid w:val="00BD093B"/>
    <w:rsid w:val="00BD17F0"/>
    <w:rsid w:val="00BD1809"/>
    <w:rsid w:val="00BD1AD6"/>
    <w:rsid w:val="00BD1E0D"/>
    <w:rsid w:val="00BD260B"/>
    <w:rsid w:val="00BD2D33"/>
    <w:rsid w:val="00BD2FA8"/>
    <w:rsid w:val="00BD314C"/>
    <w:rsid w:val="00BD34B1"/>
    <w:rsid w:val="00BD37E0"/>
    <w:rsid w:val="00BD3935"/>
    <w:rsid w:val="00BD393F"/>
    <w:rsid w:val="00BD48D5"/>
    <w:rsid w:val="00BD4D28"/>
    <w:rsid w:val="00BD4D4C"/>
    <w:rsid w:val="00BD4EAD"/>
    <w:rsid w:val="00BD4EED"/>
    <w:rsid w:val="00BD51BC"/>
    <w:rsid w:val="00BD5D05"/>
    <w:rsid w:val="00BD5F5A"/>
    <w:rsid w:val="00BD6086"/>
    <w:rsid w:val="00BD6377"/>
    <w:rsid w:val="00BD694F"/>
    <w:rsid w:val="00BD6A20"/>
    <w:rsid w:val="00BD6A29"/>
    <w:rsid w:val="00BD6C66"/>
    <w:rsid w:val="00BD6D5A"/>
    <w:rsid w:val="00BD6E7D"/>
    <w:rsid w:val="00BD7B5C"/>
    <w:rsid w:val="00BD7E46"/>
    <w:rsid w:val="00BD7FEE"/>
    <w:rsid w:val="00BE029E"/>
    <w:rsid w:val="00BE0458"/>
    <w:rsid w:val="00BE0DAE"/>
    <w:rsid w:val="00BE0E3E"/>
    <w:rsid w:val="00BE105C"/>
    <w:rsid w:val="00BE10AC"/>
    <w:rsid w:val="00BE11BE"/>
    <w:rsid w:val="00BE126F"/>
    <w:rsid w:val="00BE175D"/>
    <w:rsid w:val="00BE1785"/>
    <w:rsid w:val="00BE1E1E"/>
    <w:rsid w:val="00BE204F"/>
    <w:rsid w:val="00BE2106"/>
    <w:rsid w:val="00BE21F1"/>
    <w:rsid w:val="00BE2382"/>
    <w:rsid w:val="00BE247D"/>
    <w:rsid w:val="00BE27B8"/>
    <w:rsid w:val="00BE29B3"/>
    <w:rsid w:val="00BE3500"/>
    <w:rsid w:val="00BE36AD"/>
    <w:rsid w:val="00BE3B0D"/>
    <w:rsid w:val="00BE3C46"/>
    <w:rsid w:val="00BE4283"/>
    <w:rsid w:val="00BE42A2"/>
    <w:rsid w:val="00BE430F"/>
    <w:rsid w:val="00BE463A"/>
    <w:rsid w:val="00BE48D2"/>
    <w:rsid w:val="00BE4B20"/>
    <w:rsid w:val="00BE4BB7"/>
    <w:rsid w:val="00BE4C60"/>
    <w:rsid w:val="00BE5062"/>
    <w:rsid w:val="00BE5AEB"/>
    <w:rsid w:val="00BE5C21"/>
    <w:rsid w:val="00BE5E81"/>
    <w:rsid w:val="00BE5F20"/>
    <w:rsid w:val="00BE694C"/>
    <w:rsid w:val="00BE6D75"/>
    <w:rsid w:val="00BE6E12"/>
    <w:rsid w:val="00BE7256"/>
    <w:rsid w:val="00BE72CC"/>
    <w:rsid w:val="00BE7434"/>
    <w:rsid w:val="00BE77B9"/>
    <w:rsid w:val="00BE77E2"/>
    <w:rsid w:val="00BE7B2C"/>
    <w:rsid w:val="00BE7F41"/>
    <w:rsid w:val="00BF0176"/>
    <w:rsid w:val="00BF0336"/>
    <w:rsid w:val="00BF0571"/>
    <w:rsid w:val="00BF0668"/>
    <w:rsid w:val="00BF06BF"/>
    <w:rsid w:val="00BF0B3F"/>
    <w:rsid w:val="00BF12C9"/>
    <w:rsid w:val="00BF1587"/>
    <w:rsid w:val="00BF1593"/>
    <w:rsid w:val="00BF1650"/>
    <w:rsid w:val="00BF16EA"/>
    <w:rsid w:val="00BF1742"/>
    <w:rsid w:val="00BF1AFE"/>
    <w:rsid w:val="00BF1B22"/>
    <w:rsid w:val="00BF2325"/>
    <w:rsid w:val="00BF2C4D"/>
    <w:rsid w:val="00BF2F5A"/>
    <w:rsid w:val="00BF360C"/>
    <w:rsid w:val="00BF37E3"/>
    <w:rsid w:val="00BF3859"/>
    <w:rsid w:val="00BF399D"/>
    <w:rsid w:val="00BF3FDE"/>
    <w:rsid w:val="00BF4D14"/>
    <w:rsid w:val="00BF4E84"/>
    <w:rsid w:val="00BF50A2"/>
    <w:rsid w:val="00BF5212"/>
    <w:rsid w:val="00BF5292"/>
    <w:rsid w:val="00BF5894"/>
    <w:rsid w:val="00BF58F0"/>
    <w:rsid w:val="00BF5BDD"/>
    <w:rsid w:val="00BF5C71"/>
    <w:rsid w:val="00BF5F78"/>
    <w:rsid w:val="00BF6417"/>
    <w:rsid w:val="00BF683D"/>
    <w:rsid w:val="00BF68C1"/>
    <w:rsid w:val="00BF703D"/>
    <w:rsid w:val="00BF7064"/>
    <w:rsid w:val="00BF70FC"/>
    <w:rsid w:val="00BF749A"/>
    <w:rsid w:val="00BF75FB"/>
    <w:rsid w:val="00BF78D4"/>
    <w:rsid w:val="00C0044F"/>
    <w:rsid w:val="00C00514"/>
    <w:rsid w:val="00C00517"/>
    <w:rsid w:val="00C00850"/>
    <w:rsid w:val="00C008F6"/>
    <w:rsid w:val="00C00E7A"/>
    <w:rsid w:val="00C00FE2"/>
    <w:rsid w:val="00C01092"/>
    <w:rsid w:val="00C0159B"/>
    <w:rsid w:val="00C016A3"/>
    <w:rsid w:val="00C02206"/>
    <w:rsid w:val="00C0223B"/>
    <w:rsid w:val="00C0331D"/>
    <w:rsid w:val="00C0397E"/>
    <w:rsid w:val="00C03CD9"/>
    <w:rsid w:val="00C046E9"/>
    <w:rsid w:val="00C04741"/>
    <w:rsid w:val="00C05998"/>
    <w:rsid w:val="00C059A9"/>
    <w:rsid w:val="00C059E4"/>
    <w:rsid w:val="00C066D6"/>
    <w:rsid w:val="00C067A1"/>
    <w:rsid w:val="00C06AB1"/>
    <w:rsid w:val="00C06D07"/>
    <w:rsid w:val="00C07523"/>
    <w:rsid w:val="00C075A3"/>
    <w:rsid w:val="00C0783D"/>
    <w:rsid w:val="00C10067"/>
    <w:rsid w:val="00C10860"/>
    <w:rsid w:val="00C10B7D"/>
    <w:rsid w:val="00C10B9F"/>
    <w:rsid w:val="00C10BEE"/>
    <w:rsid w:val="00C11079"/>
    <w:rsid w:val="00C121B6"/>
    <w:rsid w:val="00C122F5"/>
    <w:rsid w:val="00C12AAD"/>
    <w:rsid w:val="00C12E61"/>
    <w:rsid w:val="00C1301D"/>
    <w:rsid w:val="00C13558"/>
    <w:rsid w:val="00C13826"/>
    <w:rsid w:val="00C13DA5"/>
    <w:rsid w:val="00C14365"/>
    <w:rsid w:val="00C145C1"/>
    <w:rsid w:val="00C14B69"/>
    <w:rsid w:val="00C1532D"/>
    <w:rsid w:val="00C154E0"/>
    <w:rsid w:val="00C15BE0"/>
    <w:rsid w:val="00C15C0A"/>
    <w:rsid w:val="00C161B9"/>
    <w:rsid w:val="00C16359"/>
    <w:rsid w:val="00C16365"/>
    <w:rsid w:val="00C172B7"/>
    <w:rsid w:val="00C172C4"/>
    <w:rsid w:val="00C17330"/>
    <w:rsid w:val="00C17414"/>
    <w:rsid w:val="00C17C95"/>
    <w:rsid w:val="00C203A1"/>
    <w:rsid w:val="00C207F2"/>
    <w:rsid w:val="00C20E5E"/>
    <w:rsid w:val="00C21039"/>
    <w:rsid w:val="00C220D1"/>
    <w:rsid w:val="00C2220E"/>
    <w:rsid w:val="00C226AE"/>
    <w:rsid w:val="00C226F0"/>
    <w:rsid w:val="00C227E9"/>
    <w:rsid w:val="00C2295B"/>
    <w:rsid w:val="00C231E9"/>
    <w:rsid w:val="00C234B5"/>
    <w:rsid w:val="00C2381B"/>
    <w:rsid w:val="00C24232"/>
    <w:rsid w:val="00C24C0A"/>
    <w:rsid w:val="00C25674"/>
    <w:rsid w:val="00C25752"/>
    <w:rsid w:val="00C258D3"/>
    <w:rsid w:val="00C25996"/>
    <w:rsid w:val="00C25D20"/>
    <w:rsid w:val="00C25E7D"/>
    <w:rsid w:val="00C2613B"/>
    <w:rsid w:val="00C264DC"/>
    <w:rsid w:val="00C26587"/>
    <w:rsid w:val="00C26A1F"/>
    <w:rsid w:val="00C2703E"/>
    <w:rsid w:val="00C277F7"/>
    <w:rsid w:val="00C30781"/>
    <w:rsid w:val="00C3086E"/>
    <w:rsid w:val="00C308E1"/>
    <w:rsid w:val="00C30A04"/>
    <w:rsid w:val="00C30BEC"/>
    <w:rsid w:val="00C30CEB"/>
    <w:rsid w:val="00C30E91"/>
    <w:rsid w:val="00C30EA1"/>
    <w:rsid w:val="00C314B5"/>
    <w:rsid w:val="00C315DD"/>
    <w:rsid w:val="00C31AF4"/>
    <w:rsid w:val="00C31EF5"/>
    <w:rsid w:val="00C31F29"/>
    <w:rsid w:val="00C32103"/>
    <w:rsid w:val="00C3221A"/>
    <w:rsid w:val="00C32613"/>
    <w:rsid w:val="00C328EA"/>
    <w:rsid w:val="00C32DD6"/>
    <w:rsid w:val="00C32F48"/>
    <w:rsid w:val="00C33396"/>
    <w:rsid w:val="00C3355B"/>
    <w:rsid w:val="00C33795"/>
    <w:rsid w:val="00C34187"/>
    <w:rsid w:val="00C343B1"/>
    <w:rsid w:val="00C34449"/>
    <w:rsid w:val="00C347E8"/>
    <w:rsid w:val="00C34ADE"/>
    <w:rsid w:val="00C34B18"/>
    <w:rsid w:val="00C34CFC"/>
    <w:rsid w:val="00C34D7F"/>
    <w:rsid w:val="00C34E30"/>
    <w:rsid w:val="00C34FE9"/>
    <w:rsid w:val="00C35325"/>
    <w:rsid w:val="00C357BE"/>
    <w:rsid w:val="00C35D76"/>
    <w:rsid w:val="00C35FF9"/>
    <w:rsid w:val="00C36375"/>
    <w:rsid w:val="00C3662D"/>
    <w:rsid w:val="00C36A54"/>
    <w:rsid w:val="00C36A88"/>
    <w:rsid w:val="00C36DE1"/>
    <w:rsid w:val="00C3715B"/>
    <w:rsid w:val="00C375E6"/>
    <w:rsid w:val="00C37719"/>
    <w:rsid w:val="00C377C3"/>
    <w:rsid w:val="00C400A5"/>
    <w:rsid w:val="00C40516"/>
    <w:rsid w:val="00C406DA"/>
    <w:rsid w:val="00C41F37"/>
    <w:rsid w:val="00C4269E"/>
    <w:rsid w:val="00C42931"/>
    <w:rsid w:val="00C42F85"/>
    <w:rsid w:val="00C433C2"/>
    <w:rsid w:val="00C434BB"/>
    <w:rsid w:val="00C439C2"/>
    <w:rsid w:val="00C43B71"/>
    <w:rsid w:val="00C44238"/>
    <w:rsid w:val="00C44785"/>
    <w:rsid w:val="00C44B87"/>
    <w:rsid w:val="00C45747"/>
    <w:rsid w:val="00C45F5A"/>
    <w:rsid w:val="00C46973"/>
    <w:rsid w:val="00C46D11"/>
    <w:rsid w:val="00C46D5F"/>
    <w:rsid w:val="00C47215"/>
    <w:rsid w:val="00C47624"/>
    <w:rsid w:val="00C4789B"/>
    <w:rsid w:val="00C479D9"/>
    <w:rsid w:val="00C47C19"/>
    <w:rsid w:val="00C47EB8"/>
    <w:rsid w:val="00C51537"/>
    <w:rsid w:val="00C51679"/>
    <w:rsid w:val="00C516B7"/>
    <w:rsid w:val="00C517C1"/>
    <w:rsid w:val="00C51AED"/>
    <w:rsid w:val="00C51D5E"/>
    <w:rsid w:val="00C52429"/>
    <w:rsid w:val="00C52452"/>
    <w:rsid w:val="00C52474"/>
    <w:rsid w:val="00C52624"/>
    <w:rsid w:val="00C52C73"/>
    <w:rsid w:val="00C52E14"/>
    <w:rsid w:val="00C545E8"/>
    <w:rsid w:val="00C5485A"/>
    <w:rsid w:val="00C54AB2"/>
    <w:rsid w:val="00C54B99"/>
    <w:rsid w:val="00C54C42"/>
    <w:rsid w:val="00C55309"/>
    <w:rsid w:val="00C55629"/>
    <w:rsid w:val="00C55CAD"/>
    <w:rsid w:val="00C55EC0"/>
    <w:rsid w:val="00C5639D"/>
    <w:rsid w:val="00C56781"/>
    <w:rsid w:val="00C56A7E"/>
    <w:rsid w:val="00C56B51"/>
    <w:rsid w:val="00C56E1A"/>
    <w:rsid w:val="00C57116"/>
    <w:rsid w:val="00C57790"/>
    <w:rsid w:val="00C57E79"/>
    <w:rsid w:val="00C57E9B"/>
    <w:rsid w:val="00C57EF4"/>
    <w:rsid w:val="00C601AB"/>
    <w:rsid w:val="00C601F8"/>
    <w:rsid w:val="00C60396"/>
    <w:rsid w:val="00C6087F"/>
    <w:rsid w:val="00C60B93"/>
    <w:rsid w:val="00C60CC7"/>
    <w:rsid w:val="00C60E2B"/>
    <w:rsid w:val="00C611EC"/>
    <w:rsid w:val="00C61313"/>
    <w:rsid w:val="00C61E56"/>
    <w:rsid w:val="00C61EB2"/>
    <w:rsid w:val="00C626DD"/>
    <w:rsid w:val="00C62A89"/>
    <w:rsid w:val="00C63CC0"/>
    <w:rsid w:val="00C64302"/>
    <w:rsid w:val="00C643AF"/>
    <w:rsid w:val="00C64406"/>
    <w:rsid w:val="00C646FC"/>
    <w:rsid w:val="00C64939"/>
    <w:rsid w:val="00C64A3C"/>
    <w:rsid w:val="00C64FB6"/>
    <w:rsid w:val="00C6511F"/>
    <w:rsid w:val="00C65417"/>
    <w:rsid w:val="00C6563F"/>
    <w:rsid w:val="00C659BE"/>
    <w:rsid w:val="00C65A3F"/>
    <w:rsid w:val="00C660F7"/>
    <w:rsid w:val="00C66416"/>
    <w:rsid w:val="00C66623"/>
    <w:rsid w:val="00C66A1E"/>
    <w:rsid w:val="00C66B4F"/>
    <w:rsid w:val="00C66E7C"/>
    <w:rsid w:val="00C6725E"/>
    <w:rsid w:val="00C67473"/>
    <w:rsid w:val="00C678DF"/>
    <w:rsid w:val="00C67B27"/>
    <w:rsid w:val="00C705C0"/>
    <w:rsid w:val="00C70A9E"/>
    <w:rsid w:val="00C71CD3"/>
    <w:rsid w:val="00C71FF1"/>
    <w:rsid w:val="00C7212B"/>
    <w:rsid w:val="00C725D1"/>
    <w:rsid w:val="00C725E0"/>
    <w:rsid w:val="00C72976"/>
    <w:rsid w:val="00C72CAF"/>
    <w:rsid w:val="00C73086"/>
    <w:rsid w:val="00C73538"/>
    <w:rsid w:val="00C737BF"/>
    <w:rsid w:val="00C73950"/>
    <w:rsid w:val="00C73C2B"/>
    <w:rsid w:val="00C73D5F"/>
    <w:rsid w:val="00C73E32"/>
    <w:rsid w:val="00C73E9B"/>
    <w:rsid w:val="00C73F9C"/>
    <w:rsid w:val="00C7465F"/>
    <w:rsid w:val="00C74CF3"/>
    <w:rsid w:val="00C75085"/>
    <w:rsid w:val="00C7525F"/>
    <w:rsid w:val="00C757B9"/>
    <w:rsid w:val="00C75915"/>
    <w:rsid w:val="00C75C48"/>
    <w:rsid w:val="00C75F6D"/>
    <w:rsid w:val="00C75FCA"/>
    <w:rsid w:val="00C7662D"/>
    <w:rsid w:val="00C7678F"/>
    <w:rsid w:val="00C767C3"/>
    <w:rsid w:val="00C772F1"/>
    <w:rsid w:val="00C774A0"/>
    <w:rsid w:val="00C77FF7"/>
    <w:rsid w:val="00C8024B"/>
    <w:rsid w:val="00C80295"/>
    <w:rsid w:val="00C8083C"/>
    <w:rsid w:val="00C80C32"/>
    <w:rsid w:val="00C80D2D"/>
    <w:rsid w:val="00C8132A"/>
    <w:rsid w:val="00C8225A"/>
    <w:rsid w:val="00C8279C"/>
    <w:rsid w:val="00C82C44"/>
    <w:rsid w:val="00C82D4A"/>
    <w:rsid w:val="00C834B9"/>
    <w:rsid w:val="00C8403C"/>
    <w:rsid w:val="00C8423D"/>
    <w:rsid w:val="00C84460"/>
    <w:rsid w:val="00C84827"/>
    <w:rsid w:val="00C848A2"/>
    <w:rsid w:val="00C84CE6"/>
    <w:rsid w:val="00C8549C"/>
    <w:rsid w:val="00C8557D"/>
    <w:rsid w:val="00C8570A"/>
    <w:rsid w:val="00C85991"/>
    <w:rsid w:val="00C85AD5"/>
    <w:rsid w:val="00C85DDE"/>
    <w:rsid w:val="00C85F21"/>
    <w:rsid w:val="00C86155"/>
    <w:rsid w:val="00C8629D"/>
    <w:rsid w:val="00C86839"/>
    <w:rsid w:val="00C86D2B"/>
    <w:rsid w:val="00C86F2E"/>
    <w:rsid w:val="00C86FF0"/>
    <w:rsid w:val="00C87306"/>
    <w:rsid w:val="00C8735C"/>
    <w:rsid w:val="00C874AC"/>
    <w:rsid w:val="00C87645"/>
    <w:rsid w:val="00C87B6B"/>
    <w:rsid w:val="00C87D1E"/>
    <w:rsid w:val="00C90213"/>
    <w:rsid w:val="00C912DD"/>
    <w:rsid w:val="00C91712"/>
    <w:rsid w:val="00C91D49"/>
    <w:rsid w:val="00C9201B"/>
    <w:rsid w:val="00C9227F"/>
    <w:rsid w:val="00C9279B"/>
    <w:rsid w:val="00C9280F"/>
    <w:rsid w:val="00C930A4"/>
    <w:rsid w:val="00C93D44"/>
    <w:rsid w:val="00C93F64"/>
    <w:rsid w:val="00C94315"/>
    <w:rsid w:val="00C945F5"/>
    <w:rsid w:val="00C94661"/>
    <w:rsid w:val="00C9490E"/>
    <w:rsid w:val="00C94CCA"/>
    <w:rsid w:val="00C95255"/>
    <w:rsid w:val="00C952B5"/>
    <w:rsid w:val="00C953FD"/>
    <w:rsid w:val="00C96557"/>
    <w:rsid w:val="00C96C35"/>
    <w:rsid w:val="00C974A8"/>
    <w:rsid w:val="00C976FE"/>
    <w:rsid w:val="00C977DF"/>
    <w:rsid w:val="00C97883"/>
    <w:rsid w:val="00C97A55"/>
    <w:rsid w:val="00CA0005"/>
    <w:rsid w:val="00CA0092"/>
    <w:rsid w:val="00CA00FB"/>
    <w:rsid w:val="00CA0A59"/>
    <w:rsid w:val="00CA0C6B"/>
    <w:rsid w:val="00CA0E97"/>
    <w:rsid w:val="00CA10AB"/>
    <w:rsid w:val="00CA10AE"/>
    <w:rsid w:val="00CA10D8"/>
    <w:rsid w:val="00CA1552"/>
    <w:rsid w:val="00CA1B6F"/>
    <w:rsid w:val="00CA1EE4"/>
    <w:rsid w:val="00CA1EF4"/>
    <w:rsid w:val="00CA1FA5"/>
    <w:rsid w:val="00CA21F8"/>
    <w:rsid w:val="00CA2203"/>
    <w:rsid w:val="00CA222C"/>
    <w:rsid w:val="00CA2552"/>
    <w:rsid w:val="00CA29C1"/>
    <w:rsid w:val="00CA2E17"/>
    <w:rsid w:val="00CA2F8D"/>
    <w:rsid w:val="00CA3A78"/>
    <w:rsid w:val="00CA3FD8"/>
    <w:rsid w:val="00CA4252"/>
    <w:rsid w:val="00CA4CF6"/>
    <w:rsid w:val="00CA4D9A"/>
    <w:rsid w:val="00CA4FE9"/>
    <w:rsid w:val="00CA52D4"/>
    <w:rsid w:val="00CA59DC"/>
    <w:rsid w:val="00CA6C2D"/>
    <w:rsid w:val="00CA6EBC"/>
    <w:rsid w:val="00CA7614"/>
    <w:rsid w:val="00CA7733"/>
    <w:rsid w:val="00CA7BCF"/>
    <w:rsid w:val="00CA7C19"/>
    <w:rsid w:val="00CB001C"/>
    <w:rsid w:val="00CB0045"/>
    <w:rsid w:val="00CB079B"/>
    <w:rsid w:val="00CB079C"/>
    <w:rsid w:val="00CB09FE"/>
    <w:rsid w:val="00CB0B76"/>
    <w:rsid w:val="00CB13D8"/>
    <w:rsid w:val="00CB1B1E"/>
    <w:rsid w:val="00CB1EC0"/>
    <w:rsid w:val="00CB27D3"/>
    <w:rsid w:val="00CB2810"/>
    <w:rsid w:val="00CB29ED"/>
    <w:rsid w:val="00CB30B1"/>
    <w:rsid w:val="00CB3211"/>
    <w:rsid w:val="00CB36CC"/>
    <w:rsid w:val="00CB38AE"/>
    <w:rsid w:val="00CB3FFC"/>
    <w:rsid w:val="00CB478C"/>
    <w:rsid w:val="00CB4D60"/>
    <w:rsid w:val="00CB4D64"/>
    <w:rsid w:val="00CB4FD2"/>
    <w:rsid w:val="00CB52BD"/>
    <w:rsid w:val="00CB586D"/>
    <w:rsid w:val="00CB596B"/>
    <w:rsid w:val="00CB5D7E"/>
    <w:rsid w:val="00CB5F5D"/>
    <w:rsid w:val="00CB60ED"/>
    <w:rsid w:val="00CB6F0E"/>
    <w:rsid w:val="00CB71EB"/>
    <w:rsid w:val="00CB7293"/>
    <w:rsid w:val="00CB72F7"/>
    <w:rsid w:val="00CB778F"/>
    <w:rsid w:val="00CB798B"/>
    <w:rsid w:val="00CC0163"/>
    <w:rsid w:val="00CC03DD"/>
    <w:rsid w:val="00CC046D"/>
    <w:rsid w:val="00CC04BE"/>
    <w:rsid w:val="00CC07A5"/>
    <w:rsid w:val="00CC0E34"/>
    <w:rsid w:val="00CC0E5C"/>
    <w:rsid w:val="00CC14C4"/>
    <w:rsid w:val="00CC15AE"/>
    <w:rsid w:val="00CC16E1"/>
    <w:rsid w:val="00CC182E"/>
    <w:rsid w:val="00CC1C00"/>
    <w:rsid w:val="00CC1EE9"/>
    <w:rsid w:val="00CC20C2"/>
    <w:rsid w:val="00CC21E7"/>
    <w:rsid w:val="00CC238C"/>
    <w:rsid w:val="00CC2652"/>
    <w:rsid w:val="00CC283D"/>
    <w:rsid w:val="00CC2DA2"/>
    <w:rsid w:val="00CC3C69"/>
    <w:rsid w:val="00CC3E3E"/>
    <w:rsid w:val="00CC42E1"/>
    <w:rsid w:val="00CC4A00"/>
    <w:rsid w:val="00CC4AC1"/>
    <w:rsid w:val="00CC4B6C"/>
    <w:rsid w:val="00CC4E31"/>
    <w:rsid w:val="00CC4E76"/>
    <w:rsid w:val="00CC5546"/>
    <w:rsid w:val="00CC555D"/>
    <w:rsid w:val="00CC55AE"/>
    <w:rsid w:val="00CC5900"/>
    <w:rsid w:val="00CC66D2"/>
    <w:rsid w:val="00CC6781"/>
    <w:rsid w:val="00CC689A"/>
    <w:rsid w:val="00CC6DEF"/>
    <w:rsid w:val="00CC6F97"/>
    <w:rsid w:val="00CC776E"/>
    <w:rsid w:val="00CC7957"/>
    <w:rsid w:val="00CC7F1A"/>
    <w:rsid w:val="00CD01F0"/>
    <w:rsid w:val="00CD0636"/>
    <w:rsid w:val="00CD06FC"/>
    <w:rsid w:val="00CD072C"/>
    <w:rsid w:val="00CD0D05"/>
    <w:rsid w:val="00CD0D9E"/>
    <w:rsid w:val="00CD10DE"/>
    <w:rsid w:val="00CD15A2"/>
    <w:rsid w:val="00CD17EF"/>
    <w:rsid w:val="00CD19B9"/>
    <w:rsid w:val="00CD2058"/>
    <w:rsid w:val="00CD233A"/>
    <w:rsid w:val="00CD2638"/>
    <w:rsid w:val="00CD27A7"/>
    <w:rsid w:val="00CD2BF2"/>
    <w:rsid w:val="00CD2C51"/>
    <w:rsid w:val="00CD2F95"/>
    <w:rsid w:val="00CD3448"/>
    <w:rsid w:val="00CD345B"/>
    <w:rsid w:val="00CD3AF9"/>
    <w:rsid w:val="00CD41F9"/>
    <w:rsid w:val="00CD421C"/>
    <w:rsid w:val="00CD4F0C"/>
    <w:rsid w:val="00CD554D"/>
    <w:rsid w:val="00CD5638"/>
    <w:rsid w:val="00CD5683"/>
    <w:rsid w:val="00CD5ADF"/>
    <w:rsid w:val="00CD5CC0"/>
    <w:rsid w:val="00CD5E71"/>
    <w:rsid w:val="00CD608E"/>
    <w:rsid w:val="00CD66A1"/>
    <w:rsid w:val="00CD68AB"/>
    <w:rsid w:val="00CD6CFB"/>
    <w:rsid w:val="00CD6D50"/>
    <w:rsid w:val="00CD6D9A"/>
    <w:rsid w:val="00CD7257"/>
    <w:rsid w:val="00CD74E8"/>
    <w:rsid w:val="00CD7B81"/>
    <w:rsid w:val="00CD7C31"/>
    <w:rsid w:val="00CE0093"/>
    <w:rsid w:val="00CE0A2E"/>
    <w:rsid w:val="00CE0F8A"/>
    <w:rsid w:val="00CE1AD1"/>
    <w:rsid w:val="00CE1EC8"/>
    <w:rsid w:val="00CE1F7D"/>
    <w:rsid w:val="00CE26F4"/>
    <w:rsid w:val="00CE2B81"/>
    <w:rsid w:val="00CE2FF4"/>
    <w:rsid w:val="00CE375B"/>
    <w:rsid w:val="00CE3D7E"/>
    <w:rsid w:val="00CE3FD9"/>
    <w:rsid w:val="00CE404B"/>
    <w:rsid w:val="00CE406E"/>
    <w:rsid w:val="00CE40F1"/>
    <w:rsid w:val="00CE433D"/>
    <w:rsid w:val="00CE4C3C"/>
    <w:rsid w:val="00CE4F23"/>
    <w:rsid w:val="00CE6613"/>
    <w:rsid w:val="00CE6866"/>
    <w:rsid w:val="00CE6A4B"/>
    <w:rsid w:val="00CE6C60"/>
    <w:rsid w:val="00CE6ED6"/>
    <w:rsid w:val="00CE7637"/>
    <w:rsid w:val="00CE763E"/>
    <w:rsid w:val="00CE77F0"/>
    <w:rsid w:val="00CF0A54"/>
    <w:rsid w:val="00CF0D0D"/>
    <w:rsid w:val="00CF13C7"/>
    <w:rsid w:val="00CF1512"/>
    <w:rsid w:val="00CF18CB"/>
    <w:rsid w:val="00CF2299"/>
    <w:rsid w:val="00CF24E3"/>
    <w:rsid w:val="00CF3044"/>
    <w:rsid w:val="00CF33B8"/>
    <w:rsid w:val="00CF368F"/>
    <w:rsid w:val="00CF3809"/>
    <w:rsid w:val="00CF3999"/>
    <w:rsid w:val="00CF3A70"/>
    <w:rsid w:val="00CF3EB3"/>
    <w:rsid w:val="00CF407A"/>
    <w:rsid w:val="00CF4B09"/>
    <w:rsid w:val="00CF5BB3"/>
    <w:rsid w:val="00CF5EFD"/>
    <w:rsid w:val="00CF6184"/>
    <w:rsid w:val="00CF69B2"/>
    <w:rsid w:val="00CF6BE7"/>
    <w:rsid w:val="00CF6EF3"/>
    <w:rsid w:val="00CF6F88"/>
    <w:rsid w:val="00CF74E3"/>
    <w:rsid w:val="00CF7890"/>
    <w:rsid w:val="00CF7DC6"/>
    <w:rsid w:val="00D00026"/>
    <w:rsid w:val="00D0058F"/>
    <w:rsid w:val="00D00D8B"/>
    <w:rsid w:val="00D00F5A"/>
    <w:rsid w:val="00D0124C"/>
    <w:rsid w:val="00D01334"/>
    <w:rsid w:val="00D02283"/>
    <w:rsid w:val="00D0229F"/>
    <w:rsid w:val="00D02858"/>
    <w:rsid w:val="00D0286E"/>
    <w:rsid w:val="00D02936"/>
    <w:rsid w:val="00D02ACF"/>
    <w:rsid w:val="00D03260"/>
    <w:rsid w:val="00D03873"/>
    <w:rsid w:val="00D039E8"/>
    <w:rsid w:val="00D03B58"/>
    <w:rsid w:val="00D03BB9"/>
    <w:rsid w:val="00D03BE6"/>
    <w:rsid w:val="00D03EE6"/>
    <w:rsid w:val="00D045C8"/>
    <w:rsid w:val="00D047C4"/>
    <w:rsid w:val="00D04CC4"/>
    <w:rsid w:val="00D04CCC"/>
    <w:rsid w:val="00D04DE4"/>
    <w:rsid w:val="00D04FE1"/>
    <w:rsid w:val="00D05838"/>
    <w:rsid w:val="00D059E9"/>
    <w:rsid w:val="00D05F35"/>
    <w:rsid w:val="00D05F7C"/>
    <w:rsid w:val="00D06013"/>
    <w:rsid w:val="00D06085"/>
    <w:rsid w:val="00D07C3A"/>
    <w:rsid w:val="00D10B5B"/>
    <w:rsid w:val="00D10B7F"/>
    <w:rsid w:val="00D119EF"/>
    <w:rsid w:val="00D1242B"/>
    <w:rsid w:val="00D1364B"/>
    <w:rsid w:val="00D13AA0"/>
    <w:rsid w:val="00D13ABB"/>
    <w:rsid w:val="00D13B52"/>
    <w:rsid w:val="00D13C79"/>
    <w:rsid w:val="00D13EFC"/>
    <w:rsid w:val="00D14090"/>
    <w:rsid w:val="00D140E0"/>
    <w:rsid w:val="00D14B78"/>
    <w:rsid w:val="00D15014"/>
    <w:rsid w:val="00D151F2"/>
    <w:rsid w:val="00D15801"/>
    <w:rsid w:val="00D15B43"/>
    <w:rsid w:val="00D165AB"/>
    <w:rsid w:val="00D1695E"/>
    <w:rsid w:val="00D17454"/>
    <w:rsid w:val="00D20B30"/>
    <w:rsid w:val="00D20C2B"/>
    <w:rsid w:val="00D2108B"/>
    <w:rsid w:val="00D213CE"/>
    <w:rsid w:val="00D217CC"/>
    <w:rsid w:val="00D2192D"/>
    <w:rsid w:val="00D220F1"/>
    <w:rsid w:val="00D226BA"/>
    <w:rsid w:val="00D22C94"/>
    <w:rsid w:val="00D22F1A"/>
    <w:rsid w:val="00D2321E"/>
    <w:rsid w:val="00D23730"/>
    <w:rsid w:val="00D23872"/>
    <w:rsid w:val="00D23B1C"/>
    <w:rsid w:val="00D24122"/>
    <w:rsid w:val="00D24258"/>
    <w:rsid w:val="00D24334"/>
    <w:rsid w:val="00D24643"/>
    <w:rsid w:val="00D24A5D"/>
    <w:rsid w:val="00D24F31"/>
    <w:rsid w:val="00D250E6"/>
    <w:rsid w:val="00D25C48"/>
    <w:rsid w:val="00D25E0F"/>
    <w:rsid w:val="00D25F4C"/>
    <w:rsid w:val="00D267C5"/>
    <w:rsid w:val="00D273C4"/>
    <w:rsid w:val="00D276BC"/>
    <w:rsid w:val="00D306AA"/>
    <w:rsid w:val="00D308C1"/>
    <w:rsid w:val="00D30C19"/>
    <w:rsid w:val="00D30D02"/>
    <w:rsid w:val="00D31174"/>
    <w:rsid w:val="00D316DE"/>
    <w:rsid w:val="00D31705"/>
    <w:rsid w:val="00D31757"/>
    <w:rsid w:val="00D31E6D"/>
    <w:rsid w:val="00D3209F"/>
    <w:rsid w:val="00D321E0"/>
    <w:rsid w:val="00D3222C"/>
    <w:rsid w:val="00D33143"/>
    <w:rsid w:val="00D33BEF"/>
    <w:rsid w:val="00D3400F"/>
    <w:rsid w:val="00D34903"/>
    <w:rsid w:val="00D34913"/>
    <w:rsid w:val="00D34B61"/>
    <w:rsid w:val="00D34C35"/>
    <w:rsid w:val="00D35047"/>
    <w:rsid w:val="00D353F0"/>
    <w:rsid w:val="00D35420"/>
    <w:rsid w:val="00D354CC"/>
    <w:rsid w:val="00D35512"/>
    <w:rsid w:val="00D35E02"/>
    <w:rsid w:val="00D35FDE"/>
    <w:rsid w:val="00D369EE"/>
    <w:rsid w:val="00D36BAE"/>
    <w:rsid w:val="00D37231"/>
    <w:rsid w:val="00D372A1"/>
    <w:rsid w:val="00D3756E"/>
    <w:rsid w:val="00D37617"/>
    <w:rsid w:val="00D37723"/>
    <w:rsid w:val="00D3793B"/>
    <w:rsid w:val="00D37DD4"/>
    <w:rsid w:val="00D402E0"/>
    <w:rsid w:val="00D40FC4"/>
    <w:rsid w:val="00D41179"/>
    <w:rsid w:val="00D4167B"/>
    <w:rsid w:val="00D41A50"/>
    <w:rsid w:val="00D41D14"/>
    <w:rsid w:val="00D423EF"/>
    <w:rsid w:val="00D42522"/>
    <w:rsid w:val="00D427C8"/>
    <w:rsid w:val="00D4284D"/>
    <w:rsid w:val="00D4295D"/>
    <w:rsid w:val="00D42BD0"/>
    <w:rsid w:val="00D42D92"/>
    <w:rsid w:val="00D42DA1"/>
    <w:rsid w:val="00D43197"/>
    <w:rsid w:val="00D4331E"/>
    <w:rsid w:val="00D4378E"/>
    <w:rsid w:val="00D437C7"/>
    <w:rsid w:val="00D4395B"/>
    <w:rsid w:val="00D43D60"/>
    <w:rsid w:val="00D44189"/>
    <w:rsid w:val="00D44C55"/>
    <w:rsid w:val="00D45D0A"/>
    <w:rsid w:val="00D45F84"/>
    <w:rsid w:val="00D464A0"/>
    <w:rsid w:val="00D46609"/>
    <w:rsid w:val="00D46A39"/>
    <w:rsid w:val="00D46BB6"/>
    <w:rsid w:val="00D46C46"/>
    <w:rsid w:val="00D46EA3"/>
    <w:rsid w:val="00D4703A"/>
    <w:rsid w:val="00D4724C"/>
    <w:rsid w:val="00D47D0D"/>
    <w:rsid w:val="00D50322"/>
    <w:rsid w:val="00D50908"/>
    <w:rsid w:val="00D50BFE"/>
    <w:rsid w:val="00D50CC8"/>
    <w:rsid w:val="00D50FC4"/>
    <w:rsid w:val="00D5117E"/>
    <w:rsid w:val="00D511AC"/>
    <w:rsid w:val="00D51684"/>
    <w:rsid w:val="00D52E68"/>
    <w:rsid w:val="00D53336"/>
    <w:rsid w:val="00D53452"/>
    <w:rsid w:val="00D53906"/>
    <w:rsid w:val="00D53F2C"/>
    <w:rsid w:val="00D5449D"/>
    <w:rsid w:val="00D546B8"/>
    <w:rsid w:val="00D549DE"/>
    <w:rsid w:val="00D5534B"/>
    <w:rsid w:val="00D55672"/>
    <w:rsid w:val="00D5580B"/>
    <w:rsid w:val="00D55A88"/>
    <w:rsid w:val="00D55DD7"/>
    <w:rsid w:val="00D55FF8"/>
    <w:rsid w:val="00D5629E"/>
    <w:rsid w:val="00D57446"/>
    <w:rsid w:val="00D57B31"/>
    <w:rsid w:val="00D57B32"/>
    <w:rsid w:val="00D57D7D"/>
    <w:rsid w:val="00D6014C"/>
    <w:rsid w:val="00D613F7"/>
    <w:rsid w:val="00D615A0"/>
    <w:rsid w:val="00D618A7"/>
    <w:rsid w:val="00D6196D"/>
    <w:rsid w:val="00D61E3F"/>
    <w:rsid w:val="00D62167"/>
    <w:rsid w:val="00D62AB1"/>
    <w:rsid w:val="00D62C63"/>
    <w:rsid w:val="00D62DDD"/>
    <w:rsid w:val="00D62EB4"/>
    <w:rsid w:val="00D630EE"/>
    <w:rsid w:val="00D6345D"/>
    <w:rsid w:val="00D63A91"/>
    <w:rsid w:val="00D63D7B"/>
    <w:rsid w:val="00D64356"/>
    <w:rsid w:val="00D64878"/>
    <w:rsid w:val="00D64DB0"/>
    <w:rsid w:val="00D6512F"/>
    <w:rsid w:val="00D651DB"/>
    <w:rsid w:val="00D6551F"/>
    <w:rsid w:val="00D65D85"/>
    <w:rsid w:val="00D6603C"/>
    <w:rsid w:val="00D66313"/>
    <w:rsid w:val="00D66416"/>
    <w:rsid w:val="00D66A95"/>
    <w:rsid w:val="00D66EC1"/>
    <w:rsid w:val="00D6704B"/>
    <w:rsid w:val="00D67D4F"/>
    <w:rsid w:val="00D7012F"/>
    <w:rsid w:val="00D702C0"/>
    <w:rsid w:val="00D702E3"/>
    <w:rsid w:val="00D70786"/>
    <w:rsid w:val="00D70EB5"/>
    <w:rsid w:val="00D713FB"/>
    <w:rsid w:val="00D7167C"/>
    <w:rsid w:val="00D71ADF"/>
    <w:rsid w:val="00D7216E"/>
    <w:rsid w:val="00D7246D"/>
    <w:rsid w:val="00D7293B"/>
    <w:rsid w:val="00D72C5C"/>
    <w:rsid w:val="00D72F45"/>
    <w:rsid w:val="00D7360B"/>
    <w:rsid w:val="00D73CE3"/>
    <w:rsid w:val="00D74355"/>
    <w:rsid w:val="00D743CE"/>
    <w:rsid w:val="00D747CA"/>
    <w:rsid w:val="00D74971"/>
    <w:rsid w:val="00D74C35"/>
    <w:rsid w:val="00D74CDA"/>
    <w:rsid w:val="00D74EE3"/>
    <w:rsid w:val="00D75170"/>
    <w:rsid w:val="00D75927"/>
    <w:rsid w:val="00D75C6C"/>
    <w:rsid w:val="00D75D4F"/>
    <w:rsid w:val="00D7600D"/>
    <w:rsid w:val="00D76031"/>
    <w:rsid w:val="00D761A5"/>
    <w:rsid w:val="00D76293"/>
    <w:rsid w:val="00D7685B"/>
    <w:rsid w:val="00D768FF"/>
    <w:rsid w:val="00D7725F"/>
    <w:rsid w:val="00D77266"/>
    <w:rsid w:val="00D77540"/>
    <w:rsid w:val="00D77724"/>
    <w:rsid w:val="00D77EC4"/>
    <w:rsid w:val="00D80387"/>
    <w:rsid w:val="00D80558"/>
    <w:rsid w:val="00D80608"/>
    <w:rsid w:val="00D8075C"/>
    <w:rsid w:val="00D8101B"/>
    <w:rsid w:val="00D81799"/>
    <w:rsid w:val="00D819A8"/>
    <w:rsid w:val="00D81FF7"/>
    <w:rsid w:val="00D8263A"/>
    <w:rsid w:val="00D82A17"/>
    <w:rsid w:val="00D834C0"/>
    <w:rsid w:val="00D8362A"/>
    <w:rsid w:val="00D837A7"/>
    <w:rsid w:val="00D83B9F"/>
    <w:rsid w:val="00D840DF"/>
    <w:rsid w:val="00D84569"/>
    <w:rsid w:val="00D849AC"/>
    <w:rsid w:val="00D8522B"/>
    <w:rsid w:val="00D85269"/>
    <w:rsid w:val="00D85C13"/>
    <w:rsid w:val="00D8622D"/>
    <w:rsid w:val="00D86446"/>
    <w:rsid w:val="00D86B83"/>
    <w:rsid w:val="00D86D0F"/>
    <w:rsid w:val="00D86F76"/>
    <w:rsid w:val="00D876E6"/>
    <w:rsid w:val="00D87B9D"/>
    <w:rsid w:val="00D87FC3"/>
    <w:rsid w:val="00D906BA"/>
    <w:rsid w:val="00D90CC1"/>
    <w:rsid w:val="00D90ED6"/>
    <w:rsid w:val="00D910DF"/>
    <w:rsid w:val="00D911E0"/>
    <w:rsid w:val="00D91681"/>
    <w:rsid w:val="00D918E5"/>
    <w:rsid w:val="00D926BE"/>
    <w:rsid w:val="00D92ED2"/>
    <w:rsid w:val="00D932B8"/>
    <w:rsid w:val="00D9341A"/>
    <w:rsid w:val="00D9349D"/>
    <w:rsid w:val="00D941A6"/>
    <w:rsid w:val="00D9425D"/>
    <w:rsid w:val="00D944D2"/>
    <w:rsid w:val="00D946A8"/>
    <w:rsid w:val="00D94D06"/>
    <w:rsid w:val="00D951B7"/>
    <w:rsid w:val="00D951C8"/>
    <w:rsid w:val="00D956C0"/>
    <w:rsid w:val="00D95882"/>
    <w:rsid w:val="00D962A2"/>
    <w:rsid w:val="00D9659A"/>
    <w:rsid w:val="00D967E6"/>
    <w:rsid w:val="00D96892"/>
    <w:rsid w:val="00D96A5C"/>
    <w:rsid w:val="00D96D02"/>
    <w:rsid w:val="00D96EAD"/>
    <w:rsid w:val="00D972C2"/>
    <w:rsid w:val="00D9775D"/>
    <w:rsid w:val="00D9778A"/>
    <w:rsid w:val="00D97CF4"/>
    <w:rsid w:val="00DA04FE"/>
    <w:rsid w:val="00DA06C8"/>
    <w:rsid w:val="00DA0820"/>
    <w:rsid w:val="00DA0BEB"/>
    <w:rsid w:val="00DA0F54"/>
    <w:rsid w:val="00DA1549"/>
    <w:rsid w:val="00DA18D3"/>
    <w:rsid w:val="00DA24BF"/>
    <w:rsid w:val="00DA276B"/>
    <w:rsid w:val="00DA289E"/>
    <w:rsid w:val="00DA2984"/>
    <w:rsid w:val="00DA2D1C"/>
    <w:rsid w:val="00DA3208"/>
    <w:rsid w:val="00DA325E"/>
    <w:rsid w:val="00DA389E"/>
    <w:rsid w:val="00DA4387"/>
    <w:rsid w:val="00DA44E7"/>
    <w:rsid w:val="00DA458A"/>
    <w:rsid w:val="00DA4785"/>
    <w:rsid w:val="00DA4F8A"/>
    <w:rsid w:val="00DA5155"/>
    <w:rsid w:val="00DA559B"/>
    <w:rsid w:val="00DA5792"/>
    <w:rsid w:val="00DA5EF9"/>
    <w:rsid w:val="00DA6158"/>
    <w:rsid w:val="00DA6518"/>
    <w:rsid w:val="00DA6935"/>
    <w:rsid w:val="00DA7018"/>
    <w:rsid w:val="00DA714A"/>
    <w:rsid w:val="00DA769D"/>
    <w:rsid w:val="00DB0A49"/>
    <w:rsid w:val="00DB0DF4"/>
    <w:rsid w:val="00DB0F30"/>
    <w:rsid w:val="00DB0FF9"/>
    <w:rsid w:val="00DB1575"/>
    <w:rsid w:val="00DB1863"/>
    <w:rsid w:val="00DB19F6"/>
    <w:rsid w:val="00DB1B77"/>
    <w:rsid w:val="00DB29B1"/>
    <w:rsid w:val="00DB2C89"/>
    <w:rsid w:val="00DB3035"/>
    <w:rsid w:val="00DB31C8"/>
    <w:rsid w:val="00DB31FF"/>
    <w:rsid w:val="00DB331C"/>
    <w:rsid w:val="00DB3379"/>
    <w:rsid w:val="00DB338C"/>
    <w:rsid w:val="00DB365E"/>
    <w:rsid w:val="00DB3F5B"/>
    <w:rsid w:val="00DB4247"/>
    <w:rsid w:val="00DB4378"/>
    <w:rsid w:val="00DB4951"/>
    <w:rsid w:val="00DB4B46"/>
    <w:rsid w:val="00DB4E7E"/>
    <w:rsid w:val="00DB58B9"/>
    <w:rsid w:val="00DB59B9"/>
    <w:rsid w:val="00DB5B4C"/>
    <w:rsid w:val="00DB5BC0"/>
    <w:rsid w:val="00DB5F99"/>
    <w:rsid w:val="00DB6049"/>
    <w:rsid w:val="00DB6111"/>
    <w:rsid w:val="00DB6674"/>
    <w:rsid w:val="00DB672B"/>
    <w:rsid w:val="00DB67F3"/>
    <w:rsid w:val="00DB6942"/>
    <w:rsid w:val="00DB74D4"/>
    <w:rsid w:val="00DB757F"/>
    <w:rsid w:val="00DB75C3"/>
    <w:rsid w:val="00DB78F6"/>
    <w:rsid w:val="00DB7948"/>
    <w:rsid w:val="00DB7F6E"/>
    <w:rsid w:val="00DB7FB1"/>
    <w:rsid w:val="00DC0867"/>
    <w:rsid w:val="00DC15A7"/>
    <w:rsid w:val="00DC1896"/>
    <w:rsid w:val="00DC1BEE"/>
    <w:rsid w:val="00DC1C17"/>
    <w:rsid w:val="00DC29AD"/>
    <w:rsid w:val="00DC2ABA"/>
    <w:rsid w:val="00DC2C82"/>
    <w:rsid w:val="00DC31A9"/>
    <w:rsid w:val="00DC31DB"/>
    <w:rsid w:val="00DC31F8"/>
    <w:rsid w:val="00DC33CD"/>
    <w:rsid w:val="00DC35D8"/>
    <w:rsid w:val="00DC3DDE"/>
    <w:rsid w:val="00DC3F7C"/>
    <w:rsid w:val="00DC3FEB"/>
    <w:rsid w:val="00DC4249"/>
    <w:rsid w:val="00DC4417"/>
    <w:rsid w:val="00DC4743"/>
    <w:rsid w:val="00DC59B1"/>
    <w:rsid w:val="00DC5E28"/>
    <w:rsid w:val="00DC60D3"/>
    <w:rsid w:val="00DC63D1"/>
    <w:rsid w:val="00DC6C87"/>
    <w:rsid w:val="00DC6E72"/>
    <w:rsid w:val="00DC7529"/>
    <w:rsid w:val="00DC758A"/>
    <w:rsid w:val="00DC7997"/>
    <w:rsid w:val="00DC7A20"/>
    <w:rsid w:val="00DC7ED4"/>
    <w:rsid w:val="00DD0104"/>
    <w:rsid w:val="00DD0A3B"/>
    <w:rsid w:val="00DD0CCC"/>
    <w:rsid w:val="00DD1155"/>
    <w:rsid w:val="00DD124E"/>
    <w:rsid w:val="00DD1CB1"/>
    <w:rsid w:val="00DD2086"/>
    <w:rsid w:val="00DD24FB"/>
    <w:rsid w:val="00DD2C1F"/>
    <w:rsid w:val="00DD32D9"/>
    <w:rsid w:val="00DD36C1"/>
    <w:rsid w:val="00DD38C2"/>
    <w:rsid w:val="00DD3D34"/>
    <w:rsid w:val="00DD4C6D"/>
    <w:rsid w:val="00DD4E46"/>
    <w:rsid w:val="00DD5E22"/>
    <w:rsid w:val="00DD63D1"/>
    <w:rsid w:val="00DD6694"/>
    <w:rsid w:val="00DD6AA2"/>
    <w:rsid w:val="00DD6C40"/>
    <w:rsid w:val="00DD6D3E"/>
    <w:rsid w:val="00DD6FC1"/>
    <w:rsid w:val="00DD720A"/>
    <w:rsid w:val="00DD794A"/>
    <w:rsid w:val="00DD7F89"/>
    <w:rsid w:val="00DE06BB"/>
    <w:rsid w:val="00DE0CAD"/>
    <w:rsid w:val="00DE149D"/>
    <w:rsid w:val="00DE177E"/>
    <w:rsid w:val="00DE187F"/>
    <w:rsid w:val="00DE1CC9"/>
    <w:rsid w:val="00DE1F93"/>
    <w:rsid w:val="00DE29B2"/>
    <w:rsid w:val="00DE3035"/>
    <w:rsid w:val="00DE32FA"/>
    <w:rsid w:val="00DE36E3"/>
    <w:rsid w:val="00DE42A9"/>
    <w:rsid w:val="00DE4A88"/>
    <w:rsid w:val="00DE4D10"/>
    <w:rsid w:val="00DE592E"/>
    <w:rsid w:val="00DE5D22"/>
    <w:rsid w:val="00DE60AD"/>
    <w:rsid w:val="00DE65EC"/>
    <w:rsid w:val="00DE679C"/>
    <w:rsid w:val="00DE6EF8"/>
    <w:rsid w:val="00DE6F70"/>
    <w:rsid w:val="00DE72AE"/>
    <w:rsid w:val="00DE7443"/>
    <w:rsid w:val="00DE7550"/>
    <w:rsid w:val="00DE7784"/>
    <w:rsid w:val="00DE788A"/>
    <w:rsid w:val="00DF00DD"/>
    <w:rsid w:val="00DF01D5"/>
    <w:rsid w:val="00DF01FE"/>
    <w:rsid w:val="00DF0AC6"/>
    <w:rsid w:val="00DF0DAD"/>
    <w:rsid w:val="00DF129E"/>
    <w:rsid w:val="00DF1586"/>
    <w:rsid w:val="00DF15BE"/>
    <w:rsid w:val="00DF1843"/>
    <w:rsid w:val="00DF1852"/>
    <w:rsid w:val="00DF1D6F"/>
    <w:rsid w:val="00DF2240"/>
    <w:rsid w:val="00DF24F7"/>
    <w:rsid w:val="00DF27A6"/>
    <w:rsid w:val="00DF2B21"/>
    <w:rsid w:val="00DF2D3E"/>
    <w:rsid w:val="00DF2EB7"/>
    <w:rsid w:val="00DF2EEF"/>
    <w:rsid w:val="00DF31E3"/>
    <w:rsid w:val="00DF35B3"/>
    <w:rsid w:val="00DF3751"/>
    <w:rsid w:val="00DF38D0"/>
    <w:rsid w:val="00DF4254"/>
    <w:rsid w:val="00DF4646"/>
    <w:rsid w:val="00DF5516"/>
    <w:rsid w:val="00DF5E1A"/>
    <w:rsid w:val="00DF5EA0"/>
    <w:rsid w:val="00DF616A"/>
    <w:rsid w:val="00DF6798"/>
    <w:rsid w:val="00DF6A54"/>
    <w:rsid w:val="00DF6ECB"/>
    <w:rsid w:val="00DF70C2"/>
    <w:rsid w:val="00DF797E"/>
    <w:rsid w:val="00E00F8E"/>
    <w:rsid w:val="00E01969"/>
    <w:rsid w:val="00E01E5C"/>
    <w:rsid w:val="00E01F6A"/>
    <w:rsid w:val="00E02808"/>
    <w:rsid w:val="00E02D45"/>
    <w:rsid w:val="00E02D95"/>
    <w:rsid w:val="00E03014"/>
    <w:rsid w:val="00E03528"/>
    <w:rsid w:val="00E036EE"/>
    <w:rsid w:val="00E04052"/>
    <w:rsid w:val="00E042E2"/>
    <w:rsid w:val="00E04426"/>
    <w:rsid w:val="00E04C5F"/>
    <w:rsid w:val="00E04D71"/>
    <w:rsid w:val="00E05BB1"/>
    <w:rsid w:val="00E05DCE"/>
    <w:rsid w:val="00E05F7C"/>
    <w:rsid w:val="00E063B1"/>
    <w:rsid w:val="00E06415"/>
    <w:rsid w:val="00E06487"/>
    <w:rsid w:val="00E06F55"/>
    <w:rsid w:val="00E07046"/>
    <w:rsid w:val="00E0765F"/>
    <w:rsid w:val="00E1025E"/>
    <w:rsid w:val="00E10409"/>
    <w:rsid w:val="00E105FB"/>
    <w:rsid w:val="00E10BFE"/>
    <w:rsid w:val="00E10C66"/>
    <w:rsid w:val="00E1127B"/>
    <w:rsid w:val="00E11B82"/>
    <w:rsid w:val="00E11C3C"/>
    <w:rsid w:val="00E12016"/>
    <w:rsid w:val="00E1246D"/>
    <w:rsid w:val="00E126A7"/>
    <w:rsid w:val="00E128AB"/>
    <w:rsid w:val="00E12AB1"/>
    <w:rsid w:val="00E12B39"/>
    <w:rsid w:val="00E12B5E"/>
    <w:rsid w:val="00E12D8F"/>
    <w:rsid w:val="00E12F1C"/>
    <w:rsid w:val="00E138ED"/>
    <w:rsid w:val="00E13A89"/>
    <w:rsid w:val="00E13D52"/>
    <w:rsid w:val="00E13DC9"/>
    <w:rsid w:val="00E1430F"/>
    <w:rsid w:val="00E14416"/>
    <w:rsid w:val="00E1446D"/>
    <w:rsid w:val="00E14816"/>
    <w:rsid w:val="00E14F5A"/>
    <w:rsid w:val="00E15018"/>
    <w:rsid w:val="00E1561D"/>
    <w:rsid w:val="00E15B0E"/>
    <w:rsid w:val="00E1680A"/>
    <w:rsid w:val="00E168EF"/>
    <w:rsid w:val="00E16A52"/>
    <w:rsid w:val="00E16B64"/>
    <w:rsid w:val="00E17839"/>
    <w:rsid w:val="00E17B4E"/>
    <w:rsid w:val="00E20BEE"/>
    <w:rsid w:val="00E20E7C"/>
    <w:rsid w:val="00E2103B"/>
    <w:rsid w:val="00E22341"/>
    <w:rsid w:val="00E227B8"/>
    <w:rsid w:val="00E2340A"/>
    <w:rsid w:val="00E2386B"/>
    <w:rsid w:val="00E23880"/>
    <w:rsid w:val="00E23908"/>
    <w:rsid w:val="00E23B4A"/>
    <w:rsid w:val="00E23CD1"/>
    <w:rsid w:val="00E240E1"/>
    <w:rsid w:val="00E2443C"/>
    <w:rsid w:val="00E24963"/>
    <w:rsid w:val="00E24DEE"/>
    <w:rsid w:val="00E24F49"/>
    <w:rsid w:val="00E25CF7"/>
    <w:rsid w:val="00E262C1"/>
    <w:rsid w:val="00E269DD"/>
    <w:rsid w:val="00E26B01"/>
    <w:rsid w:val="00E26EAE"/>
    <w:rsid w:val="00E27244"/>
    <w:rsid w:val="00E27920"/>
    <w:rsid w:val="00E279BF"/>
    <w:rsid w:val="00E27A6D"/>
    <w:rsid w:val="00E27A75"/>
    <w:rsid w:val="00E27BCA"/>
    <w:rsid w:val="00E27DDE"/>
    <w:rsid w:val="00E27EC0"/>
    <w:rsid w:val="00E301F0"/>
    <w:rsid w:val="00E302DC"/>
    <w:rsid w:val="00E302FA"/>
    <w:rsid w:val="00E304EC"/>
    <w:rsid w:val="00E30607"/>
    <w:rsid w:val="00E30C75"/>
    <w:rsid w:val="00E30D6D"/>
    <w:rsid w:val="00E30DB3"/>
    <w:rsid w:val="00E31341"/>
    <w:rsid w:val="00E31369"/>
    <w:rsid w:val="00E31A57"/>
    <w:rsid w:val="00E31C68"/>
    <w:rsid w:val="00E31E55"/>
    <w:rsid w:val="00E323CE"/>
    <w:rsid w:val="00E32607"/>
    <w:rsid w:val="00E32A6B"/>
    <w:rsid w:val="00E32E25"/>
    <w:rsid w:val="00E33670"/>
    <w:rsid w:val="00E339F1"/>
    <w:rsid w:val="00E33FC3"/>
    <w:rsid w:val="00E34001"/>
    <w:rsid w:val="00E340E6"/>
    <w:rsid w:val="00E3414F"/>
    <w:rsid w:val="00E34387"/>
    <w:rsid w:val="00E34423"/>
    <w:rsid w:val="00E346BA"/>
    <w:rsid w:val="00E351FB"/>
    <w:rsid w:val="00E3552E"/>
    <w:rsid w:val="00E35A26"/>
    <w:rsid w:val="00E35C9B"/>
    <w:rsid w:val="00E35D7B"/>
    <w:rsid w:val="00E35DBA"/>
    <w:rsid w:val="00E36125"/>
    <w:rsid w:val="00E363C1"/>
    <w:rsid w:val="00E367C9"/>
    <w:rsid w:val="00E36C0A"/>
    <w:rsid w:val="00E36E49"/>
    <w:rsid w:val="00E36F82"/>
    <w:rsid w:val="00E374F8"/>
    <w:rsid w:val="00E37729"/>
    <w:rsid w:val="00E37B15"/>
    <w:rsid w:val="00E37E7F"/>
    <w:rsid w:val="00E400F2"/>
    <w:rsid w:val="00E400F3"/>
    <w:rsid w:val="00E406F9"/>
    <w:rsid w:val="00E40931"/>
    <w:rsid w:val="00E40BC9"/>
    <w:rsid w:val="00E40C85"/>
    <w:rsid w:val="00E40D4F"/>
    <w:rsid w:val="00E40D8B"/>
    <w:rsid w:val="00E40F39"/>
    <w:rsid w:val="00E40FB3"/>
    <w:rsid w:val="00E41359"/>
    <w:rsid w:val="00E414EC"/>
    <w:rsid w:val="00E417A2"/>
    <w:rsid w:val="00E41941"/>
    <w:rsid w:val="00E421C5"/>
    <w:rsid w:val="00E424DF"/>
    <w:rsid w:val="00E42911"/>
    <w:rsid w:val="00E42D8B"/>
    <w:rsid w:val="00E43ADD"/>
    <w:rsid w:val="00E43B44"/>
    <w:rsid w:val="00E43D50"/>
    <w:rsid w:val="00E43E5C"/>
    <w:rsid w:val="00E4400F"/>
    <w:rsid w:val="00E441D8"/>
    <w:rsid w:val="00E444F6"/>
    <w:rsid w:val="00E44659"/>
    <w:rsid w:val="00E44CFC"/>
    <w:rsid w:val="00E44F18"/>
    <w:rsid w:val="00E451DD"/>
    <w:rsid w:val="00E45272"/>
    <w:rsid w:val="00E46086"/>
    <w:rsid w:val="00E46A74"/>
    <w:rsid w:val="00E4766C"/>
    <w:rsid w:val="00E47B77"/>
    <w:rsid w:val="00E47D03"/>
    <w:rsid w:val="00E47DBE"/>
    <w:rsid w:val="00E47F67"/>
    <w:rsid w:val="00E5130A"/>
    <w:rsid w:val="00E51742"/>
    <w:rsid w:val="00E51CB9"/>
    <w:rsid w:val="00E52DC7"/>
    <w:rsid w:val="00E538F1"/>
    <w:rsid w:val="00E53C01"/>
    <w:rsid w:val="00E53D46"/>
    <w:rsid w:val="00E5402B"/>
    <w:rsid w:val="00E5402E"/>
    <w:rsid w:val="00E541FA"/>
    <w:rsid w:val="00E54347"/>
    <w:rsid w:val="00E54519"/>
    <w:rsid w:val="00E54540"/>
    <w:rsid w:val="00E54A85"/>
    <w:rsid w:val="00E54BC1"/>
    <w:rsid w:val="00E54FD6"/>
    <w:rsid w:val="00E5507F"/>
    <w:rsid w:val="00E5530C"/>
    <w:rsid w:val="00E553BB"/>
    <w:rsid w:val="00E554C7"/>
    <w:rsid w:val="00E55A3F"/>
    <w:rsid w:val="00E56367"/>
    <w:rsid w:val="00E565E3"/>
    <w:rsid w:val="00E56793"/>
    <w:rsid w:val="00E57A08"/>
    <w:rsid w:val="00E57F68"/>
    <w:rsid w:val="00E60666"/>
    <w:rsid w:val="00E6099C"/>
    <w:rsid w:val="00E61246"/>
    <w:rsid w:val="00E61C73"/>
    <w:rsid w:val="00E61F64"/>
    <w:rsid w:val="00E6202D"/>
    <w:rsid w:val="00E623D9"/>
    <w:rsid w:val="00E62C87"/>
    <w:rsid w:val="00E62F62"/>
    <w:rsid w:val="00E63A35"/>
    <w:rsid w:val="00E63BFB"/>
    <w:rsid w:val="00E63CFF"/>
    <w:rsid w:val="00E63D9D"/>
    <w:rsid w:val="00E63DE9"/>
    <w:rsid w:val="00E64423"/>
    <w:rsid w:val="00E64666"/>
    <w:rsid w:val="00E6485A"/>
    <w:rsid w:val="00E64947"/>
    <w:rsid w:val="00E64F78"/>
    <w:rsid w:val="00E658BC"/>
    <w:rsid w:val="00E65A56"/>
    <w:rsid w:val="00E65AA3"/>
    <w:rsid w:val="00E65D91"/>
    <w:rsid w:val="00E65EFB"/>
    <w:rsid w:val="00E66671"/>
    <w:rsid w:val="00E666A6"/>
    <w:rsid w:val="00E66C88"/>
    <w:rsid w:val="00E67273"/>
    <w:rsid w:val="00E673DC"/>
    <w:rsid w:val="00E67CD5"/>
    <w:rsid w:val="00E67E71"/>
    <w:rsid w:val="00E700E5"/>
    <w:rsid w:val="00E70205"/>
    <w:rsid w:val="00E7048E"/>
    <w:rsid w:val="00E706A6"/>
    <w:rsid w:val="00E708E4"/>
    <w:rsid w:val="00E70AD8"/>
    <w:rsid w:val="00E711AB"/>
    <w:rsid w:val="00E715AC"/>
    <w:rsid w:val="00E71683"/>
    <w:rsid w:val="00E716F6"/>
    <w:rsid w:val="00E71C2F"/>
    <w:rsid w:val="00E720E7"/>
    <w:rsid w:val="00E720FF"/>
    <w:rsid w:val="00E724C1"/>
    <w:rsid w:val="00E72D1E"/>
    <w:rsid w:val="00E7301F"/>
    <w:rsid w:val="00E73FD1"/>
    <w:rsid w:val="00E740A7"/>
    <w:rsid w:val="00E7413C"/>
    <w:rsid w:val="00E74156"/>
    <w:rsid w:val="00E744B2"/>
    <w:rsid w:val="00E74842"/>
    <w:rsid w:val="00E74B4E"/>
    <w:rsid w:val="00E74BE6"/>
    <w:rsid w:val="00E74D51"/>
    <w:rsid w:val="00E75475"/>
    <w:rsid w:val="00E758A0"/>
    <w:rsid w:val="00E75C1F"/>
    <w:rsid w:val="00E7608B"/>
    <w:rsid w:val="00E7614A"/>
    <w:rsid w:val="00E76696"/>
    <w:rsid w:val="00E76743"/>
    <w:rsid w:val="00E76AD2"/>
    <w:rsid w:val="00E773A9"/>
    <w:rsid w:val="00E77516"/>
    <w:rsid w:val="00E77642"/>
    <w:rsid w:val="00E77A33"/>
    <w:rsid w:val="00E77B42"/>
    <w:rsid w:val="00E77EBA"/>
    <w:rsid w:val="00E80412"/>
    <w:rsid w:val="00E81051"/>
    <w:rsid w:val="00E820A4"/>
    <w:rsid w:val="00E82673"/>
    <w:rsid w:val="00E832C9"/>
    <w:rsid w:val="00E8333F"/>
    <w:rsid w:val="00E83758"/>
    <w:rsid w:val="00E83837"/>
    <w:rsid w:val="00E83B4A"/>
    <w:rsid w:val="00E84537"/>
    <w:rsid w:val="00E84ABF"/>
    <w:rsid w:val="00E84F5F"/>
    <w:rsid w:val="00E85544"/>
    <w:rsid w:val="00E85722"/>
    <w:rsid w:val="00E85B17"/>
    <w:rsid w:val="00E85FB0"/>
    <w:rsid w:val="00E8610A"/>
    <w:rsid w:val="00E86450"/>
    <w:rsid w:val="00E864BF"/>
    <w:rsid w:val="00E865C9"/>
    <w:rsid w:val="00E86898"/>
    <w:rsid w:val="00E86E76"/>
    <w:rsid w:val="00E87343"/>
    <w:rsid w:val="00E8791D"/>
    <w:rsid w:val="00E87B44"/>
    <w:rsid w:val="00E87BD8"/>
    <w:rsid w:val="00E87C54"/>
    <w:rsid w:val="00E90AC6"/>
    <w:rsid w:val="00E90E4C"/>
    <w:rsid w:val="00E90F05"/>
    <w:rsid w:val="00E915B2"/>
    <w:rsid w:val="00E916AE"/>
    <w:rsid w:val="00E91A87"/>
    <w:rsid w:val="00E92E13"/>
    <w:rsid w:val="00E93522"/>
    <w:rsid w:val="00E939DA"/>
    <w:rsid w:val="00E9424A"/>
    <w:rsid w:val="00E94DAA"/>
    <w:rsid w:val="00E95262"/>
    <w:rsid w:val="00E95375"/>
    <w:rsid w:val="00E95C5D"/>
    <w:rsid w:val="00E9639B"/>
    <w:rsid w:val="00E9647C"/>
    <w:rsid w:val="00E96870"/>
    <w:rsid w:val="00E9688D"/>
    <w:rsid w:val="00E96BB7"/>
    <w:rsid w:val="00E96E38"/>
    <w:rsid w:val="00E97495"/>
    <w:rsid w:val="00E97589"/>
    <w:rsid w:val="00E9773A"/>
    <w:rsid w:val="00E97D8E"/>
    <w:rsid w:val="00E97F47"/>
    <w:rsid w:val="00EA077E"/>
    <w:rsid w:val="00EA1092"/>
    <w:rsid w:val="00EA10ED"/>
    <w:rsid w:val="00EA18D4"/>
    <w:rsid w:val="00EA1CA0"/>
    <w:rsid w:val="00EA1E11"/>
    <w:rsid w:val="00EA1E58"/>
    <w:rsid w:val="00EA23A2"/>
    <w:rsid w:val="00EA28AD"/>
    <w:rsid w:val="00EA28E3"/>
    <w:rsid w:val="00EA2FAA"/>
    <w:rsid w:val="00EA307E"/>
    <w:rsid w:val="00EA327D"/>
    <w:rsid w:val="00EA3612"/>
    <w:rsid w:val="00EA3A79"/>
    <w:rsid w:val="00EA3D7E"/>
    <w:rsid w:val="00EA3FEA"/>
    <w:rsid w:val="00EA4CFA"/>
    <w:rsid w:val="00EA4E35"/>
    <w:rsid w:val="00EA4ED6"/>
    <w:rsid w:val="00EA4F7A"/>
    <w:rsid w:val="00EA51BC"/>
    <w:rsid w:val="00EA5416"/>
    <w:rsid w:val="00EA56C9"/>
    <w:rsid w:val="00EA575D"/>
    <w:rsid w:val="00EA5EA1"/>
    <w:rsid w:val="00EA5F5B"/>
    <w:rsid w:val="00EA6376"/>
    <w:rsid w:val="00EA6667"/>
    <w:rsid w:val="00EA69B2"/>
    <w:rsid w:val="00EA69CE"/>
    <w:rsid w:val="00EA6A61"/>
    <w:rsid w:val="00EA6BB0"/>
    <w:rsid w:val="00EA6BDF"/>
    <w:rsid w:val="00EA6E94"/>
    <w:rsid w:val="00EA6F89"/>
    <w:rsid w:val="00EA6FD8"/>
    <w:rsid w:val="00EA75BE"/>
    <w:rsid w:val="00EA791D"/>
    <w:rsid w:val="00EA7F4D"/>
    <w:rsid w:val="00EA7FEB"/>
    <w:rsid w:val="00EB0609"/>
    <w:rsid w:val="00EB06A9"/>
    <w:rsid w:val="00EB08E7"/>
    <w:rsid w:val="00EB09BA"/>
    <w:rsid w:val="00EB0C9E"/>
    <w:rsid w:val="00EB0E52"/>
    <w:rsid w:val="00EB1218"/>
    <w:rsid w:val="00EB1286"/>
    <w:rsid w:val="00EB1312"/>
    <w:rsid w:val="00EB1BDA"/>
    <w:rsid w:val="00EB1DF3"/>
    <w:rsid w:val="00EB1EEC"/>
    <w:rsid w:val="00EB20FC"/>
    <w:rsid w:val="00EB243A"/>
    <w:rsid w:val="00EB2517"/>
    <w:rsid w:val="00EB346A"/>
    <w:rsid w:val="00EB34B1"/>
    <w:rsid w:val="00EB3532"/>
    <w:rsid w:val="00EB371E"/>
    <w:rsid w:val="00EB3763"/>
    <w:rsid w:val="00EB3982"/>
    <w:rsid w:val="00EB3D28"/>
    <w:rsid w:val="00EB3F5D"/>
    <w:rsid w:val="00EB42AF"/>
    <w:rsid w:val="00EB61BC"/>
    <w:rsid w:val="00EB654F"/>
    <w:rsid w:val="00EB6E61"/>
    <w:rsid w:val="00EB739C"/>
    <w:rsid w:val="00EB751A"/>
    <w:rsid w:val="00EB7673"/>
    <w:rsid w:val="00EB784F"/>
    <w:rsid w:val="00EB7977"/>
    <w:rsid w:val="00EC06CB"/>
    <w:rsid w:val="00EC07F3"/>
    <w:rsid w:val="00EC0B4B"/>
    <w:rsid w:val="00EC0B93"/>
    <w:rsid w:val="00EC0EE9"/>
    <w:rsid w:val="00EC104B"/>
    <w:rsid w:val="00EC123D"/>
    <w:rsid w:val="00EC1372"/>
    <w:rsid w:val="00EC176D"/>
    <w:rsid w:val="00EC18C8"/>
    <w:rsid w:val="00EC19FC"/>
    <w:rsid w:val="00EC1A82"/>
    <w:rsid w:val="00EC1EFF"/>
    <w:rsid w:val="00EC20E2"/>
    <w:rsid w:val="00EC233F"/>
    <w:rsid w:val="00EC2A2C"/>
    <w:rsid w:val="00EC2D76"/>
    <w:rsid w:val="00EC3213"/>
    <w:rsid w:val="00EC3237"/>
    <w:rsid w:val="00EC35F5"/>
    <w:rsid w:val="00EC37ED"/>
    <w:rsid w:val="00EC3861"/>
    <w:rsid w:val="00EC3877"/>
    <w:rsid w:val="00EC3908"/>
    <w:rsid w:val="00EC395B"/>
    <w:rsid w:val="00EC44AF"/>
    <w:rsid w:val="00EC45C4"/>
    <w:rsid w:val="00EC4624"/>
    <w:rsid w:val="00EC4BD9"/>
    <w:rsid w:val="00EC5396"/>
    <w:rsid w:val="00EC578D"/>
    <w:rsid w:val="00EC63D4"/>
    <w:rsid w:val="00EC685E"/>
    <w:rsid w:val="00EC7251"/>
    <w:rsid w:val="00EC7521"/>
    <w:rsid w:val="00EC76E5"/>
    <w:rsid w:val="00EC792B"/>
    <w:rsid w:val="00EC7AAF"/>
    <w:rsid w:val="00EC7EE1"/>
    <w:rsid w:val="00ED0C49"/>
    <w:rsid w:val="00ED0CA9"/>
    <w:rsid w:val="00ED0F14"/>
    <w:rsid w:val="00ED10B7"/>
    <w:rsid w:val="00ED10BB"/>
    <w:rsid w:val="00ED191E"/>
    <w:rsid w:val="00ED202A"/>
    <w:rsid w:val="00ED2768"/>
    <w:rsid w:val="00ED2B0B"/>
    <w:rsid w:val="00ED3343"/>
    <w:rsid w:val="00ED33FD"/>
    <w:rsid w:val="00ED3661"/>
    <w:rsid w:val="00ED3CDE"/>
    <w:rsid w:val="00ED4610"/>
    <w:rsid w:val="00ED4C5B"/>
    <w:rsid w:val="00ED5048"/>
    <w:rsid w:val="00ED5134"/>
    <w:rsid w:val="00ED542A"/>
    <w:rsid w:val="00ED584F"/>
    <w:rsid w:val="00ED5AAF"/>
    <w:rsid w:val="00ED5CE3"/>
    <w:rsid w:val="00ED5EA5"/>
    <w:rsid w:val="00ED5F03"/>
    <w:rsid w:val="00ED62D7"/>
    <w:rsid w:val="00ED68BB"/>
    <w:rsid w:val="00ED6A8B"/>
    <w:rsid w:val="00ED6C5A"/>
    <w:rsid w:val="00ED75D8"/>
    <w:rsid w:val="00ED7786"/>
    <w:rsid w:val="00EE00C3"/>
    <w:rsid w:val="00EE02A3"/>
    <w:rsid w:val="00EE04DF"/>
    <w:rsid w:val="00EE05C3"/>
    <w:rsid w:val="00EE068E"/>
    <w:rsid w:val="00EE1317"/>
    <w:rsid w:val="00EE14D3"/>
    <w:rsid w:val="00EE1863"/>
    <w:rsid w:val="00EE18EE"/>
    <w:rsid w:val="00EE1E73"/>
    <w:rsid w:val="00EE1F05"/>
    <w:rsid w:val="00EE21D9"/>
    <w:rsid w:val="00EE2437"/>
    <w:rsid w:val="00EE307B"/>
    <w:rsid w:val="00EE34B0"/>
    <w:rsid w:val="00EE365C"/>
    <w:rsid w:val="00EE3C38"/>
    <w:rsid w:val="00EE3E50"/>
    <w:rsid w:val="00EE4051"/>
    <w:rsid w:val="00EE42D3"/>
    <w:rsid w:val="00EE441C"/>
    <w:rsid w:val="00EE4472"/>
    <w:rsid w:val="00EE45D5"/>
    <w:rsid w:val="00EE467B"/>
    <w:rsid w:val="00EE4C9A"/>
    <w:rsid w:val="00EE569A"/>
    <w:rsid w:val="00EE58E3"/>
    <w:rsid w:val="00EE5F30"/>
    <w:rsid w:val="00EE60ED"/>
    <w:rsid w:val="00EE6238"/>
    <w:rsid w:val="00EE6564"/>
    <w:rsid w:val="00EE6580"/>
    <w:rsid w:val="00EE68EF"/>
    <w:rsid w:val="00EE69B1"/>
    <w:rsid w:val="00EE7007"/>
    <w:rsid w:val="00EE70A2"/>
    <w:rsid w:val="00EE70EA"/>
    <w:rsid w:val="00EE7851"/>
    <w:rsid w:val="00EE79C2"/>
    <w:rsid w:val="00EE7CAF"/>
    <w:rsid w:val="00EF0777"/>
    <w:rsid w:val="00EF16B3"/>
    <w:rsid w:val="00EF18BF"/>
    <w:rsid w:val="00EF1B9E"/>
    <w:rsid w:val="00EF1C1A"/>
    <w:rsid w:val="00EF1D61"/>
    <w:rsid w:val="00EF1EC0"/>
    <w:rsid w:val="00EF2149"/>
    <w:rsid w:val="00EF263E"/>
    <w:rsid w:val="00EF26AF"/>
    <w:rsid w:val="00EF3069"/>
    <w:rsid w:val="00EF3B00"/>
    <w:rsid w:val="00EF3EFA"/>
    <w:rsid w:val="00EF4181"/>
    <w:rsid w:val="00EF41BE"/>
    <w:rsid w:val="00EF4F8F"/>
    <w:rsid w:val="00EF732C"/>
    <w:rsid w:val="00EF7AC1"/>
    <w:rsid w:val="00EF7D9F"/>
    <w:rsid w:val="00F00107"/>
    <w:rsid w:val="00F001FE"/>
    <w:rsid w:val="00F00225"/>
    <w:rsid w:val="00F00A77"/>
    <w:rsid w:val="00F00D26"/>
    <w:rsid w:val="00F00D92"/>
    <w:rsid w:val="00F00E5B"/>
    <w:rsid w:val="00F01BEE"/>
    <w:rsid w:val="00F022ED"/>
    <w:rsid w:val="00F02428"/>
    <w:rsid w:val="00F026D0"/>
    <w:rsid w:val="00F02A63"/>
    <w:rsid w:val="00F02BEA"/>
    <w:rsid w:val="00F02C5D"/>
    <w:rsid w:val="00F02CEA"/>
    <w:rsid w:val="00F03134"/>
    <w:rsid w:val="00F03402"/>
    <w:rsid w:val="00F03B37"/>
    <w:rsid w:val="00F03C69"/>
    <w:rsid w:val="00F0408E"/>
    <w:rsid w:val="00F04142"/>
    <w:rsid w:val="00F041EA"/>
    <w:rsid w:val="00F043AD"/>
    <w:rsid w:val="00F0483B"/>
    <w:rsid w:val="00F04CFD"/>
    <w:rsid w:val="00F052AE"/>
    <w:rsid w:val="00F05531"/>
    <w:rsid w:val="00F058AF"/>
    <w:rsid w:val="00F058ED"/>
    <w:rsid w:val="00F05C9B"/>
    <w:rsid w:val="00F0615E"/>
    <w:rsid w:val="00F0628C"/>
    <w:rsid w:val="00F06452"/>
    <w:rsid w:val="00F064B4"/>
    <w:rsid w:val="00F06663"/>
    <w:rsid w:val="00F0676D"/>
    <w:rsid w:val="00F068C0"/>
    <w:rsid w:val="00F06A91"/>
    <w:rsid w:val="00F06D98"/>
    <w:rsid w:val="00F078B2"/>
    <w:rsid w:val="00F07C7A"/>
    <w:rsid w:val="00F101E9"/>
    <w:rsid w:val="00F1045E"/>
    <w:rsid w:val="00F1091E"/>
    <w:rsid w:val="00F111DC"/>
    <w:rsid w:val="00F11756"/>
    <w:rsid w:val="00F11A10"/>
    <w:rsid w:val="00F120D2"/>
    <w:rsid w:val="00F12420"/>
    <w:rsid w:val="00F1333C"/>
    <w:rsid w:val="00F134EF"/>
    <w:rsid w:val="00F13557"/>
    <w:rsid w:val="00F13985"/>
    <w:rsid w:val="00F14483"/>
    <w:rsid w:val="00F14802"/>
    <w:rsid w:val="00F15073"/>
    <w:rsid w:val="00F15198"/>
    <w:rsid w:val="00F156FF"/>
    <w:rsid w:val="00F15C76"/>
    <w:rsid w:val="00F163A2"/>
    <w:rsid w:val="00F16897"/>
    <w:rsid w:val="00F177C5"/>
    <w:rsid w:val="00F178A9"/>
    <w:rsid w:val="00F17C3D"/>
    <w:rsid w:val="00F17CB9"/>
    <w:rsid w:val="00F20183"/>
    <w:rsid w:val="00F20711"/>
    <w:rsid w:val="00F20B72"/>
    <w:rsid w:val="00F20DDA"/>
    <w:rsid w:val="00F21100"/>
    <w:rsid w:val="00F214CB"/>
    <w:rsid w:val="00F21C84"/>
    <w:rsid w:val="00F21D13"/>
    <w:rsid w:val="00F2226F"/>
    <w:rsid w:val="00F22438"/>
    <w:rsid w:val="00F2248D"/>
    <w:rsid w:val="00F226C2"/>
    <w:rsid w:val="00F2277C"/>
    <w:rsid w:val="00F2295C"/>
    <w:rsid w:val="00F22A1E"/>
    <w:rsid w:val="00F22E56"/>
    <w:rsid w:val="00F230D8"/>
    <w:rsid w:val="00F23AD1"/>
    <w:rsid w:val="00F240A8"/>
    <w:rsid w:val="00F244CD"/>
    <w:rsid w:val="00F2458D"/>
    <w:rsid w:val="00F24B38"/>
    <w:rsid w:val="00F25945"/>
    <w:rsid w:val="00F26003"/>
    <w:rsid w:val="00F26EB1"/>
    <w:rsid w:val="00F27131"/>
    <w:rsid w:val="00F27347"/>
    <w:rsid w:val="00F27782"/>
    <w:rsid w:val="00F27981"/>
    <w:rsid w:val="00F27BD3"/>
    <w:rsid w:val="00F27BDF"/>
    <w:rsid w:val="00F30117"/>
    <w:rsid w:val="00F3011C"/>
    <w:rsid w:val="00F3019D"/>
    <w:rsid w:val="00F301DB"/>
    <w:rsid w:val="00F30534"/>
    <w:rsid w:val="00F309FE"/>
    <w:rsid w:val="00F310D6"/>
    <w:rsid w:val="00F313B3"/>
    <w:rsid w:val="00F3196B"/>
    <w:rsid w:val="00F31D33"/>
    <w:rsid w:val="00F32327"/>
    <w:rsid w:val="00F324AF"/>
    <w:rsid w:val="00F32523"/>
    <w:rsid w:val="00F3255D"/>
    <w:rsid w:val="00F3278B"/>
    <w:rsid w:val="00F32DAD"/>
    <w:rsid w:val="00F32F0A"/>
    <w:rsid w:val="00F33B2D"/>
    <w:rsid w:val="00F34236"/>
    <w:rsid w:val="00F34906"/>
    <w:rsid w:val="00F35301"/>
    <w:rsid w:val="00F35B46"/>
    <w:rsid w:val="00F35C7B"/>
    <w:rsid w:val="00F35E4B"/>
    <w:rsid w:val="00F362B3"/>
    <w:rsid w:val="00F362B4"/>
    <w:rsid w:val="00F368F6"/>
    <w:rsid w:val="00F36D2B"/>
    <w:rsid w:val="00F36D91"/>
    <w:rsid w:val="00F37495"/>
    <w:rsid w:val="00F37D07"/>
    <w:rsid w:val="00F37FD4"/>
    <w:rsid w:val="00F401B5"/>
    <w:rsid w:val="00F404B5"/>
    <w:rsid w:val="00F40E11"/>
    <w:rsid w:val="00F40EEC"/>
    <w:rsid w:val="00F41016"/>
    <w:rsid w:val="00F41450"/>
    <w:rsid w:val="00F415E4"/>
    <w:rsid w:val="00F4173B"/>
    <w:rsid w:val="00F41E6E"/>
    <w:rsid w:val="00F4251E"/>
    <w:rsid w:val="00F4255C"/>
    <w:rsid w:val="00F42A58"/>
    <w:rsid w:val="00F42D53"/>
    <w:rsid w:val="00F42F48"/>
    <w:rsid w:val="00F432B5"/>
    <w:rsid w:val="00F4348C"/>
    <w:rsid w:val="00F43B01"/>
    <w:rsid w:val="00F43BEA"/>
    <w:rsid w:val="00F4400A"/>
    <w:rsid w:val="00F440F4"/>
    <w:rsid w:val="00F443B8"/>
    <w:rsid w:val="00F4457D"/>
    <w:rsid w:val="00F45161"/>
    <w:rsid w:val="00F453FD"/>
    <w:rsid w:val="00F45A0A"/>
    <w:rsid w:val="00F45D76"/>
    <w:rsid w:val="00F46484"/>
    <w:rsid w:val="00F46725"/>
    <w:rsid w:val="00F46B2E"/>
    <w:rsid w:val="00F47B3A"/>
    <w:rsid w:val="00F50EDA"/>
    <w:rsid w:val="00F51082"/>
    <w:rsid w:val="00F512DD"/>
    <w:rsid w:val="00F5131C"/>
    <w:rsid w:val="00F514D5"/>
    <w:rsid w:val="00F518E7"/>
    <w:rsid w:val="00F51954"/>
    <w:rsid w:val="00F51B32"/>
    <w:rsid w:val="00F51D05"/>
    <w:rsid w:val="00F51D8B"/>
    <w:rsid w:val="00F52447"/>
    <w:rsid w:val="00F5273F"/>
    <w:rsid w:val="00F527CF"/>
    <w:rsid w:val="00F527F6"/>
    <w:rsid w:val="00F5294A"/>
    <w:rsid w:val="00F529EA"/>
    <w:rsid w:val="00F52C0D"/>
    <w:rsid w:val="00F52F24"/>
    <w:rsid w:val="00F534B8"/>
    <w:rsid w:val="00F538F4"/>
    <w:rsid w:val="00F53F5F"/>
    <w:rsid w:val="00F54275"/>
    <w:rsid w:val="00F5468B"/>
    <w:rsid w:val="00F547F8"/>
    <w:rsid w:val="00F54A94"/>
    <w:rsid w:val="00F54D51"/>
    <w:rsid w:val="00F54F4F"/>
    <w:rsid w:val="00F5509C"/>
    <w:rsid w:val="00F55BB2"/>
    <w:rsid w:val="00F55BB6"/>
    <w:rsid w:val="00F55F10"/>
    <w:rsid w:val="00F561DF"/>
    <w:rsid w:val="00F564DA"/>
    <w:rsid w:val="00F56B5F"/>
    <w:rsid w:val="00F579AC"/>
    <w:rsid w:val="00F57C9D"/>
    <w:rsid w:val="00F602C9"/>
    <w:rsid w:val="00F608D6"/>
    <w:rsid w:val="00F60F66"/>
    <w:rsid w:val="00F617F6"/>
    <w:rsid w:val="00F61CEC"/>
    <w:rsid w:val="00F61D35"/>
    <w:rsid w:val="00F623A4"/>
    <w:rsid w:val="00F63342"/>
    <w:rsid w:val="00F633C5"/>
    <w:rsid w:val="00F636A8"/>
    <w:rsid w:val="00F639CA"/>
    <w:rsid w:val="00F63CB2"/>
    <w:rsid w:val="00F64907"/>
    <w:rsid w:val="00F64A90"/>
    <w:rsid w:val="00F64C16"/>
    <w:rsid w:val="00F655CC"/>
    <w:rsid w:val="00F657E6"/>
    <w:rsid w:val="00F65C3E"/>
    <w:rsid w:val="00F65D24"/>
    <w:rsid w:val="00F65EE5"/>
    <w:rsid w:val="00F6601F"/>
    <w:rsid w:val="00F66606"/>
    <w:rsid w:val="00F66765"/>
    <w:rsid w:val="00F667E8"/>
    <w:rsid w:val="00F675EA"/>
    <w:rsid w:val="00F675F5"/>
    <w:rsid w:val="00F67684"/>
    <w:rsid w:val="00F67ABA"/>
    <w:rsid w:val="00F67E31"/>
    <w:rsid w:val="00F70396"/>
    <w:rsid w:val="00F70491"/>
    <w:rsid w:val="00F705F4"/>
    <w:rsid w:val="00F70966"/>
    <w:rsid w:val="00F70B64"/>
    <w:rsid w:val="00F70C7E"/>
    <w:rsid w:val="00F70F77"/>
    <w:rsid w:val="00F7143B"/>
    <w:rsid w:val="00F71679"/>
    <w:rsid w:val="00F71BF7"/>
    <w:rsid w:val="00F71DB0"/>
    <w:rsid w:val="00F71DCD"/>
    <w:rsid w:val="00F72464"/>
    <w:rsid w:val="00F73017"/>
    <w:rsid w:val="00F7318D"/>
    <w:rsid w:val="00F733DC"/>
    <w:rsid w:val="00F73581"/>
    <w:rsid w:val="00F735C4"/>
    <w:rsid w:val="00F735FA"/>
    <w:rsid w:val="00F7360D"/>
    <w:rsid w:val="00F73B40"/>
    <w:rsid w:val="00F73DE2"/>
    <w:rsid w:val="00F73E8F"/>
    <w:rsid w:val="00F743DB"/>
    <w:rsid w:val="00F74CD8"/>
    <w:rsid w:val="00F74F40"/>
    <w:rsid w:val="00F756FD"/>
    <w:rsid w:val="00F75FF7"/>
    <w:rsid w:val="00F76280"/>
    <w:rsid w:val="00F76545"/>
    <w:rsid w:val="00F765B3"/>
    <w:rsid w:val="00F76FC9"/>
    <w:rsid w:val="00F775D7"/>
    <w:rsid w:val="00F8016E"/>
    <w:rsid w:val="00F805D4"/>
    <w:rsid w:val="00F806B2"/>
    <w:rsid w:val="00F80889"/>
    <w:rsid w:val="00F80C14"/>
    <w:rsid w:val="00F81309"/>
    <w:rsid w:val="00F814C3"/>
    <w:rsid w:val="00F81DC6"/>
    <w:rsid w:val="00F81E04"/>
    <w:rsid w:val="00F81E40"/>
    <w:rsid w:val="00F82143"/>
    <w:rsid w:val="00F827F7"/>
    <w:rsid w:val="00F82C85"/>
    <w:rsid w:val="00F82DF8"/>
    <w:rsid w:val="00F836D1"/>
    <w:rsid w:val="00F83733"/>
    <w:rsid w:val="00F839C7"/>
    <w:rsid w:val="00F83A11"/>
    <w:rsid w:val="00F84326"/>
    <w:rsid w:val="00F84838"/>
    <w:rsid w:val="00F84B7E"/>
    <w:rsid w:val="00F851DE"/>
    <w:rsid w:val="00F85659"/>
    <w:rsid w:val="00F85D4E"/>
    <w:rsid w:val="00F85EA7"/>
    <w:rsid w:val="00F86299"/>
    <w:rsid w:val="00F86A7A"/>
    <w:rsid w:val="00F86E30"/>
    <w:rsid w:val="00F8702F"/>
    <w:rsid w:val="00F871BB"/>
    <w:rsid w:val="00F875DE"/>
    <w:rsid w:val="00F8779A"/>
    <w:rsid w:val="00F878DF"/>
    <w:rsid w:val="00F87A56"/>
    <w:rsid w:val="00F87C29"/>
    <w:rsid w:val="00F90459"/>
    <w:rsid w:val="00F904D2"/>
    <w:rsid w:val="00F90F14"/>
    <w:rsid w:val="00F9158F"/>
    <w:rsid w:val="00F915CF"/>
    <w:rsid w:val="00F92457"/>
    <w:rsid w:val="00F9335A"/>
    <w:rsid w:val="00F93AA0"/>
    <w:rsid w:val="00F940EE"/>
    <w:rsid w:val="00F941FD"/>
    <w:rsid w:val="00F9426E"/>
    <w:rsid w:val="00F94620"/>
    <w:rsid w:val="00F94689"/>
    <w:rsid w:val="00F9489E"/>
    <w:rsid w:val="00F94B8D"/>
    <w:rsid w:val="00F94BAA"/>
    <w:rsid w:val="00F94C21"/>
    <w:rsid w:val="00F94D74"/>
    <w:rsid w:val="00F95208"/>
    <w:rsid w:val="00F952B7"/>
    <w:rsid w:val="00F95421"/>
    <w:rsid w:val="00F95768"/>
    <w:rsid w:val="00F959F2"/>
    <w:rsid w:val="00F9615C"/>
    <w:rsid w:val="00F96CFB"/>
    <w:rsid w:val="00F96D55"/>
    <w:rsid w:val="00F96DF7"/>
    <w:rsid w:val="00F972EF"/>
    <w:rsid w:val="00F97C5B"/>
    <w:rsid w:val="00F97D3D"/>
    <w:rsid w:val="00F97E6D"/>
    <w:rsid w:val="00F97ECA"/>
    <w:rsid w:val="00FA0427"/>
    <w:rsid w:val="00FA0A4B"/>
    <w:rsid w:val="00FA0B46"/>
    <w:rsid w:val="00FA0CC9"/>
    <w:rsid w:val="00FA183C"/>
    <w:rsid w:val="00FA19E0"/>
    <w:rsid w:val="00FA25ED"/>
    <w:rsid w:val="00FA2AAD"/>
    <w:rsid w:val="00FA2DCA"/>
    <w:rsid w:val="00FA35BA"/>
    <w:rsid w:val="00FA35DE"/>
    <w:rsid w:val="00FA3761"/>
    <w:rsid w:val="00FA429A"/>
    <w:rsid w:val="00FA4605"/>
    <w:rsid w:val="00FA4E99"/>
    <w:rsid w:val="00FA4E9A"/>
    <w:rsid w:val="00FA4ED5"/>
    <w:rsid w:val="00FA590F"/>
    <w:rsid w:val="00FA65E6"/>
    <w:rsid w:val="00FA6EC5"/>
    <w:rsid w:val="00FA6ED2"/>
    <w:rsid w:val="00FA717B"/>
    <w:rsid w:val="00FA727D"/>
    <w:rsid w:val="00FA72AC"/>
    <w:rsid w:val="00FA7655"/>
    <w:rsid w:val="00FA7761"/>
    <w:rsid w:val="00FA7993"/>
    <w:rsid w:val="00FB0192"/>
    <w:rsid w:val="00FB0317"/>
    <w:rsid w:val="00FB07A5"/>
    <w:rsid w:val="00FB0D8A"/>
    <w:rsid w:val="00FB127A"/>
    <w:rsid w:val="00FB1473"/>
    <w:rsid w:val="00FB172E"/>
    <w:rsid w:val="00FB1CCA"/>
    <w:rsid w:val="00FB1F1C"/>
    <w:rsid w:val="00FB2AD9"/>
    <w:rsid w:val="00FB30EE"/>
    <w:rsid w:val="00FB3143"/>
    <w:rsid w:val="00FB352E"/>
    <w:rsid w:val="00FB37A8"/>
    <w:rsid w:val="00FB37EA"/>
    <w:rsid w:val="00FB3843"/>
    <w:rsid w:val="00FB3BDE"/>
    <w:rsid w:val="00FB40E9"/>
    <w:rsid w:val="00FB4111"/>
    <w:rsid w:val="00FB4891"/>
    <w:rsid w:val="00FB49E9"/>
    <w:rsid w:val="00FB4A1D"/>
    <w:rsid w:val="00FB4D5D"/>
    <w:rsid w:val="00FB5050"/>
    <w:rsid w:val="00FB5061"/>
    <w:rsid w:val="00FB52E1"/>
    <w:rsid w:val="00FB57E3"/>
    <w:rsid w:val="00FB59AD"/>
    <w:rsid w:val="00FB5CD9"/>
    <w:rsid w:val="00FB5DE9"/>
    <w:rsid w:val="00FB60B2"/>
    <w:rsid w:val="00FB63FC"/>
    <w:rsid w:val="00FB6802"/>
    <w:rsid w:val="00FB6A6D"/>
    <w:rsid w:val="00FB7B37"/>
    <w:rsid w:val="00FB7B64"/>
    <w:rsid w:val="00FC0E80"/>
    <w:rsid w:val="00FC0F41"/>
    <w:rsid w:val="00FC11BE"/>
    <w:rsid w:val="00FC149C"/>
    <w:rsid w:val="00FC168D"/>
    <w:rsid w:val="00FC1816"/>
    <w:rsid w:val="00FC1876"/>
    <w:rsid w:val="00FC1B7C"/>
    <w:rsid w:val="00FC1DC8"/>
    <w:rsid w:val="00FC1F8F"/>
    <w:rsid w:val="00FC2110"/>
    <w:rsid w:val="00FC2339"/>
    <w:rsid w:val="00FC24CC"/>
    <w:rsid w:val="00FC25D6"/>
    <w:rsid w:val="00FC272F"/>
    <w:rsid w:val="00FC2F8D"/>
    <w:rsid w:val="00FC348D"/>
    <w:rsid w:val="00FC3AC9"/>
    <w:rsid w:val="00FC3B16"/>
    <w:rsid w:val="00FC3DC1"/>
    <w:rsid w:val="00FC3E27"/>
    <w:rsid w:val="00FC3F08"/>
    <w:rsid w:val="00FC480E"/>
    <w:rsid w:val="00FC4A44"/>
    <w:rsid w:val="00FC4D68"/>
    <w:rsid w:val="00FC525E"/>
    <w:rsid w:val="00FC52E8"/>
    <w:rsid w:val="00FC53D2"/>
    <w:rsid w:val="00FC54BA"/>
    <w:rsid w:val="00FC56AA"/>
    <w:rsid w:val="00FC57E4"/>
    <w:rsid w:val="00FC5B5E"/>
    <w:rsid w:val="00FC5C2B"/>
    <w:rsid w:val="00FC62A9"/>
    <w:rsid w:val="00FC637E"/>
    <w:rsid w:val="00FC69D3"/>
    <w:rsid w:val="00FC6C47"/>
    <w:rsid w:val="00FC6DE3"/>
    <w:rsid w:val="00FC6ED6"/>
    <w:rsid w:val="00FC75FB"/>
    <w:rsid w:val="00FC7C8B"/>
    <w:rsid w:val="00FC7DA5"/>
    <w:rsid w:val="00FD03D6"/>
    <w:rsid w:val="00FD04B7"/>
    <w:rsid w:val="00FD0656"/>
    <w:rsid w:val="00FD0C34"/>
    <w:rsid w:val="00FD0D8F"/>
    <w:rsid w:val="00FD193D"/>
    <w:rsid w:val="00FD2502"/>
    <w:rsid w:val="00FD250E"/>
    <w:rsid w:val="00FD2B1A"/>
    <w:rsid w:val="00FD3256"/>
    <w:rsid w:val="00FD3A5F"/>
    <w:rsid w:val="00FD3C26"/>
    <w:rsid w:val="00FD3D40"/>
    <w:rsid w:val="00FD3EA0"/>
    <w:rsid w:val="00FD42BB"/>
    <w:rsid w:val="00FD42D3"/>
    <w:rsid w:val="00FD47E4"/>
    <w:rsid w:val="00FD4B5B"/>
    <w:rsid w:val="00FD4D6C"/>
    <w:rsid w:val="00FD567D"/>
    <w:rsid w:val="00FD68BC"/>
    <w:rsid w:val="00FD69A4"/>
    <w:rsid w:val="00FD6C3C"/>
    <w:rsid w:val="00FD6D0F"/>
    <w:rsid w:val="00FD734D"/>
    <w:rsid w:val="00FD739E"/>
    <w:rsid w:val="00FD782E"/>
    <w:rsid w:val="00FE007E"/>
    <w:rsid w:val="00FE05D3"/>
    <w:rsid w:val="00FE06E1"/>
    <w:rsid w:val="00FE075C"/>
    <w:rsid w:val="00FE09B6"/>
    <w:rsid w:val="00FE0D59"/>
    <w:rsid w:val="00FE0E09"/>
    <w:rsid w:val="00FE1590"/>
    <w:rsid w:val="00FE159F"/>
    <w:rsid w:val="00FE1678"/>
    <w:rsid w:val="00FE16E6"/>
    <w:rsid w:val="00FE19C5"/>
    <w:rsid w:val="00FE23D6"/>
    <w:rsid w:val="00FE2586"/>
    <w:rsid w:val="00FE299A"/>
    <w:rsid w:val="00FE343F"/>
    <w:rsid w:val="00FE3534"/>
    <w:rsid w:val="00FE3889"/>
    <w:rsid w:val="00FE4C53"/>
    <w:rsid w:val="00FE50A5"/>
    <w:rsid w:val="00FE5187"/>
    <w:rsid w:val="00FE5959"/>
    <w:rsid w:val="00FE5A5B"/>
    <w:rsid w:val="00FE5B7A"/>
    <w:rsid w:val="00FE6594"/>
    <w:rsid w:val="00FE6AFA"/>
    <w:rsid w:val="00FE6B60"/>
    <w:rsid w:val="00FE6C12"/>
    <w:rsid w:val="00FE6F49"/>
    <w:rsid w:val="00FE710E"/>
    <w:rsid w:val="00FE71EF"/>
    <w:rsid w:val="00FE7431"/>
    <w:rsid w:val="00FE79AA"/>
    <w:rsid w:val="00FE7AFC"/>
    <w:rsid w:val="00FF008C"/>
    <w:rsid w:val="00FF0AE9"/>
    <w:rsid w:val="00FF0D16"/>
    <w:rsid w:val="00FF133A"/>
    <w:rsid w:val="00FF145C"/>
    <w:rsid w:val="00FF2110"/>
    <w:rsid w:val="00FF2DC7"/>
    <w:rsid w:val="00FF30C8"/>
    <w:rsid w:val="00FF330A"/>
    <w:rsid w:val="00FF356C"/>
    <w:rsid w:val="00FF3C6C"/>
    <w:rsid w:val="00FF3D33"/>
    <w:rsid w:val="00FF3E0D"/>
    <w:rsid w:val="00FF3F5B"/>
    <w:rsid w:val="00FF3FBD"/>
    <w:rsid w:val="00FF43B3"/>
    <w:rsid w:val="00FF4973"/>
    <w:rsid w:val="00FF4EB7"/>
    <w:rsid w:val="00FF53DA"/>
    <w:rsid w:val="00FF543B"/>
    <w:rsid w:val="00FF55AD"/>
    <w:rsid w:val="00FF5881"/>
    <w:rsid w:val="00FF5DCC"/>
    <w:rsid w:val="00FF5EC4"/>
    <w:rsid w:val="00FF794B"/>
    <w:rsid w:val="00FF7DA6"/>
    <w:rsid w:val="00FF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34DDAB82"/>
  <w15:docId w15:val="{6FB13194-4E6B-46F4-87F2-6C0D5319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lsdException w:name="heading 7" w:semiHidden="1" w:uiPriority="18" w:unhideWhenUsed="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9"/>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1C8"/>
    <w:pPr>
      <w:spacing w:before="0" w:after="200" w:line="264" w:lineRule="auto"/>
    </w:pPr>
    <w:rPr>
      <w:rFonts w:ascii="Microsoft New Tai Lue" w:hAnsi="Microsoft New Tai Lue" w:cs="Microsoft New Tai Lue"/>
      <w:color w:val="auto"/>
      <w:kern w:val="20"/>
      <w:sz w:val="21"/>
      <w:szCs w:val="21"/>
      <w:lang w:val="en-GB"/>
    </w:rPr>
  </w:style>
  <w:style w:type="paragraph" w:styleId="Heading1">
    <w:name w:val="heading 1"/>
    <w:aliases w:val="App-Heading2"/>
    <w:basedOn w:val="Heading2"/>
    <w:next w:val="Normal"/>
    <w:link w:val="Heading1Char"/>
    <w:autoRedefine/>
    <w:uiPriority w:val="9"/>
    <w:qFormat/>
    <w:rsid w:val="00066E5A"/>
    <w:pPr>
      <w:pageBreakBefore/>
      <w:spacing w:line="240" w:lineRule="auto"/>
      <w:outlineLvl w:val="0"/>
    </w:pPr>
    <w:rPr>
      <w:rFonts w:ascii="Microsoft YaHei" w:eastAsia="Microsoft YaHei" w:hAnsi="Microsoft YaHei"/>
      <w:szCs w:val="49"/>
      <w:lang w:val="en-AU"/>
    </w:rPr>
  </w:style>
  <w:style w:type="paragraph" w:styleId="Heading2">
    <w:name w:val="heading 2"/>
    <w:next w:val="Normal"/>
    <w:link w:val="Heading2Char"/>
    <w:uiPriority w:val="9"/>
    <w:unhideWhenUsed/>
    <w:qFormat/>
    <w:rsid w:val="00564151"/>
    <w:pPr>
      <w:keepNext/>
      <w:keepLines/>
      <w:spacing w:before="0" w:after="200"/>
      <w:outlineLvl w:val="1"/>
    </w:pPr>
    <w:rPr>
      <w:rFonts w:ascii="Microsoft YaHei UI" w:eastAsia="Microsoft YaHei UI" w:hAnsi="Microsoft YaHei UI" w:cstheme="majorBidi"/>
      <w:color w:val="579AB0" w:themeColor="text2"/>
      <w:kern w:val="20"/>
      <w:sz w:val="32"/>
      <w:szCs w:val="32"/>
      <w14:ligatures w14:val="standardContextual"/>
    </w:rPr>
  </w:style>
  <w:style w:type="paragraph" w:styleId="Heading3">
    <w:name w:val="heading 3"/>
    <w:next w:val="Normal"/>
    <w:link w:val="Heading3Char"/>
    <w:uiPriority w:val="1"/>
    <w:unhideWhenUsed/>
    <w:qFormat/>
    <w:rsid w:val="0053785D"/>
    <w:pPr>
      <w:keepNext/>
      <w:keepLines/>
      <w:spacing w:before="240" w:line="240" w:lineRule="auto"/>
      <w:outlineLvl w:val="2"/>
    </w:pPr>
    <w:rPr>
      <w:rFonts w:ascii="Microsoft YaHei UI" w:eastAsia="Microsoft YaHei UI" w:hAnsi="Microsoft YaHei UI" w:cstheme="majorBidi"/>
      <w:bCs/>
      <w:color w:val="579AB0" w:themeColor="text2"/>
      <w:kern w:val="20"/>
      <w:sz w:val="24"/>
      <w:szCs w:val="24"/>
      <w14:ligatures w14:val="standardContextual"/>
    </w:rPr>
  </w:style>
  <w:style w:type="paragraph" w:styleId="Heading4">
    <w:name w:val="heading 4"/>
    <w:next w:val="Normal"/>
    <w:link w:val="Heading4Char"/>
    <w:uiPriority w:val="18"/>
    <w:unhideWhenUsed/>
    <w:qFormat/>
    <w:rsid w:val="00564151"/>
    <w:pPr>
      <w:keepNext/>
      <w:keepLines/>
      <w:spacing w:before="0" w:after="200"/>
      <w:outlineLvl w:val="3"/>
    </w:pPr>
    <w:rPr>
      <w:rFonts w:ascii="Microsoft YaHei UI" w:eastAsia="Microsoft YaHei UI" w:hAnsi="Microsoft YaHei UI" w:cstheme="majorBidi"/>
      <w:bCs/>
      <w:iCs/>
      <w:color w:val="579AB0" w:themeColor="text2"/>
      <w:kern w:val="20"/>
      <w:sz w:val="21"/>
      <w:szCs w:val="21"/>
    </w:rPr>
  </w:style>
  <w:style w:type="paragraph" w:styleId="Heading5">
    <w:name w:val="heading 5"/>
    <w:basedOn w:val="Normal"/>
    <w:next w:val="Normal"/>
    <w:link w:val="Heading5Char"/>
    <w:uiPriority w:val="18"/>
    <w:unhideWhenUsed/>
    <w:qFormat/>
    <w:rsid w:val="003608D3"/>
    <w:pPr>
      <w:keepNext/>
      <w:keepLines/>
      <w:spacing w:after="120"/>
      <w:outlineLvl w:val="4"/>
    </w:pPr>
    <w:rPr>
      <w:rFonts w:ascii="Microsoft YaHei UI" w:eastAsia="Microsoft YaHei UI" w:hAnsi="Microsoft YaHei UI" w:cstheme="majorBidi"/>
      <w:i/>
      <w:color w:val="579AB0" w:themeColor="text2"/>
    </w:rPr>
  </w:style>
  <w:style w:type="paragraph" w:styleId="Heading6">
    <w:name w:val="heading 6"/>
    <w:basedOn w:val="Normal"/>
    <w:next w:val="Normal"/>
    <w:link w:val="Heading6Char"/>
    <w:uiPriority w:val="18"/>
    <w:unhideWhenUsed/>
    <w:rsid w:val="00AA055D"/>
    <w:pPr>
      <w:keepNext/>
      <w:keepLines/>
      <w:spacing w:before="200" w:after="0"/>
      <w:outlineLvl w:val="5"/>
    </w:pPr>
    <w:rPr>
      <w:rFonts w:ascii="Microsoft YaHei UI" w:eastAsia="Microsoft YaHei UI" w:hAnsi="Microsoft YaHei UI" w:cstheme="majorBidi"/>
      <w:i/>
      <w:iCs/>
    </w:rPr>
  </w:style>
  <w:style w:type="paragraph" w:styleId="Heading7">
    <w:name w:val="heading 7"/>
    <w:basedOn w:val="Normal"/>
    <w:next w:val="Normal"/>
    <w:link w:val="Heading7Char"/>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AB6CB"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aliases w:val="App-Heading2 Char"/>
    <w:basedOn w:val="DefaultParagraphFont"/>
    <w:link w:val="Heading1"/>
    <w:uiPriority w:val="9"/>
    <w:rsid w:val="00066E5A"/>
    <w:rPr>
      <w:rFonts w:ascii="Microsoft YaHei" w:eastAsia="Microsoft YaHei" w:hAnsi="Microsoft YaHei" w:cstheme="majorBidi"/>
      <w:color w:val="579AB0" w:themeColor="text2"/>
      <w:kern w:val="20"/>
      <w:sz w:val="32"/>
      <w:szCs w:val="49"/>
      <w:lang w:val="en-AU"/>
      <w14:ligatures w14:val="standardContextual"/>
    </w:rPr>
  </w:style>
  <w:style w:type="character" w:customStyle="1" w:styleId="Heading2Char">
    <w:name w:val="Heading 2 Char"/>
    <w:basedOn w:val="DefaultParagraphFont"/>
    <w:link w:val="Heading2"/>
    <w:uiPriority w:val="9"/>
    <w:rsid w:val="00564151"/>
    <w:rPr>
      <w:rFonts w:ascii="Microsoft YaHei UI" w:eastAsia="Microsoft YaHei UI" w:hAnsi="Microsoft YaHei UI" w:cstheme="majorBidi"/>
      <w:color w:val="579AB0" w:themeColor="text2"/>
      <w:kern w:val="20"/>
      <w:sz w:val="32"/>
      <w:szCs w:val="32"/>
      <w14:ligatures w14:val="standardContextual"/>
    </w:rPr>
  </w:style>
  <w:style w:type="character" w:styleId="PlaceholderText">
    <w:name w:val="Placeholder Text"/>
    <w:basedOn w:val="DefaultParagraphFont"/>
    <w:uiPriority w:val="99"/>
    <w:semiHidden/>
    <w:rPr>
      <w:color w:val="808080"/>
    </w:rPr>
  </w:style>
  <w:style w:type="paragraph" w:styleId="Quote">
    <w:name w:val="Quote"/>
    <w:next w:val="Normal"/>
    <w:link w:val="QuoteChar"/>
    <w:uiPriority w:val="9"/>
    <w:unhideWhenUsed/>
    <w:qFormat/>
    <w:rsid w:val="00564151"/>
    <w:pPr>
      <w:spacing w:before="240" w:after="240"/>
      <w:ind w:left="720" w:right="720"/>
    </w:pPr>
    <w:rPr>
      <w:rFonts w:ascii="Microsoft New Tai Lue" w:hAnsi="Microsoft New Tai Lue" w:cs="Microsoft New Tai Lue"/>
      <w:i/>
      <w:iCs/>
      <w:noProof/>
      <w:color w:val="5787A9" w:themeColor="accent1"/>
      <w:kern w:val="20"/>
      <w:sz w:val="24"/>
      <w:szCs w:val="24"/>
    </w:rPr>
  </w:style>
  <w:style w:type="character" w:customStyle="1" w:styleId="QuoteChar">
    <w:name w:val="Quote Char"/>
    <w:basedOn w:val="DefaultParagraphFont"/>
    <w:link w:val="Quote"/>
    <w:uiPriority w:val="9"/>
    <w:rsid w:val="00564151"/>
    <w:rPr>
      <w:rFonts w:ascii="Microsoft New Tai Lue" w:hAnsi="Microsoft New Tai Lue" w:cs="Microsoft New Tai Lue"/>
      <w:i/>
      <w:iCs/>
      <w:noProof/>
      <w:color w:val="5787A9" w:themeColor="accent1"/>
      <w:kern w:val="20"/>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787A9" w:themeColor="accent1" w:frame="1"/>
        <w:left w:val="single" w:sz="2" w:space="10" w:color="5787A9" w:themeColor="accent1" w:frame="1"/>
        <w:bottom w:val="single" w:sz="2" w:space="10" w:color="5787A9" w:themeColor="accent1" w:frame="1"/>
        <w:right w:val="single" w:sz="2" w:space="10" w:color="5787A9" w:themeColor="accent1" w:frame="1"/>
      </w:pBdr>
      <w:ind w:left="1152" w:right="1152"/>
    </w:pPr>
    <w:rPr>
      <w:i/>
      <w:iCs/>
      <w:color w:val="5787A9"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nhideWhenUsed/>
    <w:qFormat/>
    <w:rsid w:val="00C36A54"/>
    <w:pPr>
      <w:keepNext/>
      <w:spacing w:line="240" w:lineRule="auto"/>
    </w:pPr>
    <w:rPr>
      <w:b/>
      <w:bCs/>
      <w:color w:val="5787A9"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6ED" w:themeFill="accent1" w:themeFillTint="33"/>
    </w:tcPr>
    <w:tblStylePr w:type="firstRow">
      <w:rPr>
        <w:b/>
        <w:bCs/>
      </w:rPr>
      <w:tblPr/>
      <w:tcPr>
        <w:shd w:val="clear" w:color="auto" w:fill="BBCEDC" w:themeFill="accent1" w:themeFillTint="66"/>
      </w:tcPr>
    </w:tblStylePr>
    <w:tblStylePr w:type="lastRow">
      <w:rPr>
        <w:b/>
        <w:bCs/>
        <w:color w:val="000000" w:themeColor="text1"/>
      </w:rPr>
      <w:tblPr/>
      <w:tcPr>
        <w:shd w:val="clear" w:color="auto" w:fill="BBCEDC" w:themeFill="accent1" w:themeFillTint="66"/>
      </w:tcPr>
    </w:tblStylePr>
    <w:tblStylePr w:type="firstCol">
      <w:rPr>
        <w:color w:val="FFFFFF" w:themeColor="background1"/>
      </w:rPr>
      <w:tblPr/>
      <w:tcPr>
        <w:shd w:val="clear" w:color="auto" w:fill="41657E" w:themeFill="accent1" w:themeFillShade="BF"/>
      </w:tcPr>
    </w:tblStylePr>
    <w:tblStylePr w:type="lastCol">
      <w:rPr>
        <w:color w:val="FFFFFF" w:themeColor="background1"/>
      </w:rPr>
      <w:tblPr/>
      <w:tcPr>
        <w:shd w:val="clear" w:color="auto" w:fill="41657E" w:themeFill="accent1" w:themeFillShade="BF"/>
      </w:tc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E2EC" w:themeFill="accent2" w:themeFillTint="33"/>
    </w:tcPr>
    <w:tblStylePr w:type="firstRow">
      <w:rPr>
        <w:b/>
        <w:bCs/>
      </w:rPr>
      <w:tblPr/>
      <w:tcPr>
        <w:shd w:val="clear" w:color="auto" w:fill="B9C6DA" w:themeFill="accent2" w:themeFillTint="66"/>
      </w:tcPr>
    </w:tblStylePr>
    <w:tblStylePr w:type="lastRow">
      <w:rPr>
        <w:b/>
        <w:bCs/>
        <w:color w:val="000000" w:themeColor="text1"/>
      </w:rPr>
      <w:tblPr/>
      <w:tcPr>
        <w:shd w:val="clear" w:color="auto" w:fill="B9C6DA" w:themeFill="accent2" w:themeFillTint="66"/>
      </w:tcPr>
    </w:tblStylePr>
    <w:tblStylePr w:type="firstCol">
      <w:rPr>
        <w:color w:val="FFFFFF" w:themeColor="background1"/>
      </w:rPr>
      <w:tblPr/>
      <w:tcPr>
        <w:shd w:val="clear" w:color="auto" w:fill="3F5578" w:themeFill="accent2" w:themeFillShade="BF"/>
      </w:tcPr>
    </w:tblStylePr>
    <w:tblStylePr w:type="lastCol">
      <w:rPr>
        <w:color w:val="FFFFFF" w:themeColor="background1"/>
      </w:rPr>
      <w:tblPr/>
      <w:tcPr>
        <w:shd w:val="clear" w:color="auto" w:fill="3F5578" w:themeFill="accent2" w:themeFillShade="BF"/>
      </w:tc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FEC" w:themeFill="accent3" w:themeFillTint="33"/>
    </w:tcPr>
    <w:tblStylePr w:type="firstRow">
      <w:rPr>
        <w:b/>
        <w:bCs/>
      </w:rPr>
      <w:tblPr/>
      <w:tcPr>
        <w:shd w:val="clear" w:color="auto" w:fill="B9BFD8" w:themeFill="accent3" w:themeFillTint="66"/>
      </w:tcPr>
    </w:tblStylePr>
    <w:tblStylePr w:type="lastRow">
      <w:rPr>
        <w:b/>
        <w:bCs/>
        <w:color w:val="000000" w:themeColor="text1"/>
      </w:rPr>
      <w:tblPr/>
      <w:tcPr>
        <w:shd w:val="clear" w:color="auto" w:fill="B9BFD8" w:themeFill="accent3" w:themeFillTint="66"/>
      </w:tcPr>
    </w:tblStylePr>
    <w:tblStylePr w:type="firstCol">
      <w:rPr>
        <w:color w:val="FFFFFF" w:themeColor="background1"/>
      </w:rPr>
      <w:tblPr/>
      <w:tcPr>
        <w:shd w:val="clear" w:color="auto" w:fill="3F4A74" w:themeFill="accent3" w:themeFillShade="BF"/>
      </w:tcPr>
    </w:tblStylePr>
    <w:tblStylePr w:type="lastCol">
      <w:rPr>
        <w:color w:val="FFFFFF" w:themeColor="background1"/>
      </w:rPr>
      <w:tblPr/>
      <w:tcPr>
        <w:shd w:val="clear" w:color="auto" w:fill="3F4A74" w:themeFill="accent3" w:themeFillShade="BF"/>
      </w:tc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EF0" w:themeFill="accent4" w:themeFillTint="33"/>
    </w:tcPr>
    <w:tblStylePr w:type="firstRow">
      <w:rPr>
        <w:b/>
        <w:bCs/>
      </w:rPr>
      <w:tblPr/>
      <w:tcPr>
        <w:shd w:val="clear" w:color="auto" w:fill="C39DE0" w:themeFill="accent4" w:themeFillTint="66"/>
      </w:tcPr>
    </w:tblStylePr>
    <w:tblStylePr w:type="lastRow">
      <w:rPr>
        <w:b/>
        <w:bCs/>
        <w:color w:val="000000" w:themeColor="text1"/>
      </w:rPr>
      <w:tblPr/>
      <w:tcPr>
        <w:shd w:val="clear" w:color="auto" w:fill="C39DE0" w:themeFill="accent4" w:themeFillTint="66"/>
      </w:tcPr>
    </w:tblStylePr>
    <w:tblStylePr w:type="firstCol">
      <w:rPr>
        <w:color w:val="FFFFFF" w:themeColor="background1"/>
      </w:rPr>
      <w:tblPr/>
      <w:tcPr>
        <w:shd w:val="clear" w:color="auto" w:fill="4C216C" w:themeFill="accent4" w:themeFillShade="BF"/>
      </w:tcPr>
    </w:tblStylePr>
    <w:tblStylePr w:type="lastCol">
      <w:rPr>
        <w:color w:val="FFFFFF" w:themeColor="background1"/>
      </w:rPr>
      <w:tblPr/>
      <w:tcPr>
        <w:shd w:val="clear" w:color="auto" w:fill="4C216C" w:themeFill="accent4" w:themeFillShade="BF"/>
      </w:tc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FEE" w:themeFill="accent5" w:themeFillTint="33"/>
    </w:tcPr>
    <w:tblStylePr w:type="firstRow">
      <w:rPr>
        <w:b/>
        <w:bCs/>
      </w:rPr>
      <w:tblPr/>
      <w:tcPr>
        <w:shd w:val="clear" w:color="auto" w:fill="99E0DD" w:themeFill="accent5" w:themeFillTint="66"/>
      </w:tcPr>
    </w:tblStylePr>
    <w:tblStylePr w:type="lastRow">
      <w:rPr>
        <w:b/>
        <w:bCs/>
        <w:color w:val="000000" w:themeColor="text1"/>
      </w:rPr>
      <w:tblPr/>
      <w:tcPr>
        <w:shd w:val="clear" w:color="auto" w:fill="99E0DD" w:themeFill="accent5" w:themeFillTint="66"/>
      </w:tcPr>
    </w:tblStylePr>
    <w:tblStylePr w:type="firstCol">
      <w:rPr>
        <w:color w:val="FFFFFF" w:themeColor="background1"/>
      </w:rPr>
      <w:tblPr/>
      <w:tcPr>
        <w:shd w:val="clear" w:color="auto" w:fill="1F6764" w:themeFill="accent5" w:themeFillShade="BF"/>
      </w:tcPr>
    </w:tblStylePr>
    <w:tblStylePr w:type="lastCol">
      <w:rPr>
        <w:color w:val="FFFFFF" w:themeColor="background1"/>
      </w:rPr>
      <w:tblPr/>
      <w:tcPr>
        <w:shd w:val="clear" w:color="auto" w:fill="1F6764" w:themeFill="accent5" w:themeFillShade="BF"/>
      </w:tc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1DA" w:themeFill="accent6" w:themeFillTint="33"/>
    </w:tcPr>
    <w:tblStylePr w:type="firstRow">
      <w:rPr>
        <w:b/>
        <w:bCs/>
      </w:rPr>
      <w:tblPr/>
      <w:tcPr>
        <w:shd w:val="clear" w:color="auto" w:fill="BBE3B5" w:themeFill="accent6" w:themeFillTint="66"/>
      </w:tcPr>
    </w:tblStylePr>
    <w:tblStylePr w:type="lastRow">
      <w:rPr>
        <w:b/>
        <w:bCs/>
        <w:color w:val="000000" w:themeColor="text1"/>
      </w:rPr>
      <w:tblPr/>
      <w:tcPr>
        <w:shd w:val="clear" w:color="auto" w:fill="BBE3B5" w:themeFill="accent6" w:themeFillTint="66"/>
      </w:tcPr>
    </w:tblStylePr>
    <w:tblStylePr w:type="firstCol">
      <w:rPr>
        <w:color w:val="FFFFFF" w:themeColor="background1"/>
      </w:rPr>
      <w:tblPr/>
      <w:tcPr>
        <w:shd w:val="clear" w:color="auto" w:fill="3F8B35" w:themeFill="accent6" w:themeFillShade="BF"/>
      </w:tcPr>
    </w:tblStylePr>
    <w:tblStylePr w:type="lastCol">
      <w:rPr>
        <w:color w:val="FFFFFF" w:themeColor="background1"/>
      </w:rPr>
      <w:tblPr/>
      <w:tcPr>
        <w:shd w:val="clear" w:color="auto" w:fill="3F8B35" w:themeFill="accent6" w:themeFillShade="BF"/>
      </w:tc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EF3F6" w:themeFill="accen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1E9" w:themeFill="accent1" w:themeFillTint="3F"/>
      </w:tcPr>
    </w:tblStylePr>
    <w:tblStylePr w:type="band1Horz">
      <w:tblPr/>
      <w:tcPr>
        <w:shd w:val="clear" w:color="auto" w:fill="DDE6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DF1F6" w:themeFill="accent2"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BE8" w:themeFill="accent2" w:themeFillTint="3F"/>
      </w:tcPr>
    </w:tblStylePr>
    <w:tblStylePr w:type="band1Horz">
      <w:tblPr/>
      <w:tcPr>
        <w:shd w:val="clear" w:color="auto" w:fill="DCE2EC"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DEFF5" w:themeFill="accent3" w:themeFillTint="19"/>
    </w:tcPr>
    <w:tblStylePr w:type="firstRow">
      <w:rPr>
        <w:b/>
        <w:bCs/>
        <w:color w:val="FFFFFF" w:themeColor="background1"/>
      </w:rPr>
      <w:tblPr/>
      <w:tcPr>
        <w:tcBorders>
          <w:bottom w:val="single" w:sz="12" w:space="0" w:color="FFFFFF" w:themeColor="background1"/>
        </w:tcBorders>
        <w:shd w:val="clear" w:color="auto" w:fill="512473" w:themeFill="accent4" w:themeFillShade="CC"/>
      </w:tcPr>
    </w:tblStylePr>
    <w:tblStylePr w:type="lastRow">
      <w:rPr>
        <w:b/>
        <w:bCs/>
        <w:color w:val="5124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7E7" w:themeFill="accent3" w:themeFillTint="3F"/>
      </w:tcPr>
    </w:tblStylePr>
    <w:tblStylePr w:type="band1Horz">
      <w:tblPr/>
      <w:tcPr>
        <w:shd w:val="clear" w:color="auto" w:fill="DCDFE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0E6F7" w:themeFill="accent4" w:themeFillTint="19"/>
    </w:tcPr>
    <w:tblStylePr w:type="firstRow">
      <w:rPr>
        <w:b/>
        <w:bCs/>
        <w:color w:val="FFFFFF" w:themeColor="background1"/>
      </w:rPr>
      <w:tblPr/>
      <w:tcPr>
        <w:tcBorders>
          <w:bottom w:val="single" w:sz="12" w:space="0" w:color="FFFFFF" w:themeColor="background1"/>
        </w:tcBorders>
        <w:shd w:val="clear" w:color="auto" w:fill="444F7B" w:themeFill="accent3" w:themeFillShade="CC"/>
      </w:tcPr>
    </w:tblStylePr>
    <w:tblStylePr w:type="lastRow">
      <w:rPr>
        <w:b/>
        <w:bCs/>
        <w:color w:val="444F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C2EC" w:themeFill="accent4" w:themeFillTint="3F"/>
      </w:tcPr>
    </w:tblStylePr>
    <w:tblStylePr w:type="band1Horz">
      <w:tblPr/>
      <w:tcPr>
        <w:shd w:val="clear" w:color="auto" w:fill="E1CEF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6F7F6" w:themeFill="accent5" w:themeFillTint="19"/>
    </w:tcPr>
    <w:tblStylePr w:type="firstRow">
      <w:rPr>
        <w:b/>
        <w:bCs/>
        <w:color w:val="FFFFFF" w:themeColor="background1"/>
      </w:rPr>
      <w:tblPr/>
      <w:tcPr>
        <w:tcBorders>
          <w:bottom w:val="single" w:sz="12" w:space="0" w:color="FFFFFF" w:themeColor="background1"/>
        </w:tcBorders>
        <w:shd w:val="clear" w:color="auto" w:fill="449439" w:themeFill="accent6" w:themeFillShade="CC"/>
      </w:tcPr>
    </w:tblStylePr>
    <w:tblStylePr w:type="lastRow">
      <w:rPr>
        <w:b/>
        <w:bCs/>
        <w:color w:val="44943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CEA" w:themeFill="accent5" w:themeFillTint="3F"/>
      </w:tcPr>
    </w:tblStylePr>
    <w:tblStylePr w:type="band1Horz">
      <w:tblPr/>
      <w:tcPr>
        <w:shd w:val="clear" w:color="auto" w:fill="CCEFEE"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EF8EC" w:themeFill="accent6" w:themeFillTint="19"/>
    </w:tcPr>
    <w:tblStylePr w:type="firstRow">
      <w:rPr>
        <w:b/>
        <w:bCs/>
        <w:color w:val="FFFFFF" w:themeColor="background1"/>
      </w:rPr>
      <w:tblPr/>
      <w:tcPr>
        <w:tcBorders>
          <w:bottom w:val="single" w:sz="12" w:space="0" w:color="FFFFFF" w:themeColor="background1"/>
        </w:tcBorders>
        <w:shd w:val="clear" w:color="auto" w:fill="216F6B" w:themeFill="accent5" w:themeFillShade="CC"/>
      </w:tcPr>
    </w:tblStylePr>
    <w:tblStylePr w:type="lastRow">
      <w:rPr>
        <w:b/>
        <w:bCs/>
        <w:color w:val="216F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1" w:themeFill="accent6" w:themeFillTint="3F"/>
      </w:tcPr>
    </w:tblStylePr>
    <w:tblStylePr w:type="band1Horz">
      <w:tblPr/>
      <w:tcPr>
        <w:shd w:val="clear" w:color="auto" w:fill="DDF1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787A9" w:themeColor="accent1"/>
        <w:bottom w:val="single" w:sz="4" w:space="0" w:color="5787A9" w:themeColor="accent1"/>
        <w:right w:val="single" w:sz="4" w:space="0" w:color="5787A9" w:themeColor="accent1"/>
        <w:insideH w:val="single" w:sz="4" w:space="0" w:color="FFFFFF" w:themeColor="background1"/>
        <w:insideV w:val="single" w:sz="4" w:space="0" w:color="FFFFFF" w:themeColor="background1"/>
      </w:tblBorders>
    </w:tblPr>
    <w:tcPr>
      <w:shd w:val="clear" w:color="auto" w:fill="EEF3F6" w:themeFill="accen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5065" w:themeFill="accent1" w:themeFillShade="99"/>
      </w:tcPr>
    </w:tblStylePr>
    <w:tblStylePr w:type="firstCol">
      <w:rPr>
        <w:color w:val="FFFFFF" w:themeColor="background1"/>
      </w:rPr>
      <w:tblPr/>
      <w:tcPr>
        <w:tcBorders>
          <w:top w:val="nil"/>
          <w:left w:val="nil"/>
          <w:bottom w:val="nil"/>
          <w:right w:val="nil"/>
          <w:insideH w:val="single" w:sz="4" w:space="0" w:color="345065" w:themeColor="accent1" w:themeShade="99"/>
          <w:insideV w:val="nil"/>
        </w:tcBorders>
        <w:shd w:val="clear" w:color="auto" w:fill="3450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5065" w:themeFill="accent1" w:themeFillShade="99"/>
      </w:tcPr>
    </w:tblStylePr>
    <w:tblStylePr w:type="band1Vert">
      <w:tblPr/>
      <w:tcPr>
        <w:shd w:val="clear" w:color="auto" w:fill="BBCEDC" w:themeFill="accent1" w:themeFillTint="66"/>
      </w:tcPr>
    </w:tblStylePr>
    <w:tblStylePr w:type="band1Horz">
      <w:tblPr/>
      <w:tcPr>
        <w:shd w:val="clear" w:color="auto" w:fill="ABC3D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572A1" w:themeColor="accent2"/>
        <w:bottom w:val="single" w:sz="4" w:space="0" w:color="5572A1" w:themeColor="accent2"/>
        <w:right w:val="single" w:sz="4" w:space="0" w:color="5572A1" w:themeColor="accent2"/>
        <w:insideH w:val="single" w:sz="4" w:space="0" w:color="FFFFFF" w:themeColor="background1"/>
        <w:insideV w:val="single" w:sz="4" w:space="0" w:color="FFFFFF" w:themeColor="background1"/>
      </w:tblBorders>
    </w:tblPr>
    <w:tcPr>
      <w:shd w:val="clear" w:color="auto" w:fill="EDF1F6" w:themeFill="accent2"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460" w:themeFill="accent2" w:themeFillShade="99"/>
      </w:tcPr>
    </w:tblStylePr>
    <w:tblStylePr w:type="firstCol">
      <w:rPr>
        <w:color w:val="FFFFFF" w:themeColor="background1"/>
      </w:rPr>
      <w:tblPr/>
      <w:tcPr>
        <w:tcBorders>
          <w:top w:val="nil"/>
          <w:left w:val="nil"/>
          <w:bottom w:val="nil"/>
          <w:right w:val="nil"/>
          <w:insideH w:val="single" w:sz="4" w:space="0" w:color="334460" w:themeColor="accent2" w:themeShade="99"/>
          <w:insideV w:val="nil"/>
        </w:tcBorders>
        <w:shd w:val="clear" w:color="auto" w:fill="3344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4460" w:themeFill="accent2" w:themeFillShade="99"/>
      </w:tcPr>
    </w:tblStylePr>
    <w:tblStylePr w:type="band1Vert">
      <w:tblPr/>
      <w:tcPr>
        <w:shd w:val="clear" w:color="auto" w:fill="B9C6DA" w:themeFill="accent2" w:themeFillTint="66"/>
      </w:tcPr>
    </w:tblStylePr>
    <w:tblStylePr w:type="band1Horz">
      <w:tblPr/>
      <w:tcPr>
        <w:shd w:val="clear" w:color="auto" w:fill="A8B8D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662D91" w:themeColor="accent4"/>
        <w:left w:val="single" w:sz="4" w:space="0" w:color="55639B" w:themeColor="accent3"/>
        <w:bottom w:val="single" w:sz="4" w:space="0" w:color="55639B" w:themeColor="accent3"/>
        <w:right w:val="single" w:sz="4" w:space="0" w:color="55639B" w:themeColor="accent3"/>
        <w:insideH w:val="single" w:sz="4" w:space="0" w:color="FFFFFF" w:themeColor="background1"/>
        <w:insideV w:val="single" w:sz="4" w:space="0" w:color="FFFFFF" w:themeColor="background1"/>
      </w:tblBorders>
    </w:tblPr>
    <w:tcPr>
      <w:shd w:val="clear" w:color="auto" w:fill="EDEFF5" w:themeFill="accent3" w:themeFillTint="19"/>
    </w:tcPr>
    <w:tblStylePr w:type="firstRow">
      <w:rPr>
        <w:b/>
        <w:bCs/>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3B5C" w:themeFill="accent3" w:themeFillShade="99"/>
      </w:tcPr>
    </w:tblStylePr>
    <w:tblStylePr w:type="firstCol">
      <w:rPr>
        <w:color w:val="FFFFFF" w:themeColor="background1"/>
      </w:rPr>
      <w:tblPr/>
      <w:tcPr>
        <w:tcBorders>
          <w:top w:val="nil"/>
          <w:left w:val="nil"/>
          <w:bottom w:val="nil"/>
          <w:right w:val="nil"/>
          <w:insideH w:val="single" w:sz="4" w:space="0" w:color="333B5C" w:themeColor="accent3" w:themeShade="99"/>
          <w:insideV w:val="nil"/>
        </w:tcBorders>
        <w:shd w:val="clear" w:color="auto" w:fill="333B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3B5C" w:themeFill="accent3" w:themeFillShade="99"/>
      </w:tcPr>
    </w:tblStylePr>
    <w:tblStylePr w:type="band1Vert">
      <w:tblPr/>
      <w:tcPr>
        <w:shd w:val="clear" w:color="auto" w:fill="B9BFD8" w:themeFill="accent3" w:themeFillTint="66"/>
      </w:tcPr>
    </w:tblStylePr>
    <w:tblStylePr w:type="band1Horz">
      <w:tblPr/>
      <w:tcPr>
        <w:shd w:val="clear" w:color="auto" w:fill="A8AFCF"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55639B" w:themeColor="accent3"/>
        <w:left w:val="single" w:sz="4" w:space="0" w:color="662D91" w:themeColor="accent4"/>
        <w:bottom w:val="single" w:sz="4" w:space="0" w:color="662D91" w:themeColor="accent4"/>
        <w:right w:val="single" w:sz="4" w:space="0" w:color="662D91" w:themeColor="accent4"/>
        <w:insideH w:val="single" w:sz="4" w:space="0" w:color="FFFFFF" w:themeColor="background1"/>
        <w:insideV w:val="single" w:sz="4" w:space="0" w:color="FFFFFF" w:themeColor="background1"/>
      </w:tblBorders>
    </w:tblPr>
    <w:tcPr>
      <w:shd w:val="clear" w:color="auto" w:fill="F0E6F7" w:themeFill="accent4" w:themeFillTint="19"/>
    </w:tcPr>
    <w:tblStylePr w:type="firstRow">
      <w:rPr>
        <w:b/>
        <w:bCs/>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B56" w:themeFill="accent4" w:themeFillShade="99"/>
      </w:tcPr>
    </w:tblStylePr>
    <w:tblStylePr w:type="firstCol">
      <w:rPr>
        <w:color w:val="FFFFFF" w:themeColor="background1"/>
      </w:rPr>
      <w:tblPr/>
      <w:tcPr>
        <w:tcBorders>
          <w:top w:val="nil"/>
          <w:left w:val="nil"/>
          <w:bottom w:val="nil"/>
          <w:right w:val="nil"/>
          <w:insideH w:val="single" w:sz="4" w:space="0" w:color="3D1B56" w:themeColor="accent4" w:themeShade="99"/>
          <w:insideV w:val="nil"/>
        </w:tcBorders>
        <w:shd w:val="clear" w:color="auto" w:fill="3D1B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1B56" w:themeFill="accent4" w:themeFillShade="99"/>
      </w:tcPr>
    </w:tblStylePr>
    <w:tblStylePr w:type="band1Vert">
      <w:tblPr/>
      <w:tcPr>
        <w:shd w:val="clear" w:color="auto" w:fill="C39DE0" w:themeFill="accent4" w:themeFillTint="66"/>
      </w:tcPr>
    </w:tblStylePr>
    <w:tblStylePr w:type="band1Horz">
      <w:tblPr/>
      <w:tcPr>
        <w:shd w:val="clear" w:color="auto" w:fill="B485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56B948" w:themeColor="accent6"/>
        <w:left w:val="single" w:sz="4" w:space="0" w:color="2A8B87" w:themeColor="accent5"/>
        <w:bottom w:val="single" w:sz="4" w:space="0" w:color="2A8B87" w:themeColor="accent5"/>
        <w:right w:val="single" w:sz="4" w:space="0" w:color="2A8B87" w:themeColor="accent5"/>
        <w:insideH w:val="single" w:sz="4" w:space="0" w:color="FFFFFF" w:themeColor="background1"/>
        <w:insideV w:val="single" w:sz="4" w:space="0" w:color="FFFFFF" w:themeColor="background1"/>
      </w:tblBorders>
    </w:tblPr>
    <w:tcPr>
      <w:shd w:val="clear" w:color="auto" w:fill="E6F7F6" w:themeFill="accent5" w:themeFillTint="19"/>
    </w:tcPr>
    <w:tblStylePr w:type="firstRow">
      <w:rPr>
        <w:b/>
        <w:bCs/>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350" w:themeFill="accent5" w:themeFillShade="99"/>
      </w:tcPr>
    </w:tblStylePr>
    <w:tblStylePr w:type="firstCol">
      <w:rPr>
        <w:color w:val="FFFFFF" w:themeColor="background1"/>
      </w:rPr>
      <w:tblPr/>
      <w:tcPr>
        <w:tcBorders>
          <w:top w:val="nil"/>
          <w:left w:val="nil"/>
          <w:bottom w:val="nil"/>
          <w:right w:val="nil"/>
          <w:insideH w:val="single" w:sz="4" w:space="0" w:color="195350" w:themeColor="accent5" w:themeShade="99"/>
          <w:insideV w:val="nil"/>
        </w:tcBorders>
        <w:shd w:val="clear" w:color="auto" w:fill="19535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350" w:themeFill="accent5" w:themeFillShade="99"/>
      </w:tcPr>
    </w:tblStylePr>
    <w:tblStylePr w:type="band1Vert">
      <w:tblPr/>
      <w:tcPr>
        <w:shd w:val="clear" w:color="auto" w:fill="99E0DD" w:themeFill="accent5" w:themeFillTint="66"/>
      </w:tcPr>
    </w:tblStylePr>
    <w:tblStylePr w:type="band1Horz">
      <w:tblPr/>
      <w:tcPr>
        <w:shd w:val="clear" w:color="auto" w:fill="81D9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2A8B87" w:themeColor="accent5"/>
        <w:left w:val="single" w:sz="4" w:space="0" w:color="56B948" w:themeColor="accent6"/>
        <w:bottom w:val="single" w:sz="4" w:space="0" w:color="56B948" w:themeColor="accent6"/>
        <w:right w:val="single" w:sz="4" w:space="0" w:color="56B948" w:themeColor="accent6"/>
        <w:insideH w:val="single" w:sz="4" w:space="0" w:color="FFFFFF" w:themeColor="background1"/>
        <w:insideV w:val="single" w:sz="4" w:space="0" w:color="FFFFFF" w:themeColor="background1"/>
      </w:tblBorders>
    </w:tblPr>
    <w:tcPr>
      <w:shd w:val="clear" w:color="auto" w:fill="EEF8EC" w:themeFill="accent6" w:themeFillTint="19"/>
    </w:tcPr>
    <w:tblStylePr w:type="firstRow">
      <w:rPr>
        <w:b/>
        <w:bCs/>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F2A" w:themeFill="accent6" w:themeFillShade="99"/>
      </w:tcPr>
    </w:tblStylePr>
    <w:tblStylePr w:type="firstCol">
      <w:rPr>
        <w:color w:val="FFFFFF" w:themeColor="background1"/>
      </w:rPr>
      <w:tblPr/>
      <w:tcPr>
        <w:tcBorders>
          <w:top w:val="nil"/>
          <w:left w:val="nil"/>
          <w:bottom w:val="nil"/>
          <w:right w:val="nil"/>
          <w:insideH w:val="single" w:sz="4" w:space="0" w:color="336F2A" w:themeColor="accent6" w:themeShade="99"/>
          <w:insideV w:val="nil"/>
        </w:tcBorders>
        <w:shd w:val="clear" w:color="auto" w:fill="336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6F2A" w:themeFill="accent6" w:themeFillShade="99"/>
      </w:tcPr>
    </w:tblStylePr>
    <w:tblStylePr w:type="band1Vert">
      <w:tblPr/>
      <w:tcPr>
        <w:shd w:val="clear" w:color="auto" w:fill="BBE3B5" w:themeFill="accent6" w:themeFillTint="66"/>
      </w:tcPr>
    </w:tblStylePr>
    <w:tblStylePr w:type="band1Horz">
      <w:tblPr/>
      <w:tcPr>
        <w:shd w:val="clear" w:color="auto" w:fill="AADC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aliases w:val="CR-DO NOT USE"/>
    <w:basedOn w:val="DefaultParagraphFont"/>
    <w:uiPriority w:val="99"/>
    <w:semiHidden/>
    <w:unhideWhenUsed/>
    <w:rPr>
      <w:sz w:val="16"/>
    </w:rPr>
  </w:style>
  <w:style w:type="paragraph" w:styleId="CommentText">
    <w:name w:val="annotation text"/>
    <w:aliases w:val="CT-DO NOT USE"/>
    <w:basedOn w:val="Normal"/>
    <w:link w:val="CommentTextChar"/>
    <w:uiPriority w:val="99"/>
    <w:unhideWhenUsed/>
    <w:pPr>
      <w:spacing w:line="240" w:lineRule="auto"/>
    </w:pPr>
  </w:style>
  <w:style w:type="character" w:customStyle="1" w:styleId="CommentTextChar">
    <w:name w:val="Comment Text Char"/>
    <w:aliases w:val="CT-DO NOT USE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5787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3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6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657E" w:themeFill="accent1" w:themeFillShade="BF"/>
      </w:tcPr>
    </w:tblStylePr>
    <w:tblStylePr w:type="band1Vert">
      <w:tblPr/>
      <w:tcPr>
        <w:tcBorders>
          <w:top w:val="nil"/>
          <w:left w:val="nil"/>
          <w:bottom w:val="nil"/>
          <w:right w:val="nil"/>
          <w:insideH w:val="nil"/>
          <w:insideV w:val="nil"/>
        </w:tcBorders>
        <w:shd w:val="clear" w:color="auto" w:fill="41657E" w:themeFill="accent1" w:themeFillShade="BF"/>
      </w:tcPr>
    </w:tblStylePr>
    <w:tblStylePr w:type="band1Horz">
      <w:tblPr/>
      <w:tcPr>
        <w:tcBorders>
          <w:top w:val="nil"/>
          <w:left w:val="nil"/>
          <w:bottom w:val="nil"/>
          <w:right w:val="nil"/>
          <w:insideH w:val="nil"/>
          <w:insideV w:val="nil"/>
        </w:tcBorders>
        <w:shd w:val="clear" w:color="auto" w:fill="41657E"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5572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85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557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5578" w:themeFill="accent2" w:themeFillShade="BF"/>
      </w:tcPr>
    </w:tblStylePr>
    <w:tblStylePr w:type="band1Vert">
      <w:tblPr/>
      <w:tcPr>
        <w:tcBorders>
          <w:top w:val="nil"/>
          <w:left w:val="nil"/>
          <w:bottom w:val="nil"/>
          <w:right w:val="nil"/>
          <w:insideH w:val="nil"/>
          <w:insideV w:val="nil"/>
        </w:tcBorders>
        <w:shd w:val="clear" w:color="auto" w:fill="3F5578" w:themeFill="accent2" w:themeFillShade="BF"/>
      </w:tcPr>
    </w:tblStylePr>
    <w:tblStylePr w:type="band1Horz">
      <w:tblPr/>
      <w:tcPr>
        <w:tcBorders>
          <w:top w:val="nil"/>
          <w:left w:val="nil"/>
          <w:bottom w:val="nil"/>
          <w:right w:val="nil"/>
          <w:insideH w:val="nil"/>
          <w:insideV w:val="nil"/>
        </w:tcBorders>
        <w:shd w:val="clear" w:color="auto" w:fill="3F5578"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5563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1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4A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4A74" w:themeFill="accent3" w:themeFillShade="BF"/>
      </w:tcPr>
    </w:tblStylePr>
    <w:tblStylePr w:type="band1Vert">
      <w:tblPr/>
      <w:tcPr>
        <w:tcBorders>
          <w:top w:val="nil"/>
          <w:left w:val="nil"/>
          <w:bottom w:val="nil"/>
          <w:right w:val="nil"/>
          <w:insideH w:val="nil"/>
          <w:insideV w:val="nil"/>
        </w:tcBorders>
        <w:shd w:val="clear" w:color="auto" w:fill="3F4A74" w:themeFill="accent3" w:themeFillShade="BF"/>
      </w:tcPr>
    </w:tblStylePr>
    <w:tblStylePr w:type="band1Horz">
      <w:tblPr/>
      <w:tcPr>
        <w:tcBorders>
          <w:top w:val="nil"/>
          <w:left w:val="nil"/>
          <w:bottom w:val="nil"/>
          <w:right w:val="nil"/>
          <w:insideH w:val="nil"/>
          <w:insideV w:val="nil"/>
        </w:tcBorders>
        <w:shd w:val="clear" w:color="auto" w:fill="3F4A74"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662D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6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21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216C" w:themeFill="accent4" w:themeFillShade="BF"/>
      </w:tcPr>
    </w:tblStylePr>
    <w:tblStylePr w:type="band1Vert">
      <w:tblPr/>
      <w:tcPr>
        <w:tcBorders>
          <w:top w:val="nil"/>
          <w:left w:val="nil"/>
          <w:bottom w:val="nil"/>
          <w:right w:val="nil"/>
          <w:insideH w:val="nil"/>
          <w:insideV w:val="nil"/>
        </w:tcBorders>
        <w:shd w:val="clear" w:color="auto" w:fill="4C216C" w:themeFill="accent4" w:themeFillShade="BF"/>
      </w:tcPr>
    </w:tblStylePr>
    <w:tblStylePr w:type="band1Horz">
      <w:tblPr/>
      <w:tcPr>
        <w:tcBorders>
          <w:top w:val="nil"/>
          <w:left w:val="nil"/>
          <w:bottom w:val="nil"/>
          <w:right w:val="nil"/>
          <w:insideH w:val="nil"/>
          <w:insideV w:val="nil"/>
        </w:tcBorders>
        <w:shd w:val="clear" w:color="auto" w:fill="4C216C"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2A8B8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54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7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764" w:themeFill="accent5" w:themeFillShade="BF"/>
      </w:tcPr>
    </w:tblStylePr>
    <w:tblStylePr w:type="band1Vert">
      <w:tblPr/>
      <w:tcPr>
        <w:tcBorders>
          <w:top w:val="nil"/>
          <w:left w:val="nil"/>
          <w:bottom w:val="nil"/>
          <w:right w:val="nil"/>
          <w:insideH w:val="nil"/>
          <w:insideV w:val="nil"/>
        </w:tcBorders>
        <w:shd w:val="clear" w:color="auto" w:fill="1F6764" w:themeFill="accent5" w:themeFillShade="BF"/>
      </w:tcPr>
    </w:tblStylePr>
    <w:tblStylePr w:type="band1Horz">
      <w:tblPr/>
      <w:tcPr>
        <w:tcBorders>
          <w:top w:val="nil"/>
          <w:left w:val="nil"/>
          <w:bottom w:val="nil"/>
          <w:right w:val="nil"/>
          <w:insideH w:val="nil"/>
          <w:insideV w:val="nil"/>
        </w:tcBorders>
        <w:shd w:val="clear" w:color="auto" w:fill="1F6764"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56B94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5C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8B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8B35" w:themeFill="accent6" w:themeFillShade="BF"/>
      </w:tcPr>
    </w:tblStylePr>
    <w:tblStylePr w:type="band1Vert">
      <w:tblPr/>
      <w:tcPr>
        <w:tcBorders>
          <w:top w:val="nil"/>
          <w:left w:val="nil"/>
          <w:bottom w:val="nil"/>
          <w:right w:val="nil"/>
          <w:insideH w:val="nil"/>
          <w:insideV w:val="nil"/>
        </w:tcBorders>
        <w:shd w:val="clear" w:color="auto" w:fill="3F8B35" w:themeFill="accent6" w:themeFillShade="BF"/>
      </w:tcPr>
    </w:tblStylePr>
    <w:tblStylePr w:type="band1Horz">
      <w:tblPr/>
      <w:tcPr>
        <w:tcBorders>
          <w:top w:val="nil"/>
          <w:left w:val="nil"/>
          <w:bottom w:val="nil"/>
          <w:right w:val="nil"/>
          <w:insideH w:val="nil"/>
          <w:insideV w:val="nil"/>
        </w:tcBorders>
        <w:shd w:val="clear" w:color="auto" w:fill="3F8B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22066"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53785D"/>
    <w:rPr>
      <w:rFonts w:ascii="Microsoft YaHei UI" w:eastAsia="Microsoft YaHei UI" w:hAnsi="Microsoft YaHei UI" w:cstheme="majorBidi"/>
      <w:bCs/>
      <w:color w:val="579AB0" w:themeColor="text2"/>
      <w:kern w:val="20"/>
      <w:sz w:val="24"/>
      <w:szCs w:val="24"/>
      <w14:ligatures w14:val="standardContextual"/>
    </w:rPr>
  </w:style>
  <w:style w:type="character" w:customStyle="1" w:styleId="Heading4Char">
    <w:name w:val="Heading 4 Char"/>
    <w:basedOn w:val="DefaultParagraphFont"/>
    <w:link w:val="Heading4"/>
    <w:uiPriority w:val="18"/>
    <w:rsid w:val="00564151"/>
    <w:rPr>
      <w:rFonts w:ascii="Microsoft YaHei UI" w:eastAsia="Microsoft YaHei UI" w:hAnsi="Microsoft YaHei UI" w:cstheme="majorBidi"/>
      <w:bCs/>
      <w:iCs/>
      <w:color w:val="579AB0" w:themeColor="text2"/>
      <w:kern w:val="20"/>
      <w:sz w:val="21"/>
      <w:szCs w:val="21"/>
    </w:rPr>
  </w:style>
  <w:style w:type="character" w:customStyle="1" w:styleId="Heading5Char">
    <w:name w:val="Heading 5 Char"/>
    <w:basedOn w:val="DefaultParagraphFont"/>
    <w:link w:val="Heading5"/>
    <w:uiPriority w:val="18"/>
    <w:rsid w:val="003608D3"/>
    <w:rPr>
      <w:rFonts w:ascii="Microsoft YaHei UI" w:eastAsia="Microsoft YaHei UI" w:hAnsi="Microsoft YaHei UI" w:cstheme="majorBidi"/>
      <w:i/>
      <w:color w:val="579AB0" w:themeColor="text2"/>
      <w:kern w:val="20"/>
      <w:sz w:val="21"/>
      <w:szCs w:val="21"/>
      <w:lang w:val="en-GB"/>
    </w:rPr>
  </w:style>
  <w:style w:type="character" w:customStyle="1" w:styleId="Heading6Char">
    <w:name w:val="Heading 6 Char"/>
    <w:basedOn w:val="DefaultParagraphFont"/>
    <w:link w:val="Heading6"/>
    <w:uiPriority w:val="18"/>
    <w:rsid w:val="00AA055D"/>
    <w:rPr>
      <w:rFonts w:ascii="Microsoft YaHei UI" w:eastAsia="Microsoft YaHei UI" w:hAnsi="Microsoft YaHei UI" w:cstheme="majorBidi"/>
      <w:i/>
      <w:iCs/>
      <w:color w:val="000000" w:themeColor="text1"/>
      <w:kern w:val="20"/>
      <w:sz w:val="21"/>
      <w:szCs w:val="21"/>
      <w:lang w:val="en-GB"/>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qFormat/>
    <w:rPr>
      <w:color w:val="006397"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5787A9" w:themeColor="accent1"/>
    </w:rPr>
  </w:style>
  <w:style w:type="paragraph" w:styleId="IntenseQuote">
    <w:name w:val="Intense Quote"/>
    <w:basedOn w:val="Normal"/>
    <w:next w:val="Normal"/>
    <w:link w:val="IntenseQuoteChar"/>
    <w:uiPriority w:val="30"/>
    <w:semiHidden/>
    <w:unhideWhenUsed/>
    <w:pPr>
      <w:pBdr>
        <w:bottom w:val="single" w:sz="4" w:space="4" w:color="5787A9" w:themeColor="accent1"/>
      </w:pBdr>
      <w:spacing w:before="200" w:after="280"/>
      <w:ind w:left="936" w:right="936"/>
    </w:pPr>
    <w:rPr>
      <w:b/>
      <w:bCs/>
      <w:i/>
      <w:iCs/>
      <w:color w:val="5787A9" w:themeColor="accent1"/>
    </w:rPr>
  </w:style>
  <w:style w:type="character" w:customStyle="1" w:styleId="IntenseQuoteChar">
    <w:name w:val="Intense Quote Char"/>
    <w:basedOn w:val="DefaultParagraphFont"/>
    <w:link w:val="IntenseQuote"/>
    <w:uiPriority w:val="30"/>
    <w:semiHidden/>
    <w:rPr>
      <w:b/>
      <w:bCs/>
      <w:i/>
      <w:iCs/>
      <w:color w:val="5787A9" w:themeColor="accent1"/>
    </w:rPr>
  </w:style>
  <w:style w:type="character" w:styleId="IntenseReference">
    <w:name w:val="Intense Reference"/>
    <w:basedOn w:val="DefaultParagraphFont"/>
    <w:uiPriority w:val="32"/>
    <w:semiHidden/>
    <w:unhideWhenUsed/>
    <w:rPr>
      <w:b/>
      <w:bCs/>
      <w:smallCaps/>
      <w:color w:val="5572A1"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18" w:space="0" w:color="5787A9" w:themeColor="accent1"/>
          <w:right w:val="single" w:sz="8" w:space="0" w:color="5787A9" w:themeColor="accent1"/>
          <w:insideH w:val="nil"/>
          <w:insideV w:val="single" w:sz="8" w:space="0" w:color="5787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insideH w:val="nil"/>
          <w:insideV w:val="single" w:sz="8" w:space="0" w:color="5787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shd w:val="clear" w:color="auto" w:fill="D5E1E9" w:themeFill="accent1" w:themeFillTint="3F"/>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shd w:val="clear" w:color="auto" w:fill="D5E1E9" w:themeFill="accent1" w:themeFillTint="3F"/>
      </w:tcPr>
    </w:tblStylePr>
    <w:tblStylePr w:type="band2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18" w:space="0" w:color="5572A1" w:themeColor="accent2"/>
          <w:right w:val="single" w:sz="8" w:space="0" w:color="5572A1" w:themeColor="accent2"/>
          <w:insideH w:val="nil"/>
          <w:insideV w:val="single" w:sz="8" w:space="0" w:color="5572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insideH w:val="nil"/>
          <w:insideV w:val="single" w:sz="8" w:space="0" w:color="5572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shd w:val="clear" w:color="auto" w:fill="D4DBE8" w:themeFill="accent2" w:themeFillTint="3F"/>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shd w:val="clear" w:color="auto" w:fill="D4DBE8" w:themeFill="accent2" w:themeFillTint="3F"/>
      </w:tcPr>
    </w:tblStylePr>
    <w:tblStylePr w:type="band2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18" w:space="0" w:color="55639B" w:themeColor="accent3"/>
          <w:right w:val="single" w:sz="8" w:space="0" w:color="55639B" w:themeColor="accent3"/>
          <w:insideH w:val="nil"/>
          <w:insideV w:val="single" w:sz="8" w:space="0" w:color="5563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insideH w:val="nil"/>
          <w:insideV w:val="single" w:sz="8" w:space="0" w:color="5563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shd w:val="clear" w:color="auto" w:fill="D3D7E7" w:themeFill="accent3" w:themeFillTint="3F"/>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shd w:val="clear" w:color="auto" w:fill="D3D7E7" w:themeFill="accent3" w:themeFillTint="3F"/>
      </w:tcPr>
    </w:tblStylePr>
    <w:tblStylePr w:type="band2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18" w:space="0" w:color="662D91" w:themeColor="accent4"/>
          <w:right w:val="single" w:sz="8" w:space="0" w:color="662D91" w:themeColor="accent4"/>
          <w:insideH w:val="nil"/>
          <w:insideV w:val="single" w:sz="8" w:space="0" w:color="662D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insideH w:val="nil"/>
          <w:insideV w:val="single" w:sz="8" w:space="0" w:color="662D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shd w:val="clear" w:color="auto" w:fill="DAC2EC" w:themeFill="accent4" w:themeFillTint="3F"/>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shd w:val="clear" w:color="auto" w:fill="DAC2EC" w:themeFill="accent4" w:themeFillTint="3F"/>
      </w:tcPr>
    </w:tblStylePr>
    <w:tblStylePr w:type="band2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18" w:space="0" w:color="2A8B87" w:themeColor="accent5"/>
          <w:right w:val="single" w:sz="8" w:space="0" w:color="2A8B87" w:themeColor="accent5"/>
          <w:insideH w:val="nil"/>
          <w:insideV w:val="single" w:sz="8" w:space="0" w:color="2A8B8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insideH w:val="nil"/>
          <w:insideV w:val="single" w:sz="8" w:space="0" w:color="2A8B8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shd w:val="clear" w:color="auto" w:fill="C0ECEA" w:themeFill="accent5" w:themeFillTint="3F"/>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shd w:val="clear" w:color="auto" w:fill="C0ECEA" w:themeFill="accent5" w:themeFillTint="3F"/>
      </w:tcPr>
    </w:tblStylePr>
    <w:tblStylePr w:type="band2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18" w:space="0" w:color="56B948" w:themeColor="accent6"/>
          <w:right w:val="single" w:sz="8" w:space="0" w:color="56B948" w:themeColor="accent6"/>
          <w:insideH w:val="nil"/>
          <w:insideV w:val="single" w:sz="8" w:space="0" w:color="56B94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insideH w:val="nil"/>
          <w:insideV w:val="single" w:sz="8" w:space="0" w:color="56B94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shd w:val="clear" w:color="auto" w:fill="D5EDD1" w:themeFill="accent6" w:themeFillTint="3F"/>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shd w:val="clear" w:color="auto" w:fill="D5EDD1" w:themeFill="accent6" w:themeFillTint="3F"/>
      </w:tcPr>
    </w:tblStylePr>
    <w:tblStylePr w:type="band2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pPr>
        <w:spacing w:before="0" w:after="0" w:line="240" w:lineRule="auto"/>
      </w:pPr>
      <w:rPr>
        <w:b/>
        <w:bCs/>
        <w:color w:val="FFFFFF" w:themeColor="background1"/>
      </w:rPr>
      <w:tblPr/>
      <w:tcPr>
        <w:shd w:val="clear" w:color="auto" w:fill="5787A9" w:themeFill="accent1"/>
      </w:tcPr>
    </w:tblStylePr>
    <w:tblStylePr w:type="lastRow">
      <w:pPr>
        <w:spacing w:before="0" w:after="0" w:line="240" w:lineRule="auto"/>
      </w:pPr>
      <w:rPr>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tcBorders>
      </w:tcPr>
    </w:tblStylePr>
    <w:tblStylePr w:type="firstCol">
      <w:rPr>
        <w:b/>
        <w:bCs/>
      </w:rPr>
    </w:tblStylePr>
    <w:tblStylePr w:type="lastCol">
      <w:rPr>
        <w:b/>
        <w:bCs/>
      </w:r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pPr>
        <w:spacing w:before="0" w:after="0" w:line="240" w:lineRule="auto"/>
      </w:pPr>
      <w:rPr>
        <w:b/>
        <w:bCs/>
        <w:color w:val="FFFFFF" w:themeColor="background1"/>
      </w:rPr>
      <w:tblPr/>
      <w:tcPr>
        <w:shd w:val="clear" w:color="auto" w:fill="5572A1" w:themeFill="accent2"/>
      </w:tcPr>
    </w:tblStylePr>
    <w:tblStylePr w:type="lastRow">
      <w:pPr>
        <w:spacing w:before="0" w:after="0" w:line="240" w:lineRule="auto"/>
      </w:pPr>
      <w:rPr>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tcBorders>
      </w:tcPr>
    </w:tblStylePr>
    <w:tblStylePr w:type="firstCol">
      <w:rPr>
        <w:b/>
        <w:bCs/>
      </w:rPr>
    </w:tblStylePr>
    <w:tblStylePr w:type="lastCol">
      <w:rPr>
        <w:b/>
        <w:bCs/>
      </w:r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pPr>
        <w:spacing w:before="0" w:after="0" w:line="240" w:lineRule="auto"/>
      </w:pPr>
      <w:rPr>
        <w:b/>
        <w:bCs/>
        <w:color w:val="FFFFFF" w:themeColor="background1"/>
      </w:rPr>
      <w:tblPr/>
      <w:tcPr>
        <w:shd w:val="clear" w:color="auto" w:fill="55639B" w:themeFill="accent3"/>
      </w:tcPr>
    </w:tblStylePr>
    <w:tblStylePr w:type="lastRow">
      <w:pPr>
        <w:spacing w:before="0" w:after="0" w:line="240" w:lineRule="auto"/>
      </w:pPr>
      <w:rPr>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tcBorders>
      </w:tcPr>
    </w:tblStylePr>
    <w:tblStylePr w:type="firstCol">
      <w:rPr>
        <w:b/>
        <w:bCs/>
      </w:rPr>
    </w:tblStylePr>
    <w:tblStylePr w:type="lastCol">
      <w:rPr>
        <w:b/>
        <w:bCs/>
      </w:r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pPr>
        <w:spacing w:before="0" w:after="0" w:line="240" w:lineRule="auto"/>
      </w:pPr>
      <w:rPr>
        <w:b/>
        <w:bCs/>
        <w:color w:val="FFFFFF" w:themeColor="background1"/>
      </w:rPr>
      <w:tblPr/>
      <w:tcPr>
        <w:shd w:val="clear" w:color="auto" w:fill="662D91" w:themeFill="accent4"/>
      </w:tcPr>
    </w:tblStylePr>
    <w:tblStylePr w:type="lastRow">
      <w:pPr>
        <w:spacing w:before="0" w:after="0" w:line="240" w:lineRule="auto"/>
      </w:pPr>
      <w:rPr>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tcBorders>
      </w:tcPr>
    </w:tblStylePr>
    <w:tblStylePr w:type="firstCol">
      <w:rPr>
        <w:b/>
        <w:bCs/>
      </w:rPr>
    </w:tblStylePr>
    <w:tblStylePr w:type="lastCol">
      <w:rPr>
        <w:b/>
        <w:bCs/>
      </w:r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pPr>
        <w:spacing w:before="0" w:after="0" w:line="240" w:lineRule="auto"/>
      </w:pPr>
      <w:rPr>
        <w:b/>
        <w:bCs/>
        <w:color w:val="FFFFFF" w:themeColor="background1"/>
      </w:rPr>
      <w:tblPr/>
      <w:tcPr>
        <w:shd w:val="clear" w:color="auto" w:fill="2A8B87" w:themeFill="accent5"/>
      </w:tcPr>
    </w:tblStylePr>
    <w:tblStylePr w:type="lastRow">
      <w:pPr>
        <w:spacing w:before="0" w:after="0" w:line="240" w:lineRule="auto"/>
      </w:pPr>
      <w:rPr>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tcBorders>
      </w:tcPr>
    </w:tblStylePr>
    <w:tblStylePr w:type="firstCol">
      <w:rPr>
        <w:b/>
        <w:bCs/>
      </w:rPr>
    </w:tblStylePr>
    <w:tblStylePr w:type="lastCol">
      <w:rPr>
        <w:b/>
        <w:bCs/>
      </w:r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pPr>
        <w:spacing w:before="0" w:after="0" w:line="240" w:lineRule="auto"/>
      </w:pPr>
      <w:rPr>
        <w:b/>
        <w:bCs/>
        <w:color w:val="FFFFFF" w:themeColor="background1"/>
      </w:rPr>
      <w:tblPr/>
      <w:tcPr>
        <w:shd w:val="clear" w:color="auto" w:fill="56B948" w:themeFill="accent6"/>
      </w:tcPr>
    </w:tblStylePr>
    <w:tblStylePr w:type="lastRow">
      <w:pPr>
        <w:spacing w:before="0" w:after="0" w:line="240" w:lineRule="auto"/>
      </w:pPr>
      <w:rPr>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tcBorders>
      </w:tcPr>
    </w:tblStylePr>
    <w:tblStylePr w:type="firstCol">
      <w:rPr>
        <w:b/>
        <w:bCs/>
      </w:rPr>
    </w:tblStylePr>
    <w:tblStylePr w:type="lastCol">
      <w:rPr>
        <w:b/>
        <w:bCs/>
      </w:r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1657E" w:themeColor="accent1" w:themeShade="BF"/>
    </w:rPr>
    <w:tblPr>
      <w:tblStyleRowBandSize w:val="1"/>
      <w:tblStyleColBandSize w:val="1"/>
      <w:tblBorders>
        <w:top w:val="single" w:sz="8" w:space="0" w:color="5787A9" w:themeColor="accent1"/>
        <w:bottom w:val="single" w:sz="8" w:space="0" w:color="5787A9" w:themeColor="accent1"/>
      </w:tblBorders>
    </w:tblPr>
    <w:tblStylePr w:type="fir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la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left w:val="nil"/>
          <w:right w:val="nil"/>
          <w:insideH w:val="nil"/>
          <w:insideV w:val="nil"/>
        </w:tcBorders>
        <w:shd w:val="clear" w:color="auto" w:fill="D5E1E9" w:themeFill="accent1" w:themeFillTint="3F"/>
      </w:tcPr>
    </w:tblStylePr>
  </w:style>
  <w:style w:type="table" w:styleId="LightShading-Accent2">
    <w:name w:val="Light Shading Accent 2"/>
    <w:basedOn w:val="TableNormal"/>
    <w:uiPriority w:val="60"/>
    <w:pPr>
      <w:spacing w:after="0" w:line="240" w:lineRule="auto"/>
    </w:pPr>
    <w:rPr>
      <w:color w:val="3F5578" w:themeColor="accent2" w:themeShade="BF"/>
    </w:rPr>
    <w:tblPr>
      <w:tblStyleRowBandSize w:val="1"/>
      <w:tblStyleColBandSize w:val="1"/>
      <w:tblBorders>
        <w:top w:val="single" w:sz="8" w:space="0" w:color="5572A1" w:themeColor="accent2"/>
        <w:bottom w:val="single" w:sz="8" w:space="0" w:color="5572A1" w:themeColor="accent2"/>
      </w:tblBorders>
    </w:tblPr>
    <w:tblStylePr w:type="fir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la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left w:val="nil"/>
          <w:right w:val="nil"/>
          <w:insideH w:val="nil"/>
          <w:insideV w:val="nil"/>
        </w:tcBorders>
        <w:shd w:val="clear" w:color="auto" w:fill="D4DBE8" w:themeFill="accent2" w:themeFillTint="3F"/>
      </w:tcPr>
    </w:tblStylePr>
  </w:style>
  <w:style w:type="table" w:styleId="LightShading-Accent3">
    <w:name w:val="Light Shading Accent 3"/>
    <w:basedOn w:val="TableNormal"/>
    <w:uiPriority w:val="60"/>
    <w:pPr>
      <w:spacing w:after="0" w:line="240" w:lineRule="auto"/>
    </w:pPr>
    <w:rPr>
      <w:color w:val="3F4A74" w:themeColor="accent3" w:themeShade="BF"/>
    </w:rPr>
    <w:tblPr>
      <w:tblStyleRowBandSize w:val="1"/>
      <w:tblStyleColBandSize w:val="1"/>
      <w:tblBorders>
        <w:top w:val="single" w:sz="8" w:space="0" w:color="55639B" w:themeColor="accent3"/>
        <w:bottom w:val="single" w:sz="8" w:space="0" w:color="55639B" w:themeColor="accent3"/>
      </w:tblBorders>
    </w:tblPr>
    <w:tblStylePr w:type="fir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la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left w:val="nil"/>
          <w:right w:val="nil"/>
          <w:insideH w:val="nil"/>
          <w:insideV w:val="nil"/>
        </w:tcBorders>
        <w:shd w:val="clear" w:color="auto" w:fill="D3D7E7" w:themeFill="accent3" w:themeFillTint="3F"/>
      </w:tcPr>
    </w:tblStylePr>
  </w:style>
  <w:style w:type="table" w:styleId="LightShading-Accent4">
    <w:name w:val="Light Shading Accent 4"/>
    <w:basedOn w:val="TableNormal"/>
    <w:uiPriority w:val="60"/>
    <w:pPr>
      <w:spacing w:after="0" w:line="240" w:lineRule="auto"/>
    </w:pPr>
    <w:rPr>
      <w:color w:val="4C216C" w:themeColor="accent4" w:themeShade="BF"/>
    </w:rPr>
    <w:tblPr>
      <w:tblStyleRowBandSize w:val="1"/>
      <w:tblStyleColBandSize w:val="1"/>
      <w:tblBorders>
        <w:top w:val="single" w:sz="8" w:space="0" w:color="662D91" w:themeColor="accent4"/>
        <w:bottom w:val="single" w:sz="8" w:space="0" w:color="662D91" w:themeColor="accent4"/>
      </w:tblBorders>
    </w:tblPr>
    <w:tblStylePr w:type="fir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la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left w:val="nil"/>
          <w:right w:val="nil"/>
          <w:insideH w:val="nil"/>
          <w:insideV w:val="nil"/>
        </w:tcBorders>
        <w:shd w:val="clear" w:color="auto" w:fill="DAC2EC" w:themeFill="accent4" w:themeFillTint="3F"/>
      </w:tcPr>
    </w:tblStylePr>
  </w:style>
  <w:style w:type="table" w:styleId="LightShading-Accent5">
    <w:name w:val="Light Shading Accent 5"/>
    <w:basedOn w:val="TableNormal"/>
    <w:uiPriority w:val="60"/>
    <w:pPr>
      <w:spacing w:after="0" w:line="240" w:lineRule="auto"/>
    </w:pPr>
    <w:rPr>
      <w:color w:val="1F6764" w:themeColor="accent5" w:themeShade="BF"/>
    </w:rPr>
    <w:tblPr>
      <w:tblStyleRowBandSize w:val="1"/>
      <w:tblStyleColBandSize w:val="1"/>
      <w:tblBorders>
        <w:top w:val="single" w:sz="8" w:space="0" w:color="2A8B87" w:themeColor="accent5"/>
        <w:bottom w:val="single" w:sz="8" w:space="0" w:color="2A8B87" w:themeColor="accent5"/>
      </w:tblBorders>
    </w:tblPr>
    <w:tblStylePr w:type="fir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la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left w:val="nil"/>
          <w:right w:val="nil"/>
          <w:insideH w:val="nil"/>
          <w:insideV w:val="nil"/>
        </w:tcBorders>
        <w:shd w:val="clear" w:color="auto" w:fill="C0ECEA" w:themeFill="accent5" w:themeFillTint="3F"/>
      </w:tcPr>
    </w:tblStylePr>
  </w:style>
  <w:style w:type="table" w:styleId="LightShading-Accent6">
    <w:name w:val="Light Shading Accent 6"/>
    <w:basedOn w:val="TableNormal"/>
    <w:uiPriority w:val="60"/>
    <w:pPr>
      <w:spacing w:after="0" w:line="240" w:lineRule="auto"/>
    </w:pPr>
    <w:rPr>
      <w:color w:val="3F8B35" w:themeColor="accent6" w:themeShade="BF"/>
    </w:rPr>
    <w:tblPr>
      <w:tblStyleRowBandSize w:val="1"/>
      <w:tblStyleColBandSize w:val="1"/>
      <w:tblBorders>
        <w:top w:val="single" w:sz="8" w:space="0" w:color="56B948" w:themeColor="accent6"/>
        <w:bottom w:val="single" w:sz="8" w:space="0" w:color="56B948" w:themeColor="accent6"/>
      </w:tblBorders>
    </w:tblPr>
    <w:tblStylePr w:type="fir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la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left w:val="nil"/>
          <w:right w:val="nil"/>
          <w:insideH w:val="nil"/>
          <w:insideV w:val="nil"/>
        </w:tcBorders>
        <w:shd w:val="clear" w:color="auto" w:fill="D5ED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uiPriority w:val="1"/>
    <w:unhideWhenUsed/>
    <w:qFormat/>
    <w:rsid w:val="003B2A2B"/>
    <w:pPr>
      <w:spacing w:before="0" w:after="240"/>
      <w:ind w:firstLine="113"/>
      <w:contextualSpacing/>
    </w:pPr>
    <w:rPr>
      <w:rFonts w:ascii="Microsoft New Tai Lue" w:hAnsi="Microsoft New Tai Lue" w:cs="Microsoft New Tai Lue"/>
      <w:color w:val="auto"/>
      <w:kern w:val="20"/>
      <w:sz w:val="21"/>
      <w:szCs w:val="21"/>
    </w:rPr>
  </w:style>
  <w:style w:type="paragraph" w:styleId="ListBullet2">
    <w:name w:val="List Bullet 2"/>
    <w:basedOn w:val="Normal"/>
    <w:uiPriority w:val="99"/>
    <w:semiHidden/>
    <w:unhideWhenUsed/>
    <w:pPr>
      <w:numPr>
        <w:numId w:val="1"/>
      </w:numPr>
      <w:contextualSpacing/>
    </w:pPr>
  </w:style>
  <w:style w:type="paragraph" w:styleId="ListBullet3">
    <w:name w:val="List Bullet 3"/>
    <w:basedOn w:val="Normal"/>
    <w:uiPriority w:val="99"/>
    <w:semiHidden/>
    <w:unhideWhenUsed/>
    <w:pPr>
      <w:numPr>
        <w:numId w:val="2"/>
      </w:numPr>
      <w:contextualSpacing/>
    </w:pPr>
  </w:style>
  <w:style w:type="paragraph" w:styleId="ListBullet4">
    <w:name w:val="List Bullet 4"/>
    <w:basedOn w:val="Normal"/>
    <w:uiPriority w:val="99"/>
    <w:semiHidden/>
    <w:unhideWhenUsed/>
    <w:pPr>
      <w:numPr>
        <w:numId w:val="3"/>
      </w:numPr>
      <w:contextualSpacing/>
    </w:pPr>
  </w:style>
  <w:style w:type="paragraph" w:styleId="ListBullet5">
    <w:name w:val="List Bullet 5"/>
    <w:basedOn w:val="Normal"/>
    <w:uiPriority w:val="99"/>
    <w:semiHidden/>
    <w:unhideWhenUsed/>
    <w:pPr>
      <w:numPr>
        <w:numId w:val="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564151"/>
    <w:pPr>
      <w:ind w:left="357" w:hanging="357"/>
      <w:contextualSpacing/>
    </w:pPr>
  </w:style>
  <w:style w:type="paragraph" w:styleId="ListNumber2">
    <w:name w:val="List Number 2"/>
    <w:uiPriority w:val="1"/>
    <w:unhideWhenUsed/>
    <w:qFormat/>
    <w:rsid w:val="007B6964"/>
    <w:pPr>
      <w:tabs>
        <w:tab w:val="num" w:pos="432"/>
      </w:tabs>
      <w:spacing w:before="0" w:after="200"/>
      <w:ind w:left="431" w:hanging="431"/>
      <w:contextualSpacing/>
    </w:pPr>
    <w:rPr>
      <w:rFonts w:ascii="Microsoft New Tai Lue" w:hAnsi="Microsoft New Tai Lue" w:cs="Microsoft New Tai Lue"/>
      <w:color w:val="auto"/>
      <w:kern w:val="20"/>
      <w:sz w:val="21"/>
      <w:szCs w:val="21"/>
    </w:rPr>
  </w:style>
  <w:style w:type="paragraph" w:styleId="ListNumber3">
    <w:name w:val="List Number 3"/>
    <w:uiPriority w:val="18"/>
    <w:unhideWhenUsed/>
    <w:rsid w:val="002B3A49"/>
    <w:pPr>
      <w:ind w:left="792" w:hanging="360"/>
      <w:contextualSpacing/>
    </w:pPr>
    <w:rPr>
      <w:kern w:val="20"/>
    </w:rPr>
  </w:style>
  <w:style w:type="paragraph" w:styleId="ListNumber4">
    <w:name w:val="List Number 4"/>
    <w:basedOn w:val="Normal"/>
    <w:uiPriority w:val="18"/>
    <w:semiHidden/>
    <w:unhideWhenUsed/>
    <w:pPr>
      <w:ind w:left="1152" w:hanging="360"/>
      <w:contextualSpacing/>
    </w:pPr>
  </w:style>
  <w:style w:type="paragraph" w:styleId="ListNumber5">
    <w:name w:val="List Number 5"/>
    <w:basedOn w:val="Normal"/>
    <w:uiPriority w:val="18"/>
    <w:semiHidden/>
    <w:unhideWhenUsed/>
    <w:pPr>
      <w:ind w:left="1512" w:hanging="360"/>
      <w:contextualSpacing/>
    </w:pPr>
  </w:style>
  <w:style w:type="paragraph" w:styleId="ListParagraph">
    <w:name w:val="List Paragraph"/>
    <w:aliases w:val="1 heading,Bullet point,Dot point 1.5 line spacing,L,List Paragraph - bullets,List Paragraph1,List Paragraph11,NFP GP Bulleted List,Recommendation,bullet point list,Bulletr List Paragraph,FooterText,List Paragraph2,List Paragraph21,CV text"/>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insideV w:val="single" w:sz="8" w:space="0" w:color="81A5BE" w:themeColor="accent1" w:themeTint="BF"/>
      </w:tblBorders>
    </w:tblPr>
    <w:tcPr>
      <w:shd w:val="clear" w:color="auto" w:fill="D5E1E9" w:themeFill="accent1" w:themeFillTint="3F"/>
    </w:tcPr>
    <w:tblStylePr w:type="firstRow">
      <w:rPr>
        <w:b/>
        <w:bCs/>
      </w:rPr>
    </w:tblStylePr>
    <w:tblStylePr w:type="lastRow">
      <w:rPr>
        <w:b/>
        <w:bCs/>
      </w:rPr>
      <w:tblPr/>
      <w:tcPr>
        <w:tcBorders>
          <w:top w:val="single" w:sz="18" w:space="0" w:color="81A5BE" w:themeColor="accent1" w:themeTint="BF"/>
        </w:tcBorders>
      </w:tcPr>
    </w:tblStylePr>
    <w:tblStylePr w:type="firstCol">
      <w:rPr>
        <w:b/>
        <w:bCs/>
      </w:rPr>
    </w:tblStylePr>
    <w:tblStylePr w:type="lastCol">
      <w:rPr>
        <w:b/>
        <w:bCs/>
      </w:r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insideV w:val="single" w:sz="8" w:space="0" w:color="7D94BA" w:themeColor="accent2" w:themeTint="BF"/>
      </w:tblBorders>
    </w:tblPr>
    <w:tcPr>
      <w:shd w:val="clear" w:color="auto" w:fill="D4DBE8" w:themeFill="accent2" w:themeFillTint="3F"/>
    </w:tcPr>
    <w:tblStylePr w:type="firstRow">
      <w:rPr>
        <w:b/>
        <w:bCs/>
      </w:rPr>
    </w:tblStylePr>
    <w:tblStylePr w:type="lastRow">
      <w:rPr>
        <w:b/>
        <w:bCs/>
      </w:rPr>
      <w:tblPr/>
      <w:tcPr>
        <w:tcBorders>
          <w:top w:val="single" w:sz="18" w:space="0" w:color="7D94BA" w:themeColor="accent2" w:themeTint="BF"/>
        </w:tcBorders>
      </w:tcPr>
    </w:tblStylePr>
    <w:tblStylePr w:type="firstCol">
      <w:rPr>
        <w:b/>
        <w:bCs/>
      </w:rPr>
    </w:tblStylePr>
    <w:tblStylePr w:type="lastCol">
      <w:rPr>
        <w:b/>
        <w:bCs/>
      </w:r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insideV w:val="single" w:sz="8" w:space="0" w:color="7C88B7" w:themeColor="accent3" w:themeTint="BF"/>
      </w:tblBorders>
    </w:tblPr>
    <w:tcPr>
      <w:shd w:val="clear" w:color="auto" w:fill="D3D7E7" w:themeFill="accent3" w:themeFillTint="3F"/>
    </w:tcPr>
    <w:tblStylePr w:type="firstRow">
      <w:rPr>
        <w:b/>
        <w:bCs/>
      </w:rPr>
    </w:tblStylePr>
    <w:tblStylePr w:type="lastRow">
      <w:rPr>
        <w:b/>
        <w:bCs/>
      </w:rPr>
      <w:tblPr/>
      <w:tcPr>
        <w:tcBorders>
          <w:top w:val="single" w:sz="18" w:space="0" w:color="7C88B7" w:themeColor="accent3" w:themeTint="BF"/>
        </w:tcBorders>
      </w:tcPr>
    </w:tblStylePr>
    <w:tblStylePr w:type="firstCol">
      <w:rPr>
        <w:b/>
        <w:bCs/>
      </w:rPr>
    </w:tblStylePr>
    <w:tblStylePr w:type="lastCol">
      <w:rPr>
        <w:b/>
        <w:bCs/>
      </w:r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insideV w:val="single" w:sz="8" w:space="0" w:color="8F47C6" w:themeColor="accent4" w:themeTint="BF"/>
      </w:tblBorders>
    </w:tblPr>
    <w:tcPr>
      <w:shd w:val="clear" w:color="auto" w:fill="DAC2EC" w:themeFill="accent4" w:themeFillTint="3F"/>
    </w:tcPr>
    <w:tblStylePr w:type="firstRow">
      <w:rPr>
        <w:b/>
        <w:bCs/>
      </w:rPr>
    </w:tblStylePr>
    <w:tblStylePr w:type="lastRow">
      <w:rPr>
        <w:b/>
        <w:bCs/>
      </w:rPr>
      <w:tblPr/>
      <w:tcPr>
        <w:tcBorders>
          <w:top w:val="single" w:sz="18" w:space="0" w:color="8F47C6" w:themeColor="accent4" w:themeTint="BF"/>
        </w:tcBorders>
      </w:tcPr>
    </w:tblStylePr>
    <w:tblStylePr w:type="firstCol">
      <w:rPr>
        <w:b/>
        <w:bCs/>
      </w:rPr>
    </w:tblStylePr>
    <w:tblStylePr w:type="lastCol">
      <w:rPr>
        <w:b/>
        <w:bCs/>
      </w:r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insideV w:val="single" w:sz="8" w:space="0" w:color="41C5C0" w:themeColor="accent5" w:themeTint="BF"/>
      </w:tblBorders>
    </w:tblPr>
    <w:tcPr>
      <w:shd w:val="clear" w:color="auto" w:fill="C0ECEA" w:themeFill="accent5" w:themeFillTint="3F"/>
    </w:tcPr>
    <w:tblStylePr w:type="firstRow">
      <w:rPr>
        <w:b/>
        <w:bCs/>
      </w:rPr>
    </w:tblStylePr>
    <w:tblStylePr w:type="lastRow">
      <w:rPr>
        <w:b/>
        <w:bCs/>
      </w:rPr>
      <w:tblPr/>
      <w:tcPr>
        <w:tcBorders>
          <w:top w:val="single" w:sz="18" w:space="0" w:color="41C5C0" w:themeColor="accent5" w:themeTint="BF"/>
        </w:tcBorders>
      </w:tcPr>
    </w:tblStylePr>
    <w:tblStylePr w:type="firstCol">
      <w:rPr>
        <w:b/>
        <w:bCs/>
      </w:rPr>
    </w:tblStylePr>
    <w:tblStylePr w:type="lastCol">
      <w:rPr>
        <w:b/>
        <w:bCs/>
      </w:r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insideV w:val="single" w:sz="8" w:space="0" w:color="80CA75" w:themeColor="accent6" w:themeTint="BF"/>
      </w:tblBorders>
    </w:tblPr>
    <w:tcPr>
      <w:shd w:val="clear" w:color="auto" w:fill="D5EDD1" w:themeFill="accent6" w:themeFillTint="3F"/>
    </w:tcPr>
    <w:tblStylePr w:type="firstRow">
      <w:rPr>
        <w:b/>
        <w:bCs/>
      </w:rPr>
    </w:tblStylePr>
    <w:tblStylePr w:type="lastRow">
      <w:rPr>
        <w:b/>
        <w:bCs/>
      </w:rPr>
      <w:tblPr/>
      <w:tcPr>
        <w:tcBorders>
          <w:top w:val="single" w:sz="18" w:space="0" w:color="80CA75" w:themeColor="accent6" w:themeTint="BF"/>
        </w:tcBorders>
      </w:tcPr>
    </w:tblStylePr>
    <w:tblStylePr w:type="firstCol">
      <w:rPr>
        <w:b/>
        <w:bCs/>
      </w:rPr>
    </w:tblStylePr>
    <w:tblStylePr w:type="lastCol">
      <w:rPr>
        <w:b/>
        <w:bCs/>
      </w:r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cPr>
      <w:shd w:val="clear" w:color="auto" w:fill="D5E1E9" w:themeFill="accent1" w:themeFillTint="3F"/>
    </w:tcPr>
    <w:tblStylePr w:type="firstRow">
      <w:rPr>
        <w:b/>
        <w:bCs/>
        <w:color w:val="000000" w:themeColor="text1"/>
      </w:rPr>
      <w:tblPr/>
      <w:tcPr>
        <w:shd w:val="clear" w:color="auto" w:fill="EEF3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6ED" w:themeFill="accent1" w:themeFillTint="33"/>
      </w:tcPr>
    </w:tblStylePr>
    <w:tblStylePr w:type="band1Vert">
      <w:tblPr/>
      <w:tcPr>
        <w:shd w:val="clear" w:color="auto" w:fill="ABC3D4" w:themeFill="accent1" w:themeFillTint="7F"/>
      </w:tcPr>
    </w:tblStylePr>
    <w:tblStylePr w:type="band1Horz">
      <w:tblPr/>
      <w:tcPr>
        <w:tcBorders>
          <w:insideH w:val="single" w:sz="6" w:space="0" w:color="5787A9" w:themeColor="accent1"/>
          <w:insideV w:val="single" w:sz="6" w:space="0" w:color="5787A9" w:themeColor="accent1"/>
        </w:tcBorders>
        <w:shd w:val="clear" w:color="auto" w:fill="ABC3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cPr>
      <w:shd w:val="clear" w:color="auto" w:fill="D4DBE8" w:themeFill="accent2" w:themeFillTint="3F"/>
    </w:tcPr>
    <w:tblStylePr w:type="firstRow">
      <w:rPr>
        <w:b/>
        <w:bCs/>
        <w:color w:val="000000" w:themeColor="text1"/>
      </w:rPr>
      <w:tblPr/>
      <w:tcPr>
        <w:shd w:val="clear" w:color="auto" w:fill="EDF1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2EC" w:themeFill="accent2" w:themeFillTint="33"/>
      </w:tcPr>
    </w:tblStylePr>
    <w:tblStylePr w:type="band1Vert">
      <w:tblPr/>
      <w:tcPr>
        <w:shd w:val="clear" w:color="auto" w:fill="A8B8D1" w:themeFill="accent2" w:themeFillTint="7F"/>
      </w:tcPr>
    </w:tblStylePr>
    <w:tblStylePr w:type="band1Horz">
      <w:tblPr/>
      <w:tcPr>
        <w:tcBorders>
          <w:insideH w:val="single" w:sz="6" w:space="0" w:color="5572A1" w:themeColor="accent2"/>
          <w:insideV w:val="single" w:sz="6" w:space="0" w:color="5572A1" w:themeColor="accent2"/>
        </w:tcBorders>
        <w:shd w:val="clear" w:color="auto" w:fill="A8B8D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cPr>
      <w:shd w:val="clear" w:color="auto" w:fill="D3D7E7" w:themeFill="accent3" w:themeFillTint="3F"/>
    </w:tcPr>
    <w:tblStylePr w:type="firstRow">
      <w:rPr>
        <w:b/>
        <w:bCs/>
        <w:color w:val="000000" w:themeColor="text1"/>
      </w:rPr>
      <w:tblPr/>
      <w:tcPr>
        <w:shd w:val="clear" w:color="auto" w:fill="EDEF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C" w:themeFill="accent3" w:themeFillTint="33"/>
      </w:tcPr>
    </w:tblStylePr>
    <w:tblStylePr w:type="band1Vert">
      <w:tblPr/>
      <w:tcPr>
        <w:shd w:val="clear" w:color="auto" w:fill="A8AFCF" w:themeFill="accent3" w:themeFillTint="7F"/>
      </w:tcPr>
    </w:tblStylePr>
    <w:tblStylePr w:type="band1Horz">
      <w:tblPr/>
      <w:tcPr>
        <w:tcBorders>
          <w:insideH w:val="single" w:sz="6" w:space="0" w:color="55639B" w:themeColor="accent3"/>
          <w:insideV w:val="single" w:sz="6" w:space="0" w:color="55639B" w:themeColor="accent3"/>
        </w:tcBorders>
        <w:shd w:val="clear" w:color="auto" w:fill="A8A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cPr>
      <w:shd w:val="clear" w:color="auto" w:fill="DAC2EC" w:themeFill="accent4" w:themeFillTint="3F"/>
    </w:tcPr>
    <w:tblStylePr w:type="firstRow">
      <w:rPr>
        <w:b/>
        <w:bCs/>
        <w:color w:val="000000" w:themeColor="text1"/>
      </w:rPr>
      <w:tblPr/>
      <w:tcPr>
        <w:shd w:val="clear" w:color="auto" w:fill="F0E6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EF0" w:themeFill="accent4" w:themeFillTint="33"/>
      </w:tcPr>
    </w:tblStylePr>
    <w:tblStylePr w:type="band1Vert">
      <w:tblPr/>
      <w:tcPr>
        <w:shd w:val="clear" w:color="auto" w:fill="B485D9" w:themeFill="accent4" w:themeFillTint="7F"/>
      </w:tcPr>
    </w:tblStylePr>
    <w:tblStylePr w:type="band1Horz">
      <w:tblPr/>
      <w:tcPr>
        <w:tcBorders>
          <w:insideH w:val="single" w:sz="6" w:space="0" w:color="662D91" w:themeColor="accent4"/>
          <w:insideV w:val="single" w:sz="6" w:space="0" w:color="662D91" w:themeColor="accent4"/>
        </w:tcBorders>
        <w:shd w:val="clear" w:color="auto" w:fill="B485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cPr>
      <w:shd w:val="clear" w:color="auto" w:fill="C0ECEA" w:themeFill="accent5" w:themeFillTint="3F"/>
    </w:tcPr>
    <w:tblStylePr w:type="firstRow">
      <w:rPr>
        <w:b/>
        <w:bCs/>
        <w:color w:val="000000" w:themeColor="text1"/>
      </w:rPr>
      <w:tblPr/>
      <w:tcPr>
        <w:shd w:val="clear" w:color="auto" w:fill="E6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FEE" w:themeFill="accent5" w:themeFillTint="33"/>
      </w:tcPr>
    </w:tblStylePr>
    <w:tblStylePr w:type="band1Vert">
      <w:tblPr/>
      <w:tcPr>
        <w:shd w:val="clear" w:color="auto" w:fill="81D9D5" w:themeFill="accent5" w:themeFillTint="7F"/>
      </w:tcPr>
    </w:tblStylePr>
    <w:tblStylePr w:type="band1Horz">
      <w:tblPr/>
      <w:tcPr>
        <w:tcBorders>
          <w:insideH w:val="single" w:sz="6" w:space="0" w:color="2A8B87" w:themeColor="accent5"/>
          <w:insideV w:val="single" w:sz="6" w:space="0" w:color="2A8B87" w:themeColor="accent5"/>
        </w:tcBorders>
        <w:shd w:val="clear" w:color="auto" w:fill="81D9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cPr>
      <w:shd w:val="clear" w:color="auto" w:fill="D5EDD1" w:themeFill="accent6" w:themeFillTint="3F"/>
    </w:tcPr>
    <w:tblStylePr w:type="firstRow">
      <w:rPr>
        <w:b/>
        <w:bCs/>
        <w:color w:val="000000" w:themeColor="text1"/>
      </w:rPr>
      <w:tblPr/>
      <w:tcPr>
        <w:shd w:val="clear" w:color="auto" w:fill="EE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DA" w:themeFill="accent6" w:themeFillTint="33"/>
      </w:tcPr>
    </w:tblStylePr>
    <w:tblStylePr w:type="band1Vert">
      <w:tblPr/>
      <w:tcPr>
        <w:shd w:val="clear" w:color="auto" w:fill="AADCA3" w:themeFill="accent6" w:themeFillTint="7F"/>
      </w:tcPr>
    </w:tblStylePr>
    <w:tblStylePr w:type="band1Horz">
      <w:tblPr/>
      <w:tcPr>
        <w:tcBorders>
          <w:insideH w:val="single" w:sz="6" w:space="0" w:color="56B948" w:themeColor="accent6"/>
          <w:insideV w:val="single" w:sz="6" w:space="0" w:color="56B948" w:themeColor="accent6"/>
        </w:tcBorders>
        <w:shd w:val="clear" w:color="auto" w:fill="AADC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7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7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C3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C3D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B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2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2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8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8D1"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63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63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A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AFCF"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C2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2D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2D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85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85D9"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C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8B8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8B8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D9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D9D5"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4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4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A3"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9AB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5787A9" w:themeColor="accent1"/>
        <w:bottom w:val="single" w:sz="8" w:space="0" w:color="5787A9" w:themeColor="accent1"/>
      </w:tblBorders>
    </w:tblPr>
    <w:tblStylePr w:type="firstRow">
      <w:rPr>
        <w:rFonts w:asciiTheme="majorHAnsi" w:eastAsiaTheme="majorEastAsia" w:hAnsiTheme="majorHAnsi" w:cstheme="majorBidi"/>
      </w:rPr>
      <w:tblPr/>
      <w:tcPr>
        <w:tcBorders>
          <w:top w:val="nil"/>
          <w:bottom w:val="single" w:sz="8" w:space="0" w:color="5787A9" w:themeColor="accent1"/>
        </w:tcBorders>
      </w:tcPr>
    </w:tblStylePr>
    <w:tblStylePr w:type="lastRow">
      <w:rPr>
        <w:b/>
        <w:bCs/>
        <w:color w:val="579AB0" w:themeColor="text2"/>
      </w:rPr>
      <w:tblPr/>
      <w:tcPr>
        <w:tcBorders>
          <w:top w:val="single" w:sz="8" w:space="0" w:color="5787A9" w:themeColor="accent1"/>
          <w:bottom w:val="single" w:sz="8" w:space="0" w:color="5787A9" w:themeColor="accent1"/>
        </w:tcBorders>
      </w:tcPr>
    </w:tblStylePr>
    <w:tblStylePr w:type="firstCol">
      <w:rPr>
        <w:b/>
        <w:bCs/>
      </w:rPr>
    </w:tblStylePr>
    <w:tblStylePr w:type="lastCol">
      <w:rPr>
        <w:b/>
        <w:bCs/>
      </w:rPr>
      <w:tblPr/>
      <w:tcPr>
        <w:tcBorders>
          <w:top w:val="single" w:sz="8" w:space="0" w:color="5787A9" w:themeColor="accent1"/>
          <w:bottom w:val="single" w:sz="8" w:space="0" w:color="5787A9" w:themeColor="accent1"/>
        </w:tcBorders>
      </w:tcPr>
    </w:tblStylePr>
    <w:tblStylePr w:type="band1Vert">
      <w:tblPr/>
      <w:tcPr>
        <w:shd w:val="clear" w:color="auto" w:fill="D5E1E9" w:themeFill="accent1" w:themeFillTint="3F"/>
      </w:tcPr>
    </w:tblStylePr>
    <w:tblStylePr w:type="band1Horz">
      <w:tblPr/>
      <w:tcPr>
        <w:shd w:val="clear" w:color="auto" w:fill="D5E1E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5572A1" w:themeColor="accent2"/>
        <w:bottom w:val="single" w:sz="8" w:space="0" w:color="5572A1" w:themeColor="accent2"/>
      </w:tblBorders>
    </w:tblPr>
    <w:tblStylePr w:type="firstRow">
      <w:rPr>
        <w:rFonts w:asciiTheme="majorHAnsi" w:eastAsiaTheme="majorEastAsia" w:hAnsiTheme="majorHAnsi" w:cstheme="majorBidi"/>
      </w:rPr>
      <w:tblPr/>
      <w:tcPr>
        <w:tcBorders>
          <w:top w:val="nil"/>
          <w:bottom w:val="single" w:sz="8" w:space="0" w:color="5572A1" w:themeColor="accent2"/>
        </w:tcBorders>
      </w:tcPr>
    </w:tblStylePr>
    <w:tblStylePr w:type="lastRow">
      <w:rPr>
        <w:b/>
        <w:bCs/>
        <w:color w:val="579AB0" w:themeColor="text2"/>
      </w:rPr>
      <w:tblPr/>
      <w:tcPr>
        <w:tcBorders>
          <w:top w:val="single" w:sz="8" w:space="0" w:color="5572A1" w:themeColor="accent2"/>
          <w:bottom w:val="single" w:sz="8" w:space="0" w:color="5572A1" w:themeColor="accent2"/>
        </w:tcBorders>
      </w:tcPr>
    </w:tblStylePr>
    <w:tblStylePr w:type="firstCol">
      <w:rPr>
        <w:b/>
        <w:bCs/>
      </w:rPr>
    </w:tblStylePr>
    <w:tblStylePr w:type="lastCol">
      <w:rPr>
        <w:b/>
        <w:bCs/>
      </w:rPr>
      <w:tblPr/>
      <w:tcPr>
        <w:tcBorders>
          <w:top w:val="single" w:sz="8" w:space="0" w:color="5572A1" w:themeColor="accent2"/>
          <w:bottom w:val="single" w:sz="8" w:space="0" w:color="5572A1" w:themeColor="accent2"/>
        </w:tcBorders>
      </w:tcPr>
    </w:tblStylePr>
    <w:tblStylePr w:type="band1Vert">
      <w:tblPr/>
      <w:tcPr>
        <w:shd w:val="clear" w:color="auto" w:fill="D4DBE8" w:themeFill="accent2" w:themeFillTint="3F"/>
      </w:tcPr>
    </w:tblStylePr>
    <w:tblStylePr w:type="band1Horz">
      <w:tblPr/>
      <w:tcPr>
        <w:shd w:val="clear" w:color="auto" w:fill="D4DB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55639B" w:themeColor="accent3"/>
        <w:bottom w:val="single" w:sz="8" w:space="0" w:color="55639B" w:themeColor="accent3"/>
      </w:tblBorders>
    </w:tblPr>
    <w:tblStylePr w:type="firstRow">
      <w:rPr>
        <w:rFonts w:asciiTheme="majorHAnsi" w:eastAsiaTheme="majorEastAsia" w:hAnsiTheme="majorHAnsi" w:cstheme="majorBidi"/>
      </w:rPr>
      <w:tblPr/>
      <w:tcPr>
        <w:tcBorders>
          <w:top w:val="nil"/>
          <w:bottom w:val="single" w:sz="8" w:space="0" w:color="55639B" w:themeColor="accent3"/>
        </w:tcBorders>
      </w:tcPr>
    </w:tblStylePr>
    <w:tblStylePr w:type="lastRow">
      <w:rPr>
        <w:b/>
        <w:bCs/>
        <w:color w:val="579AB0" w:themeColor="text2"/>
      </w:rPr>
      <w:tblPr/>
      <w:tcPr>
        <w:tcBorders>
          <w:top w:val="single" w:sz="8" w:space="0" w:color="55639B" w:themeColor="accent3"/>
          <w:bottom w:val="single" w:sz="8" w:space="0" w:color="55639B" w:themeColor="accent3"/>
        </w:tcBorders>
      </w:tcPr>
    </w:tblStylePr>
    <w:tblStylePr w:type="firstCol">
      <w:rPr>
        <w:b/>
        <w:bCs/>
      </w:rPr>
    </w:tblStylePr>
    <w:tblStylePr w:type="lastCol">
      <w:rPr>
        <w:b/>
        <w:bCs/>
      </w:rPr>
      <w:tblPr/>
      <w:tcPr>
        <w:tcBorders>
          <w:top w:val="single" w:sz="8" w:space="0" w:color="55639B" w:themeColor="accent3"/>
          <w:bottom w:val="single" w:sz="8" w:space="0" w:color="55639B" w:themeColor="accent3"/>
        </w:tcBorders>
      </w:tcPr>
    </w:tblStylePr>
    <w:tblStylePr w:type="band1Vert">
      <w:tblPr/>
      <w:tcPr>
        <w:shd w:val="clear" w:color="auto" w:fill="D3D7E7" w:themeFill="accent3" w:themeFillTint="3F"/>
      </w:tcPr>
    </w:tblStylePr>
    <w:tblStylePr w:type="band1Horz">
      <w:tblPr/>
      <w:tcPr>
        <w:shd w:val="clear" w:color="auto" w:fill="D3D7E7"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662D91" w:themeColor="accent4"/>
        <w:bottom w:val="single" w:sz="8" w:space="0" w:color="662D91" w:themeColor="accent4"/>
      </w:tblBorders>
    </w:tblPr>
    <w:tblStylePr w:type="firstRow">
      <w:rPr>
        <w:rFonts w:asciiTheme="majorHAnsi" w:eastAsiaTheme="majorEastAsia" w:hAnsiTheme="majorHAnsi" w:cstheme="majorBidi"/>
      </w:rPr>
      <w:tblPr/>
      <w:tcPr>
        <w:tcBorders>
          <w:top w:val="nil"/>
          <w:bottom w:val="single" w:sz="8" w:space="0" w:color="662D91" w:themeColor="accent4"/>
        </w:tcBorders>
      </w:tcPr>
    </w:tblStylePr>
    <w:tblStylePr w:type="lastRow">
      <w:rPr>
        <w:b/>
        <w:bCs/>
        <w:color w:val="579AB0" w:themeColor="text2"/>
      </w:rPr>
      <w:tblPr/>
      <w:tcPr>
        <w:tcBorders>
          <w:top w:val="single" w:sz="8" w:space="0" w:color="662D91" w:themeColor="accent4"/>
          <w:bottom w:val="single" w:sz="8" w:space="0" w:color="662D91" w:themeColor="accent4"/>
        </w:tcBorders>
      </w:tcPr>
    </w:tblStylePr>
    <w:tblStylePr w:type="firstCol">
      <w:rPr>
        <w:b/>
        <w:bCs/>
      </w:rPr>
    </w:tblStylePr>
    <w:tblStylePr w:type="lastCol">
      <w:rPr>
        <w:b/>
        <w:bCs/>
      </w:rPr>
      <w:tblPr/>
      <w:tcPr>
        <w:tcBorders>
          <w:top w:val="single" w:sz="8" w:space="0" w:color="662D91" w:themeColor="accent4"/>
          <w:bottom w:val="single" w:sz="8" w:space="0" w:color="662D91" w:themeColor="accent4"/>
        </w:tcBorders>
      </w:tcPr>
    </w:tblStylePr>
    <w:tblStylePr w:type="band1Vert">
      <w:tblPr/>
      <w:tcPr>
        <w:shd w:val="clear" w:color="auto" w:fill="DAC2EC" w:themeFill="accent4" w:themeFillTint="3F"/>
      </w:tcPr>
    </w:tblStylePr>
    <w:tblStylePr w:type="band1Horz">
      <w:tblPr/>
      <w:tcPr>
        <w:shd w:val="clear" w:color="auto" w:fill="DAC2EC"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2A8B87" w:themeColor="accent5"/>
        <w:bottom w:val="single" w:sz="8" w:space="0" w:color="2A8B87" w:themeColor="accent5"/>
      </w:tblBorders>
    </w:tblPr>
    <w:tblStylePr w:type="firstRow">
      <w:rPr>
        <w:rFonts w:asciiTheme="majorHAnsi" w:eastAsiaTheme="majorEastAsia" w:hAnsiTheme="majorHAnsi" w:cstheme="majorBidi"/>
      </w:rPr>
      <w:tblPr/>
      <w:tcPr>
        <w:tcBorders>
          <w:top w:val="nil"/>
          <w:bottom w:val="single" w:sz="8" w:space="0" w:color="2A8B87" w:themeColor="accent5"/>
        </w:tcBorders>
      </w:tcPr>
    </w:tblStylePr>
    <w:tblStylePr w:type="lastRow">
      <w:rPr>
        <w:b/>
        <w:bCs/>
        <w:color w:val="579AB0" w:themeColor="text2"/>
      </w:rPr>
      <w:tblPr/>
      <w:tcPr>
        <w:tcBorders>
          <w:top w:val="single" w:sz="8" w:space="0" w:color="2A8B87" w:themeColor="accent5"/>
          <w:bottom w:val="single" w:sz="8" w:space="0" w:color="2A8B87" w:themeColor="accent5"/>
        </w:tcBorders>
      </w:tcPr>
    </w:tblStylePr>
    <w:tblStylePr w:type="firstCol">
      <w:rPr>
        <w:b/>
        <w:bCs/>
      </w:rPr>
    </w:tblStylePr>
    <w:tblStylePr w:type="lastCol">
      <w:rPr>
        <w:b/>
        <w:bCs/>
      </w:rPr>
      <w:tblPr/>
      <w:tcPr>
        <w:tcBorders>
          <w:top w:val="single" w:sz="8" w:space="0" w:color="2A8B87" w:themeColor="accent5"/>
          <w:bottom w:val="single" w:sz="8" w:space="0" w:color="2A8B87" w:themeColor="accent5"/>
        </w:tcBorders>
      </w:tcPr>
    </w:tblStylePr>
    <w:tblStylePr w:type="band1Vert">
      <w:tblPr/>
      <w:tcPr>
        <w:shd w:val="clear" w:color="auto" w:fill="C0ECEA" w:themeFill="accent5" w:themeFillTint="3F"/>
      </w:tcPr>
    </w:tblStylePr>
    <w:tblStylePr w:type="band1Horz">
      <w:tblPr/>
      <w:tcPr>
        <w:shd w:val="clear" w:color="auto" w:fill="C0ECEA"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56B948" w:themeColor="accent6"/>
        <w:bottom w:val="single" w:sz="8" w:space="0" w:color="56B948" w:themeColor="accent6"/>
      </w:tblBorders>
    </w:tblPr>
    <w:tblStylePr w:type="firstRow">
      <w:rPr>
        <w:rFonts w:asciiTheme="majorHAnsi" w:eastAsiaTheme="majorEastAsia" w:hAnsiTheme="majorHAnsi" w:cstheme="majorBidi"/>
      </w:rPr>
      <w:tblPr/>
      <w:tcPr>
        <w:tcBorders>
          <w:top w:val="nil"/>
          <w:bottom w:val="single" w:sz="8" w:space="0" w:color="56B948" w:themeColor="accent6"/>
        </w:tcBorders>
      </w:tcPr>
    </w:tblStylePr>
    <w:tblStylePr w:type="lastRow">
      <w:rPr>
        <w:b/>
        <w:bCs/>
        <w:color w:val="579AB0" w:themeColor="text2"/>
      </w:rPr>
      <w:tblPr/>
      <w:tcPr>
        <w:tcBorders>
          <w:top w:val="single" w:sz="8" w:space="0" w:color="56B948" w:themeColor="accent6"/>
          <w:bottom w:val="single" w:sz="8" w:space="0" w:color="56B948" w:themeColor="accent6"/>
        </w:tcBorders>
      </w:tcPr>
    </w:tblStylePr>
    <w:tblStylePr w:type="firstCol">
      <w:rPr>
        <w:b/>
        <w:bCs/>
      </w:rPr>
    </w:tblStylePr>
    <w:tblStylePr w:type="lastCol">
      <w:rPr>
        <w:b/>
        <w:bCs/>
      </w:rPr>
      <w:tblPr/>
      <w:tcPr>
        <w:tcBorders>
          <w:top w:val="single" w:sz="8" w:space="0" w:color="56B948" w:themeColor="accent6"/>
          <w:bottom w:val="single" w:sz="8" w:space="0" w:color="56B948" w:themeColor="accent6"/>
        </w:tcBorders>
      </w:tcPr>
    </w:tblStylePr>
    <w:tblStylePr w:type="band1Vert">
      <w:tblPr/>
      <w:tcPr>
        <w:shd w:val="clear" w:color="auto" w:fill="D5EDD1" w:themeFill="accent6" w:themeFillTint="3F"/>
      </w:tcPr>
    </w:tblStylePr>
    <w:tblStylePr w:type="band1Horz">
      <w:tblPr/>
      <w:tcPr>
        <w:shd w:val="clear" w:color="auto" w:fill="D5ED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rPr>
        <w:sz w:val="24"/>
        <w:szCs w:val="24"/>
      </w:rPr>
      <w:tblPr/>
      <w:tcPr>
        <w:tcBorders>
          <w:top w:val="nil"/>
          <w:left w:val="nil"/>
          <w:bottom w:val="single" w:sz="24" w:space="0" w:color="5787A9" w:themeColor="accent1"/>
          <w:right w:val="nil"/>
          <w:insideH w:val="nil"/>
          <w:insideV w:val="nil"/>
        </w:tcBorders>
        <w:shd w:val="clear" w:color="auto" w:fill="FFFFFF" w:themeFill="background1"/>
      </w:tcPr>
    </w:tblStylePr>
    <w:tblStylePr w:type="lastRow">
      <w:tblPr/>
      <w:tcPr>
        <w:tcBorders>
          <w:top w:val="single" w:sz="8" w:space="0" w:color="5787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7A9" w:themeColor="accent1"/>
          <w:insideH w:val="nil"/>
          <w:insideV w:val="nil"/>
        </w:tcBorders>
        <w:shd w:val="clear" w:color="auto" w:fill="FFFFFF" w:themeFill="background1"/>
      </w:tcPr>
    </w:tblStylePr>
    <w:tblStylePr w:type="lastCol">
      <w:tblPr/>
      <w:tcPr>
        <w:tcBorders>
          <w:top w:val="nil"/>
          <w:left w:val="single" w:sz="8" w:space="0" w:color="5787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top w:val="nil"/>
          <w:bottom w:val="nil"/>
          <w:insideH w:val="nil"/>
          <w:insideV w:val="nil"/>
        </w:tcBorders>
        <w:shd w:val="clear" w:color="auto" w:fill="D5E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rPr>
        <w:sz w:val="24"/>
        <w:szCs w:val="24"/>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tblPr/>
      <w:tcPr>
        <w:tcBorders>
          <w:top w:val="single" w:sz="8" w:space="0" w:color="5572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2A1" w:themeColor="accent2"/>
          <w:insideH w:val="nil"/>
          <w:insideV w:val="nil"/>
        </w:tcBorders>
        <w:shd w:val="clear" w:color="auto" w:fill="FFFFFF" w:themeFill="background1"/>
      </w:tcPr>
    </w:tblStylePr>
    <w:tblStylePr w:type="lastCol">
      <w:tblPr/>
      <w:tcPr>
        <w:tcBorders>
          <w:top w:val="nil"/>
          <w:left w:val="single" w:sz="8" w:space="0" w:color="5572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top w:val="nil"/>
          <w:bottom w:val="nil"/>
          <w:insideH w:val="nil"/>
          <w:insideV w:val="nil"/>
        </w:tcBorders>
        <w:shd w:val="clear" w:color="auto" w:fill="D4DB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rPr>
        <w:sz w:val="24"/>
        <w:szCs w:val="24"/>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tblPr/>
      <w:tcPr>
        <w:tcBorders>
          <w:top w:val="single" w:sz="8" w:space="0" w:color="5563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639B" w:themeColor="accent3"/>
          <w:insideH w:val="nil"/>
          <w:insideV w:val="nil"/>
        </w:tcBorders>
        <w:shd w:val="clear" w:color="auto" w:fill="FFFFFF" w:themeFill="background1"/>
      </w:tcPr>
    </w:tblStylePr>
    <w:tblStylePr w:type="lastCol">
      <w:tblPr/>
      <w:tcPr>
        <w:tcBorders>
          <w:top w:val="nil"/>
          <w:left w:val="single" w:sz="8" w:space="0" w:color="5563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top w:val="nil"/>
          <w:bottom w:val="nil"/>
          <w:insideH w:val="nil"/>
          <w:insideV w:val="nil"/>
        </w:tcBorders>
        <w:shd w:val="clear" w:color="auto" w:fill="D3D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rPr>
        <w:sz w:val="24"/>
        <w:szCs w:val="24"/>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tblPr/>
      <w:tcPr>
        <w:tcBorders>
          <w:top w:val="single" w:sz="8" w:space="0" w:color="662D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2D91" w:themeColor="accent4"/>
          <w:insideH w:val="nil"/>
          <w:insideV w:val="nil"/>
        </w:tcBorders>
        <w:shd w:val="clear" w:color="auto" w:fill="FFFFFF" w:themeFill="background1"/>
      </w:tcPr>
    </w:tblStylePr>
    <w:tblStylePr w:type="lastCol">
      <w:tblPr/>
      <w:tcPr>
        <w:tcBorders>
          <w:top w:val="nil"/>
          <w:left w:val="single" w:sz="8" w:space="0" w:color="662D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top w:val="nil"/>
          <w:bottom w:val="nil"/>
          <w:insideH w:val="nil"/>
          <w:insideV w:val="nil"/>
        </w:tcBorders>
        <w:shd w:val="clear" w:color="auto" w:fill="DAC2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rPr>
        <w:sz w:val="24"/>
        <w:szCs w:val="24"/>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tblPr/>
      <w:tcPr>
        <w:tcBorders>
          <w:top w:val="single" w:sz="8" w:space="0" w:color="2A8B8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8B87" w:themeColor="accent5"/>
          <w:insideH w:val="nil"/>
          <w:insideV w:val="nil"/>
        </w:tcBorders>
        <w:shd w:val="clear" w:color="auto" w:fill="FFFFFF" w:themeFill="background1"/>
      </w:tcPr>
    </w:tblStylePr>
    <w:tblStylePr w:type="lastCol">
      <w:tblPr/>
      <w:tcPr>
        <w:tcBorders>
          <w:top w:val="nil"/>
          <w:left w:val="single" w:sz="8" w:space="0" w:color="2A8B8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top w:val="nil"/>
          <w:bottom w:val="nil"/>
          <w:insideH w:val="nil"/>
          <w:insideV w:val="nil"/>
        </w:tcBorders>
        <w:shd w:val="clear" w:color="auto" w:fill="C0EC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rPr>
        <w:sz w:val="24"/>
        <w:szCs w:val="24"/>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tblPr/>
      <w:tcPr>
        <w:tcBorders>
          <w:top w:val="single" w:sz="8" w:space="0" w:color="56B94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48" w:themeColor="accent6"/>
          <w:insideH w:val="nil"/>
          <w:insideV w:val="nil"/>
        </w:tcBorders>
        <w:shd w:val="clear" w:color="auto" w:fill="FFFFFF" w:themeFill="background1"/>
      </w:tcPr>
    </w:tblStylePr>
    <w:tblStylePr w:type="lastCol">
      <w:tblPr/>
      <w:tcPr>
        <w:tcBorders>
          <w:top w:val="nil"/>
          <w:left w:val="single" w:sz="8" w:space="0" w:color="56B94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top w:val="nil"/>
          <w:bottom w:val="nil"/>
          <w:insideH w:val="nil"/>
          <w:insideV w:val="nil"/>
        </w:tcBorders>
        <w:shd w:val="clear" w:color="auto" w:fill="D5ED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tblBorders>
    </w:tblPr>
    <w:tblStylePr w:type="firstRow">
      <w:pPr>
        <w:spacing w:before="0" w:after="0" w:line="240" w:lineRule="auto"/>
      </w:pPr>
      <w:rPr>
        <w:b/>
        <w:bCs/>
        <w:color w:val="FFFFFF" w:themeColor="background1"/>
      </w:rPr>
      <w:tblPr/>
      <w:tcPr>
        <w:tc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shd w:val="clear" w:color="auto" w:fill="5787A9" w:themeFill="accent1"/>
      </w:tcPr>
    </w:tblStylePr>
    <w:tblStylePr w:type="lastRow">
      <w:pPr>
        <w:spacing w:before="0" w:after="0" w:line="240" w:lineRule="auto"/>
      </w:pPr>
      <w:rPr>
        <w:b/>
        <w:bCs/>
      </w:rPr>
      <w:tblPr/>
      <w:tcPr>
        <w:tcBorders>
          <w:top w:val="double" w:sz="6"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1E9" w:themeFill="accent1" w:themeFillTint="3F"/>
      </w:tcPr>
    </w:tblStylePr>
    <w:tblStylePr w:type="band1Horz">
      <w:tblPr/>
      <w:tcPr>
        <w:tcBorders>
          <w:insideH w:val="nil"/>
          <w:insideV w:val="nil"/>
        </w:tcBorders>
        <w:shd w:val="clear" w:color="auto" w:fill="D5E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tblBorders>
    </w:tblPr>
    <w:tblStylePr w:type="firstRow">
      <w:pPr>
        <w:spacing w:before="0" w:after="0" w:line="240" w:lineRule="auto"/>
      </w:pPr>
      <w:rPr>
        <w:b/>
        <w:bCs/>
        <w:color w:val="FFFFFF" w:themeColor="background1"/>
      </w:rPr>
      <w:tblPr/>
      <w:tcPr>
        <w:tc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shd w:val="clear" w:color="auto" w:fill="5572A1" w:themeFill="accent2"/>
      </w:tcPr>
    </w:tblStylePr>
    <w:tblStylePr w:type="lastRow">
      <w:pPr>
        <w:spacing w:before="0" w:after="0" w:line="240" w:lineRule="auto"/>
      </w:pPr>
      <w:rPr>
        <w:b/>
        <w:bCs/>
      </w:rPr>
      <w:tblPr/>
      <w:tcPr>
        <w:tcBorders>
          <w:top w:val="double" w:sz="6"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DBE8" w:themeFill="accent2" w:themeFillTint="3F"/>
      </w:tcPr>
    </w:tblStylePr>
    <w:tblStylePr w:type="band1Horz">
      <w:tblPr/>
      <w:tcPr>
        <w:tcBorders>
          <w:insideH w:val="nil"/>
          <w:insideV w:val="nil"/>
        </w:tcBorders>
        <w:shd w:val="clear" w:color="auto" w:fill="D4DB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tblBorders>
    </w:tblPr>
    <w:tblStylePr w:type="firstRow">
      <w:pPr>
        <w:spacing w:before="0" w:after="0" w:line="240" w:lineRule="auto"/>
      </w:pPr>
      <w:rPr>
        <w:b/>
        <w:bCs/>
        <w:color w:val="FFFFFF" w:themeColor="background1"/>
      </w:rPr>
      <w:tblPr/>
      <w:tcPr>
        <w:tc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shd w:val="clear" w:color="auto" w:fill="55639B" w:themeFill="accent3"/>
      </w:tcPr>
    </w:tblStylePr>
    <w:tblStylePr w:type="lastRow">
      <w:pPr>
        <w:spacing w:before="0" w:after="0" w:line="240" w:lineRule="auto"/>
      </w:pPr>
      <w:rPr>
        <w:b/>
        <w:bCs/>
      </w:rPr>
      <w:tblPr/>
      <w:tcPr>
        <w:tcBorders>
          <w:top w:val="double" w:sz="6"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7" w:themeFill="accent3" w:themeFillTint="3F"/>
      </w:tcPr>
    </w:tblStylePr>
    <w:tblStylePr w:type="band1Horz">
      <w:tblPr/>
      <w:tcPr>
        <w:tcBorders>
          <w:insideH w:val="nil"/>
          <w:insideV w:val="nil"/>
        </w:tcBorders>
        <w:shd w:val="clear" w:color="auto" w:fill="D3D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tblBorders>
    </w:tblPr>
    <w:tblStylePr w:type="firstRow">
      <w:pPr>
        <w:spacing w:before="0" w:after="0" w:line="240" w:lineRule="auto"/>
      </w:pPr>
      <w:rPr>
        <w:b/>
        <w:bCs/>
        <w:color w:val="FFFFFF" w:themeColor="background1"/>
      </w:rPr>
      <w:tblPr/>
      <w:tcPr>
        <w:tc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shd w:val="clear" w:color="auto" w:fill="662D91" w:themeFill="accent4"/>
      </w:tcPr>
    </w:tblStylePr>
    <w:tblStylePr w:type="lastRow">
      <w:pPr>
        <w:spacing w:before="0" w:after="0" w:line="240" w:lineRule="auto"/>
      </w:pPr>
      <w:rPr>
        <w:b/>
        <w:bCs/>
      </w:rPr>
      <w:tblPr/>
      <w:tcPr>
        <w:tcBorders>
          <w:top w:val="double" w:sz="6"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C2EC" w:themeFill="accent4" w:themeFillTint="3F"/>
      </w:tcPr>
    </w:tblStylePr>
    <w:tblStylePr w:type="band1Horz">
      <w:tblPr/>
      <w:tcPr>
        <w:tcBorders>
          <w:insideH w:val="nil"/>
          <w:insideV w:val="nil"/>
        </w:tcBorders>
        <w:shd w:val="clear" w:color="auto" w:fill="DAC2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tblBorders>
    </w:tblPr>
    <w:tblStylePr w:type="firstRow">
      <w:pPr>
        <w:spacing w:before="0" w:after="0" w:line="240" w:lineRule="auto"/>
      </w:pPr>
      <w:rPr>
        <w:b/>
        <w:bCs/>
        <w:color w:val="FFFFFF" w:themeColor="background1"/>
      </w:rPr>
      <w:tblPr/>
      <w:tcPr>
        <w:tc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shd w:val="clear" w:color="auto" w:fill="2A8B87" w:themeFill="accent5"/>
      </w:tcPr>
    </w:tblStylePr>
    <w:tblStylePr w:type="lastRow">
      <w:pPr>
        <w:spacing w:before="0" w:after="0" w:line="240" w:lineRule="auto"/>
      </w:pPr>
      <w:rPr>
        <w:b/>
        <w:bCs/>
      </w:rPr>
      <w:tblPr/>
      <w:tcPr>
        <w:tcBorders>
          <w:top w:val="double" w:sz="6"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CEA" w:themeFill="accent5" w:themeFillTint="3F"/>
      </w:tcPr>
    </w:tblStylePr>
    <w:tblStylePr w:type="band1Horz">
      <w:tblPr/>
      <w:tcPr>
        <w:tcBorders>
          <w:insideH w:val="nil"/>
          <w:insideV w:val="nil"/>
        </w:tcBorders>
        <w:shd w:val="clear" w:color="auto" w:fill="C0EC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tblBorders>
    </w:tblPr>
    <w:tblStylePr w:type="firstRow">
      <w:pPr>
        <w:spacing w:before="0" w:after="0" w:line="240" w:lineRule="auto"/>
      </w:pPr>
      <w:rPr>
        <w:b/>
        <w:bCs/>
        <w:color w:val="FFFFFF" w:themeColor="background1"/>
      </w:rPr>
      <w:tblPr/>
      <w:tcPr>
        <w:tc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shd w:val="clear" w:color="auto" w:fill="56B948" w:themeFill="accent6"/>
      </w:tcPr>
    </w:tblStylePr>
    <w:tblStylePr w:type="lastRow">
      <w:pPr>
        <w:spacing w:before="0" w:after="0" w:line="240" w:lineRule="auto"/>
      </w:pPr>
      <w:rPr>
        <w:b/>
        <w:bCs/>
      </w:rPr>
      <w:tblPr/>
      <w:tcPr>
        <w:tcBorders>
          <w:top w:val="double" w:sz="6"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EDD1" w:themeFill="accent6" w:themeFillTint="3F"/>
      </w:tcPr>
    </w:tblStylePr>
    <w:tblStylePr w:type="band1Horz">
      <w:tblPr/>
      <w:tcPr>
        <w:tcBorders>
          <w:insideH w:val="nil"/>
          <w:insideV w:val="nil"/>
        </w:tcBorders>
        <w:shd w:val="clear" w:color="auto" w:fill="D5ED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7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7A9" w:themeFill="accent1"/>
      </w:tcPr>
    </w:tblStylePr>
    <w:tblStylePr w:type="lastCol">
      <w:rPr>
        <w:b/>
        <w:bCs/>
        <w:color w:val="FFFFFF" w:themeColor="background1"/>
      </w:rPr>
      <w:tblPr/>
      <w:tcPr>
        <w:tcBorders>
          <w:left w:val="nil"/>
          <w:right w:val="nil"/>
          <w:insideH w:val="nil"/>
          <w:insideV w:val="nil"/>
        </w:tcBorders>
        <w:shd w:val="clear" w:color="auto" w:fill="5787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2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72A1" w:themeFill="accent2"/>
      </w:tcPr>
    </w:tblStylePr>
    <w:tblStylePr w:type="lastCol">
      <w:rPr>
        <w:b/>
        <w:bCs/>
        <w:color w:val="FFFFFF" w:themeColor="background1"/>
      </w:rPr>
      <w:tblPr/>
      <w:tcPr>
        <w:tcBorders>
          <w:left w:val="nil"/>
          <w:right w:val="nil"/>
          <w:insideH w:val="nil"/>
          <w:insideV w:val="nil"/>
        </w:tcBorders>
        <w:shd w:val="clear" w:color="auto" w:fill="5572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63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639B" w:themeFill="accent3"/>
      </w:tcPr>
    </w:tblStylePr>
    <w:tblStylePr w:type="lastCol">
      <w:rPr>
        <w:b/>
        <w:bCs/>
        <w:color w:val="FFFFFF" w:themeColor="background1"/>
      </w:rPr>
      <w:tblPr/>
      <w:tcPr>
        <w:tcBorders>
          <w:left w:val="nil"/>
          <w:right w:val="nil"/>
          <w:insideH w:val="nil"/>
          <w:insideV w:val="nil"/>
        </w:tcBorders>
        <w:shd w:val="clear" w:color="auto" w:fill="5563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2D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2D91" w:themeFill="accent4"/>
      </w:tcPr>
    </w:tblStylePr>
    <w:tblStylePr w:type="lastCol">
      <w:rPr>
        <w:b/>
        <w:bCs/>
        <w:color w:val="FFFFFF" w:themeColor="background1"/>
      </w:rPr>
      <w:tblPr/>
      <w:tcPr>
        <w:tcBorders>
          <w:left w:val="nil"/>
          <w:right w:val="nil"/>
          <w:insideH w:val="nil"/>
          <w:insideV w:val="nil"/>
        </w:tcBorders>
        <w:shd w:val="clear" w:color="auto" w:fill="662D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B8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8B87" w:themeFill="accent5"/>
      </w:tcPr>
    </w:tblStylePr>
    <w:tblStylePr w:type="lastCol">
      <w:rPr>
        <w:b/>
        <w:bCs/>
        <w:color w:val="FFFFFF" w:themeColor="background1"/>
      </w:rPr>
      <w:tblPr/>
      <w:tcPr>
        <w:tcBorders>
          <w:left w:val="nil"/>
          <w:right w:val="nil"/>
          <w:insideH w:val="nil"/>
          <w:insideV w:val="nil"/>
        </w:tcBorders>
        <w:shd w:val="clear" w:color="auto" w:fill="2A8B8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4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B948" w:themeFill="accent6"/>
      </w:tcPr>
    </w:tblStylePr>
    <w:tblStylePr w:type="lastCol">
      <w:rPr>
        <w:b/>
        <w:bCs/>
        <w:color w:val="FFFFFF" w:themeColor="background1"/>
      </w:rPr>
      <w:tblPr/>
      <w:tcPr>
        <w:tcBorders>
          <w:left w:val="nil"/>
          <w:right w:val="nil"/>
          <w:insideH w:val="nil"/>
          <w:insideV w:val="nil"/>
        </w:tcBorders>
        <w:shd w:val="clear" w:color="auto" w:fill="56B94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unhideWhenUsed/>
    <w:pPr>
      <w:spacing w:after="0" w:line="240" w:lineRule="auto"/>
    </w:pPr>
    <w:rPr>
      <w:rFonts w:ascii="Consolas" w:hAnsi="Consolas" w:cs="Consolas"/>
    </w:rPr>
  </w:style>
  <w:style w:type="character" w:customStyle="1" w:styleId="PlainTextChar">
    <w:name w:val="Plain Text Char"/>
    <w:basedOn w:val="DefaultParagraphFont"/>
    <w:link w:val="PlainText"/>
    <w:uiPriority w:val="99"/>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pPr>
      <w:numPr>
        <w:ilvl w:val="1"/>
      </w:numPr>
      <w:ind w:left="432" w:right="1080"/>
    </w:pPr>
    <w:rPr>
      <w:rFonts w:asciiTheme="majorHAnsi" w:eastAsiaTheme="majorEastAsia" w:hAnsiTheme="majorHAnsi" w:cstheme="majorBidi"/>
      <w:caps/>
      <w:color w:val="5787A9"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5787A9"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572A1"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rsid w:val="00AF4E14"/>
    <w:pPr>
      <w:pBdr>
        <w:top w:val="single" w:sz="4" w:space="16" w:color="CED2D7" w:themeColor="background2" w:themeShade="E6"/>
        <w:left w:val="single" w:sz="4" w:space="20" w:color="CED2D7" w:themeColor="background2" w:themeShade="E6"/>
        <w:bottom w:val="single" w:sz="4" w:space="16" w:color="CED2D7" w:themeColor="background2" w:themeShade="E6"/>
        <w:right w:val="single" w:sz="4" w:space="20" w:color="CED2D7" w:themeColor="background2" w:themeShade="E6"/>
      </w:pBdr>
      <w:shd w:val="clear" w:color="auto" w:fill="CED2D7" w:themeFill="background2" w:themeFillShade="E6"/>
      <w:spacing w:before="3000" w:line="204" w:lineRule="auto"/>
      <w:ind w:left="431" w:right="431"/>
      <w:jc w:val="right"/>
    </w:pPr>
    <w:rPr>
      <w:rFonts w:ascii="Calibri Light" w:eastAsiaTheme="majorEastAsia" w:hAnsi="Calibri Light" w:cstheme="majorBidi"/>
      <w:caps/>
      <w:color w:val="6A7580" w:themeColor="background2" w:themeShade="80"/>
      <w:kern w:val="28"/>
      <w:sz w:val="64"/>
      <w:szCs w:val="64"/>
      <w14:ligatures w14:val="standardContextual"/>
    </w:rPr>
  </w:style>
  <w:style w:type="character" w:customStyle="1" w:styleId="TitleChar">
    <w:name w:val="Title Char"/>
    <w:basedOn w:val="DefaultParagraphFont"/>
    <w:link w:val="Title"/>
    <w:uiPriority w:val="19"/>
    <w:rsid w:val="00AF4E14"/>
    <w:rPr>
      <w:rFonts w:ascii="Calibri Light" w:eastAsiaTheme="majorEastAsia" w:hAnsi="Calibri Light" w:cstheme="majorBidi"/>
      <w:caps/>
      <w:color w:val="6A7580" w:themeColor="background2" w:themeShade="80"/>
      <w:kern w:val="28"/>
      <w:sz w:val="64"/>
      <w:szCs w:val="64"/>
      <w:shd w:val="clear" w:color="auto" w:fill="CED2D7" w:themeFill="background2" w:themeFillShade="E6"/>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935B7E"/>
    <w:pPr>
      <w:tabs>
        <w:tab w:val="right" w:leader="underscore" w:pos="9090"/>
      </w:tabs>
      <w:spacing w:after="100"/>
    </w:pPr>
    <w:rPr>
      <w:noProof/>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next w:val="Normal"/>
    <w:uiPriority w:val="39"/>
    <w:unhideWhenUsed/>
    <w:qFormat/>
    <w:rsid w:val="007B6964"/>
    <w:rPr>
      <w:color w:val="000000" w:themeColor="text1"/>
      <w:kern w:val="20"/>
      <w:sz w:val="36"/>
    </w:rPr>
  </w:style>
  <w:style w:type="character" w:customStyle="1" w:styleId="NoSpacingChar">
    <w:name w:val="No Spacing Char"/>
    <w:basedOn w:val="DefaultParagraphFont"/>
    <w:link w:val="NoSpacing"/>
    <w:uiPriority w:val="1"/>
  </w:style>
  <w:style w:type="paragraph" w:customStyle="1" w:styleId="TableHeading">
    <w:name w:val="Table Heading"/>
    <w:basedOn w:val="Heading1"/>
    <w:uiPriority w:val="10"/>
    <w:rsid w:val="004856F6"/>
    <w:pPr>
      <w:pBdr>
        <w:top w:val="single" w:sz="4" w:space="1" w:color="5787A9" w:themeColor="accent1"/>
        <w:left w:val="single" w:sz="4" w:space="6" w:color="5787A9" w:themeColor="accent1"/>
        <w:bottom w:val="single" w:sz="4" w:space="2" w:color="5787A9" w:themeColor="accent1"/>
        <w:right w:val="single" w:sz="4" w:space="6" w:color="5787A9" w:themeColor="accent1"/>
      </w:pBdr>
      <w:shd w:val="clear" w:color="auto" w:fill="5787A9" w:themeFill="accent1"/>
      <w:spacing w:before="160"/>
      <w:ind w:left="144" w:right="144"/>
    </w:pPr>
    <w:rPr>
      <w:rFonts w:asciiTheme="majorHAnsi" w:eastAsiaTheme="majorEastAsia" w:hAnsiTheme="majorHAnsi"/>
      <w:caps/>
      <w:color w:val="FFFFFF" w:themeColor="background1" w:themeTint="D9"/>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87A9"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5"/>
      </w:numPr>
    </w:pPr>
  </w:style>
  <w:style w:type="paragraph" w:customStyle="1" w:styleId="Abstract">
    <w:name w:val="Abstract"/>
    <w:basedOn w:val="Normal"/>
    <w:uiPriority w:val="20"/>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white">
    <w:name w:val="Table white"/>
    <w:uiPriority w:val="10"/>
    <w:qFormat/>
    <w:rsid w:val="002B3A49"/>
    <w:pPr>
      <w:spacing w:after="40" w:line="240" w:lineRule="auto"/>
      <w:ind w:left="144" w:right="144"/>
    </w:pPr>
    <w:rPr>
      <w:rFonts w:asciiTheme="majorHAnsi" w:eastAsiaTheme="majorEastAsia" w:hAnsiTheme="majorHAnsi" w:cstheme="majorBidi"/>
      <w:caps/>
      <w:color w:val="FFFFFF" w:themeColor="background1"/>
      <w:kern w:val="20"/>
      <w:sz w:val="24"/>
    </w:rPr>
  </w:style>
  <w:style w:type="paragraph" w:customStyle="1" w:styleId="Headergreen">
    <w:name w:val="Header green"/>
    <w:uiPriority w:val="99"/>
    <w:rsid w:val="00FA429A"/>
    <w:pPr>
      <w:pBdr>
        <w:top w:val="single" w:sz="2" w:space="6" w:color="5787A9" w:themeColor="accent1"/>
        <w:left w:val="single" w:sz="2" w:space="20" w:color="5787A9" w:themeColor="accent1"/>
        <w:bottom w:val="single" w:sz="2" w:space="6" w:color="5787A9" w:themeColor="accent1"/>
        <w:right w:val="single" w:sz="2" w:space="20" w:color="5787A9" w:themeColor="accent1"/>
      </w:pBdr>
      <w:shd w:val="clear" w:color="auto" w:fill="5787A9" w:themeFill="accent1"/>
      <w:spacing w:before="0" w:after="240" w:line="240" w:lineRule="auto"/>
      <w:jc w:val="right"/>
    </w:pPr>
    <w:rPr>
      <w:rFonts w:asciiTheme="majorHAnsi" w:eastAsiaTheme="majorEastAsia" w:hAnsiTheme="majorHAnsi" w:cstheme="majorBidi"/>
      <w:caps/>
      <w:color w:val="FFFFFF" w:themeColor="background1"/>
      <w:kern w:val="20"/>
    </w:rPr>
  </w:style>
  <w:style w:type="paragraph" w:customStyle="1" w:styleId="BasicParagraph">
    <w:name w:val="[Basic Paragraph]"/>
    <w:basedOn w:val="Normal"/>
    <w:uiPriority w:val="99"/>
    <w:rsid w:val="002B3A49"/>
    <w:pPr>
      <w:autoSpaceDE w:val="0"/>
      <w:autoSpaceDN w:val="0"/>
      <w:adjustRightInd w:val="0"/>
      <w:spacing w:after="0"/>
      <w:textAlignment w:val="center"/>
    </w:pPr>
    <w:rPr>
      <w:rFonts w:ascii="Minion Pro" w:hAnsi="Minion Pro" w:cs="Minion Pro"/>
      <w:color w:val="000000"/>
      <w:kern w:val="0"/>
      <w:sz w:val="24"/>
      <w:szCs w:val="24"/>
    </w:rPr>
  </w:style>
  <w:style w:type="paragraph" w:customStyle="1" w:styleId="Documenttitle">
    <w:name w:val="Document title"/>
    <w:basedOn w:val="Normal"/>
    <w:link w:val="DocumenttitleChar"/>
    <w:qFormat/>
    <w:rsid w:val="005E383F"/>
    <w:pPr>
      <w:jc w:val="center"/>
    </w:pPr>
    <w:rPr>
      <w:rFonts w:ascii="Microsoft YaHei UI" w:eastAsia="Microsoft YaHei UI" w:hAnsi="Microsoft YaHei UI"/>
      <w:color w:val="FFFFFF" w:themeColor="background1"/>
      <w:sz w:val="56"/>
      <w:szCs w:val="56"/>
    </w:rPr>
  </w:style>
  <w:style w:type="character" w:customStyle="1" w:styleId="DocumenttitleChar">
    <w:name w:val="Document title Char"/>
    <w:basedOn w:val="DefaultParagraphFont"/>
    <w:link w:val="Documenttitle"/>
    <w:rsid w:val="005E383F"/>
    <w:rPr>
      <w:rFonts w:ascii="Microsoft YaHei UI" w:eastAsia="Microsoft YaHei UI" w:hAnsi="Microsoft YaHei UI" w:cs="Microsoft New Tai Lue"/>
      <w:color w:val="FFFFFF" w:themeColor="background1"/>
      <w:kern w:val="20"/>
      <w:sz w:val="56"/>
      <w:szCs w:val="56"/>
      <w:lang w:val="en-GB"/>
    </w:rPr>
  </w:style>
  <w:style w:type="table" w:styleId="ListTable3-Accent2">
    <w:name w:val="List Table 3 Accent 2"/>
    <w:basedOn w:val="TableNormal"/>
    <w:uiPriority w:val="48"/>
    <w:rsid w:val="003838CF"/>
    <w:pPr>
      <w:spacing w:after="0" w:line="240" w:lineRule="auto"/>
    </w:pPr>
    <w:tblPr>
      <w:tblStyleRowBandSize w:val="1"/>
      <w:tblStyleColBandSize w:val="1"/>
      <w:tblBorders>
        <w:top w:val="single" w:sz="4" w:space="0" w:color="5572A1" w:themeColor="accent2"/>
        <w:left w:val="single" w:sz="4" w:space="0" w:color="5572A1" w:themeColor="accent2"/>
        <w:bottom w:val="single" w:sz="4" w:space="0" w:color="5572A1" w:themeColor="accent2"/>
        <w:right w:val="single" w:sz="4" w:space="0" w:color="5572A1" w:themeColor="accent2"/>
      </w:tblBorders>
    </w:tblPr>
    <w:tblStylePr w:type="firstRow">
      <w:rPr>
        <w:b/>
        <w:bCs/>
        <w:color w:val="FFFFFF" w:themeColor="background1"/>
      </w:rPr>
      <w:tblPr/>
      <w:tcPr>
        <w:shd w:val="clear" w:color="auto" w:fill="5572A1" w:themeFill="accent2"/>
      </w:tcPr>
    </w:tblStylePr>
    <w:tblStylePr w:type="lastRow">
      <w:rPr>
        <w:b/>
        <w:bCs/>
      </w:rPr>
      <w:tblPr/>
      <w:tcPr>
        <w:tcBorders>
          <w:top w:val="double" w:sz="4" w:space="0" w:color="5572A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72A1" w:themeColor="accent2"/>
          <w:right w:val="single" w:sz="4" w:space="0" w:color="5572A1" w:themeColor="accent2"/>
        </w:tcBorders>
      </w:tcPr>
    </w:tblStylePr>
    <w:tblStylePr w:type="band1Horz">
      <w:tblPr/>
      <w:tcPr>
        <w:tcBorders>
          <w:top w:val="single" w:sz="4" w:space="0" w:color="5572A1" w:themeColor="accent2"/>
          <w:bottom w:val="single" w:sz="4" w:space="0" w:color="5572A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72A1" w:themeColor="accent2"/>
          <w:left w:val="nil"/>
        </w:tcBorders>
      </w:tcPr>
    </w:tblStylePr>
    <w:tblStylePr w:type="swCell">
      <w:tblPr/>
      <w:tcPr>
        <w:tcBorders>
          <w:top w:val="double" w:sz="4" w:space="0" w:color="5572A1" w:themeColor="accent2"/>
          <w:right w:val="nil"/>
        </w:tcBorders>
      </w:tcPr>
    </w:tblStylePr>
  </w:style>
  <w:style w:type="character" w:customStyle="1" w:styleId="ListParagraphChar">
    <w:name w:val="List Paragraph Char"/>
    <w:aliases w:val="1 heading Char,Bullet point Char,Dot point 1.5 line spacing Char,L Char,List Paragraph - bullets Char,List Paragraph1 Char,List Paragraph11 Char,NFP GP Bulleted List Char,Recommendation Char,bullet point list Char,FooterText Char"/>
    <w:basedOn w:val="DefaultParagraphFont"/>
    <w:link w:val="ListParagraph"/>
    <w:uiPriority w:val="34"/>
    <w:rsid w:val="00BC0992"/>
    <w:rPr>
      <w:rFonts w:ascii="Microsoft New Tai Lue" w:hAnsi="Microsoft New Tai Lue" w:cs="Microsoft New Tai Lue"/>
      <w:kern w:val="20"/>
      <w:sz w:val="21"/>
      <w:szCs w:val="21"/>
      <w:lang w:val="en-GB"/>
    </w:rPr>
  </w:style>
  <w:style w:type="paragraph" w:styleId="Revision">
    <w:name w:val="Revision"/>
    <w:hidden/>
    <w:uiPriority w:val="99"/>
    <w:semiHidden/>
    <w:rsid w:val="00AD6107"/>
    <w:pPr>
      <w:spacing w:before="0" w:after="0" w:line="240" w:lineRule="auto"/>
    </w:pPr>
    <w:rPr>
      <w:rFonts w:ascii="Microsoft New Tai Lue" w:hAnsi="Microsoft New Tai Lue" w:cs="Microsoft New Tai Lue"/>
      <w:color w:val="auto"/>
      <w:kern w:val="20"/>
      <w:sz w:val="21"/>
      <w:szCs w:val="21"/>
      <w:lang w:val="en-GB"/>
    </w:rPr>
  </w:style>
  <w:style w:type="paragraph" w:customStyle="1" w:styleId="Default">
    <w:name w:val="Default"/>
    <w:rsid w:val="00E46A74"/>
    <w:pPr>
      <w:autoSpaceDE w:val="0"/>
      <w:autoSpaceDN w:val="0"/>
      <w:adjustRightInd w:val="0"/>
      <w:spacing w:before="0" w:after="0" w:line="240" w:lineRule="auto"/>
    </w:pPr>
    <w:rPr>
      <w:rFonts w:ascii="Caecilia Roman" w:hAnsi="Caecilia Roman" w:cs="Caecilia Roman"/>
      <w:color w:val="000000"/>
      <w:sz w:val="24"/>
      <w:szCs w:val="24"/>
      <w:lang w:val="en-AU"/>
    </w:rPr>
  </w:style>
  <w:style w:type="table" w:styleId="ListTable3-Accent1">
    <w:name w:val="List Table 3 Accent 1"/>
    <w:basedOn w:val="TableNormal"/>
    <w:uiPriority w:val="48"/>
    <w:rsid w:val="00977B2F"/>
    <w:pPr>
      <w:spacing w:after="0" w:line="240" w:lineRule="auto"/>
    </w:pPr>
    <w:tblPr>
      <w:tblStyleRowBandSize w:val="1"/>
      <w:tblStyleColBandSize w:val="1"/>
      <w:tblBorders>
        <w:top w:val="single" w:sz="4" w:space="0" w:color="5787A9" w:themeColor="accent1"/>
        <w:left w:val="single" w:sz="4" w:space="0" w:color="5787A9" w:themeColor="accent1"/>
        <w:bottom w:val="single" w:sz="4" w:space="0" w:color="5787A9" w:themeColor="accent1"/>
        <w:right w:val="single" w:sz="4" w:space="0" w:color="5787A9" w:themeColor="accent1"/>
      </w:tblBorders>
    </w:tblPr>
    <w:tblStylePr w:type="firstRow">
      <w:rPr>
        <w:b/>
        <w:bCs/>
        <w:color w:val="FFFFFF" w:themeColor="background1"/>
      </w:rPr>
      <w:tblPr/>
      <w:tcPr>
        <w:shd w:val="clear" w:color="auto" w:fill="5787A9" w:themeFill="accent1"/>
      </w:tcPr>
    </w:tblStylePr>
    <w:tblStylePr w:type="lastRow">
      <w:rPr>
        <w:b/>
        <w:bCs/>
      </w:rPr>
      <w:tblPr/>
      <w:tcPr>
        <w:tcBorders>
          <w:top w:val="double" w:sz="4" w:space="0" w:color="5787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87A9" w:themeColor="accent1"/>
          <w:right w:val="single" w:sz="4" w:space="0" w:color="5787A9" w:themeColor="accent1"/>
        </w:tcBorders>
      </w:tcPr>
    </w:tblStylePr>
    <w:tblStylePr w:type="band1Horz">
      <w:tblPr/>
      <w:tcPr>
        <w:tcBorders>
          <w:top w:val="single" w:sz="4" w:space="0" w:color="5787A9" w:themeColor="accent1"/>
          <w:bottom w:val="single" w:sz="4" w:space="0" w:color="5787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7A9" w:themeColor="accent1"/>
          <w:left w:val="nil"/>
        </w:tcBorders>
      </w:tcPr>
    </w:tblStylePr>
    <w:tblStylePr w:type="swCell">
      <w:tblPr/>
      <w:tcPr>
        <w:tcBorders>
          <w:top w:val="double" w:sz="4" w:space="0" w:color="5787A9" w:themeColor="accent1"/>
          <w:right w:val="nil"/>
        </w:tcBorders>
      </w:tcPr>
    </w:tblStylePr>
  </w:style>
  <w:style w:type="table" w:styleId="GridTable4-Accent1">
    <w:name w:val="Grid Table 4 Accent 1"/>
    <w:basedOn w:val="TableNormal"/>
    <w:uiPriority w:val="49"/>
    <w:rsid w:val="00977B2F"/>
    <w:pPr>
      <w:spacing w:after="0" w:line="240" w:lineRule="auto"/>
    </w:pPr>
    <w:tblPr>
      <w:tblStyleRowBandSize w:val="1"/>
      <w:tblStyleColBandSize w:val="1"/>
      <w:tblBorders>
        <w:top w:val="single" w:sz="4" w:space="0" w:color="9AB6CB" w:themeColor="accent1" w:themeTint="99"/>
        <w:left w:val="single" w:sz="4" w:space="0" w:color="9AB6CB" w:themeColor="accent1" w:themeTint="99"/>
        <w:bottom w:val="single" w:sz="4" w:space="0" w:color="9AB6CB" w:themeColor="accent1" w:themeTint="99"/>
        <w:right w:val="single" w:sz="4" w:space="0" w:color="9AB6CB" w:themeColor="accent1" w:themeTint="99"/>
        <w:insideH w:val="single" w:sz="4" w:space="0" w:color="9AB6CB" w:themeColor="accent1" w:themeTint="99"/>
        <w:insideV w:val="single" w:sz="4" w:space="0" w:color="9AB6CB" w:themeColor="accent1" w:themeTint="99"/>
      </w:tblBorders>
    </w:tblPr>
    <w:tblStylePr w:type="firstRow">
      <w:rPr>
        <w:b/>
        <w:bCs/>
        <w:color w:val="FFFFFF" w:themeColor="background1"/>
      </w:rPr>
      <w:tblPr/>
      <w:tcPr>
        <w:tcBorders>
          <w:top w:val="single" w:sz="4" w:space="0" w:color="5787A9" w:themeColor="accent1"/>
          <w:left w:val="single" w:sz="4" w:space="0" w:color="5787A9" w:themeColor="accent1"/>
          <w:bottom w:val="single" w:sz="4" w:space="0" w:color="5787A9" w:themeColor="accent1"/>
          <w:right w:val="single" w:sz="4" w:space="0" w:color="5787A9" w:themeColor="accent1"/>
          <w:insideH w:val="nil"/>
          <w:insideV w:val="nil"/>
        </w:tcBorders>
        <w:shd w:val="clear" w:color="auto" w:fill="5787A9" w:themeFill="accent1"/>
      </w:tcPr>
    </w:tblStylePr>
    <w:tblStylePr w:type="lastRow">
      <w:rPr>
        <w:b/>
        <w:bCs/>
      </w:rPr>
      <w:tblPr/>
      <w:tcPr>
        <w:tcBorders>
          <w:top w:val="double" w:sz="4" w:space="0" w:color="5787A9" w:themeColor="accent1"/>
        </w:tcBorders>
      </w:tcPr>
    </w:tblStylePr>
    <w:tblStylePr w:type="firstCol">
      <w:rPr>
        <w:b/>
        <w:bCs/>
      </w:rPr>
    </w:tblStylePr>
    <w:tblStylePr w:type="lastCol">
      <w:rPr>
        <w:b/>
        <w:bCs/>
      </w:rPr>
    </w:tblStylePr>
    <w:tblStylePr w:type="band1Vert">
      <w:tblPr/>
      <w:tcPr>
        <w:shd w:val="clear" w:color="auto" w:fill="DDE6ED" w:themeFill="accent1" w:themeFillTint="33"/>
      </w:tcPr>
    </w:tblStylePr>
    <w:tblStylePr w:type="band1Horz">
      <w:tblPr/>
      <w:tcPr>
        <w:shd w:val="clear" w:color="auto" w:fill="DDE6ED" w:themeFill="accent1" w:themeFillTint="33"/>
      </w:tcPr>
    </w:tblStylePr>
  </w:style>
  <w:style w:type="character" w:customStyle="1" w:styleId="Bold">
    <w:name w:val="Bold"/>
    <w:basedOn w:val="DefaultParagraphFont"/>
    <w:qFormat/>
    <w:rsid w:val="00977B2F"/>
    <w:rPr>
      <w:b/>
    </w:rPr>
  </w:style>
  <w:style w:type="paragraph" w:customStyle="1" w:styleId="TableTextLeft">
    <w:name w:val="Table Text Left"/>
    <w:qFormat/>
    <w:rsid w:val="00977B2F"/>
    <w:pPr>
      <w:spacing w:before="20" w:after="20" w:line="180" w:lineRule="atLeast"/>
    </w:pPr>
    <w:rPr>
      <w:rFonts w:ascii="Arial" w:eastAsia="Times New Roman" w:hAnsi="Arial" w:cs="Arial"/>
      <w:color w:val="auto"/>
      <w:sz w:val="18"/>
      <w:lang w:val="en-AU" w:eastAsia="en-AU"/>
    </w:rPr>
  </w:style>
  <w:style w:type="paragraph" w:customStyle="1" w:styleId="Contentsheading">
    <w:name w:val="Contents_heading"/>
    <w:basedOn w:val="Heading1"/>
    <w:link w:val="ContentsheadingChar"/>
    <w:qFormat/>
    <w:rsid w:val="00B97DF8"/>
  </w:style>
  <w:style w:type="character" w:customStyle="1" w:styleId="ContentsheadingChar">
    <w:name w:val="Contents_heading Char"/>
    <w:basedOn w:val="Heading1Char"/>
    <w:link w:val="Contentsheading"/>
    <w:rsid w:val="001C4B5E"/>
    <w:rPr>
      <w:rFonts w:ascii="Microsoft YaHei UI" w:eastAsia="Microsoft YaHei" w:hAnsi="Microsoft YaHei UI" w:cs="Microsoft New Tai Lue"/>
      <w:color w:val="579AB0" w:themeColor="text2"/>
      <w:kern w:val="20"/>
      <w:sz w:val="49"/>
      <w:szCs w:val="49"/>
      <w:lang w:val="en-GB"/>
      <w14:ligatures w14:val="standardContextual"/>
    </w:rPr>
  </w:style>
  <w:style w:type="character" w:customStyle="1" w:styleId="ps-gls1">
    <w:name w:val="ps-gls1"/>
    <w:basedOn w:val="DefaultParagraphFont"/>
    <w:rsid w:val="00BA556D"/>
  </w:style>
  <w:style w:type="paragraph" w:customStyle="1" w:styleId="Heading2recommendationnumbered">
    <w:name w:val="Heading2_recommendation_numbered"/>
    <w:basedOn w:val="Heading1"/>
    <w:next w:val="Normal"/>
    <w:link w:val="Heading2recommendationnumberedChar"/>
    <w:qFormat/>
    <w:rsid w:val="00CD6D9A"/>
    <w:pPr>
      <w:numPr>
        <w:numId w:val="11"/>
      </w:numPr>
      <w:pBdr>
        <w:top w:val="single" w:sz="18" w:space="1" w:color="5787A9" w:themeColor="accent1"/>
        <w:left w:val="single" w:sz="18" w:space="1" w:color="5787A9" w:themeColor="accent1"/>
        <w:bottom w:val="single" w:sz="18" w:space="1" w:color="5787A9" w:themeColor="accent1"/>
        <w:right w:val="single" w:sz="18" w:space="1" w:color="5787A9" w:themeColor="accent1"/>
      </w:pBdr>
      <w:ind w:left="0" w:firstLine="0"/>
      <w:outlineLvl w:val="6"/>
    </w:pPr>
  </w:style>
  <w:style w:type="character" w:customStyle="1" w:styleId="Heading2recommendationnumberedChar">
    <w:name w:val="Heading2_recommendation_numbered Char"/>
    <w:basedOn w:val="Heading2Char"/>
    <w:link w:val="Heading2recommendationnumbered"/>
    <w:rsid w:val="00CD6D9A"/>
    <w:rPr>
      <w:rFonts w:ascii="Microsoft YaHei" w:eastAsia="Microsoft YaHei" w:hAnsi="Microsoft YaHei" w:cstheme="majorBidi"/>
      <w:color w:val="579AB0" w:themeColor="text2"/>
      <w:kern w:val="20"/>
      <w:sz w:val="32"/>
      <w:szCs w:val="49"/>
      <w:lang w:val="en-AU"/>
      <w14:ligatures w14:val="standardContextual"/>
    </w:rPr>
  </w:style>
  <w:style w:type="paragraph" w:customStyle="1" w:styleId="ListBulletLevel1">
    <w:name w:val="List Bullet Level 1"/>
    <w:basedOn w:val="BodyText"/>
    <w:link w:val="ListBulletLevel1Char"/>
    <w:qFormat/>
    <w:rsid w:val="009F4225"/>
    <w:pPr>
      <w:suppressAutoHyphens/>
      <w:spacing w:before="60" w:after="60" w:line="280" w:lineRule="atLeast"/>
      <w:ind w:left="1440" w:hanging="360"/>
    </w:pPr>
    <w:rPr>
      <w:rFonts w:ascii="Arial" w:eastAsia="Times New Roman" w:hAnsi="Arial" w:cs="Arial"/>
      <w:kern w:val="0"/>
      <w:sz w:val="20"/>
      <w:szCs w:val="20"/>
      <w:lang w:val="en-AU" w:eastAsia="en-AU"/>
    </w:rPr>
  </w:style>
  <w:style w:type="character" w:customStyle="1" w:styleId="ListBulletLevel1Char">
    <w:name w:val="List Bullet Level 1 Char"/>
    <w:basedOn w:val="BodyTextChar"/>
    <w:link w:val="ListBulletLevel1"/>
    <w:rsid w:val="009F4225"/>
    <w:rPr>
      <w:rFonts w:ascii="Arial" w:eastAsia="Times New Roman" w:hAnsi="Arial" w:cs="Arial"/>
      <w:color w:val="auto"/>
      <w:lang w:val="en-AU" w:eastAsia="en-AU"/>
    </w:rPr>
  </w:style>
  <w:style w:type="paragraph" w:customStyle="1" w:styleId="Pa5">
    <w:name w:val="Pa5"/>
    <w:basedOn w:val="Default"/>
    <w:next w:val="Default"/>
    <w:uiPriority w:val="99"/>
    <w:rsid w:val="004B38AB"/>
    <w:pPr>
      <w:spacing w:line="161" w:lineRule="atLeast"/>
    </w:pPr>
    <w:rPr>
      <w:rFonts w:ascii="MetaOT-Book" w:hAnsi="MetaOT-Book" w:cstheme="minorBidi"/>
      <w:color w:val="595959" w:themeColor="text1" w:themeTint="A6"/>
    </w:rPr>
  </w:style>
  <w:style w:type="paragraph" w:customStyle="1" w:styleId="AppHeading1">
    <w:name w:val="App Heading 1"/>
    <w:basedOn w:val="Heading1"/>
    <w:next w:val="Normal"/>
    <w:link w:val="AppHeading1Char"/>
    <w:rsid w:val="00D220F1"/>
    <w:pPr>
      <w:ind w:left="357" w:hanging="357"/>
    </w:pPr>
  </w:style>
  <w:style w:type="character" w:customStyle="1" w:styleId="AppHeading1Char">
    <w:name w:val="App Heading 1 Char"/>
    <w:basedOn w:val="Heading1Char"/>
    <w:link w:val="AppHeading1"/>
    <w:rsid w:val="00D220F1"/>
    <w:rPr>
      <w:rFonts w:ascii="Microsoft YaHei" w:eastAsia="Microsoft YaHei" w:hAnsi="Microsoft YaHei" w:cstheme="majorBidi"/>
      <w:color w:val="579AB0" w:themeColor="text2"/>
      <w:kern w:val="20"/>
      <w:sz w:val="32"/>
      <w:szCs w:val="49"/>
      <w:lang w:val="en-AU"/>
      <w14:ligatures w14:val="standardContextual"/>
    </w:rPr>
  </w:style>
  <w:style w:type="paragraph" w:customStyle="1" w:styleId="AppHead">
    <w:name w:val="AppHead"/>
    <w:basedOn w:val="Heading1"/>
    <w:next w:val="Normal"/>
    <w:link w:val="AppHeadChar"/>
    <w:rsid w:val="00FB1F1C"/>
    <w:pPr>
      <w:numPr>
        <w:numId w:val="10"/>
      </w:numPr>
      <w:ind w:left="0" w:firstLine="0"/>
    </w:pPr>
  </w:style>
  <w:style w:type="character" w:customStyle="1" w:styleId="AppHeadChar">
    <w:name w:val="AppHead Char"/>
    <w:basedOn w:val="Heading1Char"/>
    <w:link w:val="AppHead"/>
    <w:rsid w:val="00FB1F1C"/>
    <w:rPr>
      <w:rFonts w:ascii="Microsoft YaHei" w:eastAsia="Microsoft YaHei" w:hAnsi="Microsoft YaHei" w:cstheme="majorBidi"/>
      <w:color w:val="579AB0" w:themeColor="text2"/>
      <w:kern w:val="20"/>
      <w:sz w:val="32"/>
      <w:szCs w:val="49"/>
      <w:lang w:val="en-AU"/>
      <w14:ligatures w14:val="standardContextual"/>
    </w:rPr>
  </w:style>
  <w:style w:type="paragraph" w:customStyle="1" w:styleId="Pa21">
    <w:name w:val="Pa21"/>
    <w:basedOn w:val="Default"/>
    <w:next w:val="Default"/>
    <w:uiPriority w:val="99"/>
    <w:rsid w:val="00F7360D"/>
    <w:pPr>
      <w:spacing w:line="181" w:lineRule="atLeast"/>
    </w:pPr>
    <w:rPr>
      <w:rFonts w:ascii="Microsoft New Tai Lue" w:hAnsi="Microsoft New Tai Lue" w:cs="Times New Roman"/>
      <w:color w:val="595959" w:themeColor="text1" w:themeTint="A6"/>
    </w:rPr>
  </w:style>
  <w:style w:type="table" w:customStyle="1" w:styleId="TableGrid10">
    <w:name w:val="Table Grid1"/>
    <w:basedOn w:val="TableNormal"/>
    <w:next w:val="TableGrid"/>
    <w:uiPriority w:val="39"/>
    <w:rsid w:val="00BA20A0"/>
    <w:pPr>
      <w:spacing w:before="0" w:after="0" w:line="240" w:lineRule="auto"/>
    </w:pPr>
    <w:rPr>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_2"/>
    <w:basedOn w:val="Normal"/>
    <w:next w:val="Normal"/>
    <w:uiPriority w:val="99"/>
    <w:rsid w:val="00F96D55"/>
    <w:pPr>
      <w:autoSpaceDE w:val="0"/>
      <w:autoSpaceDN w:val="0"/>
      <w:adjustRightInd w:val="0"/>
      <w:spacing w:after="0" w:line="171" w:lineRule="atLeast"/>
    </w:pPr>
    <w:rPr>
      <w:rFonts w:ascii="Gotham Narrow Book" w:eastAsia="MS Mincho" w:hAnsi="Gotham Narrow Book" w:cstheme="minorBidi"/>
      <w:color w:val="595959" w:themeColor="text1" w:themeTint="A6"/>
      <w:kern w:val="0"/>
      <w:sz w:val="24"/>
      <w:szCs w:val="24"/>
      <w:lang w:val="en-AU"/>
    </w:rPr>
  </w:style>
  <w:style w:type="paragraph" w:customStyle="1" w:styleId="Pa22">
    <w:name w:val="Pa2_2"/>
    <w:basedOn w:val="Normal"/>
    <w:next w:val="Normal"/>
    <w:uiPriority w:val="99"/>
    <w:rsid w:val="00F96D55"/>
    <w:pPr>
      <w:autoSpaceDE w:val="0"/>
      <w:autoSpaceDN w:val="0"/>
      <w:adjustRightInd w:val="0"/>
      <w:spacing w:after="0" w:line="171" w:lineRule="atLeast"/>
    </w:pPr>
    <w:rPr>
      <w:rFonts w:ascii="Gotham Narrow Book" w:eastAsia="MS Mincho" w:hAnsi="Gotham Narrow Book" w:cstheme="minorBidi"/>
      <w:color w:val="595959" w:themeColor="text1" w:themeTint="A6"/>
      <w:kern w:val="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95264">
      <w:bodyDiv w:val="1"/>
      <w:marLeft w:val="0"/>
      <w:marRight w:val="0"/>
      <w:marTop w:val="0"/>
      <w:marBottom w:val="0"/>
      <w:divBdr>
        <w:top w:val="none" w:sz="0" w:space="0" w:color="auto"/>
        <w:left w:val="none" w:sz="0" w:space="0" w:color="auto"/>
        <w:bottom w:val="none" w:sz="0" w:space="0" w:color="auto"/>
        <w:right w:val="none" w:sz="0" w:space="0" w:color="auto"/>
      </w:divBdr>
    </w:div>
    <w:div w:id="171533378">
      <w:bodyDiv w:val="1"/>
      <w:marLeft w:val="0"/>
      <w:marRight w:val="0"/>
      <w:marTop w:val="0"/>
      <w:marBottom w:val="0"/>
      <w:divBdr>
        <w:top w:val="none" w:sz="0" w:space="0" w:color="auto"/>
        <w:left w:val="none" w:sz="0" w:space="0" w:color="auto"/>
        <w:bottom w:val="none" w:sz="0" w:space="0" w:color="auto"/>
        <w:right w:val="none" w:sz="0" w:space="0" w:color="auto"/>
      </w:divBdr>
    </w:div>
    <w:div w:id="239750833">
      <w:bodyDiv w:val="1"/>
      <w:marLeft w:val="0"/>
      <w:marRight w:val="0"/>
      <w:marTop w:val="0"/>
      <w:marBottom w:val="0"/>
      <w:divBdr>
        <w:top w:val="none" w:sz="0" w:space="0" w:color="auto"/>
        <w:left w:val="none" w:sz="0" w:space="0" w:color="auto"/>
        <w:bottom w:val="none" w:sz="0" w:space="0" w:color="auto"/>
        <w:right w:val="none" w:sz="0" w:space="0" w:color="auto"/>
      </w:divBdr>
    </w:div>
    <w:div w:id="344096728">
      <w:bodyDiv w:val="1"/>
      <w:marLeft w:val="0"/>
      <w:marRight w:val="0"/>
      <w:marTop w:val="0"/>
      <w:marBottom w:val="0"/>
      <w:divBdr>
        <w:top w:val="none" w:sz="0" w:space="0" w:color="auto"/>
        <w:left w:val="none" w:sz="0" w:space="0" w:color="auto"/>
        <w:bottom w:val="none" w:sz="0" w:space="0" w:color="auto"/>
        <w:right w:val="none" w:sz="0" w:space="0" w:color="auto"/>
      </w:divBdr>
    </w:div>
    <w:div w:id="462890703">
      <w:bodyDiv w:val="1"/>
      <w:marLeft w:val="0"/>
      <w:marRight w:val="0"/>
      <w:marTop w:val="0"/>
      <w:marBottom w:val="0"/>
      <w:divBdr>
        <w:top w:val="none" w:sz="0" w:space="0" w:color="auto"/>
        <w:left w:val="none" w:sz="0" w:space="0" w:color="auto"/>
        <w:bottom w:val="none" w:sz="0" w:space="0" w:color="auto"/>
        <w:right w:val="none" w:sz="0" w:space="0" w:color="auto"/>
      </w:divBdr>
      <w:divsChild>
        <w:div w:id="404255576">
          <w:marLeft w:val="0"/>
          <w:marRight w:val="0"/>
          <w:marTop w:val="0"/>
          <w:marBottom w:val="0"/>
          <w:divBdr>
            <w:top w:val="none" w:sz="0" w:space="0" w:color="auto"/>
            <w:left w:val="none" w:sz="0" w:space="0" w:color="auto"/>
            <w:bottom w:val="none" w:sz="0" w:space="0" w:color="auto"/>
            <w:right w:val="none" w:sz="0" w:space="0" w:color="auto"/>
          </w:divBdr>
          <w:divsChild>
            <w:div w:id="1556354794">
              <w:marLeft w:val="0"/>
              <w:marRight w:val="0"/>
              <w:marTop w:val="0"/>
              <w:marBottom w:val="0"/>
              <w:divBdr>
                <w:top w:val="none" w:sz="0" w:space="0" w:color="auto"/>
                <w:left w:val="none" w:sz="0" w:space="0" w:color="auto"/>
                <w:bottom w:val="none" w:sz="0" w:space="0" w:color="auto"/>
                <w:right w:val="none" w:sz="0" w:space="0" w:color="auto"/>
              </w:divBdr>
              <w:divsChild>
                <w:div w:id="297225167">
                  <w:marLeft w:val="0"/>
                  <w:marRight w:val="0"/>
                  <w:marTop w:val="0"/>
                  <w:marBottom w:val="0"/>
                  <w:divBdr>
                    <w:top w:val="none" w:sz="0" w:space="0" w:color="auto"/>
                    <w:left w:val="none" w:sz="0" w:space="0" w:color="auto"/>
                    <w:bottom w:val="none" w:sz="0" w:space="0" w:color="auto"/>
                    <w:right w:val="none" w:sz="0" w:space="0" w:color="auto"/>
                  </w:divBdr>
                  <w:divsChild>
                    <w:div w:id="828061787">
                      <w:marLeft w:val="0"/>
                      <w:marRight w:val="0"/>
                      <w:marTop w:val="0"/>
                      <w:marBottom w:val="0"/>
                      <w:divBdr>
                        <w:top w:val="none" w:sz="0" w:space="0" w:color="auto"/>
                        <w:left w:val="none" w:sz="0" w:space="0" w:color="auto"/>
                        <w:bottom w:val="none" w:sz="0" w:space="0" w:color="auto"/>
                        <w:right w:val="none" w:sz="0" w:space="0" w:color="auto"/>
                      </w:divBdr>
                      <w:divsChild>
                        <w:div w:id="692457314">
                          <w:marLeft w:val="0"/>
                          <w:marRight w:val="0"/>
                          <w:marTop w:val="0"/>
                          <w:marBottom w:val="0"/>
                          <w:divBdr>
                            <w:top w:val="none" w:sz="0" w:space="0" w:color="auto"/>
                            <w:left w:val="none" w:sz="0" w:space="0" w:color="auto"/>
                            <w:bottom w:val="none" w:sz="0" w:space="0" w:color="auto"/>
                            <w:right w:val="none" w:sz="0" w:space="0" w:color="auto"/>
                          </w:divBdr>
                          <w:divsChild>
                            <w:div w:id="97915726">
                              <w:marLeft w:val="0"/>
                              <w:marRight w:val="0"/>
                              <w:marTop w:val="0"/>
                              <w:marBottom w:val="0"/>
                              <w:divBdr>
                                <w:top w:val="none" w:sz="0" w:space="0" w:color="auto"/>
                                <w:left w:val="none" w:sz="0" w:space="0" w:color="auto"/>
                                <w:bottom w:val="none" w:sz="0" w:space="0" w:color="auto"/>
                                <w:right w:val="none" w:sz="0" w:space="0" w:color="auto"/>
                              </w:divBdr>
                              <w:divsChild>
                                <w:div w:id="2990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058345">
      <w:bodyDiv w:val="1"/>
      <w:marLeft w:val="0"/>
      <w:marRight w:val="0"/>
      <w:marTop w:val="0"/>
      <w:marBottom w:val="0"/>
      <w:divBdr>
        <w:top w:val="none" w:sz="0" w:space="0" w:color="auto"/>
        <w:left w:val="none" w:sz="0" w:space="0" w:color="auto"/>
        <w:bottom w:val="none" w:sz="0" w:space="0" w:color="auto"/>
        <w:right w:val="none" w:sz="0" w:space="0" w:color="auto"/>
      </w:divBdr>
    </w:div>
    <w:div w:id="567810703">
      <w:bodyDiv w:val="1"/>
      <w:marLeft w:val="0"/>
      <w:marRight w:val="0"/>
      <w:marTop w:val="0"/>
      <w:marBottom w:val="0"/>
      <w:divBdr>
        <w:top w:val="none" w:sz="0" w:space="0" w:color="auto"/>
        <w:left w:val="none" w:sz="0" w:space="0" w:color="auto"/>
        <w:bottom w:val="none" w:sz="0" w:space="0" w:color="auto"/>
        <w:right w:val="none" w:sz="0" w:space="0" w:color="auto"/>
      </w:divBdr>
    </w:div>
    <w:div w:id="579829039">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9417125">
      <w:bodyDiv w:val="1"/>
      <w:marLeft w:val="0"/>
      <w:marRight w:val="0"/>
      <w:marTop w:val="0"/>
      <w:marBottom w:val="0"/>
      <w:divBdr>
        <w:top w:val="none" w:sz="0" w:space="0" w:color="auto"/>
        <w:left w:val="none" w:sz="0" w:space="0" w:color="auto"/>
        <w:bottom w:val="none" w:sz="0" w:space="0" w:color="auto"/>
        <w:right w:val="none" w:sz="0" w:space="0" w:color="auto"/>
      </w:divBdr>
    </w:div>
    <w:div w:id="602109072">
      <w:bodyDiv w:val="1"/>
      <w:marLeft w:val="0"/>
      <w:marRight w:val="0"/>
      <w:marTop w:val="0"/>
      <w:marBottom w:val="0"/>
      <w:divBdr>
        <w:top w:val="none" w:sz="0" w:space="0" w:color="auto"/>
        <w:left w:val="none" w:sz="0" w:space="0" w:color="auto"/>
        <w:bottom w:val="none" w:sz="0" w:space="0" w:color="auto"/>
        <w:right w:val="none" w:sz="0" w:space="0" w:color="auto"/>
      </w:divBdr>
    </w:div>
    <w:div w:id="667169539">
      <w:bodyDiv w:val="1"/>
      <w:marLeft w:val="0"/>
      <w:marRight w:val="0"/>
      <w:marTop w:val="0"/>
      <w:marBottom w:val="0"/>
      <w:divBdr>
        <w:top w:val="none" w:sz="0" w:space="0" w:color="auto"/>
        <w:left w:val="none" w:sz="0" w:space="0" w:color="auto"/>
        <w:bottom w:val="none" w:sz="0" w:space="0" w:color="auto"/>
        <w:right w:val="none" w:sz="0" w:space="0" w:color="auto"/>
      </w:divBdr>
    </w:div>
    <w:div w:id="690647993">
      <w:bodyDiv w:val="1"/>
      <w:marLeft w:val="0"/>
      <w:marRight w:val="0"/>
      <w:marTop w:val="0"/>
      <w:marBottom w:val="0"/>
      <w:divBdr>
        <w:top w:val="none" w:sz="0" w:space="0" w:color="auto"/>
        <w:left w:val="none" w:sz="0" w:space="0" w:color="auto"/>
        <w:bottom w:val="none" w:sz="0" w:space="0" w:color="auto"/>
        <w:right w:val="none" w:sz="0" w:space="0" w:color="auto"/>
      </w:divBdr>
    </w:div>
    <w:div w:id="755513745">
      <w:bodyDiv w:val="1"/>
      <w:marLeft w:val="0"/>
      <w:marRight w:val="0"/>
      <w:marTop w:val="0"/>
      <w:marBottom w:val="0"/>
      <w:divBdr>
        <w:top w:val="none" w:sz="0" w:space="0" w:color="auto"/>
        <w:left w:val="none" w:sz="0" w:space="0" w:color="auto"/>
        <w:bottom w:val="none" w:sz="0" w:space="0" w:color="auto"/>
        <w:right w:val="none" w:sz="0" w:space="0" w:color="auto"/>
      </w:divBdr>
    </w:div>
    <w:div w:id="854853811">
      <w:bodyDiv w:val="1"/>
      <w:marLeft w:val="0"/>
      <w:marRight w:val="0"/>
      <w:marTop w:val="0"/>
      <w:marBottom w:val="0"/>
      <w:divBdr>
        <w:top w:val="none" w:sz="0" w:space="0" w:color="auto"/>
        <w:left w:val="none" w:sz="0" w:space="0" w:color="auto"/>
        <w:bottom w:val="none" w:sz="0" w:space="0" w:color="auto"/>
        <w:right w:val="none" w:sz="0" w:space="0" w:color="auto"/>
      </w:divBdr>
      <w:divsChild>
        <w:div w:id="428819669">
          <w:marLeft w:val="0"/>
          <w:marRight w:val="0"/>
          <w:marTop w:val="0"/>
          <w:marBottom w:val="0"/>
          <w:divBdr>
            <w:top w:val="none" w:sz="0" w:space="0" w:color="auto"/>
            <w:left w:val="none" w:sz="0" w:space="0" w:color="auto"/>
            <w:bottom w:val="none" w:sz="0" w:space="0" w:color="auto"/>
            <w:right w:val="none" w:sz="0" w:space="0" w:color="auto"/>
          </w:divBdr>
          <w:divsChild>
            <w:div w:id="238055706">
              <w:marLeft w:val="0"/>
              <w:marRight w:val="0"/>
              <w:marTop w:val="0"/>
              <w:marBottom w:val="0"/>
              <w:divBdr>
                <w:top w:val="none" w:sz="0" w:space="0" w:color="auto"/>
                <w:left w:val="none" w:sz="0" w:space="0" w:color="auto"/>
                <w:bottom w:val="none" w:sz="0" w:space="0" w:color="auto"/>
                <w:right w:val="none" w:sz="0" w:space="0" w:color="auto"/>
              </w:divBdr>
              <w:divsChild>
                <w:div w:id="55247729">
                  <w:marLeft w:val="0"/>
                  <w:marRight w:val="0"/>
                  <w:marTop w:val="0"/>
                  <w:marBottom w:val="0"/>
                  <w:divBdr>
                    <w:top w:val="none" w:sz="0" w:space="0" w:color="auto"/>
                    <w:left w:val="none" w:sz="0" w:space="0" w:color="auto"/>
                    <w:bottom w:val="none" w:sz="0" w:space="0" w:color="auto"/>
                    <w:right w:val="none" w:sz="0" w:space="0" w:color="auto"/>
                  </w:divBdr>
                  <w:divsChild>
                    <w:div w:id="1598630988">
                      <w:marLeft w:val="0"/>
                      <w:marRight w:val="0"/>
                      <w:marTop w:val="0"/>
                      <w:marBottom w:val="0"/>
                      <w:divBdr>
                        <w:top w:val="none" w:sz="0" w:space="0" w:color="auto"/>
                        <w:left w:val="none" w:sz="0" w:space="0" w:color="auto"/>
                        <w:bottom w:val="none" w:sz="0" w:space="0" w:color="auto"/>
                        <w:right w:val="none" w:sz="0" w:space="0" w:color="auto"/>
                      </w:divBdr>
                      <w:divsChild>
                        <w:div w:id="437453920">
                          <w:marLeft w:val="0"/>
                          <w:marRight w:val="0"/>
                          <w:marTop w:val="0"/>
                          <w:marBottom w:val="0"/>
                          <w:divBdr>
                            <w:top w:val="none" w:sz="0" w:space="0" w:color="auto"/>
                            <w:left w:val="none" w:sz="0" w:space="0" w:color="auto"/>
                            <w:bottom w:val="none" w:sz="0" w:space="0" w:color="auto"/>
                            <w:right w:val="none" w:sz="0" w:space="0" w:color="auto"/>
                          </w:divBdr>
                          <w:divsChild>
                            <w:div w:id="212035932">
                              <w:marLeft w:val="0"/>
                              <w:marRight w:val="0"/>
                              <w:marTop w:val="0"/>
                              <w:marBottom w:val="0"/>
                              <w:divBdr>
                                <w:top w:val="none" w:sz="0" w:space="0" w:color="auto"/>
                                <w:left w:val="none" w:sz="0" w:space="0" w:color="auto"/>
                                <w:bottom w:val="none" w:sz="0" w:space="0" w:color="auto"/>
                                <w:right w:val="none" w:sz="0" w:space="0" w:color="auto"/>
                              </w:divBdr>
                              <w:divsChild>
                                <w:div w:id="20387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442275">
      <w:bodyDiv w:val="1"/>
      <w:marLeft w:val="0"/>
      <w:marRight w:val="0"/>
      <w:marTop w:val="0"/>
      <w:marBottom w:val="0"/>
      <w:divBdr>
        <w:top w:val="none" w:sz="0" w:space="0" w:color="auto"/>
        <w:left w:val="none" w:sz="0" w:space="0" w:color="auto"/>
        <w:bottom w:val="none" w:sz="0" w:space="0" w:color="auto"/>
        <w:right w:val="none" w:sz="0" w:space="0" w:color="auto"/>
      </w:divBdr>
    </w:div>
    <w:div w:id="997465100">
      <w:bodyDiv w:val="1"/>
      <w:marLeft w:val="0"/>
      <w:marRight w:val="0"/>
      <w:marTop w:val="0"/>
      <w:marBottom w:val="0"/>
      <w:divBdr>
        <w:top w:val="none" w:sz="0" w:space="0" w:color="auto"/>
        <w:left w:val="none" w:sz="0" w:space="0" w:color="auto"/>
        <w:bottom w:val="none" w:sz="0" w:space="0" w:color="auto"/>
        <w:right w:val="none" w:sz="0" w:space="0" w:color="auto"/>
      </w:divBdr>
      <w:divsChild>
        <w:div w:id="1166818607">
          <w:marLeft w:val="0"/>
          <w:marRight w:val="0"/>
          <w:marTop w:val="0"/>
          <w:marBottom w:val="0"/>
          <w:divBdr>
            <w:top w:val="none" w:sz="0" w:space="0" w:color="auto"/>
            <w:left w:val="none" w:sz="0" w:space="0" w:color="auto"/>
            <w:bottom w:val="none" w:sz="0" w:space="0" w:color="auto"/>
            <w:right w:val="none" w:sz="0" w:space="0" w:color="auto"/>
          </w:divBdr>
          <w:divsChild>
            <w:div w:id="767386249">
              <w:marLeft w:val="0"/>
              <w:marRight w:val="0"/>
              <w:marTop w:val="0"/>
              <w:marBottom w:val="0"/>
              <w:divBdr>
                <w:top w:val="none" w:sz="0" w:space="0" w:color="auto"/>
                <w:left w:val="none" w:sz="0" w:space="0" w:color="auto"/>
                <w:bottom w:val="none" w:sz="0" w:space="0" w:color="auto"/>
                <w:right w:val="none" w:sz="0" w:space="0" w:color="auto"/>
              </w:divBdr>
              <w:divsChild>
                <w:div w:id="1962761280">
                  <w:marLeft w:val="0"/>
                  <w:marRight w:val="0"/>
                  <w:marTop w:val="0"/>
                  <w:marBottom w:val="0"/>
                  <w:divBdr>
                    <w:top w:val="none" w:sz="0" w:space="0" w:color="auto"/>
                    <w:left w:val="none" w:sz="0" w:space="0" w:color="auto"/>
                    <w:bottom w:val="none" w:sz="0" w:space="0" w:color="auto"/>
                    <w:right w:val="none" w:sz="0" w:space="0" w:color="auto"/>
                  </w:divBdr>
                  <w:divsChild>
                    <w:div w:id="2065375197">
                      <w:marLeft w:val="0"/>
                      <w:marRight w:val="0"/>
                      <w:marTop w:val="0"/>
                      <w:marBottom w:val="0"/>
                      <w:divBdr>
                        <w:top w:val="none" w:sz="0" w:space="0" w:color="auto"/>
                        <w:left w:val="none" w:sz="0" w:space="0" w:color="auto"/>
                        <w:bottom w:val="none" w:sz="0" w:space="0" w:color="auto"/>
                        <w:right w:val="none" w:sz="0" w:space="0" w:color="auto"/>
                      </w:divBdr>
                      <w:divsChild>
                        <w:div w:id="1856263037">
                          <w:marLeft w:val="-225"/>
                          <w:marRight w:val="-225"/>
                          <w:marTop w:val="0"/>
                          <w:marBottom w:val="0"/>
                          <w:divBdr>
                            <w:top w:val="none" w:sz="0" w:space="0" w:color="auto"/>
                            <w:left w:val="none" w:sz="0" w:space="0" w:color="auto"/>
                            <w:bottom w:val="none" w:sz="0" w:space="0" w:color="auto"/>
                            <w:right w:val="none" w:sz="0" w:space="0" w:color="auto"/>
                          </w:divBdr>
                          <w:divsChild>
                            <w:div w:id="2141221088">
                              <w:marLeft w:val="0"/>
                              <w:marRight w:val="0"/>
                              <w:marTop w:val="0"/>
                              <w:marBottom w:val="0"/>
                              <w:divBdr>
                                <w:top w:val="none" w:sz="0" w:space="0" w:color="auto"/>
                                <w:left w:val="none" w:sz="0" w:space="0" w:color="auto"/>
                                <w:bottom w:val="none" w:sz="0" w:space="0" w:color="auto"/>
                                <w:right w:val="none" w:sz="0" w:space="0" w:color="auto"/>
                              </w:divBdr>
                              <w:divsChild>
                                <w:div w:id="845828325">
                                  <w:marLeft w:val="0"/>
                                  <w:marRight w:val="0"/>
                                  <w:marTop w:val="0"/>
                                  <w:marBottom w:val="0"/>
                                  <w:divBdr>
                                    <w:top w:val="none" w:sz="0" w:space="0" w:color="auto"/>
                                    <w:left w:val="none" w:sz="0" w:space="0" w:color="auto"/>
                                    <w:bottom w:val="none" w:sz="0" w:space="0" w:color="auto"/>
                                    <w:right w:val="none" w:sz="0" w:space="0" w:color="auto"/>
                                  </w:divBdr>
                                  <w:divsChild>
                                    <w:div w:id="1005325564">
                                      <w:marLeft w:val="0"/>
                                      <w:marRight w:val="0"/>
                                      <w:marTop w:val="0"/>
                                      <w:marBottom w:val="0"/>
                                      <w:divBdr>
                                        <w:top w:val="none" w:sz="0" w:space="0" w:color="auto"/>
                                        <w:left w:val="none" w:sz="0" w:space="0" w:color="auto"/>
                                        <w:bottom w:val="none" w:sz="0" w:space="0" w:color="auto"/>
                                        <w:right w:val="none" w:sz="0" w:space="0" w:color="auto"/>
                                      </w:divBdr>
                                      <w:divsChild>
                                        <w:div w:id="1573736909">
                                          <w:marLeft w:val="-225"/>
                                          <w:marRight w:val="-225"/>
                                          <w:marTop w:val="0"/>
                                          <w:marBottom w:val="0"/>
                                          <w:divBdr>
                                            <w:top w:val="none" w:sz="0" w:space="0" w:color="auto"/>
                                            <w:left w:val="none" w:sz="0" w:space="0" w:color="auto"/>
                                            <w:bottom w:val="none" w:sz="0" w:space="0" w:color="auto"/>
                                            <w:right w:val="none" w:sz="0" w:space="0" w:color="auto"/>
                                          </w:divBdr>
                                          <w:divsChild>
                                            <w:div w:id="1548910226">
                                              <w:marLeft w:val="0"/>
                                              <w:marRight w:val="0"/>
                                              <w:marTop w:val="0"/>
                                              <w:marBottom w:val="0"/>
                                              <w:divBdr>
                                                <w:top w:val="none" w:sz="0" w:space="0" w:color="auto"/>
                                                <w:left w:val="none" w:sz="0" w:space="0" w:color="auto"/>
                                                <w:bottom w:val="none" w:sz="0" w:space="0" w:color="auto"/>
                                                <w:right w:val="none" w:sz="0" w:space="0" w:color="auto"/>
                                              </w:divBdr>
                                              <w:divsChild>
                                                <w:div w:id="590241874">
                                                  <w:marLeft w:val="0"/>
                                                  <w:marRight w:val="0"/>
                                                  <w:marTop w:val="0"/>
                                                  <w:marBottom w:val="0"/>
                                                  <w:divBdr>
                                                    <w:top w:val="none" w:sz="0" w:space="0" w:color="auto"/>
                                                    <w:left w:val="none" w:sz="0" w:space="0" w:color="auto"/>
                                                    <w:bottom w:val="none" w:sz="0" w:space="0" w:color="auto"/>
                                                    <w:right w:val="none" w:sz="0" w:space="0" w:color="auto"/>
                                                  </w:divBdr>
                                                  <w:divsChild>
                                                    <w:div w:id="1821341799">
                                                      <w:marLeft w:val="0"/>
                                                      <w:marRight w:val="0"/>
                                                      <w:marTop w:val="0"/>
                                                      <w:marBottom w:val="0"/>
                                                      <w:divBdr>
                                                        <w:top w:val="none" w:sz="0" w:space="0" w:color="auto"/>
                                                        <w:left w:val="none" w:sz="0" w:space="0" w:color="auto"/>
                                                        <w:bottom w:val="none" w:sz="0" w:space="0" w:color="auto"/>
                                                        <w:right w:val="none" w:sz="0" w:space="0" w:color="auto"/>
                                                      </w:divBdr>
                                                      <w:divsChild>
                                                        <w:div w:id="195504257">
                                                          <w:marLeft w:val="0"/>
                                                          <w:marRight w:val="0"/>
                                                          <w:marTop w:val="0"/>
                                                          <w:marBottom w:val="0"/>
                                                          <w:divBdr>
                                                            <w:top w:val="none" w:sz="0" w:space="0" w:color="auto"/>
                                                            <w:left w:val="none" w:sz="0" w:space="0" w:color="auto"/>
                                                            <w:bottom w:val="none" w:sz="0" w:space="0" w:color="auto"/>
                                                            <w:right w:val="none" w:sz="0" w:space="0" w:color="auto"/>
                                                          </w:divBdr>
                                                          <w:divsChild>
                                                            <w:div w:id="19128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2166215">
      <w:bodyDiv w:val="1"/>
      <w:marLeft w:val="0"/>
      <w:marRight w:val="0"/>
      <w:marTop w:val="0"/>
      <w:marBottom w:val="0"/>
      <w:divBdr>
        <w:top w:val="none" w:sz="0" w:space="0" w:color="auto"/>
        <w:left w:val="none" w:sz="0" w:space="0" w:color="auto"/>
        <w:bottom w:val="none" w:sz="0" w:space="0" w:color="auto"/>
        <w:right w:val="none" w:sz="0" w:space="0" w:color="auto"/>
      </w:divBdr>
    </w:div>
    <w:div w:id="1197960034">
      <w:bodyDiv w:val="1"/>
      <w:marLeft w:val="0"/>
      <w:marRight w:val="0"/>
      <w:marTop w:val="0"/>
      <w:marBottom w:val="0"/>
      <w:divBdr>
        <w:top w:val="none" w:sz="0" w:space="0" w:color="auto"/>
        <w:left w:val="none" w:sz="0" w:space="0" w:color="auto"/>
        <w:bottom w:val="none" w:sz="0" w:space="0" w:color="auto"/>
        <w:right w:val="none" w:sz="0" w:space="0" w:color="auto"/>
      </w:divBdr>
    </w:div>
    <w:div w:id="1272317555">
      <w:bodyDiv w:val="1"/>
      <w:marLeft w:val="0"/>
      <w:marRight w:val="0"/>
      <w:marTop w:val="0"/>
      <w:marBottom w:val="0"/>
      <w:divBdr>
        <w:top w:val="none" w:sz="0" w:space="0" w:color="auto"/>
        <w:left w:val="none" w:sz="0" w:space="0" w:color="auto"/>
        <w:bottom w:val="none" w:sz="0" w:space="0" w:color="auto"/>
        <w:right w:val="none" w:sz="0" w:space="0" w:color="auto"/>
      </w:divBdr>
    </w:div>
    <w:div w:id="1343702496">
      <w:bodyDiv w:val="1"/>
      <w:marLeft w:val="0"/>
      <w:marRight w:val="0"/>
      <w:marTop w:val="0"/>
      <w:marBottom w:val="0"/>
      <w:divBdr>
        <w:top w:val="none" w:sz="0" w:space="0" w:color="auto"/>
        <w:left w:val="none" w:sz="0" w:space="0" w:color="auto"/>
        <w:bottom w:val="none" w:sz="0" w:space="0" w:color="auto"/>
        <w:right w:val="none" w:sz="0" w:space="0" w:color="auto"/>
      </w:divBdr>
      <w:divsChild>
        <w:div w:id="234094968">
          <w:marLeft w:val="0"/>
          <w:marRight w:val="0"/>
          <w:marTop w:val="0"/>
          <w:marBottom w:val="0"/>
          <w:divBdr>
            <w:top w:val="none" w:sz="0" w:space="0" w:color="auto"/>
            <w:left w:val="none" w:sz="0" w:space="0" w:color="auto"/>
            <w:bottom w:val="none" w:sz="0" w:space="0" w:color="auto"/>
            <w:right w:val="none" w:sz="0" w:space="0" w:color="auto"/>
          </w:divBdr>
          <w:divsChild>
            <w:div w:id="1334143474">
              <w:marLeft w:val="0"/>
              <w:marRight w:val="0"/>
              <w:marTop w:val="0"/>
              <w:marBottom w:val="0"/>
              <w:divBdr>
                <w:top w:val="none" w:sz="0" w:space="0" w:color="auto"/>
                <w:left w:val="none" w:sz="0" w:space="0" w:color="auto"/>
                <w:bottom w:val="none" w:sz="0" w:space="0" w:color="auto"/>
                <w:right w:val="none" w:sz="0" w:space="0" w:color="auto"/>
              </w:divBdr>
              <w:divsChild>
                <w:div w:id="2093776146">
                  <w:marLeft w:val="0"/>
                  <w:marRight w:val="0"/>
                  <w:marTop w:val="0"/>
                  <w:marBottom w:val="0"/>
                  <w:divBdr>
                    <w:top w:val="none" w:sz="0" w:space="0" w:color="auto"/>
                    <w:left w:val="none" w:sz="0" w:space="0" w:color="auto"/>
                    <w:bottom w:val="none" w:sz="0" w:space="0" w:color="auto"/>
                    <w:right w:val="none" w:sz="0" w:space="0" w:color="auto"/>
                  </w:divBdr>
                  <w:divsChild>
                    <w:div w:id="882594048">
                      <w:marLeft w:val="0"/>
                      <w:marRight w:val="0"/>
                      <w:marTop w:val="0"/>
                      <w:marBottom w:val="0"/>
                      <w:divBdr>
                        <w:top w:val="none" w:sz="0" w:space="0" w:color="auto"/>
                        <w:left w:val="none" w:sz="0" w:space="0" w:color="auto"/>
                        <w:bottom w:val="none" w:sz="0" w:space="0" w:color="auto"/>
                        <w:right w:val="none" w:sz="0" w:space="0" w:color="auto"/>
                      </w:divBdr>
                      <w:divsChild>
                        <w:div w:id="2141917807">
                          <w:marLeft w:val="0"/>
                          <w:marRight w:val="0"/>
                          <w:marTop w:val="0"/>
                          <w:marBottom w:val="0"/>
                          <w:divBdr>
                            <w:top w:val="none" w:sz="0" w:space="0" w:color="auto"/>
                            <w:left w:val="none" w:sz="0" w:space="0" w:color="auto"/>
                            <w:bottom w:val="none" w:sz="0" w:space="0" w:color="auto"/>
                            <w:right w:val="none" w:sz="0" w:space="0" w:color="auto"/>
                          </w:divBdr>
                          <w:divsChild>
                            <w:div w:id="21788610">
                              <w:marLeft w:val="0"/>
                              <w:marRight w:val="0"/>
                              <w:marTop w:val="0"/>
                              <w:marBottom w:val="0"/>
                              <w:divBdr>
                                <w:top w:val="none" w:sz="0" w:space="0" w:color="auto"/>
                                <w:left w:val="none" w:sz="0" w:space="0" w:color="auto"/>
                                <w:bottom w:val="none" w:sz="0" w:space="0" w:color="auto"/>
                                <w:right w:val="none" w:sz="0" w:space="0" w:color="auto"/>
                              </w:divBdr>
                              <w:divsChild>
                                <w:div w:id="2059084289">
                                  <w:marLeft w:val="0"/>
                                  <w:marRight w:val="0"/>
                                  <w:marTop w:val="0"/>
                                  <w:marBottom w:val="0"/>
                                  <w:divBdr>
                                    <w:top w:val="none" w:sz="0" w:space="0" w:color="auto"/>
                                    <w:left w:val="none" w:sz="0" w:space="0" w:color="auto"/>
                                    <w:bottom w:val="none" w:sz="0" w:space="0" w:color="auto"/>
                                    <w:right w:val="none" w:sz="0" w:space="0" w:color="auto"/>
                                  </w:divBdr>
                                  <w:divsChild>
                                    <w:div w:id="10859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892534">
      <w:bodyDiv w:val="1"/>
      <w:marLeft w:val="0"/>
      <w:marRight w:val="0"/>
      <w:marTop w:val="0"/>
      <w:marBottom w:val="0"/>
      <w:divBdr>
        <w:top w:val="none" w:sz="0" w:space="0" w:color="auto"/>
        <w:left w:val="none" w:sz="0" w:space="0" w:color="auto"/>
        <w:bottom w:val="none" w:sz="0" w:space="0" w:color="auto"/>
        <w:right w:val="none" w:sz="0" w:space="0" w:color="auto"/>
      </w:divBdr>
    </w:div>
    <w:div w:id="1453669174">
      <w:bodyDiv w:val="1"/>
      <w:marLeft w:val="0"/>
      <w:marRight w:val="0"/>
      <w:marTop w:val="0"/>
      <w:marBottom w:val="0"/>
      <w:divBdr>
        <w:top w:val="none" w:sz="0" w:space="0" w:color="auto"/>
        <w:left w:val="none" w:sz="0" w:space="0" w:color="auto"/>
        <w:bottom w:val="none" w:sz="0" w:space="0" w:color="auto"/>
        <w:right w:val="none" w:sz="0" w:space="0" w:color="auto"/>
      </w:divBdr>
    </w:div>
    <w:div w:id="1559978418">
      <w:bodyDiv w:val="1"/>
      <w:marLeft w:val="0"/>
      <w:marRight w:val="0"/>
      <w:marTop w:val="0"/>
      <w:marBottom w:val="0"/>
      <w:divBdr>
        <w:top w:val="none" w:sz="0" w:space="0" w:color="auto"/>
        <w:left w:val="none" w:sz="0" w:space="0" w:color="auto"/>
        <w:bottom w:val="none" w:sz="0" w:space="0" w:color="auto"/>
        <w:right w:val="none" w:sz="0" w:space="0" w:color="auto"/>
      </w:divBdr>
      <w:divsChild>
        <w:div w:id="1128813593">
          <w:marLeft w:val="0"/>
          <w:marRight w:val="0"/>
          <w:marTop w:val="0"/>
          <w:marBottom w:val="0"/>
          <w:divBdr>
            <w:top w:val="none" w:sz="0" w:space="0" w:color="auto"/>
            <w:left w:val="none" w:sz="0" w:space="0" w:color="auto"/>
            <w:bottom w:val="none" w:sz="0" w:space="0" w:color="auto"/>
            <w:right w:val="none" w:sz="0" w:space="0" w:color="auto"/>
          </w:divBdr>
          <w:divsChild>
            <w:div w:id="88619114">
              <w:marLeft w:val="0"/>
              <w:marRight w:val="0"/>
              <w:marTop w:val="0"/>
              <w:marBottom w:val="0"/>
              <w:divBdr>
                <w:top w:val="none" w:sz="0" w:space="0" w:color="auto"/>
                <w:left w:val="none" w:sz="0" w:space="0" w:color="auto"/>
                <w:bottom w:val="none" w:sz="0" w:space="0" w:color="auto"/>
                <w:right w:val="none" w:sz="0" w:space="0" w:color="auto"/>
              </w:divBdr>
              <w:divsChild>
                <w:div w:id="251747148">
                  <w:marLeft w:val="0"/>
                  <w:marRight w:val="0"/>
                  <w:marTop w:val="0"/>
                  <w:marBottom w:val="0"/>
                  <w:divBdr>
                    <w:top w:val="none" w:sz="0" w:space="0" w:color="auto"/>
                    <w:left w:val="none" w:sz="0" w:space="0" w:color="auto"/>
                    <w:bottom w:val="none" w:sz="0" w:space="0" w:color="auto"/>
                    <w:right w:val="none" w:sz="0" w:space="0" w:color="auto"/>
                  </w:divBdr>
                  <w:divsChild>
                    <w:div w:id="18219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11826">
      <w:bodyDiv w:val="1"/>
      <w:marLeft w:val="0"/>
      <w:marRight w:val="0"/>
      <w:marTop w:val="0"/>
      <w:marBottom w:val="0"/>
      <w:divBdr>
        <w:top w:val="none" w:sz="0" w:space="0" w:color="auto"/>
        <w:left w:val="none" w:sz="0" w:space="0" w:color="auto"/>
        <w:bottom w:val="none" w:sz="0" w:space="0" w:color="auto"/>
        <w:right w:val="none" w:sz="0" w:space="0" w:color="auto"/>
      </w:divBdr>
    </w:div>
    <w:div w:id="1794398869">
      <w:bodyDiv w:val="1"/>
      <w:marLeft w:val="0"/>
      <w:marRight w:val="0"/>
      <w:marTop w:val="0"/>
      <w:marBottom w:val="0"/>
      <w:divBdr>
        <w:top w:val="none" w:sz="0" w:space="0" w:color="auto"/>
        <w:left w:val="none" w:sz="0" w:space="0" w:color="auto"/>
        <w:bottom w:val="none" w:sz="0" w:space="0" w:color="auto"/>
        <w:right w:val="none" w:sz="0" w:space="0" w:color="auto"/>
      </w:divBdr>
      <w:divsChild>
        <w:div w:id="2108693942">
          <w:marLeft w:val="0"/>
          <w:marRight w:val="0"/>
          <w:marTop w:val="0"/>
          <w:marBottom w:val="0"/>
          <w:divBdr>
            <w:top w:val="none" w:sz="0" w:space="0" w:color="auto"/>
            <w:left w:val="none" w:sz="0" w:space="0" w:color="auto"/>
            <w:bottom w:val="none" w:sz="0" w:space="0" w:color="auto"/>
            <w:right w:val="none" w:sz="0" w:space="0" w:color="auto"/>
          </w:divBdr>
          <w:divsChild>
            <w:div w:id="730733960">
              <w:marLeft w:val="0"/>
              <w:marRight w:val="0"/>
              <w:marTop w:val="0"/>
              <w:marBottom w:val="0"/>
              <w:divBdr>
                <w:top w:val="none" w:sz="0" w:space="0" w:color="auto"/>
                <w:left w:val="none" w:sz="0" w:space="0" w:color="auto"/>
                <w:bottom w:val="none" w:sz="0" w:space="0" w:color="auto"/>
                <w:right w:val="none" w:sz="0" w:space="0" w:color="auto"/>
              </w:divBdr>
              <w:divsChild>
                <w:div w:id="9774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10363">
      <w:bodyDiv w:val="1"/>
      <w:marLeft w:val="0"/>
      <w:marRight w:val="0"/>
      <w:marTop w:val="0"/>
      <w:marBottom w:val="0"/>
      <w:divBdr>
        <w:top w:val="none" w:sz="0" w:space="0" w:color="auto"/>
        <w:left w:val="none" w:sz="0" w:space="0" w:color="auto"/>
        <w:bottom w:val="none" w:sz="0" w:space="0" w:color="auto"/>
        <w:right w:val="none" w:sz="0" w:space="0" w:color="auto"/>
      </w:divBdr>
    </w:div>
    <w:div w:id="1897738194">
      <w:bodyDiv w:val="1"/>
      <w:marLeft w:val="0"/>
      <w:marRight w:val="0"/>
      <w:marTop w:val="0"/>
      <w:marBottom w:val="0"/>
      <w:divBdr>
        <w:top w:val="none" w:sz="0" w:space="0" w:color="auto"/>
        <w:left w:val="none" w:sz="0" w:space="0" w:color="auto"/>
        <w:bottom w:val="none" w:sz="0" w:space="0" w:color="auto"/>
        <w:right w:val="none" w:sz="0" w:space="0" w:color="auto"/>
      </w:divBdr>
      <w:divsChild>
        <w:div w:id="1646355042">
          <w:marLeft w:val="0"/>
          <w:marRight w:val="0"/>
          <w:marTop w:val="0"/>
          <w:marBottom w:val="0"/>
          <w:divBdr>
            <w:top w:val="none" w:sz="0" w:space="0" w:color="auto"/>
            <w:left w:val="none" w:sz="0" w:space="0" w:color="auto"/>
            <w:bottom w:val="none" w:sz="0" w:space="0" w:color="auto"/>
            <w:right w:val="none" w:sz="0" w:space="0" w:color="auto"/>
          </w:divBdr>
          <w:divsChild>
            <w:div w:id="2004970840">
              <w:marLeft w:val="0"/>
              <w:marRight w:val="0"/>
              <w:marTop w:val="0"/>
              <w:marBottom w:val="0"/>
              <w:divBdr>
                <w:top w:val="none" w:sz="0" w:space="0" w:color="auto"/>
                <w:left w:val="none" w:sz="0" w:space="0" w:color="auto"/>
                <w:bottom w:val="none" w:sz="0" w:space="0" w:color="auto"/>
                <w:right w:val="none" w:sz="0" w:space="0" w:color="auto"/>
              </w:divBdr>
              <w:divsChild>
                <w:div w:id="7621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3746">
      <w:bodyDiv w:val="1"/>
      <w:marLeft w:val="0"/>
      <w:marRight w:val="0"/>
      <w:marTop w:val="0"/>
      <w:marBottom w:val="0"/>
      <w:divBdr>
        <w:top w:val="none" w:sz="0" w:space="0" w:color="auto"/>
        <w:left w:val="none" w:sz="0" w:space="0" w:color="auto"/>
        <w:bottom w:val="none" w:sz="0" w:space="0" w:color="auto"/>
        <w:right w:val="none" w:sz="0" w:space="0" w:color="auto"/>
      </w:divBdr>
    </w:div>
    <w:div w:id="2130395873">
      <w:bodyDiv w:val="1"/>
      <w:marLeft w:val="0"/>
      <w:marRight w:val="0"/>
      <w:marTop w:val="0"/>
      <w:marBottom w:val="0"/>
      <w:divBdr>
        <w:top w:val="none" w:sz="0" w:space="0" w:color="auto"/>
        <w:left w:val="none" w:sz="0" w:space="0" w:color="auto"/>
        <w:bottom w:val="none" w:sz="0" w:space="0" w:color="auto"/>
        <w:right w:val="none" w:sz="0" w:space="0" w:color="auto"/>
      </w:divBdr>
      <w:divsChild>
        <w:div w:id="231234433">
          <w:marLeft w:val="0"/>
          <w:marRight w:val="0"/>
          <w:marTop w:val="0"/>
          <w:marBottom w:val="0"/>
          <w:divBdr>
            <w:top w:val="none" w:sz="0" w:space="0" w:color="auto"/>
            <w:left w:val="none" w:sz="0" w:space="0" w:color="auto"/>
            <w:bottom w:val="none" w:sz="0" w:space="0" w:color="auto"/>
            <w:right w:val="none" w:sz="0" w:space="0" w:color="auto"/>
          </w:divBdr>
          <w:divsChild>
            <w:div w:id="1075667064">
              <w:marLeft w:val="-225"/>
              <w:marRight w:val="-225"/>
              <w:marTop w:val="0"/>
              <w:marBottom w:val="0"/>
              <w:divBdr>
                <w:top w:val="none" w:sz="0" w:space="0" w:color="auto"/>
                <w:left w:val="none" w:sz="0" w:space="0" w:color="auto"/>
                <w:bottom w:val="none" w:sz="0" w:space="0" w:color="auto"/>
                <w:right w:val="none" w:sz="0" w:space="0" w:color="auto"/>
              </w:divBdr>
              <w:divsChild>
                <w:div w:id="1762725360">
                  <w:marLeft w:val="0"/>
                  <w:marRight w:val="0"/>
                  <w:marTop w:val="0"/>
                  <w:marBottom w:val="0"/>
                  <w:divBdr>
                    <w:top w:val="none" w:sz="0" w:space="0" w:color="auto"/>
                    <w:left w:val="none" w:sz="0" w:space="0" w:color="auto"/>
                    <w:bottom w:val="none" w:sz="0" w:space="0" w:color="auto"/>
                    <w:right w:val="none" w:sz="0" w:space="0" w:color="auto"/>
                  </w:divBdr>
                  <w:divsChild>
                    <w:div w:id="21788720">
                      <w:marLeft w:val="0"/>
                      <w:marRight w:val="0"/>
                      <w:marTop w:val="0"/>
                      <w:marBottom w:val="0"/>
                      <w:divBdr>
                        <w:top w:val="none" w:sz="0" w:space="0" w:color="auto"/>
                        <w:left w:val="none" w:sz="0" w:space="0" w:color="auto"/>
                        <w:bottom w:val="none" w:sz="0" w:space="0" w:color="auto"/>
                        <w:right w:val="none" w:sz="0" w:space="0" w:color="auto"/>
                      </w:divBdr>
                      <w:divsChild>
                        <w:div w:id="551775123">
                          <w:marLeft w:val="-225"/>
                          <w:marRight w:val="-225"/>
                          <w:marTop w:val="0"/>
                          <w:marBottom w:val="0"/>
                          <w:divBdr>
                            <w:top w:val="none" w:sz="0" w:space="0" w:color="auto"/>
                            <w:left w:val="none" w:sz="0" w:space="0" w:color="auto"/>
                            <w:bottom w:val="none" w:sz="0" w:space="0" w:color="auto"/>
                            <w:right w:val="none" w:sz="0" w:space="0" w:color="auto"/>
                          </w:divBdr>
                          <w:divsChild>
                            <w:div w:id="1498572601">
                              <w:marLeft w:val="0"/>
                              <w:marRight w:val="0"/>
                              <w:marTop w:val="0"/>
                              <w:marBottom w:val="0"/>
                              <w:divBdr>
                                <w:top w:val="none" w:sz="0" w:space="0" w:color="auto"/>
                                <w:left w:val="none" w:sz="0" w:space="0" w:color="auto"/>
                                <w:bottom w:val="none" w:sz="0" w:space="0" w:color="auto"/>
                                <w:right w:val="none" w:sz="0" w:space="0" w:color="auto"/>
                              </w:divBdr>
                              <w:divsChild>
                                <w:div w:id="1178083206">
                                  <w:marLeft w:val="0"/>
                                  <w:marRight w:val="0"/>
                                  <w:marTop w:val="0"/>
                                  <w:marBottom w:val="0"/>
                                  <w:divBdr>
                                    <w:top w:val="none" w:sz="0" w:space="0" w:color="auto"/>
                                    <w:left w:val="none" w:sz="0" w:space="0" w:color="auto"/>
                                    <w:bottom w:val="none" w:sz="0" w:space="0" w:color="auto"/>
                                    <w:right w:val="none" w:sz="0" w:space="0" w:color="auto"/>
                                  </w:divBdr>
                                  <w:divsChild>
                                    <w:div w:id="1339036275">
                                      <w:marLeft w:val="0"/>
                                      <w:marRight w:val="0"/>
                                      <w:marTop w:val="0"/>
                                      <w:marBottom w:val="0"/>
                                      <w:divBdr>
                                        <w:top w:val="none" w:sz="0" w:space="0" w:color="auto"/>
                                        <w:left w:val="none" w:sz="0" w:space="0" w:color="auto"/>
                                        <w:bottom w:val="none" w:sz="0" w:space="0" w:color="auto"/>
                                        <w:right w:val="none" w:sz="0" w:space="0" w:color="auto"/>
                                      </w:divBdr>
                                      <w:divsChild>
                                        <w:div w:id="15731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191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office@isa.gov.au" TargetMode="External"/><Relationship Id="rId26" Type="http://schemas.openxmlformats.org/officeDocument/2006/relationships/image" Target="media/image6.png"/><Relationship Id="rId39" Type="http://schemas.openxmlformats.org/officeDocument/2006/relationships/hyperlink" Target="https://www.abs.gov.au/AUSSTATS/abs@.nsf/Latestproducts/8165.0Main%20Features2June%202014%20to%20June%202018?opendocument&amp;tabname=Summary&amp;prodno=8165.0&amp;issue=June%202014%20to%20June%202018&amp;num=&amp;view="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yperlink" Target="http://www.oecd.org/pisa/data/"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industry.gov.au/iisa" TargetMode="External"/><Relationship Id="rId25" Type="http://schemas.openxmlformats.org/officeDocument/2006/relationships/hyperlink" Target="https://sustainabledevelopment.un.org/tfm" TargetMode="External"/><Relationship Id="rId33" Type="http://schemas.openxmlformats.org/officeDocument/2006/relationships/image" Target="media/image12.png"/><Relationship Id="rId38" Type="http://schemas.openxmlformats.org/officeDocument/2006/relationships/hyperlink" Target="https://dochub/prod.protected.ind/dochub/DocHubShare/EAS/Business%20Functions/Data%20and%20Analytical%20Services/Innovation%20Research/AIS-Beta/entrepreneurship/firm-growth/index.html"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hyperlink" Target="http://www.oecd.org/sdd/39974599.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www.oecd.org/sti/inno-stats.htm)." TargetMode="External"/><Relationship Id="rId40" Type="http://schemas.openxmlformats.org/officeDocument/2006/relationships/hyperlink" Target="http://www.oecd.org/sdd/39974599.pdf" TargetMode="Externa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yperlink" Target="https://mseq.vc/" TargetMode="External"/><Relationship Id="rId36" Type="http://schemas.openxmlformats.org/officeDocument/2006/relationships/hyperlink" Target="https://doi.org/10.1787/888933930193"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doi.org/10.1787/888933930193" TargetMode="External"/><Relationship Id="rId43" Type="http://schemas.openxmlformats.org/officeDocument/2006/relationships/hyperlink" Target="https://data.oecd.org/lprdty/multifactor-productivity.htm" TargetMode="External"/><Relationship Id="rId48" Type="http://schemas.openxmlformats.org/officeDocument/2006/relationships/footer" Target="footer6.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26" Type="http://schemas.openxmlformats.org/officeDocument/2006/relationships/hyperlink" Target="https://dochub/div/officeinnovationscienceaustralia/programmesprojectstaskforces/gisp/docs/www.europarl.europa.eu/doceo/document/TA-8-2019-0396_EN.pdf" TargetMode="External"/><Relationship Id="rId117" Type="http://schemas.openxmlformats.org/officeDocument/2006/relationships/hyperlink" Target="http://www.industry.gov.au/sites/default/files/2020-02/stimulating-business-investment-in-innovation.pdf" TargetMode="External"/><Relationship Id="rId21" Type="http://schemas.openxmlformats.org/officeDocument/2006/relationships/hyperlink" Target="http://www.oecd.org/sti/inno/47737209.pdf" TargetMode="External"/><Relationship Id="rId42" Type="http://schemas.openxmlformats.org/officeDocument/2006/relationships/hyperlink" Target="https://dochub/div/officeinnovationscienceaustralia/programmesprojectstaskforces/gisp/docs/www.kistep.re.kr/en/c2/sub1_4.jsp" TargetMode="External"/><Relationship Id="rId47" Type="http://schemas.openxmlformats.org/officeDocument/2006/relationships/hyperlink" Target="http://www.oecd.org/publications/the-innovation-imperative-9789264239814-en.htm" TargetMode="External"/><Relationship Id="rId63" Type="http://schemas.openxmlformats.org/officeDocument/2006/relationships/hyperlink" Target="http://www.oecd-ilibrary.org/economics/oecd-economic-surveys-australia-2017_eco_surveys-aus-2017-en" TargetMode="External"/><Relationship Id="rId68" Type="http://schemas.openxmlformats.org/officeDocument/2006/relationships/hyperlink" Target="https://doi.org/10.1787/2b3bc558-en" TargetMode="External"/><Relationship Id="rId84" Type="http://schemas.openxmlformats.org/officeDocument/2006/relationships/hyperlink" Target="https://doi.org/10.1787/2b3bc558-en" TargetMode="External"/><Relationship Id="rId89" Type="http://schemas.openxmlformats.org/officeDocument/2006/relationships/hyperlink" Target="https://arena.gov.au/assets/2019/09/2019-22-arena-general-funding-strategy.pdf" TargetMode="External"/><Relationship Id="rId112" Type="http://schemas.openxmlformats.org/officeDocument/2006/relationships/hyperlink" Target="https://dochub/div/officeinnovationscienceaustralia/programmesprojectstaskforces/gisp/docs/www.arc.gov.au/sites/default/files/media-assets/anzsrc_review_discussion_paper.pdf" TargetMode="External"/><Relationship Id="rId133" Type="http://schemas.openxmlformats.org/officeDocument/2006/relationships/hyperlink" Target="http://www.csiro.au/en/Showcase/ANO" TargetMode="External"/><Relationship Id="rId138" Type="http://schemas.openxmlformats.org/officeDocument/2006/relationships/hyperlink" Target="https://dochub/div/officeinnovationscienceaustralia/programmesprojectstaskforces/gisp/docs/www.industry.gov.au/sites/g/files/net3906/f/2018-10/performance-review-of-the-australian-innovation-science-and-research-system-isa.pdf" TargetMode="External"/><Relationship Id="rId154" Type="http://schemas.openxmlformats.org/officeDocument/2006/relationships/hyperlink" Target="https://dochub/div/officeinnovationscienceaustralia/programmesprojectstaskforces/gisp/docs/www.abs.gov.au/ausstats/abs@&#8204;.nsf/66f306f503e529a5ca25697e0017661f/22E4C184CA111129CA25697E0018FD78?opendocument" TargetMode="External"/><Relationship Id="rId16" Type="http://schemas.openxmlformats.org/officeDocument/2006/relationships/hyperlink" Target="http://www.pc.gov.au/inquiries/completed/productivity-review/report/productivity-review-supporting12.pdf" TargetMode="External"/><Relationship Id="rId107" Type="http://schemas.openxmlformats.org/officeDocument/2006/relationships/hyperlink" Target="https://dochub/div/officeinnovationscienceaustralia/programmesprojectstaskforces/gisp/docs/www.army.gov.au/our-work/strategic-partnerships/diggerworks" TargetMode="External"/><Relationship Id="rId11" Type="http://schemas.openxmlformats.org/officeDocument/2006/relationships/hyperlink" Target="http://www.industry.gov.au/sites/&#8204;g/files/net3906/f/May%202018/document/pdf/australia-2030-prosperity-through-innovation-full-report.pdf" TargetMode="External"/><Relationship Id="rId32" Type="http://schemas.openxmlformats.org/officeDocument/2006/relationships/hyperlink" Target="https://doi.org/10.1787/2b3bc558-en" TargetMode="External"/><Relationship Id="rId37" Type="http://schemas.openxmlformats.org/officeDocument/2006/relationships/hyperlink" Target="https://dochub/div/officeinnovationscienceaustralia/programmesprojectstaskforces/gisp/docs/www.latrobe.edu.au/news/articles/2010/article/hexima-cutting-edge-glasshouse-opens" TargetMode="External"/><Relationship Id="rId53" Type="http://schemas.openxmlformats.org/officeDocument/2006/relationships/hyperlink" Target="https://doi.org/10.1787/2b3bc558-en" TargetMode="External"/><Relationship Id="rId58" Type="http://schemas.openxmlformats.org/officeDocument/2006/relationships/hyperlink" Target="https://www.aph.gov.au/Parliamentary_Business/Committees/Senate/Economics/Innovation_System/Report" TargetMode="External"/><Relationship Id="rId74" Type="http://schemas.openxmlformats.org/officeDocument/2006/relationships/hyperlink" Target="https://doi.org/10.1787/2b3bc558-en" TargetMode="External"/><Relationship Id="rId79" Type="http://schemas.openxmlformats.org/officeDocument/2006/relationships/hyperlink" Target="http://www.industry.gov.au/sites/&#8204;g/files/net3906/f/May%202018/document/pdf/australia-2030-prosperity-through-innovation-full-report.pdf" TargetMode="External"/><Relationship Id="rId102" Type="http://schemas.openxmlformats.org/officeDocument/2006/relationships/hyperlink" Target="https://www.industry.gov.au/sites/default/files/2019-09/2019-20-sri-budget-tables.xlsx" TargetMode="External"/><Relationship Id="rId123" Type="http://schemas.openxmlformats.org/officeDocument/2006/relationships/hyperlink" Target="http://www.industry.gov.au/data-and-publications/staff-research-papers/entrepreneurship-dynamics-in-australia-lessons-from-micro-data" TargetMode="External"/><Relationship Id="rId128" Type="http://schemas.openxmlformats.org/officeDocument/2006/relationships/hyperlink" Target="http://www.aph.gov.au/About_Parliament/Parliamentary_Departments/&#8204;Parliamentary_Library/pubs/BriefingBook45p/MigrationFlows" TargetMode="External"/><Relationship Id="rId144" Type="http://schemas.openxmlformats.org/officeDocument/2006/relationships/hyperlink" Target="https://dochub/div/officeinnovationscienceaustralia/programmesprojectstaskforces/gisp/docs/www.industry.gov.au/sites/g/files/net3906/f/2018-10/performance-review-of-the-australian-innovation-science-and-research-system-isa.pdf" TargetMode="External"/><Relationship Id="rId149" Type="http://schemas.openxmlformats.org/officeDocument/2006/relationships/hyperlink" Target="https://doi.org/10.1787/9789264013100-en" TargetMode="External"/><Relationship Id="rId5" Type="http://schemas.openxmlformats.org/officeDocument/2006/relationships/hyperlink" Target="http://www.gov.uk/government/publications/industrial-strategy-building-a-britain-fit-for-the-future" TargetMode="External"/><Relationship Id="rId90" Type="http://schemas.openxmlformats.org/officeDocument/2006/relationships/hyperlink" Target="https://www.dst.defence.gov.au/sites/default/files/basic_pages/documents/Technical-Risk-Assessment-Handbook_2.pdf" TargetMode="External"/><Relationship Id="rId95" Type="http://schemas.openxmlformats.org/officeDocument/2006/relationships/hyperlink" Target="https://parlinfo.aph.gov.au/parlInfo/download/committees/reportrep/024212/toc_pdf/AustralianGovernmentFundingArrangementsfornon-NHMRCResearch.pdf;fileType=application%2Fpdf" TargetMode="External"/><Relationship Id="rId22" Type="http://schemas.openxmlformats.org/officeDocument/2006/relationships/hyperlink" Target="https://dochub/div/officeinnovationscienceaustralia/programmesprojectstaskforces/gisp/docs/www.oecd.org/education/ceri/The%20Nature%20of%20Policy%20Change%20and%20Implementation.pdf" TargetMode="External"/><Relationship Id="rId27" Type="http://schemas.openxmlformats.org/officeDocument/2006/relationships/hyperlink" Target="https://doi.org/10.1787/2b3bc558-en" TargetMode="External"/><Relationship Id="rId43" Type="http://schemas.openxmlformats.org/officeDocument/2006/relationships/hyperlink" Target="http://www.tbs-sct.gc.ca/pol/doc-eng.aspx?id=31300" TargetMode="External"/><Relationship Id="rId48" Type="http://schemas.openxmlformats.org/officeDocument/2006/relationships/hyperlink" Target="https://sciencebusiness.net/system/files/reports/Why-fund-research_.pdf" TargetMode="External"/><Relationship Id="rId64" Type="http://schemas.openxmlformats.org/officeDocument/2006/relationships/hyperlink" Target="http://www.pc.gov.au/inquiries/completed/productivity-review/report/productivity-review-supporting12.pdf" TargetMode="External"/><Relationship Id="rId69" Type="http://schemas.openxmlformats.org/officeDocument/2006/relationships/hyperlink" Target="https://doi.org/10.1787/sti_in_outlook-2018-en" TargetMode="External"/><Relationship Id="rId113" Type="http://schemas.openxmlformats.org/officeDocument/2006/relationships/hyperlink" Target="https://data.nsw.gov.au/nsw-data-analytics-centre" TargetMode="External"/><Relationship Id="rId118" Type="http://schemas.openxmlformats.org/officeDocument/2006/relationships/hyperlink" Target="http://www.industry.gov.au/sites/default/files/2020-02/australian-business-investment-in-innovation-levels-trends-and-drivers.pdf" TargetMode="External"/><Relationship Id="rId134" Type="http://schemas.openxmlformats.org/officeDocument/2006/relationships/hyperlink" Target="http://www.industry.gov.au/sites/default/files/2020-02/stimulating-business-investment-in-innovation.pdf" TargetMode="External"/><Relationship Id="rId139" Type="http://schemas.openxmlformats.org/officeDocument/2006/relationships/hyperlink" Target="https://ec.europa.eu/economy_finance/publications/pages/publication15847_en.pdf" TargetMode="External"/><Relationship Id="rId80" Type="http://schemas.openxmlformats.org/officeDocument/2006/relationships/hyperlink" Target="http://www.industry.gov.au/sites/&#8204;g/files/net3906/f/May%202018/document/pdf/australia-2030-prosperity-through-innovation-full-report.pdf" TargetMode="External"/><Relationship Id="rId85" Type="http://schemas.openxmlformats.org/officeDocument/2006/relationships/hyperlink" Target="https://doi.org/10.1787/a4c9197a-en" TargetMode="External"/><Relationship Id="rId150" Type="http://schemas.openxmlformats.org/officeDocument/2006/relationships/hyperlink" Target="http://www.industry.gov.au/sites/default/files/2020-02/stimulating-business-investment-in-innovation.pdf" TargetMode="External"/><Relationship Id="rId155" Type="http://schemas.openxmlformats.org/officeDocument/2006/relationships/hyperlink" Target="https://dochub/div/officeinnovationscienceaustralia/programmesprojectstaskforces/gisp/docs/www.industry.gov.au/sites/default/files/2018-10/performance-review-of-the-australian-innovation-science-and-research-system-isa.pdf" TargetMode="External"/><Relationship Id="rId12" Type="http://schemas.openxmlformats.org/officeDocument/2006/relationships/hyperlink" Target="https://parlinfo.aph.gov.au/parlInfo/download/committees/reportrep/024212/toc_pdf/AustralianGovernmentFundingArrangementsfornon-NHMRCResearch.pdf;fileType=application%2Fpdf" TargetMode="External"/><Relationship Id="rId17" Type="http://schemas.openxmlformats.org/officeDocument/2006/relationships/hyperlink" Target="http://www.industry.gov.au/sites/default/files/2020-02/stimulating-business-investment-in-innovation.pdf" TargetMode="External"/><Relationship Id="rId33" Type="http://schemas.openxmlformats.org/officeDocument/2006/relationships/hyperlink" Target="http://www.ukri.org/innovation/industrial-strategy-challenge-fund" TargetMode="External"/><Relationship Id="rId38" Type="http://schemas.openxmlformats.org/officeDocument/2006/relationships/hyperlink" Target="http://www.science.org.au/education/history-australian-science/nobel-australians" TargetMode="External"/><Relationship Id="rId59" Type="http://schemas.openxmlformats.org/officeDocument/2006/relationships/hyperlink" Target="https://www.aph.gov.au/Parliamentary_Business/Committees/Senate/Economics/Innovation_System/Report" TargetMode="External"/><Relationship Id="rId103" Type="http://schemas.openxmlformats.org/officeDocument/2006/relationships/hyperlink" Target="https://www.industry.gov.au/sites/default/files/2019-09/2019-20-sri-budget-tables.xlsx" TargetMode="External"/><Relationship Id="rId108" Type="http://schemas.openxmlformats.org/officeDocument/2006/relationships/hyperlink" Target="https://dochub/div/officeinnovationscienceaustralia/programmesprojectstaskforces/gisp/docs/www.minister.defence.gov.au/minister/melissa-price/media-releases/world-first-deployable-3d-printers-defence" TargetMode="External"/><Relationship Id="rId124" Type="http://schemas.openxmlformats.org/officeDocument/2006/relationships/hyperlink" Target="http://www.industry.gov.au/data-and-publications/staff-research-papers/entrepreneurship-dynamics-in-australia-lessons-from-micro-data" TargetMode="External"/><Relationship Id="rId129" Type="http://schemas.openxmlformats.org/officeDocument/2006/relationships/hyperlink" Target="http://www.abs.gov.au/AUSSTATS/abs@.nsf/Latestproducts/8104.0Main%20Features22017-18?opendocument&amp;tabname=Summary&amp;prodno=8104.0&amp;issue=2017-18&amp;num=&amp;view" TargetMode="External"/><Relationship Id="rId20" Type="http://schemas.openxmlformats.org/officeDocument/2006/relationships/hyperlink" Target="https://publications.parliament.uk/pa/cm201719/cmselect/cmsctech/1453/1453.pdf" TargetMode="External"/><Relationship Id="rId41" Type="http://schemas.openxmlformats.org/officeDocument/2006/relationships/hyperlink" Target="https://www.aph.gov.au/Parliamentary_Business/Committees/Senate/Economics/Innovation_System/Report" TargetMode="External"/><Relationship Id="rId54" Type="http://schemas.openxmlformats.org/officeDocument/2006/relationships/hyperlink" Target="https://doi.org/10.1787/2b3bc558-en" TargetMode="External"/><Relationship Id="rId62" Type="http://schemas.openxmlformats.org/officeDocument/2006/relationships/hyperlink" Target="http://www.pc.gov.au/inquiries/completed/productivity-review/report/productivity-review-supporting12.pdf" TargetMode="External"/><Relationship Id="rId70" Type="http://schemas.openxmlformats.org/officeDocument/2006/relationships/hyperlink" Target="https://doi.org/10.1787/sti_in_outlook-2018-en" TargetMode="External"/><Relationship Id="rId75" Type="http://schemas.openxmlformats.org/officeDocument/2006/relationships/hyperlink" Target="http://www.pc.gov.au/inquiries/completed/productivity-review/report/productivity-review-supporting12.pdf" TargetMode="External"/><Relationship Id="rId83" Type="http://schemas.openxmlformats.org/officeDocument/2006/relationships/hyperlink" Target="https://doi.org/10.1787/2b3bc558-en" TargetMode="External"/><Relationship Id="rId88" Type="http://schemas.openxmlformats.org/officeDocument/2006/relationships/hyperlink" Target="https://doi.org/10.1787/a4c9197a-en" TargetMode="External"/><Relationship Id="rId91" Type="http://schemas.openxmlformats.org/officeDocument/2006/relationships/hyperlink" Target="https://dochub/div/officeinnovationscienceaustralia/programmesprojectstaskforces/gisp/docs/www.business.gov.au/Grants-and-Programs/Entrepreneurs-Programme" TargetMode="External"/><Relationship Id="rId96" Type="http://schemas.openxmlformats.org/officeDocument/2006/relationships/hyperlink" Target="https://www.industry.gov.au/sites/default/files/2019-09/2019-20-sri-budget-tables.xlsx" TargetMode="External"/><Relationship Id="rId111" Type="http://schemas.openxmlformats.org/officeDocument/2006/relationships/hyperlink" Target="https://dochub/div/officeinnovationscienceaustralia/programmesprojectstaskforces/gisp/docs/www.abs.gov.au/Ausstats/abs@.nsf/Latestproducts/1297.0Main%20Features32008" TargetMode="External"/><Relationship Id="rId132" Type="http://schemas.openxmlformats.org/officeDocument/2006/relationships/hyperlink" Target="http://dx.doi.org/10.1787/9789264265097-en" TargetMode="External"/><Relationship Id="rId140" Type="http://schemas.openxmlformats.org/officeDocument/2006/relationships/hyperlink" Target="https://dochub/div/officeinnovationscienceaustralia/programmesprojectstaskforces/gisp/docs/www.abs.gov.au/ausstats/abs@.nsf/&#8204;66f306f503e529a5ca25697e0017661f/22E4C184CA111129CA25697E0018FD78?opendocument" TargetMode="External"/><Relationship Id="rId145" Type="http://schemas.openxmlformats.org/officeDocument/2006/relationships/hyperlink" Target="https://dochub/div/officeinnovationscienceaustralia/programmesprojectstaskforces/gisp/docs/www.industry.gov.au/sites/g/files/net3906/f/2018-10/performance-review-of-the-australian-innovation-science-and-research-system-isa.pdf" TargetMode="External"/><Relationship Id="rId153" Type="http://schemas.openxmlformats.org/officeDocument/2006/relationships/hyperlink" Target="https://doi.org/10.1787/9789264013100-en" TargetMode="External"/><Relationship Id="rId1" Type="http://schemas.openxmlformats.org/officeDocument/2006/relationships/hyperlink" Target="https://read.oecd-ilibrary.org/science-and-technology/the-innovation-imperative_9789264239814-en" TargetMode="External"/><Relationship Id="rId6" Type="http://schemas.openxmlformats.org/officeDocument/2006/relationships/hyperlink" Target="https://community.oecd.org/docs/DOC-161275" TargetMode="External"/><Relationship Id="rId15" Type="http://schemas.openxmlformats.org/officeDocument/2006/relationships/hyperlink" Target="http://www.pc.gov.au/inquiries/completed/productivity-review/report/productivity-review-supporting12.pdf" TargetMode="External"/><Relationship Id="rId23" Type="http://schemas.openxmlformats.org/officeDocument/2006/relationships/hyperlink" Target="https://community.oecd.org/docs/DOC-161275" TargetMode="External"/><Relationship Id="rId28" Type="http://schemas.openxmlformats.org/officeDocument/2006/relationships/hyperlink" Target="http://www.industry.gov.au/sites/&#8204;g/files/net3906/f/May%202018/document/pdf/australia-2030-prosperity-through-innovation-full-report.pdf" TargetMode="External"/><Relationship Id="rId36" Type="http://schemas.openxmlformats.org/officeDocument/2006/relationships/hyperlink" Target="http://pv.cecs.anu.edu.au/sliver" TargetMode="External"/><Relationship Id="rId49" Type="http://schemas.openxmlformats.org/officeDocument/2006/relationships/hyperlink" Target="https://dochub/div/officeinnovationscienceaustralia/programmesprojectstaskforces/gisp/docs/www.nesta.org.uk/blog/fuelling-future-uk-innovation/?utm_source=Nesta+Weekly+Newsletter&amp;utm_campaign=668072b0f0-EMAIL_CAMPAIGN_2019_09_24_07_58&amp;utm_medium=email&amp;utm_term=0_d17364114d-668072b0f0-181938045" TargetMode="External"/><Relationship Id="rId57" Type="http://schemas.openxmlformats.org/officeDocument/2006/relationships/hyperlink" Target="http://www.oecd-ilibrary.org/economics/oecd-economic-surveys-australia-2017_eco_surveys-aus-2017-en" TargetMode="External"/><Relationship Id="rId106" Type="http://schemas.openxmlformats.org/officeDocument/2006/relationships/hyperlink" Target="https://parlinfo.aph.gov.au/parlInfo/download/library/prspub/5347385/upload_binary/5347385.pdf;fileType=application%2Fpdf" TargetMode="External"/><Relationship Id="rId114" Type="http://schemas.openxmlformats.org/officeDocument/2006/relationships/hyperlink" Target="http://www.rba.gov.au/chart-pack/pdf/chart-pack.pdf" TargetMode="External"/><Relationship Id="rId119" Type="http://schemas.openxmlformats.org/officeDocument/2006/relationships/hyperlink" Target="http://www.industry.gov.au/sites/default/files/2020-02/australian-business-investment-in-innovation-levels-trends-and-drivers.pdf" TargetMode="External"/><Relationship Id="rId127" Type="http://schemas.openxmlformats.org/officeDocument/2006/relationships/hyperlink" Target="http://www.rba.gov.au/publications/smp/2020/feb/" TargetMode="External"/><Relationship Id="rId10" Type="http://schemas.openxmlformats.org/officeDocument/2006/relationships/hyperlink" Target="http://www.industry.gov.au/sites/&#8204;g/files/net3906/f/May%202018/document/pdf/australia-2030-prosperity-through-innovation-full-report.pdf" TargetMode="External"/><Relationship Id="rId31" Type="http://schemas.openxmlformats.org/officeDocument/2006/relationships/hyperlink" Target="https://community.oecd.org/docs/DOC-161275" TargetMode="External"/><Relationship Id="rId44" Type="http://schemas.openxmlformats.org/officeDocument/2006/relationships/hyperlink" Target="http://www.canada.ca/en/treasury-board-secretariat/services/audit-evaluation/centre-excellence-evaluation/about-centre-excellence-evaluation.html" TargetMode="External"/><Relationship Id="rId52" Type="http://schemas.openxmlformats.org/officeDocument/2006/relationships/hyperlink" Target="https://doi.org/10.1787/2b3bc558-en" TargetMode="External"/><Relationship Id="rId60" Type="http://schemas.openxmlformats.org/officeDocument/2006/relationships/hyperlink" Target="http://www.industry.gov.au/sites/&#8204;g/files/net3906/f/May%202018/document/pdf/australia-2030-prosperity-through-innovation-full-report.pdf" TargetMode="External"/><Relationship Id="rId65" Type="http://schemas.openxmlformats.org/officeDocument/2006/relationships/hyperlink" Target="https://dochub/div/officeinnovationscienceaustralia/programmesprojectstaskforces/gisp/docs/www.industry.gov.au/data-and-publications/national-innovation-and-science-agenda-report;%20Innovation%20and%20Science%20at%20the%20centre%20of%20Government" TargetMode="External"/><Relationship Id="rId73" Type="http://schemas.openxmlformats.org/officeDocument/2006/relationships/hyperlink" Target="https://parlinfo.aph.gov.au/parlInfo/download/committees/reportrep/024212/toc_pdf/AustralianGovernmentFundingArrangementsfornon-NHMRCResearch.pdf;fileType=application%2Fpdf" TargetMode="External"/><Relationship Id="rId78" Type="http://schemas.openxmlformats.org/officeDocument/2006/relationships/hyperlink" Target="https://dochub/div/officeinnovationscienceaustralia/programmesprojectstaskforces/gisp/docs/www.abs.gov.au/ausstats/abs@.nsf/66f306f503e529a5ca25&#8204;697e0017661f/22E4C184CA111129CA25697E0018FD78?opendocument" TargetMode="External"/><Relationship Id="rId81" Type="http://schemas.openxmlformats.org/officeDocument/2006/relationships/hyperlink" Target="https://parlinfo.aph.gov.au/parlInfo/download/committees/reportrep/024212/toc_pdf/AustralianGovernmentFundingArrangementsfornon-NHMRCResearch.pdf;fileType=application%2Fpdf" TargetMode="External"/><Relationship Id="rId86" Type="http://schemas.openxmlformats.org/officeDocument/2006/relationships/hyperlink" Target="https://doi.org/10.1787/2b3bc558-en" TargetMode="External"/><Relationship Id="rId94" Type="http://schemas.openxmlformats.org/officeDocument/2006/relationships/hyperlink" Target="https://doi.org/10.1787/2b3bc558-en" TargetMode="External"/><Relationship Id="rId99" Type="http://schemas.openxmlformats.org/officeDocument/2006/relationships/hyperlink" Target="https://www.industry.gov.au/sites/default/files/2019-09/2019-20-sri-budget-tables.xlsx" TargetMode="External"/><Relationship Id="rId101" Type="http://schemas.openxmlformats.org/officeDocument/2006/relationships/hyperlink" Target="http://www.ukri.org/innovation/industrial-strategy-challenge-fund" TargetMode="External"/><Relationship Id="rId122" Type="http://schemas.openxmlformats.org/officeDocument/2006/relationships/hyperlink" Target="http://www.industry.gov.au/sites/default/files/2018-12/oce-what-drives-high-growth-characteristics-of-australian-firms.pdf" TargetMode="External"/><Relationship Id="rId130" Type="http://schemas.openxmlformats.org/officeDocument/2006/relationships/hyperlink" Target="https://doi.org/10.1787/19991487" TargetMode="External"/><Relationship Id="rId135" Type="http://schemas.openxmlformats.org/officeDocument/2006/relationships/hyperlink" Target="http://www.pc.gov.au/research/supporting/productivity-growth/productivity-growth.pdf" TargetMode="External"/><Relationship Id="rId143" Type="http://schemas.openxmlformats.org/officeDocument/2006/relationships/hyperlink" Target="http://www.industry.gov.au/sites/default/files/2020-02/stimulating-business-investment-in-innovation.pdf" TargetMode="External"/><Relationship Id="rId148" Type="http://schemas.openxmlformats.org/officeDocument/2006/relationships/hyperlink" Target="http://www.industry.gov.au/sites/g/files/net3906/f/2018-10/performance-review-of-the-australian-innovation-science-and-research-system-isa.pdf" TargetMode="External"/><Relationship Id="rId151" Type="http://schemas.openxmlformats.org/officeDocument/2006/relationships/hyperlink" Target="https://doi.org/10.1787/9789264013100-en" TargetMode="External"/><Relationship Id="rId156" Type="http://schemas.openxmlformats.org/officeDocument/2006/relationships/hyperlink" Target="https://dochub/div/officeinnovationscienceaustralia/programmesprojectstaskforces/gisp/docs/www.industry.gov.au/sites/default/files/2018-10/performance-review-of-the-australian-innovation-science-and-research-system-isa.pdf" TargetMode="External"/><Relationship Id="rId4" Type="http://schemas.openxmlformats.org/officeDocument/2006/relationships/hyperlink" Target="https://publications.parliament.uk/pa/cm201719/cmselect/cmsctech/1453/1453.pdf" TargetMode="External"/><Relationship Id="rId9" Type="http://schemas.openxmlformats.org/officeDocument/2006/relationships/hyperlink" Target="https://dochub/div/officeinnovationscienceaustralia/programmesprojectstaskforces/gisp/docs/www.voced.edu.au/content/ngv%3A12472" TargetMode="External"/><Relationship Id="rId13" Type="http://schemas.openxmlformats.org/officeDocument/2006/relationships/hyperlink" Target="https://dochub/div/officeinnovationscienceaustralia/programmesprojectstaskforces/gisp/docs/www.industry.gov.au/data-and-publications/review-of-the-rd-tax-incentive" TargetMode="External"/><Relationship Id="rId18" Type="http://schemas.openxmlformats.org/officeDocument/2006/relationships/hyperlink" Target="https://dochub/div/officeinnovationscienceaustralia/programmesprojectstaskforces/gisp/docs/www.industry.gov.au/data-and-publications/science-research-and-innovation-sri-budget-tables" TargetMode="External"/><Relationship Id="rId39" Type="http://schemas.openxmlformats.org/officeDocument/2006/relationships/hyperlink" Target="https://dochub/div/officeinnovationscienceaustralia/programmesprojectstaskforces/gisp/docs/www.austrade.&#8204;gov.au/news/economic-analysis/global-benchmarking-shows-innovation-skills-power-australian-prosperity" TargetMode="External"/><Relationship Id="rId109" Type="http://schemas.openxmlformats.org/officeDocument/2006/relationships/hyperlink" Target="https://dochub/div/officeinnovationscienceaustralia/programmesprojectstaskforces/gisp/docs/www.tbs-sct.gc.ca/ems-sgd/edb-bdd/index-eng.html" TargetMode="External"/><Relationship Id="rId34" Type="http://schemas.openxmlformats.org/officeDocument/2006/relationships/hyperlink" Target="https://doi.org/10.1787/9789264277960-en" TargetMode="External"/><Relationship Id="rId50" Type="http://schemas.openxmlformats.org/officeDocument/2006/relationships/hyperlink" Target="https://www.aph.gov.au/Parliamentary_Business/Committees/Senate/Economics/Innovation_System/Report" TargetMode="External"/><Relationship Id="rId55" Type="http://schemas.openxmlformats.org/officeDocument/2006/relationships/hyperlink" Target="http://www.gov.uk/government/&#8204;collections/nurse-review-of-research-councils" TargetMode="External"/><Relationship Id="rId76" Type="http://schemas.openxmlformats.org/officeDocument/2006/relationships/hyperlink" Target="https://parlinfo.aph.gov.au/parlInfo/download/committees/reportrep/024212/toc_pdf/AustralianGovernmentFundingArrangementsfornon-NHMRCResearch.pdf;fileType=application%2Fpdf" TargetMode="External"/><Relationship Id="rId97" Type="http://schemas.openxmlformats.org/officeDocument/2006/relationships/hyperlink" Target="https://dochub/div/officeinnovationscienceaustralia/programmesprojectstaskforces/gisp/docs/www.ala.org.au/who-we-are-3/atlas-background/atlas-partners/ala-community/australian-biological-resources-study-abrs/" TargetMode="External"/><Relationship Id="rId104" Type="http://schemas.openxmlformats.org/officeDocument/2006/relationships/hyperlink" Target="https://dochub/div/officeinnovationscienceaustralia/programmesprojectstaskforces/gisp/docs/www.oecd.org/sti/msti.htm" TargetMode="External"/><Relationship Id="rId120" Type="http://schemas.openxmlformats.org/officeDocument/2006/relationships/hyperlink" Target="https://econpapers.repec.org/RePEc:ozl:journl:v:18:y:2015:i:3:p:345-374" TargetMode="External"/><Relationship Id="rId125" Type="http://schemas.openxmlformats.org/officeDocument/2006/relationships/hyperlink" Target="http://www.industry.gov.au/sites/default/files/2020-02/australian-business-investment-in-innovation-levels-trends-and-drivers.pdf" TargetMode="External"/><Relationship Id="rId141" Type="http://schemas.openxmlformats.org/officeDocument/2006/relationships/hyperlink" Target="https://dochub/div/officeinnovationscienceaustralia/programmesprojectstaskforces/gisp/docs/www.abs.gov.au/ausstats/abs@&#8204;.nsf/66f306f503e529a5ca25697e0017661f/22E4C184CA111129CA25697E0018FD78?opendocument" TargetMode="External"/><Relationship Id="rId146" Type="http://schemas.openxmlformats.org/officeDocument/2006/relationships/hyperlink" Target="https://publicpurpose.com.au/wp-content/uploads/2016/05/160405-8-Practices-for-Chris-Vanstone.pdf" TargetMode="External"/><Relationship Id="rId7" Type="http://schemas.openxmlformats.org/officeDocument/2006/relationships/hyperlink" Target="https://dochub/div/officeinnovationscienceaustralia/programmesprojectstaskforces/gisp/docs/www.voced.edu.au/content/ngv%3A6459" TargetMode="External"/><Relationship Id="rId71" Type="http://schemas.openxmlformats.org/officeDocument/2006/relationships/hyperlink" Target="https://doi.org/10.1787/2b3bc558-en" TargetMode="External"/><Relationship Id="rId92" Type="http://schemas.openxmlformats.org/officeDocument/2006/relationships/hyperlink" Target="https://www.weforum.org/agenda/2015/04/what-is-governments-role-in-sparking-innovation" TargetMode="External"/><Relationship Id="rId2" Type="http://schemas.openxmlformats.org/officeDocument/2006/relationships/hyperlink" Target="https://community.oecd.org/docs/DOC-161275" TargetMode="External"/><Relationship Id="rId29" Type="http://schemas.openxmlformats.org/officeDocument/2006/relationships/hyperlink" Target="https://doi.org/10.1787/235c9806-en" TargetMode="External"/><Relationship Id="rId24" Type="http://schemas.openxmlformats.org/officeDocument/2006/relationships/hyperlink" Target="https://dochub/div/officeinnovationscienceaustralia/programmesprojectstaskforces/gisp/docs/www.un.org/sustainabledevelopment/sustainable-development-goals/" TargetMode="External"/><Relationship Id="rId40" Type="http://schemas.openxmlformats.org/officeDocument/2006/relationships/hyperlink" Target="https://docs.education.gov.au/node/38976" TargetMode="External"/><Relationship Id="rId45" Type="http://schemas.openxmlformats.org/officeDocument/2006/relationships/hyperlink" Target="https://www.treasury.nsw.gov.au/budget-financial-management/reform/outcome-budgeting" TargetMode="External"/><Relationship Id="rId66" Type="http://schemas.openxmlformats.org/officeDocument/2006/relationships/hyperlink" Target="https://trove.nla.gov.au/people/1444624?c=people" TargetMode="External"/><Relationship Id="rId87" Type="http://schemas.openxmlformats.org/officeDocument/2006/relationships/hyperlink" Target="https://doi.org/10.1787/sti_in_outlook-2018-en" TargetMode="External"/><Relationship Id="rId110" Type="http://schemas.openxmlformats.org/officeDocument/2006/relationships/hyperlink" Target="https://doi.org/10.1787/9789264239012-en" TargetMode="External"/><Relationship Id="rId115" Type="http://schemas.openxmlformats.org/officeDocument/2006/relationships/hyperlink" Target="http://www.oecd.org/publications/the-innovation-imperative-9789264239814-en.htm" TargetMode="External"/><Relationship Id="rId131" Type="http://schemas.openxmlformats.org/officeDocument/2006/relationships/hyperlink" Target="http://www.conference-board.org/data/economydatabase/index.cfm?id=27770" TargetMode="External"/><Relationship Id="rId136" Type="http://schemas.openxmlformats.org/officeDocument/2006/relationships/hyperlink" Target="https://dochub/div/officeinnovationscienceaustralia/programmesprojectstaskforces/gisp/docs/www.industry.gov.au/sites/g/files/net3906/f/2018-10/performance-review-of-the-australian-innovation-science-and-research-system-isa.pdf" TargetMode="External"/><Relationship Id="rId157" Type="http://schemas.openxmlformats.org/officeDocument/2006/relationships/hyperlink" Target="https://dochub/div/officeinnovationscienceaustralia/programmesprojectstaskforces/gisp/docs/www.industry.gov.au/data-and-publications/science-research-and-innovation-sri-budget-tables" TargetMode="External"/><Relationship Id="rId61" Type="http://schemas.openxmlformats.org/officeDocument/2006/relationships/hyperlink" Target="https://parlinfo.aph.gov.au/parlInfo/download/committees/reportrep/024212/toc_pdf/AustralianGovernmentFundingArrangementsfornon-NHMRCResearch.pdf;fileType=application%2Fpdf" TargetMode="External"/><Relationship Id="rId82" Type="http://schemas.openxmlformats.org/officeDocument/2006/relationships/hyperlink" Target="https://doi.org/10.1787/2b3bc558-en" TargetMode="External"/><Relationship Id="rId152" Type="http://schemas.openxmlformats.org/officeDocument/2006/relationships/hyperlink" Target="https://doi.org/10.1787/9789264013100-en" TargetMode="External"/><Relationship Id="rId19" Type="http://schemas.openxmlformats.org/officeDocument/2006/relationships/hyperlink" Target="https://doi.org/10.1787/9789264239012-en" TargetMode="External"/><Relationship Id="rId14" Type="http://schemas.openxmlformats.org/officeDocument/2006/relationships/hyperlink" Target="http://www.industry.gov.au/sites/&#8204;g/files/net3906/f/May%202018/document/pdf/australia-2030-prosperity-through-innovation-full-report.pdf" TargetMode="External"/><Relationship Id="rId30" Type="http://schemas.openxmlformats.org/officeDocument/2006/relationships/hyperlink" Target="https://community.oecd.org/docs/DOC-161275" TargetMode="External"/><Relationship Id="rId35" Type="http://schemas.openxmlformats.org/officeDocument/2006/relationships/hyperlink" Target="https://dochub/div/officeinnovationscienceaustralia/programmesprojectstaskforces/gisp/docs/www.newcastle.edu.au/research-and-innovation/innovation/archived/&#8204;newcastle-innovation/engagement-with-partners/the-jameson-cell-for-flotation-of-minerals-and-coal" TargetMode="External"/><Relationship Id="rId56" Type="http://schemas.openxmlformats.org/officeDocument/2006/relationships/hyperlink" Target="https://doi.org/10.1787/2b3bc558-en" TargetMode="External"/><Relationship Id="rId77" Type="http://schemas.openxmlformats.org/officeDocument/2006/relationships/hyperlink" Target="https://parlinfo.aph.gov.au/parlInfo/download/committees/reportrep/024212/toc_pdf/AustralianGovernmentFundingArrangementsfornon-NHMRCResearch.pdf;fileType=application%2Fpdf" TargetMode="External"/><Relationship Id="rId100" Type="http://schemas.openxmlformats.org/officeDocument/2006/relationships/hyperlink" Target="https://dochub/div/officeinnovationscienceaustralia/programmesprojectstaskforces/gisp/docs/www.mbie.govt.nz/dmsdocument/6935-new-zealands-research-science-and-innovation-strategydraft-for-consultation" TargetMode="External"/><Relationship Id="rId105" Type="http://schemas.openxmlformats.org/officeDocument/2006/relationships/hyperlink" Target="https://archive.budget.gov.au/2017-18/bp4/Budget2017-18_BP4.pdf" TargetMode="External"/><Relationship Id="rId126" Type="http://schemas.openxmlformats.org/officeDocument/2006/relationships/hyperlink" Target="http://www.industry.gov.au/sites/default/files/2020-02/stimulating-business-investment-in-innovation.pdf" TargetMode="External"/><Relationship Id="rId147" Type="http://schemas.openxmlformats.org/officeDocument/2006/relationships/hyperlink" Target="https://doi.org/10.1787/9789264013100-en" TargetMode="External"/><Relationship Id="rId8" Type="http://schemas.openxmlformats.org/officeDocument/2006/relationships/hyperlink" Target="https://catalogue.nla.gov.au/Record/3257753" TargetMode="External"/><Relationship Id="rId51" Type="http://schemas.openxmlformats.org/officeDocument/2006/relationships/hyperlink" Target="https://publications.industry.gov.au/publications/nationalsciencestatement/index.html" TargetMode="External"/><Relationship Id="rId72" Type="http://schemas.openxmlformats.org/officeDocument/2006/relationships/hyperlink" Target="https://community.oecd.org/docs/DOC-161275" TargetMode="External"/><Relationship Id="rId93" Type="http://schemas.openxmlformats.org/officeDocument/2006/relationships/hyperlink" Target="https://www.weforum.org/agenda/2015/04/what-is-governments-role-in-sparking-innovation" TargetMode="External"/><Relationship Id="rId98" Type="http://schemas.openxmlformats.org/officeDocument/2006/relationships/hyperlink" Target="https://dochub/div/officeinnovationscienceaustralia/programmesprojectstaskforces/gisp/docs/www.health.gov.au/initiatives-and-programs/medical-research-future-fund" TargetMode="External"/><Relationship Id="rId121" Type="http://schemas.openxmlformats.org/officeDocument/2006/relationships/hyperlink" Target="http://www.industry.gov.au/sites/default/files/2020-02/australian-business-investment-in-innovation-levels-trends-and-drivers.pdf" TargetMode="External"/><Relationship Id="rId142" Type="http://schemas.openxmlformats.org/officeDocument/2006/relationships/hyperlink" Target="https://dochub/div/officeinnovationscienceaustralia/programmesprojectstaskforces/gisp/docs/www.industry.gov.au/sites/g/files/net3906/f/2018-10/performance-review-of-the-australian-innovation-science-and-research-system-isa.pdf" TargetMode="External"/><Relationship Id="rId3" Type="http://schemas.openxmlformats.org/officeDocument/2006/relationships/hyperlink" Target="http://www.gov.uk/government/&#8204;collections/nurse-review-of-research-councils" TargetMode="External"/><Relationship Id="rId25" Type="http://schemas.openxmlformats.org/officeDocument/2006/relationships/hyperlink" Target="https://sustainabledevelopment.un.org/tfm" TargetMode="External"/><Relationship Id="rId46" Type="http://schemas.openxmlformats.org/officeDocument/2006/relationships/hyperlink" Target="https://dochub/div/officeinnovationscienceaustralia/programmesprojectstaskforces/gisp/docs/www.themandarin.com.au/127142-outcome-budgeting-calls-for-cultural-and-behavioural-shift-nsw-treasury-says/?utm_source=TheJuice&amp;utm_medium=email&amp;utm_source=newsletter&amp;utm_type=mandarin" TargetMode="External"/><Relationship Id="rId67" Type="http://schemas.openxmlformats.org/officeDocument/2006/relationships/hyperlink" Target="https://doi.org/10.1787/2b3bc558-en" TargetMode="External"/><Relationship Id="rId116" Type="http://schemas.openxmlformats.org/officeDocument/2006/relationships/hyperlink" Target="http://www.industry.gov.au/sites/g/files/net3906/f/2018-10/performance-review-of-the-australian-innovation-science-and-research-system-isa.pdf" TargetMode="External"/><Relationship Id="rId137" Type="http://schemas.openxmlformats.org/officeDocument/2006/relationships/hyperlink" Target="https://dochub/div/officeinnovationscienceaustralia/programmesprojectstaskforces/gisp/docs/www.abs.gov.au/ausstats/abs@.nsf/66f306f503e529a5ca25697e0017661f/22E4C184CA111129CA25697E0018FD78?opendocument" TargetMode="External"/><Relationship Id="rId158" Type="http://schemas.openxmlformats.org/officeDocument/2006/relationships/hyperlink" Target="http://www.abs.gov.au/ausstats/abs@&#8204;.nsf/66f306f503e529a5ca25697e0017661f/22E4C184CA111129CA25697E0018FD78?opendocu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ochub/div/officeinnovationscienceaustralia/templates/Word%20document%20Template%20(ISA%20logo).dotx" TargetMode="External"/></Relationships>
</file>

<file path=word/theme/theme1.xml><?xml version="1.0" encoding="utf-8"?>
<a:theme xmlns:a="http://schemas.openxmlformats.org/drawingml/2006/main" name="Annual Report">
  <a:themeElements>
    <a:clrScheme name="Custom 1">
      <a:dk1>
        <a:sysClr val="windowText" lastClr="000000"/>
      </a:dk1>
      <a:lt1>
        <a:sysClr val="window" lastClr="FFFFFF"/>
      </a:lt1>
      <a:dk2>
        <a:srgbClr val="579AB0"/>
      </a:dk2>
      <a:lt2>
        <a:srgbClr val="E8EAEC"/>
      </a:lt2>
      <a:accent1>
        <a:srgbClr val="5787A9"/>
      </a:accent1>
      <a:accent2>
        <a:srgbClr val="5572A1"/>
      </a:accent2>
      <a:accent3>
        <a:srgbClr val="55639B"/>
      </a:accent3>
      <a:accent4>
        <a:srgbClr val="662D91"/>
      </a:accent4>
      <a:accent5>
        <a:srgbClr val="2A8B87"/>
      </a:accent5>
      <a:accent6>
        <a:srgbClr val="56B948"/>
      </a:accent6>
      <a:hlink>
        <a:srgbClr val="006397"/>
      </a:hlink>
      <a:folHlink>
        <a:srgbClr val="A2206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Shortened version of the Atlas Report appendices focused on findings and less prose, to support the summary report
</Comments>
    <TaxCatchAll xmlns="a36bd50b-1532-4c22-b385-5c082c960938">
      <Value>27</Value>
      <Value>53</Value>
      <Value>848</Value>
      <Value>71</Value>
      <Value>830</Value>
    </TaxCatchAll>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b28facd8-3dc8-46bf-a2b8-d55c169e0df6</TermId>
        </TermInfo>
      </Terms>
    </pe2555c81638466f9eb614edb9ecde52>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ISA</TermName>
          <TermId xmlns="http://schemas.microsoft.com/office/infopath/2007/PartnerControls">2fbf8c44-3026-4331-a3de-7b1aafac4560</TermId>
        </TermInfo>
        <TermInfo xmlns="http://schemas.microsoft.com/office/infopath/2007/PartnerControls">
          <TermName xmlns="http://schemas.microsoft.com/office/infopath/2007/PartnerControls">Atlas</TermName>
          <TermId xmlns="http://schemas.microsoft.com/office/infopath/2007/PartnerControls">45835c16-537d-4a09-83d9-532fadddd232</TermId>
        </TermInfo>
      </Terms>
    </adb9bed2e36e4a93af574aeb444da63e>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g7bcb40ba23249a78edca7d43a67c1c9 xmlns="a36bd50b-1532-4c22-b385-5c082c960938">
      <Terms xmlns="http://schemas.microsoft.com/office/infopath/2007/PartnerControls"/>
    </g7bcb40ba23249a78edca7d43a67c1c9>
    <_dlc_DocId xmlns="a36bd50b-1532-4c22-b385-5c082c960938">HN46P6AU7HPT-927605469-5</_dlc_DocId>
    <_dlc_DocIdUrl xmlns="a36bd50b-1532-4c22-b385-5c082c960938">
      <Url>https://dochub/div/officeinnovationscienceaustralia/_layouts/15/DocIdRedir.aspx?ID=HN46P6AU7HPT-927605469-5</Url>
      <Description>HN46P6AU7HPT-927605469-5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5.xml><?xml version="1.0" encoding="utf-8"?>
<ct:contentTypeSchema xmlns:ct="http://schemas.microsoft.com/office/2006/metadata/contentType" xmlns:ma="http://schemas.microsoft.com/office/2006/metadata/properties/metaAttributes" ct:_="" ma:_="" ma:contentTypeName="Document" ma:contentTypeID="0x0101004099D2EAA034D54091CB7763D5694A4A" ma:contentTypeVersion="13" ma:contentTypeDescription="Create a new document." ma:contentTypeScope="" ma:versionID="2c374257adddb09836c286318badd6e8">
  <xsd:schema xmlns:xsd="http://www.w3.org/2001/XMLSchema" xmlns:xs="http://www.w3.org/2001/XMLSchema" xmlns:p="http://schemas.microsoft.com/office/2006/metadata/properties" xmlns:ns1="http://schemas.microsoft.com/sharepoint/v3" xmlns:ns2="a36bd50b-1532-4c22-b385-5c082c960938" xmlns:ns3="ec396c6e-058f-4081-9b46-8acd17ff2be5" targetNamespace="http://schemas.microsoft.com/office/2006/metadata/properties" ma:root="true" ma:fieldsID="84405d9ea4d70fa73d3cfc2fab0e7f58" ns1:_="" ns2:_="" ns3:_="">
    <xsd:import namespace="http://schemas.microsoft.com/sharepoint/v3"/>
    <xsd:import namespace="a36bd50b-1532-4c22-b385-5c082c960938"/>
    <xsd:import namespace="ec396c6e-058f-4081-9b46-8acd17ff2be5"/>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bd4cb2b9-def1-4341-a0c7-12b8b10a24e4}" ma:internalName="TaxCatchAll" ma:showField="CatchAllData" ma:web="ec396c6e-058f-4081-9b46-8acd17ff2be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d9c7a7c-5fef-4375-ad40-aaaae04e48da"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6c6e-058f-4081-9b46-8acd17ff2be5"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64FAEC-5306-44E4-8033-FEF85662BA6E}">
  <ds:schemaRefs>
    <ds:schemaRef ds:uri="http://purl.org/dc/dcmitype/"/>
    <ds:schemaRef ds:uri="http://purl.org/dc/elements/1.1/"/>
    <ds:schemaRef ds:uri="a36bd50b-1532-4c22-b385-5c082c960938"/>
    <ds:schemaRef ds:uri="http://schemas.microsoft.com/office/2006/documentManagement/types"/>
    <ds:schemaRef ds:uri="http://schemas.microsoft.com/office/2006/metadata/properties"/>
    <ds:schemaRef ds:uri="http://schemas.openxmlformats.org/package/2006/metadata/core-properties"/>
    <ds:schemaRef ds:uri="http://schemas.microsoft.com/sharepoint/v3"/>
    <ds:schemaRef ds:uri="http://purl.org/dc/terms/"/>
    <ds:schemaRef ds:uri="http://schemas.microsoft.com/office/infopath/2007/PartnerControls"/>
    <ds:schemaRef ds:uri="ec396c6e-058f-4081-9b46-8acd17ff2be5"/>
    <ds:schemaRef ds:uri="http://www.w3.org/XML/1998/namespace"/>
  </ds:schemaRefs>
</ds:datastoreItem>
</file>

<file path=customXml/itemProps3.xml><?xml version="1.0" encoding="utf-8"?>
<ds:datastoreItem xmlns:ds="http://schemas.openxmlformats.org/officeDocument/2006/customXml" ds:itemID="{E0C3D997-ABA9-427F-B470-B915B2681E23}">
  <ds:schemaRefs>
    <ds:schemaRef ds:uri="http://schemas.microsoft.com/sharepoint/event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customXml/itemProps5.xml><?xml version="1.0" encoding="utf-8"?>
<ds:datastoreItem xmlns:ds="http://schemas.openxmlformats.org/officeDocument/2006/customXml" ds:itemID="{47FA71B8-EC96-4B80-BFA4-B6353868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ec396c6e-058f-4081-9b46-8acd17ff2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5A6E3B6-3CA6-4F81-989D-854EF7048DA7}">
  <ds:schemaRefs>
    <ds:schemaRef ds:uri="http://schemas.microsoft.com/sharepoint/v3/contenttype/forms"/>
  </ds:schemaRefs>
</ds:datastoreItem>
</file>

<file path=customXml/itemProps7.xml><?xml version="1.0" encoding="utf-8"?>
<ds:datastoreItem xmlns:ds="http://schemas.openxmlformats.org/officeDocument/2006/customXml" ds:itemID="{F81AA8D9-4DB1-4952-A297-0684442F1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Word%20document%20Template%20(ISA%20logo)</Template>
  <TotalTime>536</TotalTime>
  <Pages>56</Pages>
  <Words>17805</Words>
  <Characters>101492</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119059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Freeman, Julia</dc:creator>
  <cp:lastModifiedBy>Crimmins, Emily</cp:lastModifiedBy>
  <cp:revision>25</cp:revision>
  <cp:lastPrinted>2020-06-30T04:53:00Z</cp:lastPrinted>
  <dcterms:created xsi:type="dcterms:W3CDTF">2020-11-30T03:53:00Z</dcterms:created>
  <dcterms:modified xsi:type="dcterms:W3CDTF">2021-01-13T12:54:00Z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0x0101004099D2EAA034D54091CB7763D5694A4A</vt:lpwstr>
  </property>
  <property fmtid="{D5CDD505-2E9C-101B-9397-08002B2CF9AE}" pid="4" name="HPRMSecurityLevel">
    <vt:lpwstr>1;#UNCLASSIFIED|9c49a7c7-17c7-412f-8077-62dec89b9196</vt:lpwstr>
  </property>
  <property fmtid="{D5CDD505-2E9C-101B-9397-08002B2CF9AE}" pid="5" name="HPRMSecurityCaveat">
    <vt:lpwstr/>
  </property>
  <property fmtid="{D5CDD505-2E9C-101B-9397-08002B2CF9AE}" pid="6" name="_dlc_DocIdItemGuid">
    <vt:lpwstr>7873aa18-19dd-4f84-8993-22e028d8f0e6</vt:lpwstr>
  </property>
  <property fmtid="{D5CDD505-2E9C-101B-9397-08002B2CF9AE}" pid="7" name="DocHub_Year">
    <vt:lpwstr>830;#2020|6a3660c5-15bd-4052-a0a1-6237663b7600</vt:lpwstr>
  </property>
  <property fmtid="{D5CDD505-2E9C-101B-9397-08002B2CF9AE}" pid="8" name="DocHub_DocumentType">
    <vt:lpwstr>27;#Research|b28facd8-3dc8-46bf-a2b8-d55c169e0df6</vt:lpwstr>
  </property>
  <property fmtid="{D5CDD505-2E9C-101B-9397-08002B2CF9AE}" pid="9" name="DocHub_SecurityClassification">
    <vt:lpwstr>53;#For Official Use Only|11f6fb0b-52ce-4109-8f7f-521b2a62f692</vt:lpwstr>
  </property>
  <property fmtid="{D5CDD505-2E9C-101B-9397-08002B2CF9AE}" pid="10" name="DocHub_Keywords">
    <vt:lpwstr>71;#ISA|2fbf8c44-3026-4331-a3de-7b1aafac4560;#848;#Atlas|45835c16-537d-4a09-83d9-532fadddd232</vt:lpwstr>
  </property>
  <property fmtid="{D5CDD505-2E9C-101B-9397-08002B2CF9AE}" pid="11" name="DocHub_WorkActivity">
    <vt:lpwstr/>
  </property>
</Properties>
</file>