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BA616" w14:textId="77777777" w:rsidR="00D37139" w:rsidRDefault="00D37139" w:rsidP="00D37139">
      <w:pPr>
        <w:pStyle w:val="Title"/>
        <w:jc w:val="right"/>
        <w:rPr>
          <w:rFonts w:asciiTheme="minorHAnsi" w:hAnsiTheme="minorHAnsi" w:cstheme="minorHAnsi"/>
          <w:caps w:val="0"/>
          <w:color w:val="FFFFFF" w:themeColor="background1"/>
          <w:sz w:val="60"/>
          <w:szCs w:val="60"/>
        </w:rPr>
      </w:pPr>
      <w:bookmarkStart w:id="0" w:name="_Toc62719124"/>
      <w:bookmarkStart w:id="1" w:name="_GoBack"/>
      <w:bookmarkEnd w:id="1"/>
      <w:r w:rsidRPr="00297FA3">
        <w:rPr>
          <w:rFonts w:asciiTheme="minorHAnsi" w:hAnsiTheme="minorHAnsi" w:cstheme="minorHAnsi"/>
          <w:caps w:val="0"/>
          <w:color w:val="FFFFFF" w:themeColor="background1"/>
          <w:sz w:val="60"/>
          <w:szCs w:val="60"/>
        </w:rPr>
        <w:t xml:space="preserve">The economic contribution of </w:t>
      </w:r>
      <w:r>
        <w:rPr>
          <w:rFonts w:asciiTheme="minorHAnsi" w:hAnsiTheme="minorHAnsi" w:cstheme="minorHAnsi"/>
          <w:caps w:val="0"/>
          <w:color w:val="FFFFFF" w:themeColor="background1"/>
          <w:sz w:val="60"/>
          <w:szCs w:val="60"/>
        </w:rPr>
        <w:t>A</w:t>
      </w:r>
      <w:r w:rsidRPr="00297FA3">
        <w:rPr>
          <w:rFonts w:asciiTheme="minorHAnsi" w:hAnsiTheme="minorHAnsi" w:cstheme="minorHAnsi"/>
          <w:caps w:val="0"/>
          <w:color w:val="FFFFFF" w:themeColor="background1"/>
          <w:sz w:val="60"/>
          <w:szCs w:val="60"/>
        </w:rPr>
        <w:t>ustralia’s space sector</w:t>
      </w:r>
      <w:r>
        <w:rPr>
          <w:rFonts w:asciiTheme="minorHAnsi" w:hAnsiTheme="minorHAnsi" w:cstheme="minorHAnsi"/>
          <w:caps w:val="0"/>
          <w:color w:val="FFFFFF" w:themeColor="background1"/>
          <w:sz w:val="60"/>
          <w:szCs w:val="60"/>
        </w:rPr>
        <w:t xml:space="preserve"> in 2018-19</w:t>
      </w:r>
      <w:bookmarkEnd w:id="0"/>
    </w:p>
    <w:p w14:paraId="0E8DA31E" w14:textId="135901D8" w:rsidR="00BF17EB" w:rsidRPr="00D37139" w:rsidRDefault="00D37139" w:rsidP="00D37139">
      <w:pPr>
        <w:spacing w:before="11840" w:after="0"/>
        <w:rPr>
          <w:rFonts w:eastAsiaTheme="majorEastAsia"/>
          <w:b/>
          <w:sz w:val="32"/>
          <w:szCs w:val="32"/>
        </w:rPr>
        <w:sectPr w:rsidR="00BF17EB" w:rsidRPr="00D37139" w:rsidSect="00002502">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39" w:code="9"/>
          <w:pgMar w:top="1440" w:right="1440" w:bottom="1440" w:left="1440" w:header="1179" w:footer="0" w:gutter="0"/>
          <w:pgNumType w:start="1"/>
          <w:cols w:space="720"/>
          <w:titlePg/>
          <w:docGrid w:linePitch="360"/>
        </w:sectPr>
      </w:pPr>
      <w:r w:rsidRPr="00D37139">
        <w:rPr>
          <w:b/>
          <w:bCs/>
          <w:color w:val="FFFFFF"/>
          <w:sz w:val="32"/>
          <w:szCs w:val="32"/>
        </w:rPr>
        <w:fldChar w:fldCharType="begin"/>
      </w:r>
      <w:r w:rsidRPr="00D37139">
        <w:rPr>
          <w:b/>
          <w:bCs/>
          <w:color w:val="FFFFFF"/>
          <w:sz w:val="32"/>
          <w:szCs w:val="32"/>
        </w:rPr>
        <w:instrText xml:space="preserve"> DATE  \@ "MMMM yyyy"  \* MERGEFORMAT </w:instrText>
      </w:r>
      <w:r w:rsidRPr="00D37139">
        <w:rPr>
          <w:b/>
          <w:bCs/>
          <w:color w:val="FFFFFF"/>
          <w:sz w:val="32"/>
          <w:szCs w:val="32"/>
        </w:rPr>
        <w:fldChar w:fldCharType="separate"/>
      </w:r>
      <w:r w:rsidR="007040B4">
        <w:rPr>
          <w:b/>
          <w:bCs/>
          <w:noProof/>
          <w:color w:val="FFFFFF"/>
          <w:sz w:val="32"/>
          <w:szCs w:val="32"/>
        </w:rPr>
        <w:t>February 2021</w:t>
      </w:r>
      <w:r w:rsidRPr="00D37139">
        <w:rPr>
          <w:b/>
          <w:bCs/>
          <w:color w:val="FFFFFF"/>
          <w:sz w:val="32"/>
          <w:szCs w:val="32"/>
        </w:rPr>
        <w:fldChar w:fldCharType="end"/>
      </w:r>
    </w:p>
    <w:p w14:paraId="6AB76507" w14:textId="13EE9CEF" w:rsidR="00BF17EB" w:rsidRPr="00BF17EB" w:rsidRDefault="00BF17EB" w:rsidP="00D4645A">
      <w:pPr>
        <w:spacing w:before="0" w:after="160"/>
        <w:jc w:val="left"/>
        <w:rPr>
          <w:rFonts w:ascii="Calibri" w:eastAsia="Calibri" w:hAnsi="Calibri" w:cs="Calibri"/>
        </w:rPr>
      </w:pPr>
      <w:bookmarkStart w:id="2" w:name="_Hlk483397528"/>
      <w:r w:rsidRPr="00BF17EB">
        <w:rPr>
          <w:rFonts w:ascii="Calibri" w:eastAsia="Calibri" w:hAnsi="Calibri" w:cs="Calibri"/>
        </w:rPr>
        <w:lastRenderedPageBreak/>
        <w:t xml:space="preserve">This paper was commissioned by </w:t>
      </w:r>
      <w:r w:rsidR="004C5FCB">
        <w:rPr>
          <w:rFonts w:ascii="Calibri" w:eastAsia="Calibri" w:hAnsi="Calibri" w:cs="Calibri"/>
        </w:rPr>
        <w:t>the Australian Space Agency</w:t>
      </w:r>
      <w:r w:rsidRPr="00BF17EB">
        <w:rPr>
          <w:rFonts w:ascii="Calibri" w:eastAsia="Calibri" w:hAnsi="Calibri" w:cs="Calibri"/>
        </w:rPr>
        <w:t xml:space="preserve"> and prepared by AlphaBeta</w:t>
      </w:r>
      <w:r w:rsidR="004C5FCB">
        <w:rPr>
          <w:rFonts w:ascii="Calibri" w:eastAsia="Calibri" w:hAnsi="Calibri" w:cs="Calibri"/>
        </w:rPr>
        <w:t>, part of Accenture</w:t>
      </w:r>
      <w:r w:rsidRPr="00BF17EB">
        <w:rPr>
          <w:rFonts w:ascii="Calibri" w:eastAsia="Calibri" w:hAnsi="Calibri" w:cs="Calibri"/>
        </w:rPr>
        <w:t xml:space="preserve">. All information in this report is derived from AlphaBeta analysis using both proprietary research and publicly available data. Where information has been obtained from third-party sources, </w:t>
      </w:r>
      <w:r w:rsidR="004A5545">
        <w:rPr>
          <w:rFonts w:ascii="Calibri" w:eastAsia="Calibri" w:hAnsi="Calibri" w:cs="Calibri"/>
        </w:rPr>
        <w:t xml:space="preserve">including a previous report prepared by the Nous Group, </w:t>
      </w:r>
      <w:r w:rsidRPr="00BF17EB">
        <w:rPr>
          <w:rFonts w:ascii="Calibri" w:eastAsia="Calibri" w:hAnsi="Calibri" w:cs="Calibri"/>
        </w:rPr>
        <w:t>this is referenced in the footnotes.</w:t>
      </w:r>
    </w:p>
    <w:bookmarkEnd w:id="2"/>
    <w:p w14:paraId="18ABA10D" w14:textId="610E958E" w:rsidR="00BF17EB" w:rsidRPr="00BF17EB" w:rsidRDefault="00BF17EB" w:rsidP="00BF17EB">
      <w:pPr>
        <w:rPr>
          <w:rFonts w:ascii="Calibri" w:eastAsia="Calibri" w:hAnsi="Calibri" w:cs="Calibri"/>
        </w:rPr>
      </w:pPr>
      <w:r w:rsidRPr="00BF17EB">
        <w:rPr>
          <w:rFonts w:ascii="Calibri" w:eastAsia="Calibri" w:hAnsi="Calibri" w:cs="Calibri"/>
        </w:rPr>
        <w:br w:type="page"/>
      </w:r>
      <w:bookmarkStart w:id="3" w:name="_Hlk483390751"/>
      <w:bookmarkStart w:id="4" w:name="_Hlk483390841"/>
    </w:p>
    <w:p w14:paraId="77BB395E" w14:textId="7FB6E753" w:rsidR="00BF17EB" w:rsidRPr="00A73A4A" w:rsidRDefault="00A73A4A" w:rsidP="00A73A4A">
      <w:pPr>
        <w:pStyle w:val="Heading1"/>
        <w:numPr>
          <w:ilvl w:val="0"/>
          <w:numId w:val="0"/>
        </w:numPr>
        <w:ind w:left="432" w:hanging="432"/>
        <w:rPr>
          <w:caps w:val="0"/>
          <w:lang w:val="en-AU"/>
        </w:rPr>
      </w:pPr>
      <w:bookmarkStart w:id="5" w:name="_Toc49366187"/>
      <w:bookmarkEnd w:id="5"/>
      <w:r w:rsidRPr="00A73A4A">
        <w:rPr>
          <w:caps w:val="0"/>
        </w:rPr>
        <w:lastRenderedPageBreak/>
        <w:t>Contents</w:t>
      </w:r>
    </w:p>
    <w:p w14:paraId="37C5E0F0" w14:textId="3FF6DD19" w:rsidR="00A73A4A" w:rsidRDefault="00A73A4A">
      <w:pPr>
        <w:pStyle w:val="TOC1"/>
        <w:rPr>
          <w:rFonts w:eastAsiaTheme="minorEastAsia" w:cstheme="minorBidi"/>
          <w:b w:val="0"/>
          <w:lang w:eastAsia="en-AU"/>
        </w:rPr>
      </w:pPr>
      <w:r>
        <w:fldChar w:fldCharType="begin"/>
      </w:r>
      <w:r>
        <w:instrText xml:space="preserve"> TOC \o "1-2" \h \z \u </w:instrText>
      </w:r>
      <w:r>
        <w:fldChar w:fldCharType="separate"/>
      </w:r>
      <w:hyperlink w:anchor="_Toc62719125" w:history="1">
        <w:r w:rsidRPr="005270D1">
          <w:rPr>
            <w:rStyle w:val="Hyperlink"/>
          </w:rPr>
          <w:t>Infographic</w:t>
        </w:r>
        <w:r>
          <w:rPr>
            <w:webHidden/>
          </w:rPr>
          <w:tab/>
        </w:r>
        <w:r>
          <w:rPr>
            <w:webHidden/>
          </w:rPr>
          <w:fldChar w:fldCharType="begin"/>
        </w:r>
        <w:r>
          <w:rPr>
            <w:webHidden/>
          </w:rPr>
          <w:instrText xml:space="preserve"> PAGEREF _Toc62719125 \h </w:instrText>
        </w:r>
        <w:r>
          <w:rPr>
            <w:webHidden/>
          </w:rPr>
        </w:r>
        <w:r>
          <w:rPr>
            <w:webHidden/>
          </w:rPr>
          <w:fldChar w:fldCharType="separate"/>
        </w:r>
        <w:r w:rsidR="007040B4">
          <w:rPr>
            <w:webHidden/>
          </w:rPr>
          <w:t>4</w:t>
        </w:r>
        <w:r>
          <w:rPr>
            <w:webHidden/>
          </w:rPr>
          <w:fldChar w:fldCharType="end"/>
        </w:r>
      </w:hyperlink>
    </w:p>
    <w:p w14:paraId="3D5333F3" w14:textId="77777777" w:rsidR="00A73A4A" w:rsidRDefault="007040B4" w:rsidP="00A73A4A">
      <w:pPr>
        <w:pStyle w:val="TOC1"/>
        <w:spacing w:before="120"/>
        <w:rPr>
          <w:rFonts w:eastAsiaTheme="minorEastAsia" w:cstheme="minorBidi"/>
          <w:b w:val="0"/>
          <w:lang w:eastAsia="en-AU"/>
        </w:rPr>
      </w:pPr>
      <w:hyperlink w:anchor="_Toc62719126" w:history="1">
        <w:r w:rsidR="00A73A4A" w:rsidRPr="005270D1">
          <w:rPr>
            <w:rStyle w:val="Hyperlink"/>
          </w:rPr>
          <w:t>Glossary</w:t>
        </w:r>
        <w:r w:rsidR="00A73A4A">
          <w:rPr>
            <w:webHidden/>
          </w:rPr>
          <w:tab/>
        </w:r>
        <w:r w:rsidR="00A73A4A">
          <w:rPr>
            <w:webHidden/>
          </w:rPr>
          <w:fldChar w:fldCharType="begin"/>
        </w:r>
        <w:r w:rsidR="00A73A4A">
          <w:rPr>
            <w:webHidden/>
          </w:rPr>
          <w:instrText xml:space="preserve"> PAGEREF _Toc62719126 \h </w:instrText>
        </w:r>
        <w:r w:rsidR="00A73A4A">
          <w:rPr>
            <w:webHidden/>
          </w:rPr>
        </w:r>
        <w:r w:rsidR="00A73A4A">
          <w:rPr>
            <w:webHidden/>
          </w:rPr>
          <w:fldChar w:fldCharType="separate"/>
        </w:r>
        <w:r>
          <w:rPr>
            <w:webHidden/>
          </w:rPr>
          <w:t>5</w:t>
        </w:r>
        <w:r w:rsidR="00A73A4A">
          <w:rPr>
            <w:webHidden/>
          </w:rPr>
          <w:fldChar w:fldCharType="end"/>
        </w:r>
      </w:hyperlink>
    </w:p>
    <w:p w14:paraId="3BFCC62C" w14:textId="77777777" w:rsidR="00A73A4A" w:rsidRDefault="007040B4" w:rsidP="00A73A4A">
      <w:pPr>
        <w:pStyle w:val="TOC1"/>
        <w:spacing w:before="120"/>
        <w:rPr>
          <w:rFonts w:eastAsiaTheme="minorEastAsia" w:cstheme="minorBidi"/>
          <w:b w:val="0"/>
          <w:lang w:eastAsia="en-AU"/>
        </w:rPr>
      </w:pPr>
      <w:hyperlink w:anchor="_Toc62719127" w:history="1">
        <w:r w:rsidR="00A73A4A" w:rsidRPr="005270D1">
          <w:rPr>
            <w:rStyle w:val="Hyperlink"/>
          </w:rPr>
          <w:t>Executive summary</w:t>
        </w:r>
        <w:r w:rsidR="00A73A4A">
          <w:rPr>
            <w:webHidden/>
          </w:rPr>
          <w:tab/>
        </w:r>
        <w:r w:rsidR="00A73A4A">
          <w:rPr>
            <w:webHidden/>
          </w:rPr>
          <w:fldChar w:fldCharType="begin"/>
        </w:r>
        <w:r w:rsidR="00A73A4A">
          <w:rPr>
            <w:webHidden/>
          </w:rPr>
          <w:instrText xml:space="preserve"> PAGEREF _Toc62719127 \h </w:instrText>
        </w:r>
        <w:r w:rsidR="00A73A4A">
          <w:rPr>
            <w:webHidden/>
          </w:rPr>
        </w:r>
        <w:r w:rsidR="00A73A4A">
          <w:rPr>
            <w:webHidden/>
          </w:rPr>
          <w:fldChar w:fldCharType="separate"/>
        </w:r>
        <w:r>
          <w:rPr>
            <w:webHidden/>
          </w:rPr>
          <w:t>7</w:t>
        </w:r>
        <w:r w:rsidR="00A73A4A">
          <w:rPr>
            <w:webHidden/>
          </w:rPr>
          <w:fldChar w:fldCharType="end"/>
        </w:r>
      </w:hyperlink>
    </w:p>
    <w:p w14:paraId="6B4B581A" w14:textId="77777777" w:rsidR="00A73A4A" w:rsidRDefault="007040B4">
      <w:pPr>
        <w:pStyle w:val="TOC1"/>
        <w:rPr>
          <w:rFonts w:eastAsiaTheme="minorEastAsia" w:cstheme="minorBidi"/>
          <w:b w:val="0"/>
          <w:lang w:eastAsia="en-AU"/>
        </w:rPr>
      </w:pPr>
      <w:hyperlink w:anchor="_Toc62719128" w:history="1">
        <w:r w:rsidR="00A73A4A" w:rsidRPr="005270D1">
          <w:rPr>
            <w:rStyle w:val="Hyperlink"/>
          </w:rPr>
          <w:t>1</w:t>
        </w:r>
        <w:r w:rsidR="00A73A4A">
          <w:rPr>
            <w:rFonts w:eastAsiaTheme="minorEastAsia" w:cstheme="minorBidi"/>
            <w:b w:val="0"/>
            <w:lang w:eastAsia="en-AU"/>
          </w:rPr>
          <w:tab/>
        </w:r>
        <w:r w:rsidR="00A73A4A" w:rsidRPr="005270D1">
          <w:rPr>
            <w:rStyle w:val="Hyperlink"/>
          </w:rPr>
          <w:t>The global space industry is growing rapidly, creating significant opportunities for Australia</w:t>
        </w:r>
        <w:r w:rsidR="00A73A4A">
          <w:rPr>
            <w:webHidden/>
          </w:rPr>
          <w:tab/>
        </w:r>
        <w:r w:rsidR="00A73A4A">
          <w:rPr>
            <w:webHidden/>
          </w:rPr>
          <w:fldChar w:fldCharType="begin"/>
        </w:r>
        <w:r w:rsidR="00A73A4A">
          <w:rPr>
            <w:webHidden/>
          </w:rPr>
          <w:instrText xml:space="preserve"> PAGEREF _Toc62719128 \h </w:instrText>
        </w:r>
        <w:r w:rsidR="00A73A4A">
          <w:rPr>
            <w:webHidden/>
          </w:rPr>
        </w:r>
        <w:r w:rsidR="00A73A4A">
          <w:rPr>
            <w:webHidden/>
          </w:rPr>
          <w:fldChar w:fldCharType="separate"/>
        </w:r>
        <w:r>
          <w:rPr>
            <w:webHidden/>
          </w:rPr>
          <w:t>9</w:t>
        </w:r>
        <w:r w:rsidR="00A73A4A">
          <w:rPr>
            <w:webHidden/>
          </w:rPr>
          <w:fldChar w:fldCharType="end"/>
        </w:r>
      </w:hyperlink>
    </w:p>
    <w:p w14:paraId="447FE0A5" w14:textId="77777777" w:rsidR="00A73A4A" w:rsidRDefault="007040B4">
      <w:pPr>
        <w:pStyle w:val="TOC2"/>
        <w:rPr>
          <w:rFonts w:eastAsiaTheme="minorEastAsia" w:cstheme="minorBidi"/>
          <w:lang w:eastAsia="en-AU"/>
        </w:rPr>
      </w:pPr>
      <w:hyperlink w:anchor="_Toc62719129" w:history="1">
        <w:r w:rsidR="00A73A4A" w:rsidRPr="005270D1">
          <w:rPr>
            <w:rStyle w:val="Hyperlink"/>
          </w:rPr>
          <w:t>1.1</w:t>
        </w:r>
        <w:r w:rsidR="00A73A4A">
          <w:rPr>
            <w:rFonts w:eastAsiaTheme="minorEastAsia" w:cstheme="minorBidi"/>
            <w:lang w:eastAsia="en-AU"/>
          </w:rPr>
          <w:tab/>
        </w:r>
        <w:r w:rsidR="00A73A4A" w:rsidRPr="005270D1">
          <w:rPr>
            <w:rStyle w:val="Hyperlink"/>
          </w:rPr>
          <w:t>Australia has a small but important space sector with significant room to grow</w:t>
        </w:r>
        <w:r w:rsidR="00A73A4A">
          <w:rPr>
            <w:webHidden/>
          </w:rPr>
          <w:tab/>
        </w:r>
        <w:r w:rsidR="00A73A4A">
          <w:rPr>
            <w:webHidden/>
          </w:rPr>
          <w:fldChar w:fldCharType="begin"/>
        </w:r>
        <w:r w:rsidR="00A73A4A">
          <w:rPr>
            <w:webHidden/>
          </w:rPr>
          <w:instrText xml:space="preserve"> PAGEREF _Toc62719129 \h </w:instrText>
        </w:r>
        <w:r w:rsidR="00A73A4A">
          <w:rPr>
            <w:webHidden/>
          </w:rPr>
        </w:r>
        <w:r w:rsidR="00A73A4A">
          <w:rPr>
            <w:webHidden/>
          </w:rPr>
          <w:fldChar w:fldCharType="separate"/>
        </w:r>
        <w:r>
          <w:rPr>
            <w:webHidden/>
          </w:rPr>
          <w:t>9</w:t>
        </w:r>
        <w:r w:rsidR="00A73A4A">
          <w:rPr>
            <w:webHidden/>
          </w:rPr>
          <w:fldChar w:fldCharType="end"/>
        </w:r>
      </w:hyperlink>
    </w:p>
    <w:p w14:paraId="78D9F5E0" w14:textId="77777777" w:rsidR="00A73A4A" w:rsidRDefault="007040B4">
      <w:pPr>
        <w:pStyle w:val="TOC2"/>
        <w:rPr>
          <w:rFonts w:eastAsiaTheme="minorEastAsia" w:cstheme="minorBidi"/>
          <w:lang w:eastAsia="en-AU"/>
        </w:rPr>
      </w:pPr>
      <w:hyperlink w:anchor="_Toc62719130" w:history="1">
        <w:r w:rsidR="00A73A4A" w:rsidRPr="005270D1">
          <w:rPr>
            <w:rStyle w:val="Hyperlink"/>
          </w:rPr>
          <w:t>1.2</w:t>
        </w:r>
        <w:r w:rsidR="00A73A4A">
          <w:rPr>
            <w:rFonts w:eastAsiaTheme="minorEastAsia" w:cstheme="minorBidi"/>
            <w:lang w:eastAsia="en-AU"/>
          </w:rPr>
          <w:tab/>
        </w:r>
        <w:r w:rsidR="00A73A4A" w:rsidRPr="005270D1">
          <w:rPr>
            <w:rStyle w:val="Hyperlink"/>
          </w:rPr>
          <w:t>The space sector is experiencing a global transformation, driven by new technology and investments from private and public sectors</w:t>
        </w:r>
        <w:r w:rsidR="00A73A4A">
          <w:rPr>
            <w:webHidden/>
          </w:rPr>
          <w:tab/>
        </w:r>
        <w:r w:rsidR="00A73A4A">
          <w:rPr>
            <w:webHidden/>
          </w:rPr>
          <w:fldChar w:fldCharType="begin"/>
        </w:r>
        <w:r w:rsidR="00A73A4A">
          <w:rPr>
            <w:webHidden/>
          </w:rPr>
          <w:instrText xml:space="preserve"> PAGEREF _Toc62719130 \h </w:instrText>
        </w:r>
        <w:r w:rsidR="00A73A4A">
          <w:rPr>
            <w:webHidden/>
          </w:rPr>
        </w:r>
        <w:r w:rsidR="00A73A4A">
          <w:rPr>
            <w:webHidden/>
          </w:rPr>
          <w:fldChar w:fldCharType="separate"/>
        </w:r>
        <w:r>
          <w:rPr>
            <w:webHidden/>
          </w:rPr>
          <w:t>11</w:t>
        </w:r>
        <w:r w:rsidR="00A73A4A">
          <w:rPr>
            <w:webHidden/>
          </w:rPr>
          <w:fldChar w:fldCharType="end"/>
        </w:r>
      </w:hyperlink>
    </w:p>
    <w:p w14:paraId="5CBA8DB5" w14:textId="77777777" w:rsidR="00A73A4A" w:rsidRDefault="007040B4">
      <w:pPr>
        <w:pStyle w:val="TOC2"/>
        <w:rPr>
          <w:rFonts w:eastAsiaTheme="minorEastAsia" w:cstheme="minorBidi"/>
          <w:lang w:eastAsia="en-AU"/>
        </w:rPr>
      </w:pPr>
      <w:hyperlink w:anchor="_Toc62719131" w:history="1">
        <w:r w:rsidR="00A73A4A" w:rsidRPr="005270D1">
          <w:rPr>
            <w:rStyle w:val="Hyperlink"/>
          </w:rPr>
          <w:t>1.3</w:t>
        </w:r>
        <w:r w:rsidR="00A73A4A">
          <w:rPr>
            <w:rFonts w:eastAsiaTheme="minorEastAsia" w:cstheme="minorBidi"/>
            <w:lang w:eastAsia="en-AU"/>
          </w:rPr>
          <w:tab/>
        </w:r>
        <w:r w:rsidR="00A73A4A" w:rsidRPr="005270D1">
          <w:rPr>
            <w:rStyle w:val="Hyperlink"/>
          </w:rPr>
          <w:t>The space sector will create new jobs and economic benefits as it grows</w:t>
        </w:r>
        <w:r w:rsidR="00A73A4A">
          <w:rPr>
            <w:webHidden/>
          </w:rPr>
          <w:tab/>
        </w:r>
        <w:r w:rsidR="00A73A4A">
          <w:rPr>
            <w:webHidden/>
          </w:rPr>
          <w:fldChar w:fldCharType="begin"/>
        </w:r>
        <w:r w:rsidR="00A73A4A">
          <w:rPr>
            <w:webHidden/>
          </w:rPr>
          <w:instrText xml:space="preserve"> PAGEREF _Toc62719131 \h </w:instrText>
        </w:r>
        <w:r w:rsidR="00A73A4A">
          <w:rPr>
            <w:webHidden/>
          </w:rPr>
        </w:r>
        <w:r w:rsidR="00A73A4A">
          <w:rPr>
            <w:webHidden/>
          </w:rPr>
          <w:fldChar w:fldCharType="separate"/>
        </w:r>
        <w:r>
          <w:rPr>
            <w:webHidden/>
          </w:rPr>
          <w:t>15</w:t>
        </w:r>
        <w:r w:rsidR="00A73A4A">
          <w:rPr>
            <w:webHidden/>
          </w:rPr>
          <w:fldChar w:fldCharType="end"/>
        </w:r>
      </w:hyperlink>
    </w:p>
    <w:p w14:paraId="7BDB31FD" w14:textId="77777777" w:rsidR="00A73A4A" w:rsidRDefault="007040B4">
      <w:pPr>
        <w:pStyle w:val="TOC1"/>
        <w:rPr>
          <w:rFonts w:eastAsiaTheme="minorEastAsia" w:cstheme="minorBidi"/>
          <w:b w:val="0"/>
          <w:lang w:eastAsia="en-AU"/>
        </w:rPr>
      </w:pPr>
      <w:hyperlink w:anchor="_Toc62719132" w:history="1">
        <w:r w:rsidR="00A73A4A" w:rsidRPr="005270D1">
          <w:rPr>
            <w:rStyle w:val="Hyperlink"/>
          </w:rPr>
          <w:t>2</w:t>
        </w:r>
        <w:r w:rsidR="00A73A4A">
          <w:rPr>
            <w:rFonts w:eastAsiaTheme="minorEastAsia" w:cstheme="minorBidi"/>
            <w:b w:val="0"/>
            <w:lang w:eastAsia="en-AU"/>
          </w:rPr>
          <w:tab/>
        </w:r>
        <w:r w:rsidR="00A73A4A" w:rsidRPr="005270D1">
          <w:rPr>
            <w:rStyle w:val="Hyperlink"/>
          </w:rPr>
          <w:t>Australia’s space sector is expanding quickly and developing distinctive capabilities</w:t>
        </w:r>
        <w:r w:rsidR="00A73A4A">
          <w:rPr>
            <w:webHidden/>
          </w:rPr>
          <w:tab/>
        </w:r>
        <w:r w:rsidR="00A73A4A">
          <w:rPr>
            <w:webHidden/>
          </w:rPr>
          <w:fldChar w:fldCharType="begin"/>
        </w:r>
        <w:r w:rsidR="00A73A4A">
          <w:rPr>
            <w:webHidden/>
          </w:rPr>
          <w:instrText xml:space="preserve"> PAGEREF _Toc62719132 \h </w:instrText>
        </w:r>
        <w:r w:rsidR="00A73A4A">
          <w:rPr>
            <w:webHidden/>
          </w:rPr>
        </w:r>
        <w:r w:rsidR="00A73A4A">
          <w:rPr>
            <w:webHidden/>
          </w:rPr>
          <w:fldChar w:fldCharType="separate"/>
        </w:r>
        <w:r>
          <w:rPr>
            <w:webHidden/>
          </w:rPr>
          <w:t>19</w:t>
        </w:r>
        <w:r w:rsidR="00A73A4A">
          <w:rPr>
            <w:webHidden/>
          </w:rPr>
          <w:fldChar w:fldCharType="end"/>
        </w:r>
      </w:hyperlink>
    </w:p>
    <w:p w14:paraId="2319C3ED" w14:textId="77777777" w:rsidR="00A73A4A" w:rsidRDefault="007040B4">
      <w:pPr>
        <w:pStyle w:val="TOC2"/>
        <w:rPr>
          <w:rFonts w:eastAsiaTheme="minorEastAsia" w:cstheme="minorBidi"/>
          <w:lang w:eastAsia="en-AU"/>
        </w:rPr>
      </w:pPr>
      <w:hyperlink w:anchor="_Toc62719133" w:history="1">
        <w:r w:rsidR="00A73A4A" w:rsidRPr="005270D1">
          <w:rPr>
            <w:rStyle w:val="Hyperlink"/>
          </w:rPr>
          <w:t>2.1</w:t>
        </w:r>
        <w:r w:rsidR="00A73A4A">
          <w:rPr>
            <w:rFonts w:eastAsiaTheme="minorEastAsia" w:cstheme="minorBidi"/>
            <w:lang w:eastAsia="en-AU"/>
          </w:rPr>
          <w:tab/>
        </w:r>
        <w:r w:rsidR="00A73A4A" w:rsidRPr="005270D1">
          <w:rPr>
            <w:rStyle w:val="Hyperlink"/>
          </w:rPr>
          <w:t>The Australian space sector is worth $4.8 billion and growing more quickly than its peers</w:t>
        </w:r>
        <w:r w:rsidR="00A73A4A">
          <w:rPr>
            <w:webHidden/>
          </w:rPr>
          <w:tab/>
        </w:r>
        <w:r w:rsidR="00A73A4A">
          <w:rPr>
            <w:webHidden/>
          </w:rPr>
          <w:fldChar w:fldCharType="begin"/>
        </w:r>
        <w:r w:rsidR="00A73A4A">
          <w:rPr>
            <w:webHidden/>
          </w:rPr>
          <w:instrText xml:space="preserve"> PAGEREF _Toc62719133 \h </w:instrText>
        </w:r>
        <w:r w:rsidR="00A73A4A">
          <w:rPr>
            <w:webHidden/>
          </w:rPr>
        </w:r>
        <w:r w:rsidR="00A73A4A">
          <w:rPr>
            <w:webHidden/>
          </w:rPr>
          <w:fldChar w:fldCharType="separate"/>
        </w:r>
        <w:r>
          <w:rPr>
            <w:webHidden/>
          </w:rPr>
          <w:t>19</w:t>
        </w:r>
        <w:r w:rsidR="00A73A4A">
          <w:rPr>
            <w:webHidden/>
          </w:rPr>
          <w:fldChar w:fldCharType="end"/>
        </w:r>
      </w:hyperlink>
    </w:p>
    <w:p w14:paraId="2E7E2F3E" w14:textId="77777777" w:rsidR="00A73A4A" w:rsidRDefault="007040B4">
      <w:pPr>
        <w:pStyle w:val="TOC2"/>
        <w:rPr>
          <w:rFonts w:eastAsiaTheme="minorEastAsia" w:cstheme="minorBidi"/>
          <w:lang w:eastAsia="en-AU"/>
        </w:rPr>
      </w:pPr>
      <w:hyperlink w:anchor="_Toc62719134" w:history="1">
        <w:r w:rsidR="00A73A4A" w:rsidRPr="005270D1">
          <w:rPr>
            <w:rStyle w:val="Hyperlink"/>
          </w:rPr>
          <w:t>2.2</w:t>
        </w:r>
        <w:r w:rsidR="00A73A4A">
          <w:rPr>
            <w:rFonts w:eastAsiaTheme="minorEastAsia" w:cstheme="minorBidi"/>
            <w:lang w:eastAsia="en-AU"/>
          </w:rPr>
          <w:tab/>
        </w:r>
        <w:r w:rsidR="00A73A4A" w:rsidRPr="005270D1">
          <w:rPr>
            <w:rStyle w:val="Hyperlink"/>
          </w:rPr>
          <w:t>Australia’s space sector is dominated by the applications segment of the value chain that provides services such as mobile communications, weather forecasting and GPS</w:t>
        </w:r>
        <w:r w:rsidR="00A73A4A">
          <w:rPr>
            <w:webHidden/>
          </w:rPr>
          <w:tab/>
        </w:r>
        <w:r w:rsidR="00A73A4A">
          <w:rPr>
            <w:webHidden/>
          </w:rPr>
          <w:fldChar w:fldCharType="begin"/>
        </w:r>
        <w:r w:rsidR="00A73A4A">
          <w:rPr>
            <w:webHidden/>
          </w:rPr>
          <w:instrText xml:space="preserve"> PAGEREF _Toc62719134 \h </w:instrText>
        </w:r>
        <w:r w:rsidR="00A73A4A">
          <w:rPr>
            <w:webHidden/>
          </w:rPr>
        </w:r>
        <w:r w:rsidR="00A73A4A">
          <w:rPr>
            <w:webHidden/>
          </w:rPr>
          <w:fldChar w:fldCharType="separate"/>
        </w:r>
        <w:r>
          <w:rPr>
            <w:webHidden/>
          </w:rPr>
          <w:t>23</w:t>
        </w:r>
        <w:r w:rsidR="00A73A4A">
          <w:rPr>
            <w:webHidden/>
          </w:rPr>
          <w:fldChar w:fldCharType="end"/>
        </w:r>
      </w:hyperlink>
    </w:p>
    <w:p w14:paraId="39E736B0" w14:textId="77777777" w:rsidR="00A73A4A" w:rsidRDefault="007040B4">
      <w:pPr>
        <w:pStyle w:val="TOC2"/>
        <w:rPr>
          <w:rFonts w:eastAsiaTheme="minorEastAsia" w:cstheme="minorBidi"/>
          <w:lang w:eastAsia="en-AU"/>
        </w:rPr>
      </w:pPr>
      <w:hyperlink w:anchor="_Toc62719135" w:history="1">
        <w:r w:rsidR="00A73A4A" w:rsidRPr="005270D1">
          <w:rPr>
            <w:rStyle w:val="Hyperlink"/>
          </w:rPr>
          <w:t>2.3</w:t>
        </w:r>
        <w:r w:rsidR="00A73A4A">
          <w:rPr>
            <w:rFonts w:eastAsiaTheme="minorEastAsia" w:cstheme="minorBidi"/>
            <w:lang w:eastAsia="en-AU"/>
          </w:rPr>
          <w:tab/>
        </w:r>
        <w:r w:rsidR="00A73A4A" w:rsidRPr="005270D1">
          <w:rPr>
            <w:rStyle w:val="Hyperlink"/>
          </w:rPr>
          <w:t>A further 4,000 firms are in space-adjacent sectors and could extend their capabilities into space</w:t>
        </w:r>
        <w:r w:rsidR="00A73A4A">
          <w:rPr>
            <w:webHidden/>
          </w:rPr>
          <w:tab/>
        </w:r>
        <w:r w:rsidR="00A73A4A">
          <w:rPr>
            <w:webHidden/>
          </w:rPr>
          <w:fldChar w:fldCharType="begin"/>
        </w:r>
        <w:r w:rsidR="00A73A4A">
          <w:rPr>
            <w:webHidden/>
          </w:rPr>
          <w:instrText xml:space="preserve"> PAGEREF _Toc62719135 \h </w:instrText>
        </w:r>
        <w:r w:rsidR="00A73A4A">
          <w:rPr>
            <w:webHidden/>
          </w:rPr>
        </w:r>
        <w:r w:rsidR="00A73A4A">
          <w:rPr>
            <w:webHidden/>
          </w:rPr>
          <w:fldChar w:fldCharType="separate"/>
        </w:r>
        <w:r>
          <w:rPr>
            <w:webHidden/>
          </w:rPr>
          <w:t>33</w:t>
        </w:r>
        <w:r w:rsidR="00A73A4A">
          <w:rPr>
            <w:webHidden/>
          </w:rPr>
          <w:fldChar w:fldCharType="end"/>
        </w:r>
      </w:hyperlink>
    </w:p>
    <w:p w14:paraId="7629DD9E" w14:textId="77777777" w:rsidR="00A73A4A" w:rsidRDefault="007040B4">
      <w:pPr>
        <w:pStyle w:val="TOC1"/>
        <w:rPr>
          <w:rFonts w:eastAsiaTheme="minorEastAsia" w:cstheme="minorBidi"/>
          <w:b w:val="0"/>
          <w:lang w:eastAsia="en-AU"/>
        </w:rPr>
      </w:pPr>
      <w:hyperlink w:anchor="_Toc62719136" w:history="1">
        <w:r w:rsidR="00A73A4A" w:rsidRPr="005270D1">
          <w:rPr>
            <w:rStyle w:val="Hyperlink"/>
          </w:rPr>
          <w:t>3</w:t>
        </w:r>
        <w:r w:rsidR="00A73A4A">
          <w:rPr>
            <w:rFonts w:eastAsiaTheme="minorEastAsia" w:cstheme="minorBidi"/>
            <w:b w:val="0"/>
            <w:lang w:eastAsia="en-AU"/>
          </w:rPr>
          <w:tab/>
        </w:r>
        <w:r w:rsidR="00A73A4A" w:rsidRPr="005270D1">
          <w:rPr>
            <w:rStyle w:val="Hyperlink"/>
          </w:rPr>
          <w:t>Government will continue to play a central role in stimulating and supporting the increasingly commercial space sector</w:t>
        </w:r>
        <w:r w:rsidR="00A73A4A">
          <w:rPr>
            <w:webHidden/>
          </w:rPr>
          <w:tab/>
        </w:r>
        <w:r w:rsidR="00A73A4A">
          <w:rPr>
            <w:webHidden/>
          </w:rPr>
          <w:fldChar w:fldCharType="begin"/>
        </w:r>
        <w:r w:rsidR="00A73A4A">
          <w:rPr>
            <w:webHidden/>
          </w:rPr>
          <w:instrText xml:space="preserve"> PAGEREF _Toc62719136 \h </w:instrText>
        </w:r>
        <w:r w:rsidR="00A73A4A">
          <w:rPr>
            <w:webHidden/>
          </w:rPr>
        </w:r>
        <w:r w:rsidR="00A73A4A">
          <w:rPr>
            <w:webHidden/>
          </w:rPr>
          <w:fldChar w:fldCharType="separate"/>
        </w:r>
        <w:r>
          <w:rPr>
            <w:webHidden/>
          </w:rPr>
          <w:t>37</w:t>
        </w:r>
        <w:r w:rsidR="00A73A4A">
          <w:rPr>
            <w:webHidden/>
          </w:rPr>
          <w:fldChar w:fldCharType="end"/>
        </w:r>
      </w:hyperlink>
    </w:p>
    <w:p w14:paraId="3F27F4E1" w14:textId="77777777" w:rsidR="00A73A4A" w:rsidRDefault="007040B4">
      <w:pPr>
        <w:pStyle w:val="TOC2"/>
        <w:rPr>
          <w:rFonts w:eastAsiaTheme="minorEastAsia" w:cstheme="minorBidi"/>
          <w:lang w:eastAsia="en-AU"/>
        </w:rPr>
      </w:pPr>
      <w:hyperlink w:anchor="_Toc62719137" w:history="1">
        <w:r w:rsidR="00A73A4A" w:rsidRPr="005270D1">
          <w:rPr>
            <w:rStyle w:val="Hyperlink"/>
          </w:rPr>
          <w:t>3.1</w:t>
        </w:r>
        <w:r w:rsidR="00A73A4A">
          <w:rPr>
            <w:rFonts w:eastAsiaTheme="minorEastAsia" w:cstheme="minorBidi"/>
            <w:lang w:eastAsia="en-AU"/>
          </w:rPr>
          <w:tab/>
        </w:r>
        <w:r w:rsidR="00A73A4A" w:rsidRPr="005270D1">
          <w:rPr>
            <w:rStyle w:val="Hyperlink"/>
          </w:rPr>
          <w:t>Major infrastructure projects and government facilitation can drive local innovation and developing supplier capabilities</w:t>
        </w:r>
        <w:r w:rsidR="00A73A4A">
          <w:rPr>
            <w:webHidden/>
          </w:rPr>
          <w:tab/>
        </w:r>
        <w:r w:rsidR="00A73A4A">
          <w:rPr>
            <w:webHidden/>
          </w:rPr>
          <w:fldChar w:fldCharType="begin"/>
        </w:r>
        <w:r w:rsidR="00A73A4A">
          <w:rPr>
            <w:webHidden/>
          </w:rPr>
          <w:instrText xml:space="preserve"> PAGEREF _Toc62719137 \h </w:instrText>
        </w:r>
        <w:r w:rsidR="00A73A4A">
          <w:rPr>
            <w:webHidden/>
          </w:rPr>
        </w:r>
        <w:r w:rsidR="00A73A4A">
          <w:rPr>
            <w:webHidden/>
          </w:rPr>
          <w:fldChar w:fldCharType="separate"/>
        </w:r>
        <w:r>
          <w:rPr>
            <w:webHidden/>
          </w:rPr>
          <w:t>37</w:t>
        </w:r>
        <w:r w:rsidR="00A73A4A">
          <w:rPr>
            <w:webHidden/>
          </w:rPr>
          <w:fldChar w:fldCharType="end"/>
        </w:r>
      </w:hyperlink>
    </w:p>
    <w:p w14:paraId="7AEA2697" w14:textId="77777777" w:rsidR="00A73A4A" w:rsidRDefault="007040B4">
      <w:pPr>
        <w:pStyle w:val="TOC2"/>
        <w:rPr>
          <w:rFonts w:eastAsiaTheme="minorEastAsia" w:cstheme="minorBidi"/>
          <w:lang w:eastAsia="en-AU"/>
        </w:rPr>
      </w:pPr>
      <w:hyperlink w:anchor="_Toc62719138" w:history="1">
        <w:r w:rsidR="00A73A4A" w:rsidRPr="005270D1">
          <w:rPr>
            <w:rStyle w:val="Hyperlink"/>
          </w:rPr>
          <w:t>3.2</w:t>
        </w:r>
        <w:r w:rsidR="00A73A4A">
          <w:rPr>
            <w:rFonts w:eastAsiaTheme="minorEastAsia" w:cstheme="minorBidi"/>
            <w:lang w:eastAsia="en-AU"/>
          </w:rPr>
          <w:tab/>
        </w:r>
        <w:r w:rsidR="00A73A4A" w:rsidRPr="005270D1">
          <w:rPr>
            <w:rStyle w:val="Hyperlink"/>
          </w:rPr>
          <w:t>Government is working to encourage innovation through creating a safe and certain regulatory environment</w:t>
        </w:r>
        <w:r w:rsidR="00A73A4A">
          <w:rPr>
            <w:webHidden/>
          </w:rPr>
          <w:tab/>
        </w:r>
        <w:r w:rsidR="00A73A4A">
          <w:rPr>
            <w:webHidden/>
          </w:rPr>
          <w:fldChar w:fldCharType="begin"/>
        </w:r>
        <w:r w:rsidR="00A73A4A">
          <w:rPr>
            <w:webHidden/>
          </w:rPr>
          <w:instrText xml:space="preserve"> PAGEREF _Toc62719138 \h </w:instrText>
        </w:r>
        <w:r w:rsidR="00A73A4A">
          <w:rPr>
            <w:webHidden/>
          </w:rPr>
        </w:r>
        <w:r w:rsidR="00A73A4A">
          <w:rPr>
            <w:webHidden/>
          </w:rPr>
          <w:fldChar w:fldCharType="separate"/>
        </w:r>
        <w:r>
          <w:rPr>
            <w:webHidden/>
          </w:rPr>
          <w:t>39</w:t>
        </w:r>
        <w:r w:rsidR="00A73A4A">
          <w:rPr>
            <w:webHidden/>
          </w:rPr>
          <w:fldChar w:fldCharType="end"/>
        </w:r>
      </w:hyperlink>
    </w:p>
    <w:p w14:paraId="03D75A4F" w14:textId="77777777" w:rsidR="00A73A4A" w:rsidRDefault="007040B4">
      <w:pPr>
        <w:pStyle w:val="TOC2"/>
        <w:rPr>
          <w:rFonts w:eastAsiaTheme="minorEastAsia" w:cstheme="minorBidi"/>
          <w:lang w:eastAsia="en-AU"/>
        </w:rPr>
      </w:pPr>
      <w:hyperlink w:anchor="_Toc62719139" w:history="1">
        <w:r w:rsidR="00A73A4A" w:rsidRPr="005270D1">
          <w:rPr>
            <w:rStyle w:val="Hyperlink"/>
          </w:rPr>
          <w:t>3.3</w:t>
        </w:r>
        <w:r w:rsidR="00A73A4A">
          <w:rPr>
            <w:rFonts w:eastAsiaTheme="minorEastAsia" w:cstheme="minorBidi"/>
            <w:lang w:eastAsia="en-AU"/>
          </w:rPr>
          <w:tab/>
        </w:r>
        <w:r w:rsidR="00A73A4A" w:rsidRPr="005270D1">
          <w:rPr>
            <w:rStyle w:val="Hyperlink"/>
          </w:rPr>
          <w:t>Regular and robust measurements will improve sector visibility, which could help support and encourage investors</w:t>
        </w:r>
        <w:r w:rsidR="00A73A4A">
          <w:rPr>
            <w:webHidden/>
          </w:rPr>
          <w:tab/>
        </w:r>
        <w:r w:rsidR="00A73A4A">
          <w:rPr>
            <w:webHidden/>
          </w:rPr>
          <w:fldChar w:fldCharType="begin"/>
        </w:r>
        <w:r w:rsidR="00A73A4A">
          <w:rPr>
            <w:webHidden/>
          </w:rPr>
          <w:instrText xml:space="preserve"> PAGEREF _Toc62719139 \h </w:instrText>
        </w:r>
        <w:r w:rsidR="00A73A4A">
          <w:rPr>
            <w:webHidden/>
          </w:rPr>
        </w:r>
        <w:r w:rsidR="00A73A4A">
          <w:rPr>
            <w:webHidden/>
          </w:rPr>
          <w:fldChar w:fldCharType="separate"/>
        </w:r>
        <w:r>
          <w:rPr>
            <w:webHidden/>
          </w:rPr>
          <w:t>39</w:t>
        </w:r>
        <w:r w:rsidR="00A73A4A">
          <w:rPr>
            <w:webHidden/>
          </w:rPr>
          <w:fldChar w:fldCharType="end"/>
        </w:r>
      </w:hyperlink>
    </w:p>
    <w:p w14:paraId="77B02817" w14:textId="77777777" w:rsidR="00A73A4A" w:rsidRDefault="007040B4">
      <w:pPr>
        <w:pStyle w:val="TOC2"/>
        <w:rPr>
          <w:rFonts w:eastAsiaTheme="minorEastAsia" w:cstheme="minorBidi"/>
          <w:lang w:eastAsia="en-AU"/>
        </w:rPr>
      </w:pPr>
      <w:hyperlink w:anchor="_Toc62719140" w:history="1">
        <w:r w:rsidR="00A73A4A" w:rsidRPr="005270D1">
          <w:rPr>
            <w:rStyle w:val="Hyperlink"/>
          </w:rPr>
          <w:t>3.4</w:t>
        </w:r>
        <w:r w:rsidR="00A73A4A">
          <w:rPr>
            <w:rFonts w:eastAsiaTheme="minorEastAsia" w:cstheme="minorBidi"/>
            <w:lang w:eastAsia="en-AU"/>
          </w:rPr>
          <w:tab/>
        </w:r>
        <w:r w:rsidR="00A73A4A" w:rsidRPr="005270D1">
          <w:rPr>
            <w:rStyle w:val="Hyperlink"/>
          </w:rPr>
          <w:t>Conclusion</w:t>
        </w:r>
        <w:r w:rsidR="00A73A4A">
          <w:rPr>
            <w:webHidden/>
          </w:rPr>
          <w:tab/>
        </w:r>
        <w:r w:rsidR="00A73A4A">
          <w:rPr>
            <w:webHidden/>
          </w:rPr>
          <w:fldChar w:fldCharType="begin"/>
        </w:r>
        <w:r w:rsidR="00A73A4A">
          <w:rPr>
            <w:webHidden/>
          </w:rPr>
          <w:instrText xml:space="preserve"> PAGEREF _Toc62719140 \h </w:instrText>
        </w:r>
        <w:r w:rsidR="00A73A4A">
          <w:rPr>
            <w:webHidden/>
          </w:rPr>
        </w:r>
        <w:r w:rsidR="00A73A4A">
          <w:rPr>
            <w:webHidden/>
          </w:rPr>
          <w:fldChar w:fldCharType="separate"/>
        </w:r>
        <w:r>
          <w:rPr>
            <w:webHidden/>
          </w:rPr>
          <w:t>40</w:t>
        </w:r>
        <w:r w:rsidR="00A73A4A">
          <w:rPr>
            <w:webHidden/>
          </w:rPr>
          <w:fldChar w:fldCharType="end"/>
        </w:r>
      </w:hyperlink>
    </w:p>
    <w:p w14:paraId="3BFEFEAE" w14:textId="77777777" w:rsidR="00A73A4A" w:rsidRDefault="007040B4">
      <w:pPr>
        <w:pStyle w:val="TOC1"/>
        <w:rPr>
          <w:rFonts w:eastAsiaTheme="minorEastAsia" w:cstheme="minorBidi"/>
          <w:b w:val="0"/>
          <w:lang w:eastAsia="en-AU"/>
        </w:rPr>
      </w:pPr>
      <w:hyperlink w:anchor="_Toc62719141" w:history="1">
        <w:r w:rsidR="00A73A4A" w:rsidRPr="005270D1">
          <w:rPr>
            <w:rStyle w:val="Hyperlink"/>
          </w:rPr>
          <w:t>4</w:t>
        </w:r>
        <w:r w:rsidR="00A73A4A">
          <w:rPr>
            <w:rFonts w:eastAsiaTheme="minorEastAsia" w:cstheme="minorBidi"/>
            <w:b w:val="0"/>
            <w:lang w:eastAsia="en-AU"/>
          </w:rPr>
          <w:tab/>
        </w:r>
        <w:r w:rsidR="00A73A4A" w:rsidRPr="005270D1">
          <w:rPr>
            <w:rStyle w:val="Hyperlink"/>
          </w:rPr>
          <w:t>Appendices</w:t>
        </w:r>
        <w:r w:rsidR="00A73A4A">
          <w:rPr>
            <w:webHidden/>
          </w:rPr>
          <w:tab/>
        </w:r>
        <w:r w:rsidR="00A73A4A">
          <w:rPr>
            <w:webHidden/>
          </w:rPr>
          <w:fldChar w:fldCharType="begin"/>
        </w:r>
        <w:r w:rsidR="00A73A4A">
          <w:rPr>
            <w:webHidden/>
          </w:rPr>
          <w:instrText xml:space="preserve"> PAGEREF _Toc62719141 \h </w:instrText>
        </w:r>
        <w:r w:rsidR="00A73A4A">
          <w:rPr>
            <w:webHidden/>
          </w:rPr>
        </w:r>
        <w:r w:rsidR="00A73A4A">
          <w:rPr>
            <w:webHidden/>
          </w:rPr>
          <w:fldChar w:fldCharType="separate"/>
        </w:r>
        <w:r>
          <w:rPr>
            <w:webHidden/>
          </w:rPr>
          <w:t>41</w:t>
        </w:r>
        <w:r w:rsidR="00A73A4A">
          <w:rPr>
            <w:webHidden/>
          </w:rPr>
          <w:fldChar w:fldCharType="end"/>
        </w:r>
      </w:hyperlink>
    </w:p>
    <w:p w14:paraId="407D2AA9" w14:textId="77777777" w:rsidR="00A73A4A" w:rsidRDefault="007040B4">
      <w:pPr>
        <w:pStyle w:val="TOC2"/>
        <w:rPr>
          <w:rFonts w:eastAsiaTheme="minorEastAsia" w:cstheme="minorBidi"/>
          <w:lang w:eastAsia="en-AU"/>
        </w:rPr>
      </w:pPr>
      <w:hyperlink w:anchor="_Toc62719142" w:history="1">
        <w:r w:rsidR="00A73A4A" w:rsidRPr="005270D1">
          <w:rPr>
            <w:rStyle w:val="Hyperlink"/>
          </w:rPr>
          <w:t>4.1</w:t>
        </w:r>
        <w:r w:rsidR="00A73A4A">
          <w:rPr>
            <w:rFonts w:eastAsiaTheme="minorEastAsia" w:cstheme="minorBidi"/>
            <w:lang w:eastAsia="en-AU"/>
          </w:rPr>
          <w:tab/>
        </w:r>
        <w:r w:rsidR="00A73A4A" w:rsidRPr="005270D1">
          <w:rPr>
            <w:rStyle w:val="Hyperlink"/>
          </w:rPr>
          <w:t>Appendix A: Australian Space Agency definition of the Australian Space Sector</w:t>
        </w:r>
        <w:r w:rsidR="00A73A4A">
          <w:rPr>
            <w:webHidden/>
          </w:rPr>
          <w:tab/>
        </w:r>
        <w:r w:rsidR="00A73A4A">
          <w:rPr>
            <w:webHidden/>
          </w:rPr>
          <w:fldChar w:fldCharType="begin"/>
        </w:r>
        <w:r w:rsidR="00A73A4A">
          <w:rPr>
            <w:webHidden/>
          </w:rPr>
          <w:instrText xml:space="preserve"> PAGEREF _Toc62719142 \h </w:instrText>
        </w:r>
        <w:r w:rsidR="00A73A4A">
          <w:rPr>
            <w:webHidden/>
          </w:rPr>
        </w:r>
        <w:r w:rsidR="00A73A4A">
          <w:rPr>
            <w:webHidden/>
          </w:rPr>
          <w:fldChar w:fldCharType="separate"/>
        </w:r>
        <w:r>
          <w:rPr>
            <w:webHidden/>
          </w:rPr>
          <w:t>41</w:t>
        </w:r>
        <w:r w:rsidR="00A73A4A">
          <w:rPr>
            <w:webHidden/>
          </w:rPr>
          <w:fldChar w:fldCharType="end"/>
        </w:r>
      </w:hyperlink>
    </w:p>
    <w:p w14:paraId="1CDA59E2" w14:textId="77777777" w:rsidR="00A73A4A" w:rsidRDefault="007040B4">
      <w:pPr>
        <w:pStyle w:val="TOC2"/>
        <w:rPr>
          <w:rFonts w:eastAsiaTheme="minorEastAsia" w:cstheme="minorBidi"/>
          <w:lang w:eastAsia="en-AU"/>
        </w:rPr>
      </w:pPr>
      <w:hyperlink w:anchor="_Toc62719143" w:history="1">
        <w:r w:rsidR="00A73A4A" w:rsidRPr="005270D1">
          <w:rPr>
            <w:rStyle w:val="Hyperlink"/>
          </w:rPr>
          <w:t>4.2</w:t>
        </w:r>
        <w:r w:rsidR="00A73A4A">
          <w:rPr>
            <w:rFonts w:eastAsiaTheme="minorEastAsia" w:cstheme="minorBidi"/>
            <w:lang w:eastAsia="en-AU"/>
          </w:rPr>
          <w:tab/>
        </w:r>
        <w:r w:rsidR="00A73A4A" w:rsidRPr="005270D1">
          <w:rPr>
            <w:rStyle w:val="Hyperlink"/>
          </w:rPr>
          <w:t>Appendix B: Measuring the space sector</w:t>
        </w:r>
        <w:r w:rsidR="00A73A4A">
          <w:rPr>
            <w:webHidden/>
          </w:rPr>
          <w:tab/>
        </w:r>
        <w:r w:rsidR="00A73A4A">
          <w:rPr>
            <w:webHidden/>
          </w:rPr>
          <w:fldChar w:fldCharType="begin"/>
        </w:r>
        <w:r w:rsidR="00A73A4A">
          <w:rPr>
            <w:webHidden/>
          </w:rPr>
          <w:instrText xml:space="preserve"> PAGEREF _Toc62719143 \h </w:instrText>
        </w:r>
        <w:r w:rsidR="00A73A4A">
          <w:rPr>
            <w:webHidden/>
          </w:rPr>
        </w:r>
        <w:r w:rsidR="00A73A4A">
          <w:rPr>
            <w:webHidden/>
          </w:rPr>
          <w:fldChar w:fldCharType="separate"/>
        </w:r>
        <w:r>
          <w:rPr>
            <w:webHidden/>
          </w:rPr>
          <w:t>41</w:t>
        </w:r>
        <w:r w:rsidR="00A73A4A">
          <w:rPr>
            <w:webHidden/>
          </w:rPr>
          <w:fldChar w:fldCharType="end"/>
        </w:r>
      </w:hyperlink>
    </w:p>
    <w:p w14:paraId="6494C069" w14:textId="2604C339" w:rsidR="00BF17EB" w:rsidRPr="00BF17EB" w:rsidRDefault="00A73A4A" w:rsidP="00A73A4A">
      <w:pPr>
        <w:rPr>
          <w:rFonts w:ascii="Calibri" w:eastAsia="Calibri" w:hAnsi="Calibri" w:cs="Calibri"/>
          <w:i/>
        </w:rPr>
      </w:pPr>
      <w:r>
        <w:fldChar w:fldCharType="end"/>
      </w:r>
      <w:r w:rsidR="00BF17EB" w:rsidRPr="00BF17EB">
        <w:rPr>
          <w:rFonts w:ascii="Calibri" w:eastAsia="Calibri" w:hAnsi="Calibri" w:cs="Calibri"/>
          <w:i/>
        </w:rPr>
        <w:br w:type="page"/>
      </w:r>
    </w:p>
    <w:p w14:paraId="6A7584CB" w14:textId="77777777" w:rsidR="00B20DC6" w:rsidRDefault="00B20DC6" w:rsidP="001972F5">
      <w:pPr>
        <w:keepNext/>
        <w:keepLines/>
        <w:spacing w:before="240"/>
        <w:outlineLvl w:val="0"/>
        <w:rPr>
          <w:rFonts w:ascii="Calibri Light" w:eastAsia="Times New Roman" w:hAnsi="Calibri Light" w:cs="Calibri Light"/>
          <w:b/>
          <w:caps/>
          <w:color w:val="4CB8C1"/>
          <w:sz w:val="40"/>
          <w:szCs w:val="44"/>
          <w:lang w:val="en-US"/>
        </w:rPr>
        <w:sectPr w:rsidR="00B20DC6" w:rsidSect="00B20DC6">
          <w:pgSz w:w="11906" w:h="16838"/>
          <w:pgMar w:top="1440" w:right="1440" w:bottom="1440" w:left="1440" w:header="709" w:footer="709" w:gutter="0"/>
          <w:cols w:space="708"/>
          <w:docGrid w:linePitch="360"/>
        </w:sectPr>
      </w:pPr>
      <w:bookmarkStart w:id="6" w:name="_Toc46321681"/>
      <w:bookmarkEnd w:id="3"/>
      <w:bookmarkEnd w:id="4"/>
    </w:p>
    <w:p w14:paraId="5B292780" w14:textId="02DA2A6B" w:rsidR="00F82F1C" w:rsidRPr="00F82F1C" w:rsidRDefault="00242288" w:rsidP="00C01536">
      <w:pPr>
        <w:pStyle w:val="Heading1"/>
        <w:numPr>
          <w:ilvl w:val="0"/>
          <w:numId w:val="0"/>
        </w:numPr>
        <w:spacing w:before="0" w:after="0" w:line="240" w:lineRule="auto"/>
      </w:pPr>
      <w:bookmarkStart w:id="7" w:name="_Toc49366188"/>
      <w:bookmarkStart w:id="8" w:name="_Toc62719125"/>
      <w:r>
        <w:lastRenderedPageBreak/>
        <w:t>I</w:t>
      </w:r>
      <w:r w:rsidR="004D0C98" w:rsidRPr="00BF17EB">
        <w:rPr>
          <w:caps w:val="0"/>
        </w:rPr>
        <w:t>nfograph</w:t>
      </w:r>
      <w:r w:rsidR="004D0C98">
        <w:rPr>
          <w:caps w:val="0"/>
        </w:rPr>
        <w:t>i</w:t>
      </w:r>
      <w:r w:rsidR="004D0C98" w:rsidRPr="00BF17EB">
        <w:rPr>
          <w:caps w:val="0"/>
        </w:rPr>
        <w:t>c</w:t>
      </w:r>
      <w:bookmarkEnd w:id="6"/>
      <w:bookmarkEnd w:id="7"/>
      <w:bookmarkEnd w:id="8"/>
    </w:p>
    <w:p w14:paraId="7FB88AD7" w14:textId="71E5E152" w:rsidR="00645967" w:rsidRDefault="00C01536" w:rsidP="00D37139">
      <w:pPr>
        <w:sectPr w:rsidR="00645967" w:rsidSect="00B20DC6">
          <w:pgSz w:w="16838" w:h="11906" w:orient="landscape"/>
          <w:pgMar w:top="1440" w:right="1440" w:bottom="1440" w:left="1440" w:header="709" w:footer="709" w:gutter="0"/>
          <w:cols w:space="708"/>
          <w:docGrid w:linePitch="360"/>
        </w:sectPr>
      </w:pPr>
      <w:r>
        <w:rPr>
          <w:noProof/>
          <w:lang w:eastAsia="en-AU"/>
        </w:rPr>
        <w:drawing>
          <wp:inline distT="0" distB="0" distL="0" distR="0" wp14:anchorId="3DEF9684" wp14:editId="7D46B3C8">
            <wp:extent cx="8476121" cy="4627245"/>
            <wp:effectExtent l="0" t="0" r="1270" b="0"/>
            <wp:docPr id="3" name="Picture 3" descr="Summary of key results for 2018-19&#10;$4.8 billion revenue&#10;9,000 to 10,000 jobs&#10;4% in manufacturing&#10;7% in operations&#10;9% in enablers&#10;80% in applications&#10;Government supports space sector growth in three ways:&#10;1. Acting as a partner and faciliator, including supporting major infrastructure projects to drive innovation and build capabilities.&#10;2. Reducing barrier to entry for domestic and international activity by creating a safe and effective regulatory landscape&#10;3. Conducting regular and robust measurements of the sector to improve sector visibility and attract investors."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60834" cy="4673491"/>
                    </a:xfrm>
                    <a:prstGeom prst="rect">
                      <a:avLst/>
                    </a:prstGeom>
                    <a:noFill/>
                  </pic:spPr>
                </pic:pic>
              </a:graphicData>
            </a:graphic>
          </wp:inline>
        </w:drawing>
      </w:r>
    </w:p>
    <w:p w14:paraId="206A58C2" w14:textId="1406AD1F" w:rsidR="00840FFC" w:rsidRPr="00D37139" w:rsidRDefault="007E1B73" w:rsidP="00D37139">
      <w:pPr>
        <w:pStyle w:val="Heading1"/>
        <w:numPr>
          <w:ilvl w:val="0"/>
          <w:numId w:val="0"/>
        </w:numPr>
        <w:ind w:left="432" w:hanging="432"/>
        <w:rPr>
          <w:caps w:val="0"/>
        </w:rPr>
      </w:pPr>
      <w:bookmarkStart w:id="9" w:name="_Toc49366189"/>
      <w:bookmarkStart w:id="10" w:name="_Toc62719126"/>
      <w:bookmarkStart w:id="11" w:name="_Toc46321682"/>
      <w:r w:rsidRPr="00D37139">
        <w:rPr>
          <w:caps w:val="0"/>
        </w:rPr>
        <w:lastRenderedPageBreak/>
        <w:t>Glossary</w:t>
      </w:r>
      <w:bookmarkEnd w:id="9"/>
      <w:bookmarkEnd w:id="10"/>
    </w:p>
    <w:p w14:paraId="2ADBD8B4" w14:textId="77777777" w:rsidR="00840FFC" w:rsidRPr="007238BA" w:rsidRDefault="00840FFC" w:rsidP="00EF568A">
      <w:pPr>
        <w:pStyle w:val="Bullet-square"/>
        <w:numPr>
          <w:ilvl w:val="0"/>
          <w:numId w:val="0"/>
        </w:numPr>
      </w:pPr>
      <w:r w:rsidRPr="00332308">
        <w:rPr>
          <w:b/>
          <w:bCs/>
          <w:color w:val="002060" w:themeColor="text2"/>
        </w:rPr>
        <w:t>ABN:</w:t>
      </w:r>
      <w:r w:rsidRPr="00332308">
        <w:rPr>
          <w:color w:val="002060" w:themeColor="text2"/>
        </w:rPr>
        <w:t xml:space="preserve"> </w:t>
      </w:r>
      <w:r w:rsidRPr="007238BA">
        <w:t>Australian Business Number</w:t>
      </w:r>
    </w:p>
    <w:p w14:paraId="4F153D24" w14:textId="77777777" w:rsidR="00840FFC" w:rsidRPr="007238BA" w:rsidRDefault="00840FFC" w:rsidP="00EF568A">
      <w:pPr>
        <w:pStyle w:val="Bullet-square"/>
        <w:numPr>
          <w:ilvl w:val="0"/>
          <w:numId w:val="0"/>
        </w:numPr>
      </w:pPr>
      <w:r w:rsidRPr="00332308">
        <w:rPr>
          <w:b/>
          <w:bCs/>
          <w:color w:val="002060" w:themeColor="text2"/>
        </w:rPr>
        <w:t>ABS:</w:t>
      </w:r>
      <w:r w:rsidRPr="00332308">
        <w:rPr>
          <w:color w:val="002060" w:themeColor="text2"/>
        </w:rPr>
        <w:t xml:space="preserve"> </w:t>
      </w:r>
      <w:r w:rsidRPr="007238BA">
        <w:t>Australian Bureau of Statistics</w:t>
      </w:r>
    </w:p>
    <w:p w14:paraId="7CD7806A" w14:textId="77777777" w:rsidR="00840FFC" w:rsidRDefault="00840FFC" w:rsidP="00EF568A">
      <w:pPr>
        <w:pStyle w:val="Bullet-square"/>
        <w:numPr>
          <w:ilvl w:val="0"/>
          <w:numId w:val="0"/>
        </w:numPr>
      </w:pPr>
      <w:r w:rsidRPr="00332308">
        <w:rPr>
          <w:b/>
          <w:bCs/>
          <w:color w:val="002060" w:themeColor="text2"/>
        </w:rPr>
        <w:t>ACT:</w:t>
      </w:r>
      <w:r w:rsidRPr="00332308">
        <w:rPr>
          <w:color w:val="002060" w:themeColor="text2"/>
        </w:rPr>
        <w:t xml:space="preserve"> </w:t>
      </w:r>
      <w:r>
        <w:t>Australian Capital Territory</w:t>
      </w:r>
    </w:p>
    <w:p w14:paraId="726669C0" w14:textId="77777777" w:rsidR="00840FFC" w:rsidRPr="007238BA" w:rsidRDefault="00840FFC" w:rsidP="00EF568A">
      <w:pPr>
        <w:pStyle w:val="Bullet-square"/>
        <w:numPr>
          <w:ilvl w:val="0"/>
          <w:numId w:val="0"/>
        </w:numPr>
      </w:pPr>
      <w:r w:rsidRPr="00332308">
        <w:rPr>
          <w:b/>
          <w:bCs/>
          <w:color w:val="002060" w:themeColor="text2"/>
        </w:rPr>
        <w:t>ANU:</w:t>
      </w:r>
      <w:r w:rsidRPr="00332308">
        <w:rPr>
          <w:color w:val="002060" w:themeColor="text2"/>
        </w:rPr>
        <w:t xml:space="preserve"> </w:t>
      </w:r>
      <w:r w:rsidRPr="007238BA">
        <w:t>Australian National University</w:t>
      </w:r>
    </w:p>
    <w:p w14:paraId="5DF3E5B5" w14:textId="77777777" w:rsidR="00840FFC" w:rsidRPr="007238BA" w:rsidRDefault="00840FFC" w:rsidP="00EF568A">
      <w:pPr>
        <w:pStyle w:val="Bullet-square"/>
        <w:numPr>
          <w:ilvl w:val="0"/>
          <w:numId w:val="0"/>
        </w:numPr>
      </w:pPr>
      <w:r w:rsidRPr="00332308">
        <w:rPr>
          <w:b/>
          <w:bCs/>
          <w:color w:val="002060" w:themeColor="text2"/>
        </w:rPr>
        <w:t>ANZSIC:</w:t>
      </w:r>
      <w:r w:rsidRPr="00332308">
        <w:rPr>
          <w:color w:val="002060" w:themeColor="text2"/>
        </w:rPr>
        <w:t xml:space="preserve"> </w:t>
      </w:r>
      <w:r w:rsidRPr="007238BA">
        <w:t>Australia and New Zealand Standard Industrial Classification</w:t>
      </w:r>
    </w:p>
    <w:p w14:paraId="70C02D70" w14:textId="427EFB0F" w:rsidR="00840FFC" w:rsidRPr="007238BA" w:rsidRDefault="00E55CBA" w:rsidP="00EF568A">
      <w:pPr>
        <w:pStyle w:val="Bullet-square"/>
        <w:numPr>
          <w:ilvl w:val="0"/>
          <w:numId w:val="0"/>
        </w:numPr>
      </w:pPr>
      <w:r>
        <w:rPr>
          <w:b/>
          <w:bCs/>
          <w:color w:val="002060" w:themeColor="text2"/>
        </w:rPr>
        <w:t>The Agency</w:t>
      </w:r>
      <w:r w:rsidR="00332308" w:rsidRPr="00332308">
        <w:rPr>
          <w:b/>
          <w:bCs/>
          <w:color w:val="002060" w:themeColor="text2"/>
        </w:rPr>
        <w:t>:</w:t>
      </w:r>
      <w:r w:rsidR="00332308" w:rsidRPr="00332308">
        <w:rPr>
          <w:color w:val="002060" w:themeColor="text2"/>
        </w:rPr>
        <w:t xml:space="preserve"> </w:t>
      </w:r>
      <w:r w:rsidR="00840FFC" w:rsidRPr="007238BA">
        <w:t>Australian Space Agency</w:t>
      </w:r>
    </w:p>
    <w:p w14:paraId="179C15FB" w14:textId="76733CC3" w:rsidR="00840FFC" w:rsidRDefault="00840FFC" w:rsidP="00EF568A">
      <w:pPr>
        <w:pStyle w:val="Bullet-square"/>
        <w:numPr>
          <w:ilvl w:val="0"/>
          <w:numId w:val="0"/>
        </w:numPr>
      </w:pPr>
      <w:r w:rsidRPr="00332308">
        <w:rPr>
          <w:b/>
          <w:bCs/>
          <w:color w:val="002060" w:themeColor="text2"/>
        </w:rPr>
        <w:t>Capability:</w:t>
      </w:r>
      <w:r w:rsidRPr="00332308">
        <w:rPr>
          <w:color w:val="002060" w:themeColor="text2"/>
        </w:rPr>
        <w:t xml:space="preserve"> </w:t>
      </w:r>
      <w:r w:rsidRPr="007238BA">
        <w:t>A firm’s capability is its ability to provide a product or service relevant to a major space supply chain. The capability is not the product or service itself or the skills required to perform the capability. It could be specialised within the space industry or it could be more generalised to other industries</w:t>
      </w:r>
    </w:p>
    <w:p w14:paraId="5A03EE10" w14:textId="77777777" w:rsidR="00840FFC" w:rsidRPr="007238BA" w:rsidRDefault="00840FFC" w:rsidP="00EF568A">
      <w:pPr>
        <w:pStyle w:val="Bullet-square"/>
        <w:numPr>
          <w:ilvl w:val="0"/>
          <w:numId w:val="0"/>
        </w:numPr>
      </w:pPr>
      <w:r w:rsidRPr="00332308">
        <w:rPr>
          <w:b/>
          <w:bCs/>
          <w:color w:val="002060" w:themeColor="text2"/>
        </w:rPr>
        <w:t>CSIRO:</w:t>
      </w:r>
      <w:r w:rsidRPr="00332308">
        <w:rPr>
          <w:color w:val="002060" w:themeColor="text2"/>
        </w:rPr>
        <w:t xml:space="preserve"> </w:t>
      </w:r>
      <w:r w:rsidRPr="00992EDF">
        <w:t>Commonwealth Scientific and Industrial Research Organisation</w:t>
      </w:r>
    </w:p>
    <w:p w14:paraId="63D0B846" w14:textId="77777777" w:rsidR="00840FFC" w:rsidRDefault="00840FFC" w:rsidP="00EF568A">
      <w:pPr>
        <w:pStyle w:val="Bullet-square"/>
        <w:numPr>
          <w:ilvl w:val="0"/>
          <w:numId w:val="0"/>
        </w:numPr>
      </w:pPr>
      <w:r w:rsidRPr="00332308">
        <w:rPr>
          <w:b/>
          <w:bCs/>
          <w:color w:val="002060" w:themeColor="text2"/>
        </w:rPr>
        <w:t>EOS:</w:t>
      </w:r>
      <w:r w:rsidRPr="00332308">
        <w:rPr>
          <w:color w:val="002060" w:themeColor="text2"/>
        </w:rPr>
        <w:t xml:space="preserve"> </w:t>
      </w:r>
      <w:r w:rsidRPr="007238BA">
        <w:t>Electro Optic Systems</w:t>
      </w:r>
    </w:p>
    <w:p w14:paraId="3FB8E1BF" w14:textId="015CBA8B" w:rsidR="00E55CBA" w:rsidRDefault="00E55CBA" w:rsidP="00EF568A">
      <w:pPr>
        <w:pStyle w:val="Bullet-square"/>
        <w:numPr>
          <w:ilvl w:val="0"/>
          <w:numId w:val="0"/>
        </w:numPr>
      </w:pPr>
      <w:r w:rsidRPr="00357DEC">
        <w:rPr>
          <w:b/>
          <w:bCs/>
          <w:color w:val="002060" w:themeColor="text2"/>
        </w:rPr>
        <w:t>ESA:</w:t>
      </w:r>
      <w:r>
        <w:t xml:space="preserve"> European Space Agency</w:t>
      </w:r>
    </w:p>
    <w:p w14:paraId="0BC8A582" w14:textId="03CF5DE7" w:rsidR="00121E30" w:rsidRPr="007238BA" w:rsidRDefault="00121E30" w:rsidP="00EF568A">
      <w:pPr>
        <w:pStyle w:val="Bullet-square"/>
        <w:numPr>
          <w:ilvl w:val="0"/>
          <w:numId w:val="0"/>
        </w:numPr>
      </w:pPr>
      <w:r w:rsidRPr="00357DEC">
        <w:rPr>
          <w:b/>
          <w:bCs/>
          <w:color w:val="002060" w:themeColor="text2"/>
        </w:rPr>
        <w:t>FY:</w:t>
      </w:r>
      <w:r>
        <w:t xml:space="preserve"> Financial Year</w:t>
      </w:r>
    </w:p>
    <w:p w14:paraId="593A34D0" w14:textId="77777777" w:rsidR="00840FFC" w:rsidRDefault="00840FFC" w:rsidP="00EF568A">
      <w:pPr>
        <w:pStyle w:val="Bullet-square"/>
        <w:numPr>
          <w:ilvl w:val="0"/>
          <w:numId w:val="0"/>
        </w:numPr>
      </w:pPr>
      <w:r w:rsidRPr="00332308">
        <w:rPr>
          <w:b/>
          <w:bCs/>
          <w:color w:val="002060" w:themeColor="text2"/>
        </w:rPr>
        <w:t>GDP:</w:t>
      </w:r>
      <w:r w:rsidRPr="00332308">
        <w:rPr>
          <w:color w:val="002060" w:themeColor="text2"/>
        </w:rPr>
        <w:t xml:space="preserve"> </w:t>
      </w:r>
      <w:r w:rsidRPr="007238BA">
        <w:t>Gross Domestic Product</w:t>
      </w:r>
    </w:p>
    <w:p w14:paraId="2908F22B" w14:textId="77777777" w:rsidR="00840FFC" w:rsidRPr="007238BA" w:rsidRDefault="00840FFC" w:rsidP="00EF568A">
      <w:pPr>
        <w:pStyle w:val="Bullet-square"/>
        <w:numPr>
          <w:ilvl w:val="0"/>
          <w:numId w:val="0"/>
        </w:numPr>
      </w:pPr>
      <w:r w:rsidRPr="00BA3FE4">
        <w:rPr>
          <w:b/>
          <w:bCs/>
          <w:color w:val="002060" w:themeColor="text2"/>
        </w:rPr>
        <w:t>GNSS:</w:t>
      </w:r>
      <w:r w:rsidRPr="00BA3FE4">
        <w:rPr>
          <w:color w:val="002060" w:themeColor="text2"/>
        </w:rPr>
        <w:t xml:space="preserve"> </w:t>
      </w:r>
      <w:r w:rsidRPr="003B549B">
        <w:t xml:space="preserve">Global Navigation Satellite Systems </w:t>
      </w:r>
    </w:p>
    <w:p w14:paraId="573F36F5" w14:textId="77777777" w:rsidR="00840FFC" w:rsidRPr="007238BA" w:rsidRDefault="00840FFC" w:rsidP="00EF568A">
      <w:pPr>
        <w:pStyle w:val="Bullet-square"/>
        <w:numPr>
          <w:ilvl w:val="0"/>
          <w:numId w:val="0"/>
        </w:numPr>
      </w:pPr>
      <w:r w:rsidRPr="00BA3FE4">
        <w:rPr>
          <w:b/>
          <w:bCs/>
          <w:color w:val="002060" w:themeColor="text2"/>
        </w:rPr>
        <w:t>NASA:</w:t>
      </w:r>
      <w:r w:rsidRPr="00BA3FE4">
        <w:rPr>
          <w:color w:val="002060" w:themeColor="text2"/>
        </w:rPr>
        <w:t xml:space="preserve"> </w:t>
      </w:r>
      <w:r w:rsidRPr="007238BA">
        <w:t>National Aeronautics and Space Administration is an independent agency of the United States Federal Government</w:t>
      </w:r>
    </w:p>
    <w:p w14:paraId="2F2C3EF4" w14:textId="77777777" w:rsidR="00840FFC" w:rsidRPr="007238BA" w:rsidRDefault="00840FFC" w:rsidP="00EF568A">
      <w:pPr>
        <w:pStyle w:val="Bullet-square"/>
        <w:numPr>
          <w:ilvl w:val="0"/>
          <w:numId w:val="0"/>
        </w:numPr>
      </w:pPr>
      <w:r w:rsidRPr="00BA3FE4">
        <w:rPr>
          <w:b/>
          <w:bCs/>
          <w:color w:val="002060" w:themeColor="text2"/>
        </w:rPr>
        <w:t>Non-space firm:</w:t>
      </w:r>
      <w:r w:rsidRPr="00BA3FE4">
        <w:rPr>
          <w:color w:val="002060" w:themeColor="text2"/>
        </w:rPr>
        <w:t xml:space="preserve"> </w:t>
      </w:r>
      <w:r w:rsidRPr="007238BA">
        <w:t>Firms that are not currently participating in the space sector</w:t>
      </w:r>
    </w:p>
    <w:p w14:paraId="4F77EA56" w14:textId="77777777" w:rsidR="00840FFC" w:rsidRPr="007238BA" w:rsidRDefault="00840FFC" w:rsidP="00EF568A">
      <w:pPr>
        <w:pStyle w:val="Bullet-square"/>
        <w:numPr>
          <w:ilvl w:val="0"/>
          <w:numId w:val="0"/>
        </w:numPr>
      </w:pPr>
      <w:r w:rsidRPr="00BA3FE4">
        <w:rPr>
          <w:b/>
          <w:bCs/>
          <w:color w:val="002060" w:themeColor="text2"/>
        </w:rPr>
        <w:t>OECD:</w:t>
      </w:r>
      <w:r w:rsidRPr="00BA3FE4">
        <w:rPr>
          <w:color w:val="002060" w:themeColor="text2"/>
        </w:rPr>
        <w:t xml:space="preserve"> </w:t>
      </w:r>
      <w:r w:rsidRPr="007238BA">
        <w:t>Organisation for Economic Co-operation and Development</w:t>
      </w:r>
    </w:p>
    <w:p w14:paraId="4665BAF6" w14:textId="77777777" w:rsidR="00840FFC" w:rsidRPr="007238BA" w:rsidRDefault="00840FFC" w:rsidP="00EF568A">
      <w:pPr>
        <w:pStyle w:val="Bullet-square"/>
        <w:numPr>
          <w:ilvl w:val="0"/>
          <w:numId w:val="0"/>
        </w:numPr>
      </w:pPr>
      <w:r w:rsidRPr="00BA3FE4">
        <w:rPr>
          <w:b/>
          <w:bCs/>
          <w:color w:val="002060" w:themeColor="text2"/>
        </w:rPr>
        <w:t>R&amp;D:</w:t>
      </w:r>
      <w:r w:rsidRPr="00BA3FE4">
        <w:rPr>
          <w:color w:val="002060" w:themeColor="text2"/>
        </w:rPr>
        <w:t xml:space="preserve"> </w:t>
      </w:r>
      <w:r w:rsidRPr="007238BA">
        <w:t>Research and Development</w:t>
      </w:r>
    </w:p>
    <w:p w14:paraId="47C2416A" w14:textId="77777777" w:rsidR="00840FFC" w:rsidRPr="007238BA" w:rsidRDefault="00840FFC" w:rsidP="00EF568A">
      <w:pPr>
        <w:pStyle w:val="Bullet-square"/>
        <w:numPr>
          <w:ilvl w:val="0"/>
          <w:numId w:val="0"/>
        </w:numPr>
      </w:pPr>
      <w:r w:rsidRPr="00BA3FE4">
        <w:rPr>
          <w:b/>
          <w:bCs/>
          <w:color w:val="002060" w:themeColor="text2"/>
        </w:rPr>
        <w:t>SAS:</w:t>
      </w:r>
      <w:r w:rsidRPr="00BA3FE4">
        <w:rPr>
          <w:color w:val="002060" w:themeColor="text2"/>
        </w:rPr>
        <w:t xml:space="preserve"> </w:t>
      </w:r>
      <w:r w:rsidRPr="007238BA">
        <w:t>Sky and Space Global</w:t>
      </w:r>
    </w:p>
    <w:p w14:paraId="02545561" w14:textId="77777777" w:rsidR="00840FFC" w:rsidRPr="007238BA" w:rsidRDefault="00840FFC" w:rsidP="00EF568A">
      <w:pPr>
        <w:pStyle w:val="Bullet-square"/>
        <w:numPr>
          <w:ilvl w:val="0"/>
          <w:numId w:val="0"/>
        </w:numPr>
      </w:pPr>
      <w:r w:rsidRPr="003A3518">
        <w:rPr>
          <w:b/>
          <w:bCs/>
          <w:color w:val="002060" w:themeColor="text2"/>
        </w:rPr>
        <w:t>SBIR:</w:t>
      </w:r>
      <w:r w:rsidRPr="003A3518">
        <w:rPr>
          <w:color w:val="002060" w:themeColor="text2"/>
        </w:rPr>
        <w:t xml:space="preserve"> </w:t>
      </w:r>
      <w:r w:rsidRPr="007238BA">
        <w:t>Small Business Innovation Research</w:t>
      </w:r>
    </w:p>
    <w:p w14:paraId="785C23DB" w14:textId="77777777" w:rsidR="00840FFC" w:rsidRPr="007238BA" w:rsidRDefault="00840FFC" w:rsidP="00EF568A">
      <w:pPr>
        <w:pStyle w:val="Bullet-square"/>
        <w:numPr>
          <w:ilvl w:val="0"/>
          <w:numId w:val="0"/>
        </w:numPr>
      </w:pPr>
      <w:r w:rsidRPr="003A3518">
        <w:rPr>
          <w:b/>
          <w:bCs/>
          <w:color w:val="002060" w:themeColor="text2"/>
        </w:rPr>
        <w:t>SES:</w:t>
      </w:r>
      <w:r w:rsidRPr="003A3518">
        <w:rPr>
          <w:color w:val="002060" w:themeColor="text2"/>
        </w:rPr>
        <w:t xml:space="preserve"> </w:t>
      </w:r>
      <w:r w:rsidRPr="007238BA">
        <w:t>SES Space Hub</w:t>
      </w:r>
    </w:p>
    <w:p w14:paraId="01D87C8E" w14:textId="77777777" w:rsidR="00840FFC" w:rsidRPr="007238BA" w:rsidRDefault="00840FFC" w:rsidP="00EF568A">
      <w:pPr>
        <w:pStyle w:val="Bullet-square"/>
        <w:numPr>
          <w:ilvl w:val="0"/>
          <w:numId w:val="0"/>
        </w:numPr>
      </w:pPr>
      <w:r w:rsidRPr="003A3518">
        <w:rPr>
          <w:b/>
          <w:bCs/>
          <w:color w:val="002060" w:themeColor="text2"/>
        </w:rPr>
        <w:t>SMEs:</w:t>
      </w:r>
      <w:r w:rsidRPr="003A3518">
        <w:rPr>
          <w:color w:val="002060" w:themeColor="text2"/>
        </w:rPr>
        <w:t xml:space="preserve"> </w:t>
      </w:r>
      <w:r w:rsidRPr="007238BA">
        <w:t>Small and medium-sized enterprises</w:t>
      </w:r>
    </w:p>
    <w:p w14:paraId="692EFEAB" w14:textId="77777777" w:rsidR="00840FFC" w:rsidRPr="007238BA" w:rsidRDefault="00840FFC" w:rsidP="00EF568A">
      <w:pPr>
        <w:pStyle w:val="Bullet-square"/>
        <w:numPr>
          <w:ilvl w:val="0"/>
          <w:numId w:val="0"/>
        </w:numPr>
      </w:pPr>
      <w:r w:rsidRPr="003A3518">
        <w:rPr>
          <w:b/>
          <w:bCs/>
          <w:color w:val="002060" w:themeColor="text2"/>
        </w:rPr>
        <w:t>SpaceX:</w:t>
      </w:r>
      <w:r w:rsidRPr="003A3518">
        <w:rPr>
          <w:color w:val="002060" w:themeColor="text2"/>
        </w:rPr>
        <w:t xml:space="preserve"> </w:t>
      </w:r>
      <w:r w:rsidRPr="007238BA">
        <w:t>Space Exploration Technologies</w:t>
      </w:r>
    </w:p>
    <w:p w14:paraId="4AECD0F9" w14:textId="77777777" w:rsidR="00840FFC" w:rsidRPr="007238BA" w:rsidRDefault="00840FFC" w:rsidP="00EF568A">
      <w:pPr>
        <w:pStyle w:val="Bullet-square"/>
        <w:numPr>
          <w:ilvl w:val="0"/>
          <w:numId w:val="0"/>
        </w:numPr>
      </w:pPr>
      <w:r w:rsidRPr="003A3518">
        <w:rPr>
          <w:b/>
          <w:bCs/>
          <w:color w:val="002060" w:themeColor="text2"/>
        </w:rPr>
        <w:t>SSA:</w:t>
      </w:r>
      <w:r w:rsidRPr="003A3518">
        <w:rPr>
          <w:color w:val="002060" w:themeColor="text2"/>
        </w:rPr>
        <w:t xml:space="preserve"> </w:t>
      </w:r>
      <w:r w:rsidRPr="007238BA">
        <w:t>Space Situational Awareness</w:t>
      </w:r>
    </w:p>
    <w:p w14:paraId="7A19ABAF" w14:textId="77777777" w:rsidR="00840FFC" w:rsidRDefault="00840FFC" w:rsidP="00EF568A">
      <w:pPr>
        <w:pStyle w:val="Bullet-square"/>
        <w:numPr>
          <w:ilvl w:val="0"/>
          <w:numId w:val="0"/>
        </w:numPr>
      </w:pPr>
      <w:r w:rsidRPr="003A3518">
        <w:rPr>
          <w:b/>
          <w:bCs/>
          <w:color w:val="002060" w:themeColor="text2"/>
        </w:rPr>
        <w:t>SKA:</w:t>
      </w:r>
      <w:r w:rsidRPr="003A3518">
        <w:rPr>
          <w:color w:val="002060" w:themeColor="text2"/>
        </w:rPr>
        <w:t xml:space="preserve"> </w:t>
      </w:r>
      <w:r>
        <w:t>Square Kilometre Array</w:t>
      </w:r>
    </w:p>
    <w:p w14:paraId="45DC4080" w14:textId="77777777" w:rsidR="00840FFC" w:rsidRPr="007238BA" w:rsidRDefault="00840FFC" w:rsidP="00EF568A">
      <w:pPr>
        <w:pStyle w:val="Bullet-square"/>
        <w:numPr>
          <w:ilvl w:val="0"/>
          <w:numId w:val="0"/>
        </w:numPr>
      </w:pPr>
      <w:r w:rsidRPr="003A3518">
        <w:rPr>
          <w:b/>
          <w:bCs/>
          <w:color w:val="002060" w:themeColor="text2"/>
        </w:rPr>
        <w:t>STEM:</w:t>
      </w:r>
      <w:r w:rsidRPr="003A3518">
        <w:rPr>
          <w:color w:val="002060" w:themeColor="text2"/>
        </w:rPr>
        <w:t xml:space="preserve"> </w:t>
      </w:r>
      <w:r w:rsidRPr="007238BA">
        <w:t>Science, technology, engineering, and mathematics</w:t>
      </w:r>
    </w:p>
    <w:p w14:paraId="2DA345F1" w14:textId="77777777" w:rsidR="00840FFC" w:rsidRDefault="00840FFC" w:rsidP="00EF568A">
      <w:pPr>
        <w:pStyle w:val="Bullet-square"/>
        <w:numPr>
          <w:ilvl w:val="0"/>
          <w:numId w:val="0"/>
        </w:numPr>
      </w:pPr>
      <w:r w:rsidRPr="003A3518">
        <w:rPr>
          <w:b/>
          <w:bCs/>
          <w:color w:val="002060" w:themeColor="text2"/>
        </w:rPr>
        <w:t>UK:</w:t>
      </w:r>
      <w:r w:rsidRPr="003A3518">
        <w:rPr>
          <w:color w:val="002060" w:themeColor="text2"/>
        </w:rPr>
        <w:t xml:space="preserve"> </w:t>
      </w:r>
      <w:r w:rsidRPr="007238BA">
        <w:t>United Kingdom</w:t>
      </w:r>
    </w:p>
    <w:p w14:paraId="6BBF076A" w14:textId="77777777" w:rsidR="00840FFC" w:rsidRPr="007238BA" w:rsidRDefault="00840FFC" w:rsidP="00EF568A">
      <w:pPr>
        <w:pStyle w:val="Bullet-square"/>
        <w:numPr>
          <w:ilvl w:val="0"/>
          <w:numId w:val="0"/>
        </w:numPr>
      </w:pPr>
      <w:r w:rsidRPr="003A3518">
        <w:rPr>
          <w:b/>
          <w:bCs/>
          <w:color w:val="002060" w:themeColor="text2"/>
        </w:rPr>
        <w:t>UN:</w:t>
      </w:r>
      <w:r w:rsidRPr="003A3518">
        <w:rPr>
          <w:color w:val="002060" w:themeColor="text2"/>
        </w:rPr>
        <w:t xml:space="preserve"> </w:t>
      </w:r>
      <w:r>
        <w:t>United Nations</w:t>
      </w:r>
    </w:p>
    <w:p w14:paraId="1A8C57AF" w14:textId="77777777" w:rsidR="00840FFC" w:rsidRPr="007238BA" w:rsidRDefault="00840FFC" w:rsidP="00EF568A">
      <w:pPr>
        <w:pStyle w:val="Bullet-square"/>
        <w:numPr>
          <w:ilvl w:val="0"/>
          <w:numId w:val="0"/>
        </w:numPr>
      </w:pPr>
      <w:r w:rsidRPr="003A3518">
        <w:rPr>
          <w:b/>
          <w:bCs/>
          <w:color w:val="002060" w:themeColor="text2"/>
        </w:rPr>
        <w:lastRenderedPageBreak/>
        <w:t>UNSW:</w:t>
      </w:r>
      <w:r w:rsidRPr="003A3518">
        <w:rPr>
          <w:color w:val="002060" w:themeColor="text2"/>
        </w:rPr>
        <w:t xml:space="preserve"> </w:t>
      </w:r>
      <w:r w:rsidRPr="007238BA">
        <w:t>University of New South Wales</w:t>
      </w:r>
    </w:p>
    <w:p w14:paraId="150C96E4" w14:textId="3C026288" w:rsidR="003F4FE6" w:rsidRDefault="00840FFC" w:rsidP="00EF568A">
      <w:pPr>
        <w:pStyle w:val="Bullet-square"/>
        <w:numPr>
          <w:ilvl w:val="0"/>
          <w:numId w:val="0"/>
        </w:numPr>
      </w:pPr>
      <w:r w:rsidRPr="003A3518">
        <w:rPr>
          <w:b/>
          <w:bCs/>
          <w:color w:val="002060" w:themeColor="text2"/>
        </w:rPr>
        <w:t>WRESAT:</w:t>
      </w:r>
      <w:r w:rsidRPr="003A3518">
        <w:rPr>
          <w:color w:val="002060" w:themeColor="text2"/>
        </w:rPr>
        <w:t xml:space="preserve"> </w:t>
      </w:r>
      <w:r w:rsidRPr="00D539D8">
        <w:t>Weapons Research Establishment Satellite</w:t>
      </w:r>
    </w:p>
    <w:p w14:paraId="428ADC5D" w14:textId="77777777" w:rsidR="003F4FE6" w:rsidRDefault="003F4FE6">
      <w:pPr>
        <w:spacing w:before="0" w:after="160"/>
        <w:jc w:val="left"/>
        <w:rPr>
          <w:rFonts w:eastAsia="Times New Roman"/>
          <w:lang w:val="en-US"/>
        </w:rPr>
      </w:pPr>
      <w:r>
        <w:br w:type="page"/>
      </w:r>
    </w:p>
    <w:p w14:paraId="5F710581" w14:textId="40D7CE83" w:rsidR="00980936" w:rsidRDefault="004D0C98" w:rsidP="001972F5">
      <w:pPr>
        <w:pStyle w:val="Heading1"/>
        <w:numPr>
          <w:ilvl w:val="0"/>
          <w:numId w:val="0"/>
        </w:numPr>
        <w:ind w:left="432" w:hanging="432"/>
      </w:pPr>
      <w:bookmarkStart w:id="12" w:name="_Toc49366190"/>
      <w:bookmarkStart w:id="13" w:name="_Toc62719127"/>
      <w:r w:rsidRPr="007D7659">
        <w:rPr>
          <w:caps w:val="0"/>
        </w:rPr>
        <w:lastRenderedPageBreak/>
        <w:t>Executive</w:t>
      </w:r>
      <w:r w:rsidRPr="001A55CC">
        <w:rPr>
          <w:caps w:val="0"/>
        </w:rPr>
        <w:t xml:space="preserve"> summary</w:t>
      </w:r>
      <w:bookmarkEnd w:id="11"/>
      <w:bookmarkEnd w:id="12"/>
      <w:bookmarkEnd w:id="13"/>
    </w:p>
    <w:p w14:paraId="605B306E" w14:textId="290971C9" w:rsidR="00505836" w:rsidRDefault="00505836" w:rsidP="00505836">
      <w:pPr>
        <w:spacing w:after="120"/>
      </w:pPr>
      <w:r>
        <w:t xml:space="preserve">The space sector is experiencing a global transformation. New technology, increasing demand for satellite and geospatial services, and upcoming landmark exploration missions are driving sector growth. This new wave of space innovation represents an important opportunity for Australia to </w:t>
      </w:r>
      <w:r w:rsidR="0005718E">
        <w:t xml:space="preserve">develop local space capabilities, drive innovation, train skilled workers, and reap the benefits of new space-related technological breakthroughs, potentially boosting other </w:t>
      </w:r>
      <w:r w:rsidR="00585EC2">
        <w:t xml:space="preserve">sectors </w:t>
      </w:r>
      <w:r w:rsidR="00BD6B8D">
        <w:t>such as</w:t>
      </w:r>
      <w:r w:rsidR="0005718E">
        <w:t xml:space="preserve"> </w:t>
      </w:r>
      <w:r w:rsidR="00585EC2">
        <w:t xml:space="preserve">disaster management and </w:t>
      </w:r>
      <w:r w:rsidR="0005718E">
        <w:t>advanced manufacturing.</w:t>
      </w:r>
    </w:p>
    <w:p w14:paraId="5666652F" w14:textId="4D91DA31" w:rsidR="00E74F48" w:rsidRDefault="00CB390C" w:rsidP="009C1092">
      <w:pPr>
        <w:spacing w:after="120"/>
      </w:pPr>
      <w:r>
        <w:t xml:space="preserve">This report aims to describe the </w:t>
      </w:r>
      <w:r w:rsidR="00CF34D1">
        <w:t xml:space="preserve">economic contribution </w:t>
      </w:r>
      <w:r>
        <w:t xml:space="preserve">of the local </w:t>
      </w:r>
      <w:r w:rsidR="001C4ADB">
        <w:t xml:space="preserve">civil </w:t>
      </w:r>
      <w:r>
        <w:t>space sector</w:t>
      </w:r>
      <w:r w:rsidR="00086125">
        <w:t xml:space="preserve"> in </w:t>
      </w:r>
      <w:r w:rsidR="00CF34D1">
        <w:t>A</w:t>
      </w:r>
      <w:r w:rsidR="00086125">
        <w:t>ustralia</w:t>
      </w:r>
      <w:r w:rsidR="0092637D">
        <w:t xml:space="preserve"> a</w:t>
      </w:r>
      <w:r w:rsidR="006B28B2">
        <w:t>nd the role of</w:t>
      </w:r>
      <w:r w:rsidR="0092637D">
        <w:t xml:space="preserve"> </w:t>
      </w:r>
      <w:r w:rsidR="00901E1C">
        <w:t xml:space="preserve">industry, government, </w:t>
      </w:r>
      <w:r w:rsidR="00C737B0">
        <w:t xml:space="preserve">researchers, and educators </w:t>
      </w:r>
      <w:r w:rsidR="006B28B2">
        <w:t>in fostering the</w:t>
      </w:r>
      <w:r w:rsidR="007D0E11">
        <w:t xml:space="preserve"> local space ecosystem. </w:t>
      </w:r>
      <w:r w:rsidR="006B28B2">
        <w:t>It</w:t>
      </w:r>
      <w:r w:rsidR="007D0E11">
        <w:t xml:space="preserve"> </w:t>
      </w:r>
      <w:r w:rsidR="00DB17F7">
        <w:t>is one of the most comprehensive assessments of the sector since the establishment of Australian</w:t>
      </w:r>
      <w:r w:rsidR="00DB17F7" w:rsidRPr="002A3947">
        <w:t xml:space="preserve"> </w:t>
      </w:r>
      <w:r w:rsidR="00DB17F7" w:rsidRPr="00E74F48">
        <w:t>Space Agency in 20</w:t>
      </w:r>
      <w:r w:rsidR="00DB17F7">
        <w:t xml:space="preserve">18, and </w:t>
      </w:r>
      <w:r w:rsidR="007D0E11">
        <w:t xml:space="preserve">uses </w:t>
      </w:r>
      <w:r>
        <w:t>a combination of economic data, survey data, and insights from researchers and industry leaders</w:t>
      </w:r>
      <w:r w:rsidR="006479A4">
        <w:t xml:space="preserve"> to </w:t>
      </w:r>
      <w:r w:rsidR="00582746">
        <w:t xml:space="preserve">analyse the sector’s progress </w:t>
      </w:r>
      <w:r w:rsidR="00936C60">
        <w:t>between 2016-17 and 2018-19.</w:t>
      </w:r>
    </w:p>
    <w:p w14:paraId="0DECFE82" w14:textId="41221241" w:rsidR="00CB390C" w:rsidRDefault="00447A16" w:rsidP="009C1092">
      <w:pPr>
        <w:spacing w:after="120"/>
      </w:pPr>
      <w:r>
        <w:t>By understanding the economic impact of the</w:t>
      </w:r>
      <w:r w:rsidRPr="00447A16">
        <w:t xml:space="preserve"> </w:t>
      </w:r>
      <w:r>
        <w:t>sector</w:t>
      </w:r>
      <w:r w:rsidR="004A5545">
        <w:t xml:space="preserve">, </w:t>
      </w:r>
      <w:r>
        <w:t xml:space="preserve">Government </w:t>
      </w:r>
      <w:r w:rsidR="004A5545">
        <w:t xml:space="preserve">and industry </w:t>
      </w:r>
      <w:r>
        <w:t>can identify and assess how Australia can best seize opportunities in the future.</w:t>
      </w:r>
    </w:p>
    <w:p w14:paraId="2F7E303B" w14:textId="50B39D2A" w:rsidR="005E69F1" w:rsidRDefault="001461C5" w:rsidP="001F15DE">
      <w:pPr>
        <w:spacing w:after="120"/>
      </w:pPr>
      <w:r>
        <w:t>AlphaBeta has estimated t</w:t>
      </w:r>
      <w:r w:rsidR="00DB69AC">
        <w:t xml:space="preserve">he space sector in </w:t>
      </w:r>
      <w:r w:rsidR="00CB390C">
        <w:t>Australia</w:t>
      </w:r>
      <w:r w:rsidR="00A84ABB">
        <w:t xml:space="preserve"> </w:t>
      </w:r>
      <w:r w:rsidR="00D76B98">
        <w:t>generate</w:t>
      </w:r>
      <w:r w:rsidR="00AF508C">
        <w:t>d</w:t>
      </w:r>
      <w:r w:rsidR="00CB390C" w:rsidRPr="00ED70C8">
        <w:t xml:space="preserve"> a</w:t>
      </w:r>
      <w:r w:rsidR="00D76B98">
        <w:t>pproximately</w:t>
      </w:r>
      <w:r w:rsidR="00CB390C" w:rsidRPr="00ED70C8">
        <w:t xml:space="preserve"> $4.</w:t>
      </w:r>
      <w:r w:rsidR="00411644">
        <w:t>8</w:t>
      </w:r>
      <w:r w:rsidR="00581F9B" w:rsidRPr="00ED70C8">
        <w:t xml:space="preserve"> </w:t>
      </w:r>
      <w:r w:rsidR="00CB390C" w:rsidRPr="00ED70C8">
        <w:t>billion in revenue</w:t>
      </w:r>
      <w:r w:rsidR="00AF508C">
        <w:t xml:space="preserve"> in </w:t>
      </w:r>
      <w:r w:rsidR="00C5094D">
        <w:t xml:space="preserve">2018-19 </w:t>
      </w:r>
      <w:r w:rsidR="00CB390C">
        <w:t>and employ</w:t>
      </w:r>
      <w:r w:rsidR="00085E7B">
        <w:t>ed</w:t>
      </w:r>
      <w:r w:rsidR="00CB390C">
        <w:t xml:space="preserve"> </w:t>
      </w:r>
      <w:r w:rsidR="00CB390C" w:rsidRPr="00B809A8">
        <w:t xml:space="preserve">approximately </w:t>
      </w:r>
      <w:r w:rsidR="00530576">
        <w:t xml:space="preserve">between </w:t>
      </w:r>
      <w:r w:rsidR="00D026DA" w:rsidRPr="004C512D">
        <w:t>9</w:t>
      </w:r>
      <w:r w:rsidR="00CB390C" w:rsidRPr="00B809A8">
        <w:t>,</w:t>
      </w:r>
      <w:r w:rsidR="00530576">
        <w:t>000</w:t>
      </w:r>
      <w:r w:rsidR="00C5094D">
        <w:t>–</w:t>
      </w:r>
      <w:r w:rsidR="00530576">
        <w:t>10,000</w:t>
      </w:r>
      <w:r w:rsidR="00CB390C">
        <w:t xml:space="preserve"> workers.</w:t>
      </w:r>
      <w:r w:rsidR="00CD21C0">
        <w:t xml:space="preserve"> </w:t>
      </w:r>
      <w:r w:rsidR="000B48AC">
        <w:t>The</w:t>
      </w:r>
      <w:r w:rsidR="005259BA">
        <w:t xml:space="preserve"> Australian space sector </w:t>
      </w:r>
      <w:r w:rsidR="000B48AC">
        <w:t xml:space="preserve">is at an earlier stage of growth compared to international peers. Space sector revenue in Australia is equivalent to </w:t>
      </w:r>
      <w:r w:rsidR="005259BA">
        <w:t>0.</w:t>
      </w:r>
      <w:r w:rsidR="0071567A">
        <w:t>25</w:t>
      </w:r>
      <w:r w:rsidR="005259BA">
        <w:t xml:space="preserve"> per cent of national GDP and </w:t>
      </w:r>
      <w:r w:rsidR="001F6D09">
        <w:t>1.3 per cent of global space revenue</w:t>
      </w:r>
      <w:r w:rsidR="000B48AC">
        <w:t xml:space="preserve">. According to </w:t>
      </w:r>
      <w:r w:rsidR="007F6B13">
        <w:t xml:space="preserve">a recent survey by the </w:t>
      </w:r>
      <w:r w:rsidR="00BC45D2">
        <w:t>Nous</w:t>
      </w:r>
      <w:r w:rsidR="007F6B13">
        <w:t xml:space="preserve"> group of 128 fir</w:t>
      </w:r>
      <w:r w:rsidR="00C70FBB">
        <w:t>ms (80 per cent of whom were SMEs)</w:t>
      </w:r>
      <w:r w:rsidR="000B48AC">
        <w:t xml:space="preserve">, space firm revenue in Australia grew 17 per cent a year in two years to </w:t>
      </w:r>
      <w:r w:rsidR="00DA3758">
        <w:t>FY</w:t>
      </w:r>
      <w:r w:rsidR="00A210F9">
        <w:t>2018-19</w:t>
      </w:r>
      <w:r w:rsidR="000B48AC">
        <w:t xml:space="preserve">, which is 3.5 times faster than the overall </w:t>
      </w:r>
      <w:r w:rsidR="000B48AC" w:rsidRPr="008E467B">
        <w:t>economy.</w:t>
      </w:r>
      <w:r w:rsidR="00056CE6">
        <w:rPr>
          <w:rStyle w:val="FootnoteReference"/>
        </w:rPr>
        <w:footnoteReference w:id="2"/>
      </w:r>
      <w:r w:rsidR="000B48AC" w:rsidRPr="001D5900">
        <w:t xml:space="preserve"> </w:t>
      </w:r>
    </w:p>
    <w:p w14:paraId="1519E817" w14:textId="10257962" w:rsidR="001F6D09" w:rsidRDefault="000B48AC" w:rsidP="001F15DE">
      <w:pPr>
        <w:spacing w:after="120"/>
      </w:pPr>
      <w:r w:rsidRPr="001D5900">
        <w:t xml:space="preserve">Employment </w:t>
      </w:r>
      <w:r w:rsidR="005E69F1">
        <w:t>in the space sector is stable at around</w:t>
      </w:r>
      <w:r w:rsidR="00530576">
        <w:t xml:space="preserve"> </w:t>
      </w:r>
      <w:r w:rsidR="00530576" w:rsidRPr="004C512D">
        <w:t>9</w:t>
      </w:r>
      <w:r w:rsidR="00530576" w:rsidRPr="00B809A8">
        <w:t>,</w:t>
      </w:r>
      <w:r w:rsidR="00530576">
        <w:t xml:space="preserve">000–10,000 </w:t>
      </w:r>
      <w:r w:rsidR="0021376F">
        <w:t xml:space="preserve">space </w:t>
      </w:r>
      <w:r w:rsidR="005E69F1">
        <w:t>workers</w:t>
      </w:r>
      <w:r w:rsidR="00E04456">
        <w:t xml:space="preserve">, although the mix of jobs within the sector has </w:t>
      </w:r>
      <w:r w:rsidR="004066DD">
        <w:t>shifted over the past two years</w:t>
      </w:r>
      <w:r w:rsidR="00E04456">
        <w:t>.</w:t>
      </w:r>
      <w:r w:rsidR="00632C2E" w:rsidRPr="00632C2E">
        <w:t xml:space="preserve"> </w:t>
      </w:r>
      <w:r w:rsidR="00CD0F84">
        <w:t>Employment in</w:t>
      </w:r>
      <w:r w:rsidR="00632C2E" w:rsidRPr="001D5900">
        <w:t xml:space="preserve"> high-value SMEs in space manufacturing and research and development </w:t>
      </w:r>
      <w:r w:rsidR="00CD0F84">
        <w:t xml:space="preserve">has grown strongly, while </w:t>
      </w:r>
      <w:r w:rsidR="00F32937">
        <w:t xml:space="preserve">jobs in more mature sectors like pay television and </w:t>
      </w:r>
      <w:r w:rsidR="00632C2E" w:rsidRPr="001D5900">
        <w:t>telecommunications</w:t>
      </w:r>
      <w:r w:rsidR="00F32937">
        <w:t xml:space="preserve"> have declined</w:t>
      </w:r>
      <w:r w:rsidR="00632C2E">
        <w:t>.</w:t>
      </w:r>
      <w:r w:rsidR="00786F11">
        <w:rPr>
          <w:rStyle w:val="FootnoteReference"/>
        </w:rPr>
        <w:footnoteReference w:id="3"/>
      </w:r>
      <w:r w:rsidR="00632C2E">
        <w:t xml:space="preserve"> </w:t>
      </w:r>
      <w:r w:rsidR="00355DF0" w:rsidRPr="001D5900">
        <w:t>Such sector dynamics are evident overseas too:</w:t>
      </w:r>
      <w:r w:rsidRPr="001D5900">
        <w:t xml:space="preserve"> Canada’s </w:t>
      </w:r>
      <w:r w:rsidR="001E2DCB" w:rsidRPr="001D5900">
        <w:t xml:space="preserve">space economy is </w:t>
      </w:r>
      <w:r w:rsidR="00D24E37" w:rsidRPr="001D5900">
        <w:t>similar structured to</w:t>
      </w:r>
      <w:r w:rsidR="00E05089" w:rsidRPr="001D5900">
        <w:t xml:space="preserve"> Australia’s and </w:t>
      </w:r>
      <w:r w:rsidR="008203FC" w:rsidRPr="001D5900">
        <w:t xml:space="preserve">has </w:t>
      </w:r>
      <w:r w:rsidR="008D1161" w:rsidRPr="001D5900">
        <w:t xml:space="preserve">grown in revenue whilst losing jobs between </w:t>
      </w:r>
      <w:r w:rsidR="00FB457F" w:rsidRPr="001D5900">
        <w:t xml:space="preserve">2014 </w:t>
      </w:r>
      <w:r w:rsidR="00CD7D62" w:rsidRPr="001D5900">
        <w:t>and</w:t>
      </w:r>
      <w:r w:rsidR="00FB457F" w:rsidRPr="001D5900">
        <w:t xml:space="preserve"> 2018</w:t>
      </w:r>
      <w:r w:rsidRPr="001D5900">
        <w:t>.</w:t>
      </w:r>
    </w:p>
    <w:p w14:paraId="57EC7021" w14:textId="17CB5D6B" w:rsidR="001F15DE" w:rsidRPr="001F15DE" w:rsidRDefault="000A12C6" w:rsidP="001F15DE">
      <w:pPr>
        <w:spacing w:after="120"/>
      </w:pPr>
      <w:r w:rsidRPr="00AD1F84">
        <w:t>While the</w:t>
      </w:r>
      <w:r>
        <w:t xml:space="preserve"> ongoing</w:t>
      </w:r>
      <w:r w:rsidRPr="00AD1F84">
        <w:t xml:space="preserve"> COVID-19 pandemic has disrupted employment and investment throughout the global economy, </w:t>
      </w:r>
      <w:r w:rsidR="00357DEC">
        <w:t>at the time of writing its</w:t>
      </w:r>
      <w:r w:rsidR="00357DEC" w:rsidRPr="00AD1F84">
        <w:t xml:space="preserve"> </w:t>
      </w:r>
      <w:r w:rsidRPr="00AD1F84">
        <w:t xml:space="preserve">effect on the Australian space sector </w:t>
      </w:r>
      <w:r>
        <w:t xml:space="preserve">so far </w:t>
      </w:r>
      <w:r w:rsidRPr="00AD1F84">
        <w:t xml:space="preserve">has </w:t>
      </w:r>
      <w:r>
        <w:t>been minimal</w:t>
      </w:r>
      <w:r w:rsidR="003D23D6">
        <w:t xml:space="preserve"> in comparison </w:t>
      </w:r>
      <w:r>
        <w:t xml:space="preserve">to other global space sectors. </w:t>
      </w:r>
      <w:r w:rsidR="00FF1D1C" w:rsidRPr="00AD1F84">
        <w:t>Market research</w:t>
      </w:r>
      <w:r w:rsidR="00A7331A" w:rsidRPr="00AD1F84">
        <w:t xml:space="preserve"> </w:t>
      </w:r>
      <w:r w:rsidR="007A58CE" w:rsidRPr="00AD1F84">
        <w:t xml:space="preserve">from the United States </w:t>
      </w:r>
      <w:r w:rsidR="00A7331A" w:rsidRPr="00AD1F84">
        <w:t xml:space="preserve">shows </w:t>
      </w:r>
      <w:r w:rsidR="00C2268A" w:rsidRPr="00AD1F84">
        <w:t xml:space="preserve">that private sector investment in the global space sector declined </w:t>
      </w:r>
      <w:r w:rsidR="00A7331A" w:rsidRPr="00AD1F84">
        <w:t>substantial</w:t>
      </w:r>
      <w:r w:rsidR="00C2268A" w:rsidRPr="00AD1F84">
        <w:t>ly</w:t>
      </w:r>
      <w:r w:rsidR="00A7331A" w:rsidRPr="00AD1F84">
        <w:t xml:space="preserve"> </w:t>
      </w:r>
      <w:r w:rsidR="007A58CE" w:rsidRPr="00AD1F84">
        <w:t xml:space="preserve">in the June quarter, </w:t>
      </w:r>
      <w:r w:rsidR="00FF1D1C" w:rsidRPr="00AD1F84">
        <w:t xml:space="preserve">although </w:t>
      </w:r>
      <w:r w:rsidR="007A58CE" w:rsidRPr="00AD1F84">
        <w:t>investment in the</w:t>
      </w:r>
      <w:r w:rsidR="00547A68">
        <w:t xml:space="preserve"> a</w:t>
      </w:r>
      <w:r w:rsidR="00547A68" w:rsidRPr="00AD1F84">
        <w:t>pplications segment</w:t>
      </w:r>
      <w:r w:rsidR="00547A68">
        <w:t xml:space="preserve"> of the space value chain</w:t>
      </w:r>
      <w:r w:rsidR="007A58CE" w:rsidRPr="00AD1F84">
        <w:t>, which contributes most of Australian space sector revenue, remained strong.</w:t>
      </w:r>
      <w:r w:rsidR="00FF1D1C" w:rsidRPr="00AD1F84">
        <w:rPr>
          <w:rStyle w:val="FootnoteReference"/>
        </w:rPr>
        <w:footnoteReference w:id="4"/>
      </w:r>
      <w:r w:rsidR="00FF1D1C" w:rsidRPr="00AD1F84">
        <w:t xml:space="preserve"> </w:t>
      </w:r>
      <w:r w:rsidR="00624682" w:rsidRPr="00AD1F84">
        <w:t xml:space="preserve">Australian space sector </w:t>
      </w:r>
      <w:r w:rsidR="005259BA" w:rsidRPr="00AD1F84">
        <w:t>work has</w:t>
      </w:r>
      <w:r w:rsidR="00624682" w:rsidRPr="00AD1F84">
        <w:t xml:space="preserve"> continued to progress</w:t>
      </w:r>
      <w:r w:rsidR="007A58CE" w:rsidRPr="00AD1F84">
        <w:t xml:space="preserve"> throughout the crisis, </w:t>
      </w:r>
      <w:r w:rsidR="00624682" w:rsidRPr="00AD1F84">
        <w:t xml:space="preserve">with the </w:t>
      </w:r>
      <w:r w:rsidR="00351A87">
        <w:t>Australian</w:t>
      </w:r>
      <w:r w:rsidR="00351A87" w:rsidRPr="00AD1F84">
        <w:t xml:space="preserve"> Government committing $11 million of industry grants and $7 billion of defence funding to the sector</w:t>
      </w:r>
      <w:r w:rsidR="001B00E7">
        <w:t>.</w:t>
      </w:r>
      <w:r w:rsidR="00CA6A49">
        <w:t xml:space="preserve"> According to </w:t>
      </w:r>
      <w:r w:rsidR="00681E8A" w:rsidRPr="00681E8A">
        <w:t xml:space="preserve">Minister for Industry, Science and </w:t>
      </w:r>
      <w:r w:rsidR="00681E8A" w:rsidRPr="00681E8A">
        <w:lastRenderedPageBreak/>
        <w:t>Technology Karen Andrews</w:t>
      </w:r>
      <w:r w:rsidR="00CA6A49">
        <w:t>:</w:t>
      </w:r>
      <w:r w:rsidR="001B00E7">
        <w:t xml:space="preserve"> “</w:t>
      </w:r>
      <w:r w:rsidR="00CA6A49">
        <w:t xml:space="preserve">The space industry is a </w:t>
      </w:r>
      <w:r w:rsidR="001B00E7">
        <w:rPr>
          <w:color w:val="000000"/>
        </w:rPr>
        <w:t>key growth sector that will form an important part of our economic recovery and help us emerge from the COVID-19 crisis stronger than ever</w:t>
      </w:r>
      <w:r w:rsidR="00CA6A49">
        <w:rPr>
          <w:color w:val="000000"/>
        </w:rPr>
        <w:t>.</w:t>
      </w:r>
      <w:r w:rsidR="001B00E7">
        <w:rPr>
          <w:color w:val="000000"/>
        </w:rPr>
        <w:t>”</w:t>
      </w:r>
      <w:r w:rsidR="00CA6A49">
        <w:rPr>
          <w:rStyle w:val="FootnoteReference"/>
          <w:color w:val="000000"/>
        </w:rPr>
        <w:footnoteReference w:id="5"/>
      </w:r>
    </w:p>
    <w:p w14:paraId="249696F4" w14:textId="45217654" w:rsidR="00004EC8" w:rsidRDefault="00624682" w:rsidP="009C1092">
      <w:r>
        <w:t>The</w:t>
      </w:r>
      <w:r w:rsidR="00BD29BD">
        <w:t xml:space="preserve"> space value chain</w:t>
      </w:r>
      <w:r w:rsidR="00D35467">
        <w:t xml:space="preserve"> can be split into</w:t>
      </w:r>
      <w:r w:rsidR="00236772">
        <w:t xml:space="preserve"> four key components: manufacturing</w:t>
      </w:r>
      <w:r w:rsidR="00547A68">
        <w:t xml:space="preserve"> (ground and space)</w:t>
      </w:r>
      <w:r w:rsidR="00236772">
        <w:t xml:space="preserve">, operations, enablers and applications. </w:t>
      </w:r>
      <w:r w:rsidR="008730C6">
        <w:t xml:space="preserve">The applications segment is the most established </w:t>
      </w:r>
      <w:r w:rsidR="00C056FC">
        <w:t>segment</w:t>
      </w:r>
      <w:r w:rsidR="008730C6">
        <w:t xml:space="preserve"> in </w:t>
      </w:r>
      <w:r w:rsidR="00CB390C">
        <w:t>Australia</w:t>
      </w:r>
      <w:r w:rsidR="008730C6">
        <w:t xml:space="preserve">, with $3.8 billion in revenue last year (80 per cent of total sector revenue). </w:t>
      </w:r>
      <w:r w:rsidR="00CB390C">
        <w:t>Australia is</w:t>
      </w:r>
      <w:r w:rsidR="00C056FC">
        <w:t xml:space="preserve"> also</w:t>
      </w:r>
      <w:r w:rsidR="00CB390C">
        <w:t xml:space="preserve"> developing distinctive capabilities in the operation of satellites and in</w:t>
      </w:r>
      <w:r w:rsidR="00D76B98">
        <w:t xml:space="preserve"> downstream applications that rely on space-based</w:t>
      </w:r>
      <w:r w:rsidR="00CB390C">
        <w:t xml:space="preserve"> technology to deliver </w:t>
      </w:r>
      <w:r w:rsidR="00D76B98">
        <w:t>services.</w:t>
      </w:r>
      <w:r w:rsidR="006476A6">
        <w:t xml:space="preserve"> </w:t>
      </w:r>
      <w:r w:rsidR="00250316">
        <w:t xml:space="preserve">The operations segment of the value chain is a potential competitive advantage for Australia, </w:t>
      </w:r>
      <w:r w:rsidR="006B28A1">
        <w:t xml:space="preserve">and currently </w:t>
      </w:r>
      <w:r w:rsidR="00250316">
        <w:t xml:space="preserve">contributes to a higher proportion of Australian GDP compared to the global average (0.02 per cent versus 0.01 per cent). </w:t>
      </w:r>
      <w:r w:rsidR="00533A8E">
        <w:t>Australia</w:t>
      </w:r>
      <w:r w:rsidR="00D76B98">
        <w:t xml:space="preserve"> </w:t>
      </w:r>
      <w:r w:rsidR="00E017FA">
        <w:t>also</w:t>
      </w:r>
      <w:r w:rsidR="00D76B98">
        <w:t xml:space="preserve"> has niche areas of capability in </w:t>
      </w:r>
      <w:r w:rsidR="00650201">
        <w:t xml:space="preserve">sectors adjacent to </w:t>
      </w:r>
      <w:r w:rsidR="00CB390C">
        <w:t>space manufacturing</w:t>
      </w:r>
      <w:r w:rsidR="00533A8E">
        <w:t xml:space="preserve"> </w:t>
      </w:r>
      <w:r w:rsidR="00CB390C">
        <w:t xml:space="preserve">which </w:t>
      </w:r>
      <w:r w:rsidR="00650201">
        <w:t>can</w:t>
      </w:r>
      <w:r w:rsidR="00533A8E">
        <w:t xml:space="preserve"> form the foundation of future </w:t>
      </w:r>
      <w:r w:rsidR="00564481">
        <w:t xml:space="preserve">involvement in </w:t>
      </w:r>
      <w:r w:rsidR="00AE7243">
        <w:t>the segment</w:t>
      </w:r>
      <w:r w:rsidR="004566D1">
        <w:t>. Space manufacturing is the largest segment of the global space sector</w:t>
      </w:r>
      <w:r w:rsidR="00AE7243">
        <w:t xml:space="preserve">, constituting </w:t>
      </w:r>
      <w:r w:rsidR="005261FE">
        <w:t xml:space="preserve">over </w:t>
      </w:r>
      <w:r w:rsidR="00564481">
        <w:t xml:space="preserve">a third </w:t>
      </w:r>
      <w:r w:rsidR="005261FE">
        <w:t xml:space="preserve">(36 per cent) </w:t>
      </w:r>
      <w:r w:rsidR="00564481">
        <w:t xml:space="preserve">of total </w:t>
      </w:r>
      <w:r w:rsidR="005261FE">
        <w:t>value.</w:t>
      </w:r>
    </w:p>
    <w:p w14:paraId="4029D6DF" w14:textId="312408D1" w:rsidR="00482E1D" w:rsidRDefault="00A82735" w:rsidP="005A6C78">
      <w:pPr>
        <w:spacing w:after="120"/>
      </w:pPr>
      <w:r>
        <w:t xml:space="preserve">The Australian Government’s ambition is for Australia </w:t>
      </w:r>
      <w:r w:rsidR="006867E2">
        <w:t xml:space="preserve">to </w:t>
      </w:r>
      <w:r>
        <w:t xml:space="preserve">become an even more prominent participant in the global space economy. By 2030, the </w:t>
      </w:r>
      <w:r w:rsidR="006867E2">
        <w:t xml:space="preserve">Government </w:t>
      </w:r>
      <w:r>
        <w:t xml:space="preserve">aims to triple sector revenue and </w:t>
      </w:r>
      <w:r w:rsidR="00031E4E">
        <w:t>employ an additional 20,000 workers</w:t>
      </w:r>
      <w:r w:rsidR="00031E4E" w:rsidDel="00031E4E">
        <w:t xml:space="preserve"> </w:t>
      </w:r>
      <w:r>
        <w:t>in the local space sector</w:t>
      </w:r>
      <w:r w:rsidRPr="00CB390C">
        <w:t xml:space="preserve"> </w:t>
      </w:r>
      <w:r w:rsidR="00C84040">
        <w:t>through</w:t>
      </w:r>
      <w:r w:rsidR="006B7E08">
        <w:t xml:space="preserve"> following the path outlined in</w:t>
      </w:r>
      <w:r>
        <w:t xml:space="preserve"> the Australian Civil Space Strategy</w:t>
      </w:r>
      <w:r w:rsidR="00C84040">
        <w:t xml:space="preserve">. </w:t>
      </w:r>
      <w:r w:rsidR="0052189C">
        <w:t>The Strategy is built on four Strategic Space Pillars: “open the door internationally; develop national capability in areas of competitive advantage; ensure safety and national interest are addressed; and inspire and improve the lives of all Australians”.</w:t>
      </w:r>
      <w:r w:rsidR="0052189C">
        <w:rPr>
          <w:rStyle w:val="FootnoteReference"/>
        </w:rPr>
        <w:footnoteReference w:id="6"/>
      </w:r>
      <w:r w:rsidR="0052189C">
        <w:t xml:space="preserve"> </w:t>
      </w:r>
    </w:p>
    <w:p w14:paraId="202506C0" w14:textId="70CCB636" w:rsidR="0086316C" w:rsidRDefault="00620516" w:rsidP="00FA62A9">
      <w:pPr>
        <w:spacing w:after="120"/>
      </w:pPr>
      <w:r>
        <w:t xml:space="preserve">Developing new commercial opportunities for the local sector is a </w:t>
      </w:r>
      <w:r w:rsidR="00482E1D">
        <w:t>priority</w:t>
      </w:r>
      <w:r>
        <w:t xml:space="preserve"> for </w:t>
      </w:r>
      <w:r w:rsidR="00751A25">
        <w:t>G</w:t>
      </w:r>
      <w:r w:rsidR="00932FFF">
        <w:t>overnment</w:t>
      </w:r>
      <w:r w:rsidR="00482E1D">
        <w:t xml:space="preserve">, including </w:t>
      </w:r>
      <w:r w:rsidR="00DA4A90">
        <w:t xml:space="preserve">investment </w:t>
      </w:r>
      <w:r w:rsidR="005A18D1">
        <w:t>in</w:t>
      </w:r>
      <w:r w:rsidR="00DA4A90">
        <w:t xml:space="preserve"> national infrastructure, </w:t>
      </w:r>
      <w:r w:rsidR="005A18D1">
        <w:t>capabilities in</w:t>
      </w:r>
      <w:r w:rsidR="00DA4A90">
        <w:t xml:space="preserve"> space data gathering, analysis and services</w:t>
      </w:r>
      <w:r w:rsidR="005A18D1">
        <w:t>. This will be built on cooperative partnerships with</w:t>
      </w:r>
      <w:r w:rsidR="00DA4A90">
        <w:t xml:space="preserve"> international </w:t>
      </w:r>
      <w:r w:rsidR="005A18D1">
        <w:t>space agencies, states and territories, and industry.</w:t>
      </w:r>
      <w:r w:rsidR="0036649F">
        <w:t xml:space="preserve"> </w:t>
      </w:r>
      <w:r w:rsidR="00BA2A31">
        <w:t>T</w:t>
      </w:r>
      <w:r w:rsidR="006B7E08">
        <w:t>he Government is also focusing on lifting Australia’s manufacturing capability, and has committed $1.</w:t>
      </w:r>
      <w:r w:rsidR="00BA2A31">
        <w:t>5</w:t>
      </w:r>
      <w:r w:rsidR="006B7E08">
        <w:t xml:space="preserve"> billion to support the Modern Manufacturing </w:t>
      </w:r>
      <w:r w:rsidR="007B62B8">
        <w:t>Strategy</w:t>
      </w:r>
      <w:r w:rsidR="00662FEB">
        <w:rPr>
          <w:rStyle w:val="FootnoteReference"/>
        </w:rPr>
        <w:footnoteReference w:id="7"/>
      </w:r>
      <w:r w:rsidR="006B7E08">
        <w:t xml:space="preserve"> which identifies space as one of six manufacturing priority areas.</w:t>
      </w:r>
      <w:r w:rsidR="00BE78B0">
        <w:t xml:space="preserve"> </w:t>
      </w:r>
    </w:p>
    <w:p w14:paraId="4780B024" w14:textId="30D7A354" w:rsidR="00EE7440" w:rsidRDefault="00EE7440" w:rsidP="00FA62A9">
      <w:pPr>
        <w:spacing w:after="120"/>
      </w:pPr>
      <w:r>
        <w:t>Measures of success include stimulating at least $1 billion pipeline in inward capital investment between 2019 and 202</w:t>
      </w:r>
      <w:r w:rsidR="006F1436">
        <w:t>8</w:t>
      </w:r>
      <w:r>
        <w:t xml:space="preserve">, achieving year-on-year growth </w:t>
      </w:r>
      <w:r w:rsidR="006F1436">
        <w:t xml:space="preserve">of at least </w:t>
      </w:r>
      <w:r>
        <w:t>8.5 per cent, and increasing awareness of space activities and the impact on the Australian economy, reaching at least 10 million Australians per year.</w:t>
      </w:r>
    </w:p>
    <w:p w14:paraId="2EF23E5B" w14:textId="77777777" w:rsidR="00CB390C" w:rsidDel="00A82735" w:rsidRDefault="00C12D17">
      <w:pPr>
        <w:spacing w:before="0" w:after="160"/>
        <w:jc w:val="left"/>
        <w:rPr>
          <w:rFonts w:asciiTheme="majorHAnsi" w:eastAsiaTheme="majorEastAsia" w:hAnsiTheme="majorHAnsi" w:cstheme="majorHAnsi"/>
          <w:b/>
          <w:caps/>
          <w:color w:val="4CB8C1" w:themeColor="accent5"/>
          <w:sz w:val="40"/>
          <w:szCs w:val="44"/>
          <w:lang w:val="en-US"/>
        </w:rPr>
      </w:pPr>
      <w:r>
        <w:br w:type="page"/>
      </w:r>
    </w:p>
    <w:p w14:paraId="1E4EE467" w14:textId="33294DA1" w:rsidR="00884F56" w:rsidRDefault="004D0C98" w:rsidP="00BE78BF">
      <w:pPr>
        <w:pStyle w:val="Heading1"/>
      </w:pPr>
      <w:bookmarkStart w:id="14" w:name="_Toc46226818"/>
      <w:bookmarkStart w:id="15" w:name="_Toc46256300"/>
      <w:bookmarkStart w:id="16" w:name="_Toc46256547"/>
      <w:bookmarkStart w:id="17" w:name="_Toc46301224"/>
      <w:bookmarkStart w:id="18" w:name="_Toc46321683"/>
      <w:bookmarkStart w:id="19" w:name="_Toc46321216"/>
      <w:bookmarkStart w:id="20" w:name="_Toc46323316"/>
      <w:bookmarkStart w:id="21" w:name="_Toc46226819"/>
      <w:bookmarkStart w:id="22" w:name="_Toc46256301"/>
      <w:bookmarkStart w:id="23" w:name="_Toc46256548"/>
      <w:bookmarkStart w:id="24" w:name="_Toc46301225"/>
      <w:bookmarkStart w:id="25" w:name="_Toc46321684"/>
      <w:bookmarkStart w:id="26" w:name="_Toc46321217"/>
      <w:bookmarkStart w:id="27" w:name="_Toc46323317"/>
      <w:bookmarkStart w:id="28" w:name="_Toc46321685"/>
      <w:bookmarkStart w:id="29" w:name="_Toc49366191"/>
      <w:bookmarkStart w:id="30" w:name="_Toc62719128"/>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36720">
        <w:rPr>
          <w:caps w:val="0"/>
        </w:rPr>
        <w:lastRenderedPageBreak/>
        <w:t>The global space industry is growing rapidly</w:t>
      </w:r>
      <w:r w:rsidR="00EB1A85" w:rsidRPr="00036720">
        <w:t xml:space="preserve">, </w:t>
      </w:r>
      <w:r w:rsidRPr="00BE78BF">
        <w:rPr>
          <w:caps w:val="0"/>
        </w:rPr>
        <w:t>creating</w:t>
      </w:r>
      <w:r>
        <w:rPr>
          <w:caps w:val="0"/>
        </w:rPr>
        <w:t xml:space="preserve"> significant opportunities for Australia</w:t>
      </w:r>
      <w:bookmarkEnd w:id="28"/>
      <w:bookmarkEnd w:id="29"/>
      <w:bookmarkEnd w:id="30"/>
    </w:p>
    <w:p w14:paraId="539D17DC" w14:textId="77777777" w:rsidR="006735DD" w:rsidRDefault="0011763C" w:rsidP="000B38A1">
      <w:pPr>
        <w:pStyle w:val="ChapterSummary"/>
      </w:pPr>
      <w:bookmarkStart w:id="31" w:name="_Hlk45871438"/>
      <w:r>
        <w:rPr>
          <w:lang w:val="en-US"/>
        </w:rPr>
        <w:t xml:space="preserve">Australia’s </w:t>
      </w:r>
      <w:r w:rsidR="0034457E">
        <w:rPr>
          <w:lang w:val="en-US"/>
        </w:rPr>
        <w:t xml:space="preserve">space sector has </w:t>
      </w:r>
      <w:r w:rsidR="00C558E3">
        <w:rPr>
          <w:lang w:val="en-US"/>
        </w:rPr>
        <w:t xml:space="preserve">significant room to grow </w:t>
      </w:r>
      <w:r w:rsidR="00EA5CC4">
        <w:rPr>
          <w:lang w:val="en-US"/>
        </w:rPr>
        <w:t xml:space="preserve">in </w:t>
      </w:r>
      <w:r w:rsidR="006735DD">
        <w:rPr>
          <w:lang w:val="en-US"/>
        </w:rPr>
        <w:t>a</w:t>
      </w:r>
      <w:r w:rsidR="00A51B3A">
        <w:rPr>
          <w:lang w:val="en-US"/>
        </w:rPr>
        <w:t>n expanding</w:t>
      </w:r>
      <w:r w:rsidR="006735DD">
        <w:rPr>
          <w:lang w:val="en-US"/>
        </w:rPr>
        <w:t xml:space="preserve"> </w:t>
      </w:r>
      <w:r w:rsidR="00EA5CC4">
        <w:rPr>
          <w:lang w:val="en-US"/>
        </w:rPr>
        <w:t xml:space="preserve">global market. Increased international space </w:t>
      </w:r>
      <w:r w:rsidR="00AD245D">
        <w:rPr>
          <w:lang w:val="en-US"/>
        </w:rPr>
        <w:t>activity</w:t>
      </w:r>
      <w:r w:rsidR="00EA5CC4">
        <w:rPr>
          <w:lang w:val="en-US"/>
        </w:rPr>
        <w:t xml:space="preserve"> </w:t>
      </w:r>
      <w:r w:rsidR="00A51B3A">
        <w:rPr>
          <w:lang w:val="en-US"/>
        </w:rPr>
        <w:t>is</w:t>
      </w:r>
      <w:r w:rsidR="00EA5CC4">
        <w:rPr>
          <w:lang w:val="en-US"/>
        </w:rPr>
        <w:t xml:space="preserve"> </w:t>
      </w:r>
      <w:r w:rsidR="009701CC">
        <w:rPr>
          <w:lang w:val="en-US"/>
        </w:rPr>
        <w:t xml:space="preserve">driving </w:t>
      </w:r>
      <w:r w:rsidR="006735DD">
        <w:rPr>
          <w:lang w:val="en-US"/>
        </w:rPr>
        <w:t xml:space="preserve">global </w:t>
      </w:r>
      <w:r w:rsidR="009701CC">
        <w:rPr>
          <w:lang w:val="en-US"/>
        </w:rPr>
        <w:t>demand for space services</w:t>
      </w:r>
      <w:r w:rsidR="004A49BB">
        <w:rPr>
          <w:lang w:val="en-US"/>
        </w:rPr>
        <w:t xml:space="preserve">, both from commercial and public </w:t>
      </w:r>
      <w:r w:rsidR="003D527C">
        <w:rPr>
          <w:lang w:val="en-US"/>
        </w:rPr>
        <w:t>actors.</w:t>
      </w:r>
      <w:r w:rsidR="006735DD">
        <w:rPr>
          <w:lang w:val="en-US"/>
        </w:rPr>
        <w:t xml:space="preserve"> As a result, private and public investment is growing quickly. </w:t>
      </w:r>
      <w:r w:rsidR="00732336">
        <w:rPr>
          <w:lang w:val="en-US"/>
        </w:rPr>
        <w:t xml:space="preserve">This investment </w:t>
      </w:r>
      <w:r w:rsidR="00604265">
        <w:rPr>
          <w:lang w:val="en-US"/>
        </w:rPr>
        <w:t xml:space="preserve">can </w:t>
      </w:r>
      <w:r w:rsidR="00436CF8">
        <w:rPr>
          <w:lang w:val="en-US"/>
        </w:rPr>
        <w:t xml:space="preserve">boost commercial revenues and employment in Australia, while also improving </w:t>
      </w:r>
      <w:r w:rsidR="00762D41">
        <w:t xml:space="preserve">productivity and efficiency, social welfare and cost saving </w:t>
      </w:r>
      <w:r w:rsidR="00CC6B47">
        <w:t>across</w:t>
      </w:r>
      <w:r w:rsidR="00762D41">
        <w:t xml:space="preserve"> the broader economy. </w:t>
      </w:r>
    </w:p>
    <w:p w14:paraId="4CA947F6" w14:textId="77777777" w:rsidR="00152305" w:rsidRDefault="00EB1A85" w:rsidP="00BE78BF">
      <w:pPr>
        <w:pStyle w:val="Heading2"/>
      </w:pPr>
      <w:bookmarkStart w:id="32" w:name="_Toc46494105"/>
      <w:bookmarkStart w:id="33" w:name="_Toc46494143"/>
      <w:bookmarkStart w:id="34" w:name="_Toc46494180"/>
      <w:bookmarkStart w:id="35" w:name="_Toc46494217"/>
      <w:bookmarkStart w:id="36" w:name="_Toc46321686"/>
      <w:bookmarkStart w:id="37" w:name="_Toc49366192"/>
      <w:bookmarkStart w:id="38" w:name="_Toc62719129"/>
      <w:bookmarkEnd w:id="31"/>
      <w:bookmarkEnd w:id="32"/>
      <w:bookmarkEnd w:id="33"/>
      <w:bookmarkEnd w:id="34"/>
      <w:bookmarkEnd w:id="35"/>
      <w:r w:rsidRPr="00EA767A">
        <w:t>Australia</w:t>
      </w:r>
      <w:r>
        <w:t xml:space="preserve"> has a small but important space sector with significant room to grow</w:t>
      </w:r>
      <w:bookmarkEnd w:id="36"/>
      <w:bookmarkEnd w:id="37"/>
      <w:bookmarkEnd w:id="38"/>
    </w:p>
    <w:p w14:paraId="43072BC8" w14:textId="77777777" w:rsidR="00D975E2" w:rsidRDefault="00D975E2" w:rsidP="00D975E2">
      <w:pPr>
        <w:spacing w:after="120" w:line="240" w:lineRule="auto"/>
      </w:pPr>
      <w:bookmarkStart w:id="39" w:name="_Hlk45871484"/>
      <w:r>
        <w:t xml:space="preserve">Australia has made significant contributions to space exploration in the past. It was one of the earliest countries to orbit a national satellite, with the launch of WRESAT from Woomera, South Australia, in 1967. </w:t>
      </w:r>
    </w:p>
    <w:p w14:paraId="052769B5" w14:textId="4FA91B70" w:rsidR="00D975E2" w:rsidRDefault="00D975E2" w:rsidP="00D975E2">
      <w:pPr>
        <w:spacing w:after="120" w:line="240" w:lineRule="auto"/>
      </w:pPr>
      <w:r>
        <w:t xml:space="preserve">Australia’s involvement with space tracking reaches back to the very beginnings of the Space Age.  Locally managed NASA tracking stations have supported the exploration of the solar system, pioneer applications satellites and human space exploration. Australia played a crucial role in the Apollo Moon landing program, especially receiving and broadcasting to the world the television signals showing Neil Armstrong setting foot on the Moon. The nation has also provided support to the space missions of the European Space Agency </w:t>
      </w:r>
      <w:r w:rsidR="00D42E57">
        <w:t xml:space="preserve">(ESA) </w:t>
      </w:r>
      <w:r>
        <w:t xml:space="preserve">since 1979.  </w:t>
      </w:r>
    </w:p>
    <w:p w14:paraId="540EF442" w14:textId="77777777" w:rsidR="00D975E2" w:rsidRDefault="00D975E2" w:rsidP="00D975E2">
      <w:pPr>
        <w:spacing w:after="120" w:line="240" w:lineRule="auto"/>
      </w:pPr>
      <w:r>
        <w:t>Today, the Canberra Deep Space Communication Complex and ESA’s New Norcia facility in Western Australia, continue the space tracking tradition, supporting deep space missions from many nations, including NASA’s Perseverance Rover and the UAE Hope mission, which began their journeys to Mars in July 2020.</w:t>
      </w:r>
    </w:p>
    <w:p w14:paraId="5CBD67F5" w14:textId="77777777" w:rsidR="00D975E2" w:rsidRDefault="00D975E2" w:rsidP="00D975E2">
      <w:pPr>
        <w:spacing w:after="120" w:line="240" w:lineRule="auto"/>
      </w:pPr>
      <w:r>
        <w:t xml:space="preserve">Australia also has a proud history as a pioneer in radioastronomy. CSIRO’s Parkes Radio Telescope has been at the forefront of radio astronomy research for 60 years, in addition to assisting NASA and ESA with space tracking. The country’s relative abundance of open, radio-quiet spaces make it suited to major radioastronomy projects. In 2012, Western Australia was selected as one of two locations globally for the massive, multinational Square Kilometre Array (SKA) radio telescope, to be built in the coming decade. In 2019, the CSIRO completed the Australian SKA Pathfinder (ASKAP), which was built as a precursor to the SKA and is currently the fastest survey radio telescope in the world.  </w:t>
      </w:r>
    </w:p>
    <w:p w14:paraId="6F65B1EA" w14:textId="77777777" w:rsidR="002878F5" w:rsidRDefault="00F07F7F" w:rsidP="00BE78BF">
      <w:pPr>
        <w:pStyle w:val="Heading3"/>
      </w:pPr>
      <w:bookmarkStart w:id="40" w:name="_Toc46321687"/>
      <w:bookmarkStart w:id="41" w:name="_Toc49366193"/>
      <w:bookmarkEnd w:id="39"/>
      <w:r>
        <w:t xml:space="preserve">The </w:t>
      </w:r>
      <w:r w:rsidR="002878F5">
        <w:t xml:space="preserve">Australian space </w:t>
      </w:r>
      <w:r>
        <w:t>sector</w:t>
      </w:r>
      <w:r w:rsidR="002878F5">
        <w:t xml:space="preserve"> is </w:t>
      </w:r>
      <w:r w:rsidR="0098274C">
        <w:t xml:space="preserve">growing but </w:t>
      </w:r>
      <w:r w:rsidR="00E72233">
        <w:t xml:space="preserve">is </w:t>
      </w:r>
      <w:r w:rsidR="0098274C">
        <w:t xml:space="preserve">still </w:t>
      </w:r>
      <w:r w:rsidR="00E72233">
        <w:t xml:space="preserve">only </w:t>
      </w:r>
      <w:r>
        <w:t xml:space="preserve">half </w:t>
      </w:r>
      <w:r w:rsidR="00E72233">
        <w:t>the size</w:t>
      </w:r>
      <w:r>
        <w:t xml:space="preserve"> of </w:t>
      </w:r>
      <w:r w:rsidR="00E72233">
        <w:t>global</w:t>
      </w:r>
      <w:r>
        <w:t xml:space="preserve"> leaders</w:t>
      </w:r>
      <w:bookmarkEnd w:id="40"/>
      <w:bookmarkEnd w:id="41"/>
    </w:p>
    <w:p w14:paraId="2F8E2519" w14:textId="0D07753F" w:rsidR="00C757DA" w:rsidRDefault="00527808" w:rsidP="008B4F06">
      <w:pPr>
        <w:spacing w:after="120" w:line="240" w:lineRule="auto"/>
      </w:pPr>
      <w:r>
        <w:t>Despite these significant contributions to advances in astronomy</w:t>
      </w:r>
      <w:r w:rsidR="00BF457F">
        <w:t xml:space="preserve"> and international space endeavours</w:t>
      </w:r>
      <w:r>
        <w:t xml:space="preserve">, the Australian local space sector is </w:t>
      </w:r>
      <w:r w:rsidR="006858C6">
        <w:t xml:space="preserve">young, </w:t>
      </w:r>
      <w:r w:rsidR="00C757DA">
        <w:t>compared with global peers.</w:t>
      </w:r>
      <w:r w:rsidR="00F07F7F">
        <w:t xml:space="preserve"> </w:t>
      </w:r>
      <w:r w:rsidR="00C757DA">
        <w:t xml:space="preserve">The </w:t>
      </w:r>
      <w:r w:rsidR="000C488F">
        <w:t xml:space="preserve">sector </w:t>
      </w:r>
      <w:r w:rsidR="00590BCB">
        <w:t xml:space="preserve">generated </w:t>
      </w:r>
      <w:r w:rsidR="000C488F">
        <w:t>approximately $4.8 billion in 2018-19, which is equivalent to 0.25 per cent of Australia’s GDP</w:t>
      </w:r>
      <w:r w:rsidR="00786F11">
        <w:t xml:space="preserve">, up from </w:t>
      </w:r>
      <w:r w:rsidR="00786F11" w:rsidRPr="00786F11">
        <w:t>an estimated $3.8 billion in 2015</w:t>
      </w:r>
      <w:r w:rsidR="00786F11">
        <w:t>.</w:t>
      </w:r>
      <w:r w:rsidR="00E52B1E">
        <w:rPr>
          <w:rStyle w:val="FootnoteReference"/>
        </w:rPr>
        <w:footnoteReference w:id="8"/>
      </w:r>
      <w:r w:rsidR="000C488F">
        <w:t xml:space="preserve"> </w:t>
      </w:r>
      <w:r w:rsidR="00C61EC2">
        <w:t xml:space="preserve">By comparison, the revenue of the space sector in </w:t>
      </w:r>
      <w:r w:rsidR="00C757DA">
        <w:t xml:space="preserve">Canada is </w:t>
      </w:r>
      <w:r w:rsidR="005E69F1">
        <w:t xml:space="preserve">equivalent to </w:t>
      </w:r>
      <w:r w:rsidR="00C757DA">
        <w:t xml:space="preserve">0.4 per cent of GDP, and globally </w:t>
      </w:r>
      <w:r w:rsidR="005E69F1">
        <w:t>space sector revenue is equivalent to</w:t>
      </w:r>
      <w:r w:rsidR="00C757DA">
        <w:t xml:space="preserve"> 0.5 per cent of </w:t>
      </w:r>
      <w:r w:rsidR="00C757DA">
        <w:lastRenderedPageBreak/>
        <w:t>GDP. In leading space nations, it is higher. Space sector revenue in the</w:t>
      </w:r>
      <w:r w:rsidR="00C61EC2">
        <w:t xml:space="preserve"> United States is equivalent to</w:t>
      </w:r>
      <w:r w:rsidR="00F07F7F">
        <w:t xml:space="preserve"> 1.</w:t>
      </w:r>
      <w:r w:rsidR="00107A7D">
        <w:t>0 per cent</w:t>
      </w:r>
      <w:r w:rsidR="00F07F7F">
        <w:t xml:space="preserve"> </w:t>
      </w:r>
      <w:r w:rsidR="00C61EC2">
        <w:t xml:space="preserve">of GDP, while the UK space sector’s revenue is equivalent to </w:t>
      </w:r>
      <w:r w:rsidR="00F07F7F">
        <w:t>0.7</w:t>
      </w:r>
      <w:r w:rsidR="00107A7D">
        <w:t xml:space="preserve"> per cent </w:t>
      </w:r>
      <w:r w:rsidR="00C61EC2">
        <w:t>of GDP</w:t>
      </w:r>
      <w:r w:rsidR="00E72233">
        <w:t xml:space="preserve">. </w:t>
      </w:r>
    </w:p>
    <w:p w14:paraId="2B675871" w14:textId="020A6D56" w:rsidR="00EF2DAA" w:rsidRDefault="0098274C" w:rsidP="008B4F06">
      <w:pPr>
        <w:spacing w:after="120" w:line="240" w:lineRule="auto"/>
      </w:pPr>
      <w:r>
        <w:t xml:space="preserve">Recognising the rapid growth of the global space industry and its economic potential for Australia, the Australian Government </w:t>
      </w:r>
      <w:r w:rsidR="00EA335C">
        <w:t>established</w:t>
      </w:r>
      <w:r w:rsidR="008B4F06">
        <w:t xml:space="preserve"> </w:t>
      </w:r>
      <w:r w:rsidR="00D50137">
        <w:t xml:space="preserve">the Australian Space </w:t>
      </w:r>
      <w:r w:rsidR="007B1F70">
        <w:t>Agency</w:t>
      </w:r>
      <w:r w:rsidR="00951257">
        <w:t xml:space="preserve"> (the Agency)</w:t>
      </w:r>
      <w:r w:rsidR="007B1F70">
        <w:t xml:space="preserve"> </w:t>
      </w:r>
      <w:r w:rsidR="008B4F06">
        <w:t>in</w:t>
      </w:r>
      <w:r w:rsidR="000C488F">
        <w:t xml:space="preserve"> July</w:t>
      </w:r>
      <w:r w:rsidR="008B4F06">
        <w:t xml:space="preserve"> 2018</w:t>
      </w:r>
      <w:r w:rsidR="00EA335C">
        <w:t xml:space="preserve"> to support the sector and drive further growth</w:t>
      </w:r>
    </w:p>
    <w:p w14:paraId="67AD496E" w14:textId="1A851E2D" w:rsidR="00EF2DAA" w:rsidRDefault="008B4F06" w:rsidP="008B4F06">
      <w:pPr>
        <w:spacing w:after="120" w:line="240" w:lineRule="auto"/>
      </w:pPr>
      <w:r>
        <w:t xml:space="preserve">The </w:t>
      </w:r>
      <w:r w:rsidR="00B512CC">
        <w:t xml:space="preserve">Australian Government </w:t>
      </w:r>
      <w:r w:rsidR="00A005DD">
        <w:t xml:space="preserve">has released </w:t>
      </w:r>
      <w:r w:rsidR="000C488F">
        <w:t xml:space="preserve">the </w:t>
      </w:r>
      <w:r w:rsidR="00D50137">
        <w:t>Australian Civil Space Strategy</w:t>
      </w:r>
      <w:r>
        <w:t xml:space="preserve"> </w:t>
      </w:r>
      <w:r w:rsidR="00AC447C">
        <w:t xml:space="preserve">which aims to nurture </w:t>
      </w:r>
      <w:r>
        <w:t xml:space="preserve">a space sector that </w:t>
      </w:r>
      <w:r w:rsidR="00AC447C">
        <w:t xml:space="preserve">by 2030 </w:t>
      </w:r>
      <w:r>
        <w:t xml:space="preserve">employs </w:t>
      </w:r>
      <w:r w:rsidR="000C488F">
        <w:t xml:space="preserve">an additional 20,000 </w:t>
      </w:r>
      <w:r>
        <w:t>workers and generate</w:t>
      </w:r>
      <w:r w:rsidR="00C61EC2">
        <w:t>s</w:t>
      </w:r>
      <w:r>
        <w:t xml:space="preserve"> $12 billion </w:t>
      </w:r>
      <w:r w:rsidR="00AC447C">
        <w:t>in revenue</w:t>
      </w:r>
      <w:r w:rsidR="00C61EC2">
        <w:t>.</w:t>
      </w:r>
      <w:r w:rsidR="00BF457F">
        <w:rPr>
          <w:rStyle w:val="FootnoteReference"/>
        </w:rPr>
        <w:footnoteReference w:id="9"/>
      </w:r>
      <w:r w:rsidR="00D50137">
        <w:t xml:space="preserve"> </w:t>
      </w:r>
      <w:r w:rsidR="00AC447C">
        <w:t>The strategy describes</w:t>
      </w:r>
      <w:r w:rsidR="00EF2DAA">
        <w:t xml:space="preserve"> four key actions for growing the sector: building international partnerships; increasing national capabilities; improving regulation, risk and culture; and inspiring and building a future workforce</w:t>
      </w:r>
      <w:r w:rsidR="0060047E">
        <w:t xml:space="preserve"> </w:t>
      </w:r>
      <w:r w:rsidR="0060047E" w:rsidRPr="000B38A1">
        <w:rPr>
          <w:b/>
          <w:bCs/>
        </w:rPr>
        <w:t>(</w:t>
      </w:r>
      <w:r w:rsidR="00770180" w:rsidRPr="000B38A1">
        <w:rPr>
          <w:b/>
          <w:bCs/>
        </w:rPr>
        <w:fldChar w:fldCharType="begin"/>
      </w:r>
      <w:r w:rsidR="00770180" w:rsidRPr="00770180">
        <w:rPr>
          <w:b/>
          <w:bCs/>
        </w:rPr>
        <w:instrText xml:space="preserve"> REF _Ref46417912 \h </w:instrText>
      </w:r>
      <w:r w:rsidR="00770180">
        <w:rPr>
          <w:b/>
          <w:bCs/>
        </w:rPr>
        <w:instrText xml:space="preserve"> \* MERGEFORMAT </w:instrText>
      </w:r>
      <w:r w:rsidR="00770180" w:rsidRPr="000B38A1">
        <w:rPr>
          <w:b/>
          <w:bCs/>
        </w:rPr>
      </w:r>
      <w:r w:rsidR="00770180" w:rsidRPr="000B38A1">
        <w:rPr>
          <w:b/>
          <w:bCs/>
        </w:rPr>
        <w:fldChar w:fldCharType="separate"/>
      </w:r>
      <w:r w:rsidR="007040B4" w:rsidRPr="007040B4">
        <w:rPr>
          <w:b/>
          <w:bCs/>
        </w:rPr>
        <w:t xml:space="preserve">Exhibit </w:t>
      </w:r>
      <w:r w:rsidR="007040B4" w:rsidRPr="007040B4">
        <w:rPr>
          <w:b/>
          <w:bCs/>
          <w:noProof/>
        </w:rPr>
        <w:t>1</w:t>
      </w:r>
      <w:r w:rsidR="00770180" w:rsidRPr="000B38A1">
        <w:rPr>
          <w:b/>
          <w:bCs/>
        </w:rPr>
        <w:fldChar w:fldCharType="end"/>
      </w:r>
      <w:r w:rsidR="00770180" w:rsidRPr="000B38A1">
        <w:rPr>
          <w:b/>
          <w:bCs/>
        </w:rPr>
        <w:t>)</w:t>
      </w:r>
      <w:r w:rsidR="00EF2DAA">
        <w:t>.</w:t>
      </w:r>
    </w:p>
    <w:p w14:paraId="7DE6F6D2" w14:textId="43FD164F" w:rsidR="00EF2DAA" w:rsidRDefault="00EF2DAA" w:rsidP="00EF2DAA">
      <w:pPr>
        <w:pStyle w:val="Caption"/>
        <w:keepNext/>
      </w:pPr>
      <w:bookmarkStart w:id="42" w:name="_Ref46417912"/>
      <w:r>
        <w:t xml:space="preserve">Exhibit </w:t>
      </w:r>
      <w:r w:rsidR="00A91B80">
        <w:rPr>
          <w:noProof/>
        </w:rPr>
        <w:fldChar w:fldCharType="begin"/>
      </w:r>
      <w:r w:rsidR="00A91B80">
        <w:rPr>
          <w:noProof/>
        </w:rPr>
        <w:instrText xml:space="preserve"> SEQ Exhibit \* ARABIC </w:instrText>
      </w:r>
      <w:r w:rsidR="00A91B80">
        <w:rPr>
          <w:noProof/>
        </w:rPr>
        <w:fldChar w:fldCharType="separate"/>
      </w:r>
      <w:r w:rsidR="007040B4">
        <w:rPr>
          <w:noProof/>
        </w:rPr>
        <w:t>1</w:t>
      </w:r>
      <w:r w:rsidR="00A91B80">
        <w:rPr>
          <w:noProof/>
        </w:rPr>
        <w:fldChar w:fldCharType="end"/>
      </w:r>
      <w:bookmarkEnd w:id="42"/>
      <w:r>
        <w:t>: Implementation priorities of the Australian Civil Space Strategy</w:t>
      </w:r>
      <w:r w:rsidR="00110274">
        <w:t>, 2019-2028</w:t>
      </w:r>
    </w:p>
    <w:tbl>
      <w:tblPr>
        <w:tblStyle w:val="ExhibitTable"/>
        <w:tblW w:w="0" w:type="auto"/>
        <w:tblLook w:val="04A0" w:firstRow="1" w:lastRow="0" w:firstColumn="1" w:lastColumn="0" w:noHBand="0" w:noVBand="1"/>
        <w:tblCaption w:val="Australian strategy implementation priorities"/>
        <w:tblDescription w:val="Infographic outlining the four key priorities of the Australian Civil Space Strategy: open doors; increase capability; address regulation, risk and culture; and inspire and build a future workforce."/>
      </w:tblPr>
      <w:tblGrid>
        <w:gridCol w:w="9026"/>
      </w:tblGrid>
      <w:tr w:rsidR="003E6C5F" w14:paraId="45F7A9CC" w14:textId="77777777" w:rsidTr="0054118D">
        <w:trPr>
          <w:tblHeader/>
        </w:trPr>
        <w:tc>
          <w:tcPr>
            <w:tcW w:w="9016" w:type="dxa"/>
          </w:tcPr>
          <w:p w14:paraId="738B66E7" w14:textId="1D2FEDB2" w:rsidR="004766C6" w:rsidRPr="00D75EAA" w:rsidRDefault="004766C6" w:rsidP="00AF1F23">
            <w:pPr>
              <w:spacing w:after="120"/>
              <w:jc w:val="center"/>
              <w:rPr>
                <w:noProof/>
              </w:rPr>
            </w:pPr>
            <w:r w:rsidRPr="004766C6">
              <w:rPr>
                <w:noProof/>
                <w:lang w:eastAsia="en-AU"/>
              </w:rPr>
              <w:drawing>
                <wp:inline distT="0" distB="0" distL="0" distR="0" wp14:anchorId="4EAB9B91" wp14:editId="6894078D">
                  <wp:extent cx="5608320" cy="3038152"/>
                  <wp:effectExtent l="0" t="0" r="0" b="0"/>
                  <wp:docPr id="15" name="Picture 15" descr="Infographic outlining the four key priorities of the Australian Civil Space Strategy: open doors; increase capability; address regulation, risk and culture; and inspire and build a future workforce." title="Implementation priorities of the Australian Civil Space Strategy, 2019-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92" t="8460" r="4160" b="3550"/>
                          <a:stretch/>
                        </pic:blipFill>
                        <pic:spPr bwMode="auto">
                          <a:xfrm>
                            <a:off x="0" y="0"/>
                            <a:ext cx="5611713" cy="30399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118D" w:rsidRPr="006F381C" w14:paraId="33645084" w14:textId="77777777" w:rsidTr="0054118D">
        <w:trPr>
          <w:tblHeader/>
        </w:trPr>
        <w:tc>
          <w:tcPr>
            <w:tcW w:w="9016" w:type="dxa"/>
          </w:tcPr>
          <w:p w14:paraId="67D00BDF" w14:textId="230C2158" w:rsidR="00D920C2" w:rsidRPr="006F381C" w:rsidRDefault="00D920C2" w:rsidP="00D920C2">
            <w:pPr>
              <w:pStyle w:val="ExhibitFootnote"/>
              <w:rPr>
                <w:color w:val="auto"/>
              </w:rPr>
            </w:pPr>
            <w:r w:rsidRPr="006F381C">
              <w:rPr>
                <w:color w:val="auto"/>
                <w:lang w:val="en-GB"/>
              </w:rPr>
              <w:t>Source</w:t>
            </w:r>
            <w:r w:rsidR="00415C0C" w:rsidRPr="006F381C">
              <w:rPr>
                <w:color w:val="auto"/>
                <w:lang w:val="en-GB"/>
              </w:rPr>
              <w:t>s</w:t>
            </w:r>
            <w:r w:rsidRPr="006F381C">
              <w:rPr>
                <w:color w:val="auto"/>
                <w:lang w:val="en-GB"/>
              </w:rPr>
              <w:t>: Australian Space Agency (2019), Australian Civil Space Strategy 2019 – 2028</w:t>
            </w:r>
            <w:r w:rsidR="00415C0C" w:rsidRPr="006F381C">
              <w:rPr>
                <w:color w:val="auto"/>
                <w:lang w:val="en-GB"/>
              </w:rPr>
              <w:t>.</w:t>
            </w:r>
          </w:p>
        </w:tc>
      </w:tr>
    </w:tbl>
    <w:p w14:paraId="0D5B36F4" w14:textId="77777777" w:rsidR="006248AF" w:rsidRDefault="006248AF" w:rsidP="0031392A">
      <w:pPr>
        <w:spacing w:after="120" w:line="240" w:lineRule="auto"/>
      </w:pPr>
    </w:p>
    <w:p w14:paraId="01E8080F" w14:textId="6828244B" w:rsidR="002638A3" w:rsidRDefault="00B11AF3" w:rsidP="0031392A">
      <w:pPr>
        <w:spacing w:after="120" w:line="240" w:lineRule="auto"/>
      </w:pPr>
      <w:r>
        <w:t xml:space="preserve">Australia’s renewed focus on space has generated significant private and public investment in the </w:t>
      </w:r>
      <w:r w:rsidR="008B36BD">
        <w:t xml:space="preserve">civil space </w:t>
      </w:r>
      <w:r>
        <w:t>sector.</w:t>
      </w:r>
      <w:r w:rsidR="007C79EB">
        <w:t xml:space="preserve"> </w:t>
      </w:r>
      <w:r w:rsidR="006B55A0">
        <w:t>The</w:t>
      </w:r>
      <w:r w:rsidR="00136A5C">
        <w:t xml:space="preserve"> </w:t>
      </w:r>
      <w:r w:rsidR="00D13353">
        <w:t xml:space="preserve">Agency has </w:t>
      </w:r>
      <w:r w:rsidR="00445E4F">
        <w:t>observed</w:t>
      </w:r>
      <w:r w:rsidR="00D13353">
        <w:t xml:space="preserve"> </w:t>
      </w:r>
      <w:r w:rsidR="00B512CC">
        <w:t xml:space="preserve">over </w:t>
      </w:r>
      <w:r w:rsidR="00D13353" w:rsidRPr="000B38A1">
        <w:t xml:space="preserve">$2 billion space-related capital project pipeline </w:t>
      </w:r>
      <w:r w:rsidR="00811A07" w:rsidRPr="000B38A1">
        <w:t>for FY</w:t>
      </w:r>
      <w:r w:rsidR="006478BF">
        <w:t>2018-</w:t>
      </w:r>
      <w:r w:rsidR="00C71F57">
        <w:t>20</w:t>
      </w:r>
      <w:r w:rsidR="00811A07" w:rsidRPr="000B38A1">
        <w:t>19 to FY</w:t>
      </w:r>
      <w:r w:rsidR="006478BF">
        <w:t>2027-</w:t>
      </w:r>
      <w:r w:rsidR="00C71F57">
        <w:t>20</w:t>
      </w:r>
      <w:r w:rsidR="00811A07" w:rsidRPr="000B38A1">
        <w:t>2</w:t>
      </w:r>
      <w:r w:rsidR="00496BC1" w:rsidRPr="000B38A1">
        <w:t>8</w:t>
      </w:r>
      <w:r w:rsidR="007277F8">
        <w:t xml:space="preserve">, including </w:t>
      </w:r>
      <w:r w:rsidR="00D13353" w:rsidRPr="000B38A1">
        <w:t>$</w:t>
      </w:r>
      <w:r w:rsidR="00B45252" w:rsidRPr="000B38A1">
        <w:t>7</w:t>
      </w:r>
      <w:r w:rsidR="00B45252">
        <w:t>75</w:t>
      </w:r>
      <w:r w:rsidR="00B45252" w:rsidRPr="000B38A1">
        <w:t xml:space="preserve"> </w:t>
      </w:r>
      <w:r w:rsidR="00D13353" w:rsidRPr="000B38A1">
        <w:t>million from private or foreign investment</w:t>
      </w:r>
      <w:r w:rsidR="00790367">
        <w:t xml:space="preserve"> commitments</w:t>
      </w:r>
      <w:r w:rsidR="00CA37FD" w:rsidRPr="00CA2B22">
        <w:t>.</w:t>
      </w:r>
      <w:r w:rsidR="00496BC1" w:rsidRPr="00CA2B22">
        <w:rPr>
          <w:rStyle w:val="FootnoteReference"/>
        </w:rPr>
        <w:footnoteReference w:id="10"/>
      </w:r>
      <w:r w:rsidR="00CA37FD">
        <w:t xml:space="preserve"> </w:t>
      </w:r>
      <w:bookmarkStart w:id="43" w:name="_Hlk47427070"/>
      <w:r w:rsidR="003E4E5B">
        <w:t xml:space="preserve">The pipeline also includes investment from the Australian Government and state and territory governments. </w:t>
      </w:r>
      <w:r w:rsidR="0025163D">
        <w:t>T</w:t>
      </w:r>
      <w:r w:rsidR="003E4E5B">
        <w:t>he</w:t>
      </w:r>
      <w:r w:rsidR="002638A3">
        <w:t xml:space="preserve"> Australian Government has invested $700 million </w:t>
      </w:r>
      <w:r w:rsidR="00B512CC">
        <w:t xml:space="preserve">in space </w:t>
      </w:r>
      <w:r w:rsidR="002638A3">
        <w:t xml:space="preserve">since </w:t>
      </w:r>
      <w:r w:rsidR="00B512CC">
        <w:t>FY</w:t>
      </w:r>
      <w:r w:rsidR="002638A3">
        <w:t>2018-</w:t>
      </w:r>
      <w:r w:rsidR="00B512CC">
        <w:t>20</w:t>
      </w:r>
      <w:r w:rsidR="002638A3">
        <w:t>19</w:t>
      </w:r>
      <w:r w:rsidR="0025163D">
        <w:t>.</w:t>
      </w:r>
      <w:r w:rsidR="002638A3">
        <w:t xml:space="preserve"> </w:t>
      </w:r>
    </w:p>
    <w:p w14:paraId="10201C2D" w14:textId="438E7A05" w:rsidR="0031392A" w:rsidRDefault="003B5B9F" w:rsidP="002A3947">
      <w:pPr>
        <w:spacing w:after="120" w:line="240" w:lineRule="auto"/>
      </w:pPr>
      <w:r>
        <w:t xml:space="preserve">The Government has further committed $7 billion to developing space capabilities over the next decade to realise its </w:t>
      </w:r>
      <w:r w:rsidRPr="00ED7535">
        <w:t>D</w:t>
      </w:r>
      <w:r>
        <w:t xml:space="preserve">efence capability goals as part of the 2020 Defence Strategic Update and 2020 </w:t>
      </w:r>
      <w:r>
        <w:lastRenderedPageBreak/>
        <w:t>Force Structure Plan</w:t>
      </w:r>
      <w:r w:rsidRPr="00CA2B22">
        <w:t>.</w:t>
      </w:r>
      <w:r w:rsidRPr="00ED7535">
        <w:rPr>
          <w:rStyle w:val="FootnoteReference"/>
        </w:rPr>
        <w:footnoteReference w:id="11"/>
      </w:r>
      <w:r w:rsidRPr="00ED7535">
        <w:t xml:space="preserve"> </w:t>
      </w:r>
      <w:r w:rsidRPr="00537688">
        <w:t xml:space="preserve">This funding will improve Australia’s satellite communications, positioning, navigation and timing data, as well as </w:t>
      </w:r>
      <w:r w:rsidRPr="00824209">
        <w:t>help to grow Australian industry expertise,</w:t>
      </w:r>
      <w:r w:rsidRPr="00ED7535">
        <w:t xml:space="preserve"> and </w:t>
      </w:r>
      <w:r w:rsidRPr="00824209">
        <w:t>Australia’s</w:t>
      </w:r>
      <w:r w:rsidRPr="00ED7535">
        <w:t xml:space="preserve"> spac</w:t>
      </w:r>
      <w:r>
        <w:t xml:space="preserve">e domain awareness capabilities. Civil </w:t>
      </w:r>
      <w:r w:rsidRPr="0031392A">
        <w:t>sector companies will have opportunities to participate in plans to establish communications satellites and ground control stations.</w:t>
      </w:r>
      <w:bookmarkEnd w:id="43"/>
    </w:p>
    <w:p w14:paraId="4EBFFC66" w14:textId="27CED7F4" w:rsidR="00790367" w:rsidRDefault="00790367" w:rsidP="002A3947">
      <w:pPr>
        <w:spacing w:after="120" w:line="240" w:lineRule="auto"/>
      </w:pPr>
      <w:r>
        <w:t>Additionally, in October 2020, the Australian Government announced a $1.5 billion Modern Manufacturing Strategy which identifies space as one of six national manufacturing priorities</w:t>
      </w:r>
      <w:r>
        <w:rPr>
          <w:rStyle w:val="FootnoteReference"/>
        </w:rPr>
        <w:footnoteReference w:id="12"/>
      </w:r>
      <w:r>
        <w:t xml:space="preserve">.  </w:t>
      </w:r>
      <w:r w:rsidR="00C5153C">
        <w:t>The Government has set out that the</w:t>
      </w:r>
      <w:r>
        <w:t xml:space="preserve"> Modern Manufacturing Strategy </w:t>
      </w:r>
      <w:r w:rsidRPr="00790367">
        <w:t>will focus on areas of comparative advantage and strategic importance</w:t>
      </w:r>
      <w:r w:rsidR="002A6391">
        <w:t>, providing support through four initiatives</w:t>
      </w:r>
      <w:r>
        <w:t xml:space="preserve">. For space </w:t>
      </w:r>
      <w:r w:rsidR="002A6391">
        <w:t>manufacturing</w:t>
      </w:r>
      <w:r w:rsidR="007D7819">
        <w:t xml:space="preserve"> investment</w:t>
      </w:r>
      <w:r w:rsidR="002A6391">
        <w:t xml:space="preserve">, </w:t>
      </w:r>
      <w:r>
        <w:t xml:space="preserve">this </w:t>
      </w:r>
      <w:r w:rsidR="007D7819">
        <w:t>includes</w:t>
      </w:r>
      <w:r>
        <w:t xml:space="preserve"> </w:t>
      </w:r>
      <w:r w:rsidR="002A6391">
        <w:t>support from initiatives to encourage private investment and leverage transformative investments in manufacturing technologies and processes.</w:t>
      </w:r>
    </w:p>
    <w:p w14:paraId="5B7037AC" w14:textId="77777777" w:rsidR="008F2372" w:rsidRDefault="008F2372" w:rsidP="008F2372">
      <w:pPr>
        <w:pStyle w:val="Heading2"/>
        <w:ind w:left="567" w:hanging="567"/>
      </w:pPr>
      <w:bookmarkStart w:id="44" w:name="_Toc46494108"/>
      <w:bookmarkStart w:id="45" w:name="_Toc46494146"/>
      <w:bookmarkStart w:id="46" w:name="_Toc46494183"/>
      <w:bookmarkStart w:id="47" w:name="_Toc46494220"/>
      <w:bookmarkStart w:id="48" w:name="_Toc48224783"/>
      <w:bookmarkStart w:id="49" w:name="_Toc62719130"/>
      <w:bookmarkStart w:id="50" w:name="_Toc46321688"/>
      <w:bookmarkStart w:id="51" w:name="_Toc49366194"/>
      <w:bookmarkEnd w:id="44"/>
      <w:bookmarkEnd w:id="45"/>
      <w:bookmarkEnd w:id="46"/>
      <w:bookmarkEnd w:id="47"/>
      <w:r>
        <w:t>The space sector is experiencing a global transformation, driven by new technology and investments from private and public sectors</w:t>
      </w:r>
      <w:bookmarkEnd w:id="48"/>
      <w:bookmarkEnd w:id="49"/>
    </w:p>
    <w:bookmarkEnd w:id="50"/>
    <w:bookmarkEnd w:id="51"/>
    <w:p w14:paraId="44ADEEB4" w14:textId="1AFA6C95" w:rsidR="0096042D" w:rsidRDefault="00EF2DAA" w:rsidP="006E5053">
      <w:pPr>
        <w:spacing w:after="120" w:line="240" w:lineRule="auto"/>
      </w:pPr>
      <w:r w:rsidRPr="00D931FF">
        <w:t>Today’s global space industry is radically different to that of the 1960s</w:t>
      </w:r>
      <w:r w:rsidRPr="00D367BF">
        <w:t xml:space="preserve">. </w:t>
      </w:r>
      <w:r w:rsidRPr="00D931FF">
        <w:t xml:space="preserve">While big-ticket, government-funded missions dominated the Apollo era, modern projects are </w:t>
      </w:r>
      <w:r w:rsidR="001E76EF">
        <w:t>much</w:t>
      </w:r>
      <w:r w:rsidR="001E76EF" w:rsidRPr="00D931FF">
        <w:t xml:space="preserve"> </w:t>
      </w:r>
      <w:r w:rsidRPr="00D931FF">
        <w:t>more diverse.</w:t>
      </w:r>
      <w:r w:rsidR="00791592">
        <w:t xml:space="preserve"> </w:t>
      </w:r>
      <w:r w:rsidR="008D46A5">
        <w:t xml:space="preserve">These include </w:t>
      </w:r>
      <w:r w:rsidR="00A04132">
        <w:t>satellite-related projects to transmit data,</w:t>
      </w:r>
      <w:r w:rsidR="00F84EBE">
        <w:t xml:space="preserve"> assist with mapping and navigation, and</w:t>
      </w:r>
      <w:r w:rsidR="00A04132">
        <w:t xml:space="preserve"> observe and take measurements</w:t>
      </w:r>
      <w:r w:rsidR="003D6F06">
        <w:t xml:space="preserve">; as well as launching exploration probes into space. To support these activities, </w:t>
      </w:r>
      <w:r w:rsidR="006E5053">
        <w:t xml:space="preserve">civil firms have developed a similarly broad set of capabilities. </w:t>
      </w:r>
      <w:r w:rsidR="00BF1178">
        <w:t>Australian</w:t>
      </w:r>
      <w:r w:rsidR="006E5053">
        <w:t xml:space="preserve"> </w:t>
      </w:r>
      <w:r w:rsidR="00BF1178">
        <w:t xml:space="preserve">space firms are especially capable </w:t>
      </w:r>
      <w:r w:rsidR="002048B1">
        <w:t xml:space="preserve">of </w:t>
      </w:r>
      <w:r w:rsidR="008D46A5">
        <w:t xml:space="preserve">remote-sensing and </w:t>
      </w:r>
      <w:r w:rsidR="008B64A5">
        <w:t>E</w:t>
      </w:r>
      <w:r w:rsidR="008D46A5">
        <w:t>arth observation</w:t>
      </w:r>
      <w:r w:rsidR="00A75DCA">
        <w:t>;</w:t>
      </w:r>
      <w:r w:rsidR="008D46A5">
        <w:t xml:space="preserve"> scientific, and engineering support</w:t>
      </w:r>
      <w:r w:rsidR="00A75DCA">
        <w:t>;</w:t>
      </w:r>
      <w:r w:rsidR="006E5053">
        <w:t xml:space="preserve"> </w:t>
      </w:r>
      <w:r w:rsidR="00BF1178">
        <w:t xml:space="preserve">supplying space-related </w:t>
      </w:r>
      <w:r w:rsidR="008D46A5">
        <w:t>materials</w:t>
      </w:r>
      <w:r w:rsidR="007E28A2">
        <w:t xml:space="preserve">; education, training and astronomy research </w:t>
      </w:r>
      <w:r w:rsidR="008D46A5" w:rsidRPr="00191B11">
        <w:rPr>
          <w:b/>
        </w:rPr>
        <w:t>(</w:t>
      </w:r>
      <w:r w:rsidR="005B686B" w:rsidRPr="00244B80">
        <w:rPr>
          <w:b/>
        </w:rPr>
        <w:fldChar w:fldCharType="begin"/>
      </w:r>
      <w:r w:rsidR="005B686B" w:rsidRPr="005B686B">
        <w:rPr>
          <w:b/>
        </w:rPr>
        <w:instrText xml:space="preserve"> REF _Ref47707591 \h </w:instrText>
      </w:r>
      <w:r w:rsidR="005B686B" w:rsidRPr="007E7A00">
        <w:rPr>
          <w:b/>
        </w:rPr>
        <w:instrText xml:space="preserve"> \* MERGEFORMAT </w:instrText>
      </w:r>
      <w:r w:rsidR="005B686B" w:rsidRPr="00244B80">
        <w:rPr>
          <w:b/>
        </w:rPr>
      </w:r>
      <w:r w:rsidR="005B686B" w:rsidRPr="00244B80">
        <w:rPr>
          <w:b/>
        </w:rPr>
        <w:fldChar w:fldCharType="separate"/>
      </w:r>
      <w:r w:rsidR="007040B4" w:rsidRPr="007040B4">
        <w:rPr>
          <w:b/>
        </w:rPr>
        <w:t xml:space="preserve">Exhibit </w:t>
      </w:r>
      <w:r w:rsidR="007040B4" w:rsidRPr="007040B4">
        <w:rPr>
          <w:b/>
          <w:noProof/>
        </w:rPr>
        <w:t>2</w:t>
      </w:r>
      <w:r w:rsidR="005B686B" w:rsidRPr="00244B80">
        <w:rPr>
          <w:b/>
        </w:rPr>
        <w:fldChar w:fldCharType="end"/>
      </w:r>
      <w:r w:rsidR="008D46A5" w:rsidRPr="005F73B0">
        <w:rPr>
          <w:b/>
        </w:rPr>
        <w:fldChar w:fldCharType="begin"/>
      </w:r>
      <w:r w:rsidR="008D46A5" w:rsidRPr="008D46A5">
        <w:rPr>
          <w:b/>
          <w:bCs/>
        </w:rPr>
        <w:instrText xml:space="preserve"> REF _Ref46415561 \h </w:instrText>
      </w:r>
      <w:r w:rsidR="008D46A5" w:rsidRPr="004C512D">
        <w:rPr>
          <w:b/>
          <w:bCs/>
        </w:rPr>
        <w:instrText xml:space="preserve"> \* MERGEFORMAT </w:instrText>
      </w:r>
      <w:r w:rsidR="008D46A5" w:rsidRPr="005F73B0">
        <w:rPr>
          <w:b/>
        </w:rPr>
      </w:r>
      <w:r w:rsidR="008D46A5" w:rsidRPr="005F73B0">
        <w:rPr>
          <w:b/>
        </w:rPr>
        <w:fldChar w:fldCharType="end"/>
      </w:r>
      <w:r w:rsidR="008D46A5" w:rsidRPr="00F072C8">
        <w:rPr>
          <w:b/>
          <w:bCs/>
        </w:rPr>
        <w:t>)</w:t>
      </w:r>
      <w:r w:rsidR="008D46A5">
        <w:t>.</w:t>
      </w:r>
      <w:r w:rsidR="00791592">
        <w:t xml:space="preserve"> </w:t>
      </w:r>
    </w:p>
    <w:p w14:paraId="1B272BE1" w14:textId="385A1105" w:rsidR="002D7A82" w:rsidRDefault="00FF4236" w:rsidP="00B3065D">
      <w:pPr>
        <w:spacing w:after="120" w:line="240" w:lineRule="auto"/>
      </w:pPr>
      <w:r>
        <w:t>There are fresh</w:t>
      </w:r>
      <w:r w:rsidR="00D931FF">
        <w:t xml:space="preserve"> commercial opportunities as </w:t>
      </w:r>
      <w:r w:rsidR="00F052E0">
        <w:t xml:space="preserve">space sector </w:t>
      </w:r>
      <w:r w:rsidR="006C1724">
        <w:t xml:space="preserve">technology becomes better and cheaper, and </w:t>
      </w:r>
      <w:r w:rsidR="00500BAE">
        <w:t xml:space="preserve">new applications emerge in </w:t>
      </w:r>
      <w:r w:rsidR="00A34E94">
        <w:t xml:space="preserve">other </w:t>
      </w:r>
      <w:r w:rsidR="00500BAE">
        <w:t>sectors</w:t>
      </w:r>
      <w:r w:rsidR="00F052E0">
        <w:t xml:space="preserve"> such as </w:t>
      </w:r>
      <w:r w:rsidR="00B3065D">
        <w:t>agriculture, disaster management and advanced manufacturing.</w:t>
      </w:r>
      <w:r w:rsidR="00614159">
        <w:t xml:space="preserve"> </w:t>
      </w:r>
      <w:r w:rsidR="00070A0D">
        <w:t xml:space="preserve">For example, scientific consultancy </w:t>
      </w:r>
      <w:r w:rsidR="00535D24">
        <w:t xml:space="preserve">Maitec </w:t>
      </w:r>
      <w:r w:rsidR="000F0B5C">
        <w:t xml:space="preserve">uses </w:t>
      </w:r>
      <w:r w:rsidR="00053B2D">
        <w:t xml:space="preserve">a combination of ground, air and satellite sensors </w:t>
      </w:r>
      <w:r w:rsidR="000B4DA0">
        <w:t xml:space="preserve">to </w:t>
      </w:r>
      <w:r w:rsidR="00DE6B82">
        <w:t xml:space="preserve">monitor </w:t>
      </w:r>
      <w:r w:rsidR="00A32BF1">
        <w:t>bushfire</w:t>
      </w:r>
      <w:r w:rsidR="00DE6B82">
        <w:t>s and inform Northern Territory emergency services’ natural disaster response.</w:t>
      </w:r>
      <w:r w:rsidR="00E91987">
        <w:t xml:space="preserve"> </w:t>
      </w:r>
      <w:r w:rsidR="00572617">
        <w:t>T</w:t>
      </w:r>
      <w:r w:rsidR="00922F98">
        <w:t xml:space="preserve">echnology </w:t>
      </w:r>
      <w:r w:rsidR="00463D56">
        <w:t xml:space="preserve">provider </w:t>
      </w:r>
      <w:r w:rsidR="00E91987">
        <w:t>AgriWebb</w:t>
      </w:r>
      <w:r w:rsidR="00755F3F">
        <w:t xml:space="preserve"> </w:t>
      </w:r>
      <w:r w:rsidR="00922F98">
        <w:t xml:space="preserve">uses </w:t>
      </w:r>
      <w:r w:rsidR="008D65BA">
        <w:t xml:space="preserve">location-based technology from Geoscience Australia </w:t>
      </w:r>
      <w:r w:rsidR="00463D56">
        <w:t>to allow farmers to track livestock in real time</w:t>
      </w:r>
      <w:r w:rsidR="00192EE8">
        <w:t>, while</w:t>
      </w:r>
      <w:r w:rsidR="00BF4BD6">
        <w:t xml:space="preserve"> </w:t>
      </w:r>
      <w:r w:rsidR="00405641">
        <w:t xml:space="preserve">Internet of Things (IoT) </w:t>
      </w:r>
      <w:r w:rsidR="00B944AE">
        <w:t>business Myr</w:t>
      </w:r>
      <w:r w:rsidR="00D42E57">
        <w:t>i</w:t>
      </w:r>
      <w:r w:rsidR="00B944AE">
        <w:t xml:space="preserve">ota </w:t>
      </w:r>
      <w:r w:rsidR="00690F7C">
        <w:t xml:space="preserve">uses </w:t>
      </w:r>
      <w:r w:rsidR="00192EE8">
        <w:t xml:space="preserve">smart sensors and </w:t>
      </w:r>
      <w:r w:rsidR="00690F7C">
        <w:t xml:space="preserve">a constellation of nanosatellites </w:t>
      </w:r>
      <w:r w:rsidR="002D7A82">
        <w:t xml:space="preserve">to </w:t>
      </w:r>
      <w:r w:rsidR="00E708DA">
        <w:t>help farmers monitor dam levels and pump operation</w:t>
      </w:r>
      <w:r w:rsidR="00BF4BD6">
        <w:t>.</w:t>
      </w:r>
      <w:r w:rsidR="00572617" w:rsidRPr="00572617">
        <w:t xml:space="preserve"> </w:t>
      </w:r>
      <w:r w:rsidR="00572617">
        <w:t>The total number of active satellites orbiting the Earth has doubled in the past decade to meet this growing demand.</w:t>
      </w:r>
      <w:r w:rsidR="00572617">
        <w:rPr>
          <w:rStyle w:val="FootnoteReference"/>
        </w:rPr>
        <w:footnoteReference w:id="13"/>
      </w:r>
    </w:p>
    <w:p w14:paraId="74DAD0B7" w14:textId="77777777" w:rsidR="0031392A" w:rsidRDefault="0031392A" w:rsidP="006E5053">
      <w:pPr>
        <w:spacing w:after="120" w:line="240" w:lineRule="auto"/>
      </w:pPr>
      <w:r>
        <w:t>International space exploration initiatives are further contributing to the demand for space services, with NASA and other government agencies increasingly involving private sector companies in their programs. According to the OECD, public space budgets totalled an estimated US$75 billion in 2017, the highest since the Apollo era.</w:t>
      </w:r>
      <w:r>
        <w:rPr>
          <w:rStyle w:val="FootnoteReference"/>
        </w:rPr>
        <w:footnoteReference w:id="14"/>
      </w:r>
      <w:r>
        <w:t xml:space="preserve"> Such opportunities have meant that civil space firms are becoming more important to supply chains and the overall space economy. Most notably, firms such as SpaceX and Boeing have developed large-scale partnerships with NASA.</w:t>
      </w:r>
    </w:p>
    <w:p w14:paraId="31D82415" w14:textId="453F7811" w:rsidR="002065AB" w:rsidRDefault="008D26F3">
      <w:pPr>
        <w:spacing w:after="120" w:line="240" w:lineRule="auto"/>
      </w:pPr>
      <w:r>
        <w:lastRenderedPageBreak/>
        <w:t xml:space="preserve">While Australia’s space manufacturing sector is relatively small, </w:t>
      </w:r>
      <w:r w:rsidR="00F9211B">
        <w:t xml:space="preserve">firms such as Titomic and Silanna Semiconductors </w:t>
      </w:r>
      <w:r w:rsidR="00424580">
        <w:t xml:space="preserve">have developed advanced components </w:t>
      </w:r>
      <w:r w:rsidR="00D7463D">
        <w:t>to be used in space.</w:t>
      </w:r>
      <w:r w:rsidR="00A34E94">
        <w:t xml:space="preserve"> </w:t>
      </w:r>
      <w:r w:rsidR="00A34E94" w:rsidRPr="00332308">
        <w:t xml:space="preserve">Australia’s space sector stands to capitalise from increasing opportunities to enter global supply chains, particularly in </w:t>
      </w:r>
      <w:r w:rsidR="00A02867">
        <w:t xml:space="preserve">National Civil Space </w:t>
      </w:r>
      <w:r w:rsidR="003727A4">
        <w:t>P</w:t>
      </w:r>
      <w:r w:rsidR="00A34E94" w:rsidRPr="00332308">
        <w:t xml:space="preserve">riority </w:t>
      </w:r>
      <w:r w:rsidR="003727A4">
        <w:t>A</w:t>
      </w:r>
      <w:r w:rsidR="00A34E94" w:rsidRPr="00332308">
        <w:t>reas</w:t>
      </w:r>
      <w:r w:rsidR="003727A4">
        <w:t xml:space="preserve"> such as position, navigation and timing; </w:t>
      </w:r>
      <w:r w:rsidR="0084007C">
        <w:t>E</w:t>
      </w:r>
      <w:r w:rsidR="003727A4">
        <w:t xml:space="preserve">arth observation; communications technology and services; space situational awareness and debris monitoring; </w:t>
      </w:r>
      <w:r w:rsidR="00E20A35">
        <w:t>research and development; robotics and automation; and access to space</w:t>
      </w:r>
      <w:r w:rsidR="00A34E94" w:rsidRPr="00332308">
        <w:t>.</w:t>
      </w:r>
      <w:r w:rsidR="00E762F5">
        <w:rPr>
          <w:rStyle w:val="FootnoteReference"/>
        </w:rPr>
        <w:footnoteReference w:id="15"/>
      </w:r>
      <w:r w:rsidR="00D7463D" w:rsidRPr="00E762F5">
        <w:t xml:space="preserve"> </w:t>
      </w:r>
    </w:p>
    <w:p w14:paraId="11C50EA6" w14:textId="090257E4" w:rsidR="002A31E9" w:rsidRDefault="002A31E9" w:rsidP="00332308">
      <w:pPr>
        <w:pStyle w:val="ListParagraph"/>
        <w:numPr>
          <w:ilvl w:val="0"/>
          <w:numId w:val="38"/>
        </w:numPr>
        <w:spacing w:after="120" w:line="240" w:lineRule="auto"/>
        <w:sectPr w:rsidR="002A31E9">
          <w:pgSz w:w="11906" w:h="16838"/>
          <w:pgMar w:top="1440" w:right="1440" w:bottom="1440" w:left="1440" w:header="708" w:footer="708" w:gutter="0"/>
          <w:cols w:space="708"/>
          <w:docGrid w:linePitch="360"/>
        </w:sectPr>
      </w:pPr>
    </w:p>
    <w:p w14:paraId="4B6CB3DA" w14:textId="34B221F8" w:rsidR="00EF554C" w:rsidRDefault="00EF554C" w:rsidP="00E710BA">
      <w:pPr>
        <w:pStyle w:val="Caption"/>
        <w:keepNext/>
        <w:spacing w:before="120"/>
      </w:pPr>
      <w:bookmarkStart w:id="52" w:name="_Ref47707591"/>
      <w:r>
        <w:lastRenderedPageBreak/>
        <w:t xml:space="preserve">Exhibit </w:t>
      </w:r>
      <w:r w:rsidR="00A91B80">
        <w:rPr>
          <w:noProof/>
        </w:rPr>
        <w:fldChar w:fldCharType="begin"/>
      </w:r>
      <w:r w:rsidR="00A91B80">
        <w:rPr>
          <w:noProof/>
        </w:rPr>
        <w:instrText xml:space="preserve"> SEQ Exhibit \* ARABIC </w:instrText>
      </w:r>
      <w:r w:rsidR="00A91B80">
        <w:rPr>
          <w:noProof/>
        </w:rPr>
        <w:fldChar w:fldCharType="separate"/>
      </w:r>
      <w:r w:rsidR="007040B4">
        <w:rPr>
          <w:noProof/>
        </w:rPr>
        <w:t>2</w:t>
      </w:r>
      <w:r w:rsidR="00A91B80">
        <w:rPr>
          <w:noProof/>
        </w:rPr>
        <w:fldChar w:fldCharType="end"/>
      </w:r>
      <w:bookmarkEnd w:id="52"/>
      <w:r>
        <w:t xml:space="preserve">: </w:t>
      </w:r>
      <w:r w:rsidR="006E5053">
        <w:t>I</w:t>
      </w:r>
      <w:r>
        <w:t>dentified capabilities</w:t>
      </w:r>
      <w:r w:rsidR="006E5053">
        <w:t xml:space="preserve"> of Australian space firms</w:t>
      </w:r>
    </w:p>
    <w:tbl>
      <w:tblPr>
        <w:tblStyle w:val="ExhibitTable"/>
        <w:tblW w:w="0" w:type="auto"/>
        <w:tblLook w:val="04A0" w:firstRow="1" w:lastRow="0" w:firstColumn="1" w:lastColumn="0" w:noHBand="0" w:noVBand="1"/>
        <w:tblCaption w:val="Identified capabilities of Australian space firms"/>
        <w:tblDescription w:val="Lists the most common capabilities of Australian space firms listed in the Space Industry Association of Australia's database. Education and training, Thought leadership and advocacy, and Remote sensing and earth observation are the top three "/>
      </w:tblPr>
      <w:tblGrid>
        <w:gridCol w:w="13958"/>
      </w:tblGrid>
      <w:tr w:rsidR="00EF554C" w14:paraId="42E05AEA" w14:textId="77777777" w:rsidTr="0054118D">
        <w:trPr>
          <w:tblHeader/>
        </w:trPr>
        <w:tc>
          <w:tcPr>
            <w:tcW w:w="9016" w:type="dxa"/>
          </w:tcPr>
          <w:p w14:paraId="243C9301" w14:textId="1469E015" w:rsidR="00EF554C" w:rsidRDefault="000C549D" w:rsidP="00EF554C">
            <w:pPr>
              <w:spacing w:after="120"/>
              <w:rPr>
                <w:i/>
                <w:iCs/>
              </w:rPr>
            </w:pPr>
            <w:r>
              <w:rPr>
                <w:i/>
                <w:iCs/>
                <w:noProof/>
                <w:lang w:eastAsia="en-AU"/>
              </w:rPr>
              <w:drawing>
                <wp:inline distT="0" distB="0" distL="0" distR="0" wp14:anchorId="10556000" wp14:editId="22A66B1C">
                  <wp:extent cx="8772525" cy="3989953"/>
                  <wp:effectExtent l="0" t="0" r="0" b="0"/>
                  <wp:docPr id="235" name="Picture 235" descr="Lists the most common capabilities of Australian space firms listed in the Space Industry Association of Australia's database. Education and training, Thought leadership and advocacy, and Remote sensing and earth observation are the top three. These are followed by:&#10;Fundamental and applied research for space systems&#10;Scientific and engineering support&#10;Ground station network&#10;Suppliers of material and components&#10;Astronomy, and&#10;Logistics and program management " title="Identified capabilities of Australian space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10138" cy="4007060"/>
                          </a:xfrm>
                          <a:prstGeom prst="rect">
                            <a:avLst/>
                          </a:prstGeom>
                          <a:noFill/>
                        </pic:spPr>
                      </pic:pic>
                    </a:graphicData>
                  </a:graphic>
                </wp:inline>
              </w:drawing>
            </w:r>
          </w:p>
        </w:tc>
      </w:tr>
      <w:tr w:rsidR="004A3D4E" w14:paraId="154351B2" w14:textId="77777777" w:rsidTr="00EF554C">
        <w:tc>
          <w:tcPr>
            <w:tcW w:w="9016" w:type="dxa"/>
          </w:tcPr>
          <w:p w14:paraId="324A4D06" w14:textId="7CC91F04" w:rsidR="006A18EA" w:rsidRPr="00B95533" w:rsidRDefault="006A18EA" w:rsidP="00332308">
            <w:pPr>
              <w:spacing w:before="0" w:after="0"/>
              <w:rPr>
                <w:noProof/>
                <w:sz w:val="18"/>
                <w:szCs w:val="20"/>
                <w:lang w:val="en-US"/>
              </w:rPr>
            </w:pPr>
            <w:r w:rsidRPr="00B95533">
              <w:rPr>
                <w:noProof/>
                <w:sz w:val="18"/>
                <w:szCs w:val="20"/>
                <w:lang w:val="en-US"/>
              </w:rPr>
              <w:t>NOTE: The ‘Aviation’ category has been withheld due to data quality concerns. 1</w:t>
            </w:r>
            <w:r w:rsidR="001C5139" w:rsidRPr="00B95533">
              <w:rPr>
                <w:noProof/>
                <w:sz w:val="18"/>
                <w:szCs w:val="20"/>
                <w:lang w:val="en-US"/>
              </w:rPr>
              <w:t>:</w:t>
            </w:r>
            <w:r w:rsidRPr="00B95533">
              <w:rPr>
                <w:noProof/>
                <w:sz w:val="18"/>
                <w:szCs w:val="20"/>
                <w:lang w:val="en-US"/>
              </w:rPr>
              <w:t xml:space="preserve"> Organisations are able to self-select into the database so may only be tangentially involved in space. 2</w:t>
            </w:r>
            <w:r w:rsidR="001C5139" w:rsidRPr="00B95533">
              <w:rPr>
                <w:noProof/>
                <w:sz w:val="18"/>
                <w:szCs w:val="20"/>
                <w:lang w:val="en-US"/>
              </w:rPr>
              <w:t>:</w:t>
            </w:r>
            <w:r w:rsidRPr="00B95533">
              <w:rPr>
                <w:noProof/>
                <w:sz w:val="18"/>
                <w:szCs w:val="20"/>
                <w:lang w:val="en-US"/>
              </w:rPr>
              <w:t xml:space="preserve"> Large organisations as described by the firm. See Appendix for info</w:t>
            </w:r>
            <w:r w:rsidR="001C5139" w:rsidRPr="00B95533">
              <w:rPr>
                <w:noProof/>
                <w:sz w:val="18"/>
                <w:szCs w:val="20"/>
                <w:lang w:val="en-US"/>
              </w:rPr>
              <w:t>rmation</w:t>
            </w:r>
            <w:r w:rsidRPr="00B95533">
              <w:rPr>
                <w:noProof/>
                <w:sz w:val="18"/>
                <w:szCs w:val="20"/>
                <w:lang w:val="en-US"/>
              </w:rPr>
              <w:t xml:space="preserve"> on how firms were selected.</w:t>
            </w:r>
          </w:p>
          <w:p w14:paraId="312FE3CF" w14:textId="7711E3E6" w:rsidR="004A3D4E" w:rsidRPr="00CE76E1" w:rsidRDefault="006A18EA" w:rsidP="00332308">
            <w:pPr>
              <w:spacing w:before="0" w:after="0"/>
              <w:rPr>
                <w:i/>
                <w:iCs/>
              </w:rPr>
            </w:pPr>
            <w:r w:rsidRPr="00B95533">
              <w:rPr>
                <w:noProof/>
                <w:sz w:val="18"/>
                <w:szCs w:val="20"/>
                <w:lang w:val="en-US"/>
              </w:rPr>
              <w:t>SOURCE:</w:t>
            </w:r>
            <w:r w:rsidR="00A91B80" w:rsidRPr="00B95533">
              <w:rPr>
                <w:noProof/>
                <w:sz w:val="18"/>
                <w:szCs w:val="20"/>
                <w:lang w:val="en-US"/>
              </w:rPr>
              <w:t xml:space="preserve"> Space Industry Association of Australia</w:t>
            </w:r>
            <w:r w:rsidRPr="00B95533">
              <w:rPr>
                <w:noProof/>
                <w:sz w:val="18"/>
                <w:szCs w:val="20"/>
                <w:lang w:val="en-US"/>
              </w:rPr>
              <w:t xml:space="preserve"> </w:t>
            </w:r>
            <w:r w:rsidR="00A91B80" w:rsidRPr="00B95533">
              <w:rPr>
                <w:noProof/>
                <w:sz w:val="18"/>
                <w:szCs w:val="20"/>
                <w:lang w:val="en-US"/>
              </w:rPr>
              <w:t>(</w:t>
            </w:r>
            <w:r w:rsidRPr="00B95533">
              <w:rPr>
                <w:noProof/>
                <w:sz w:val="18"/>
                <w:szCs w:val="20"/>
                <w:lang w:val="en-US"/>
              </w:rPr>
              <w:t>SIAA</w:t>
            </w:r>
            <w:r w:rsidR="00A91B80" w:rsidRPr="00B95533">
              <w:rPr>
                <w:noProof/>
                <w:sz w:val="18"/>
                <w:szCs w:val="20"/>
                <w:lang w:val="en-US"/>
              </w:rPr>
              <w:t>)</w:t>
            </w:r>
            <w:r w:rsidRPr="00B95533">
              <w:rPr>
                <w:noProof/>
                <w:sz w:val="18"/>
                <w:szCs w:val="20"/>
                <w:lang w:val="en-US"/>
              </w:rPr>
              <w:t xml:space="preserve"> (2020), AlphaBeta space firm database</w:t>
            </w:r>
          </w:p>
        </w:tc>
      </w:tr>
    </w:tbl>
    <w:p w14:paraId="2B96158F" w14:textId="77777777" w:rsidR="0031392A" w:rsidRDefault="0031392A" w:rsidP="00D931FF">
      <w:pPr>
        <w:spacing w:after="120" w:line="240" w:lineRule="auto"/>
        <w:sectPr w:rsidR="0031392A" w:rsidSect="007E7A00">
          <w:pgSz w:w="16838" w:h="11906" w:orient="landscape"/>
          <w:pgMar w:top="1440" w:right="1440" w:bottom="1440" w:left="1440" w:header="708" w:footer="708" w:gutter="0"/>
          <w:cols w:space="708"/>
          <w:docGrid w:linePitch="360"/>
        </w:sectPr>
      </w:pPr>
    </w:p>
    <w:p w14:paraId="58287E5C" w14:textId="637E320D" w:rsidR="00A509D1" w:rsidRPr="00D931FF" w:rsidRDefault="00A509D1" w:rsidP="00BE78BF">
      <w:pPr>
        <w:pStyle w:val="Heading3"/>
      </w:pPr>
      <w:bookmarkStart w:id="53" w:name="_Toc46321689"/>
      <w:bookmarkStart w:id="54" w:name="_Toc49366195"/>
      <w:r>
        <w:lastRenderedPageBreak/>
        <w:t xml:space="preserve">The private sector accounts for </w:t>
      </w:r>
      <w:r w:rsidR="002828EF">
        <w:t>approx</w:t>
      </w:r>
      <w:r w:rsidR="00677F14">
        <w:t>imately</w:t>
      </w:r>
      <w:r w:rsidR="002828EF">
        <w:t xml:space="preserve"> </w:t>
      </w:r>
      <w:r w:rsidR="007251BD">
        <w:t>76</w:t>
      </w:r>
      <w:r w:rsidR="00107A7D">
        <w:t xml:space="preserve"> per cent </w:t>
      </w:r>
      <w:r>
        <w:t xml:space="preserve">of space </w:t>
      </w:r>
      <w:r w:rsidR="00C61EC2">
        <w:t>investment</w:t>
      </w:r>
      <w:r>
        <w:t xml:space="preserve">, </w:t>
      </w:r>
      <w:bookmarkEnd w:id="53"/>
      <w:r w:rsidR="00994A50">
        <w:t>and</w:t>
      </w:r>
      <w:r w:rsidR="00D21788">
        <w:t xml:space="preserve"> is growing quickly</w:t>
      </w:r>
      <w:bookmarkEnd w:id="54"/>
    </w:p>
    <w:p w14:paraId="248483A3" w14:textId="04ECE142" w:rsidR="00CB19F5" w:rsidRPr="00FA62A9" w:rsidRDefault="00CB19F5" w:rsidP="00CB19F5">
      <w:pPr>
        <w:spacing w:after="120" w:line="240" w:lineRule="auto"/>
      </w:pPr>
      <w:r>
        <w:t>Private investment accounted</w:t>
      </w:r>
      <w:r w:rsidR="00260D49" w:rsidRPr="00260D49">
        <w:t xml:space="preserve"> </w:t>
      </w:r>
      <w:r w:rsidR="00260D49">
        <w:t>for 76 per cent of the global space economy in 2016,</w:t>
      </w:r>
      <w:r w:rsidR="00260D49" w:rsidRPr="005569CE">
        <w:t xml:space="preserve"> </w:t>
      </w:r>
      <w:r w:rsidR="00260D49" w:rsidRPr="003F0F86">
        <w:t>concentrated</w:t>
      </w:r>
      <w:r w:rsidR="00260D49">
        <w:t xml:space="preserve"> </w:t>
      </w:r>
      <w:r w:rsidRPr="003F0F86">
        <w:t>in satellite services, which includes television transmission, consumer navigational equipment, and GPS services</w:t>
      </w:r>
      <w:r>
        <w:t>.</w:t>
      </w:r>
      <w:r>
        <w:rPr>
          <w:rStyle w:val="FootnoteReference"/>
        </w:rPr>
        <w:footnoteReference w:id="16"/>
      </w:r>
      <w:r>
        <w:t xml:space="preserve"> Government space and defence programs make up the remaining quarter.</w:t>
      </w:r>
      <w:r w:rsidR="00FF1D1C">
        <w:t xml:space="preserve"> </w:t>
      </w:r>
      <w:r w:rsidR="000A6C51">
        <w:t>A</w:t>
      </w:r>
      <w:r w:rsidR="00FF1D1C">
        <w:t>ngel investment and venture capital funding tends to focus on applications develop</w:t>
      </w:r>
      <w:r w:rsidR="000A6C51">
        <w:t xml:space="preserve">ment, </w:t>
      </w:r>
      <w:r w:rsidR="00FF1D1C">
        <w:t>includ</w:t>
      </w:r>
      <w:r w:rsidR="000A6C51">
        <w:t>ing</w:t>
      </w:r>
      <w:r w:rsidR="00FF1D1C">
        <w:t xml:space="preserve"> on-demand ride sharing and food delivery platforms</w:t>
      </w:r>
      <w:r w:rsidR="00074057">
        <w:t xml:space="preserve"> which rely on satellite-supported navigation and positioning technology</w:t>
      </w:r>
      <w:r w:rsidR="00FF1D1C">
        <w:t>.</w:t>
      </w:r>
      <w:r w:rsidR="000A6C51">
        <w:rPr>
          <w:rStyle w:val="FootnoteReference"/>
        </w:rPr>
        <w:footnoteReference w:id="17"/>
      </w:r>
      <w:r w:rsidR="00FF1D1C">
        <w:t xml:space="preserve"> </w:t>
      </w:r>
    </w:p>
    <w:p w14:paraId="0ABAD37E" w14:textId="05CD642E" w:rsidR="000953B4" w:rsidRDefault="00EC593E" w:rsidP="005739D6">
      <w:pPr>
        <w:spacing w:after="120" w:line="240" w:lineRule="auto"/>
      </w:pPr>
      <w:r w:rsidRPr="00AE786A">
        <w:t>The</w:t>
      </w:r>
      <w:r w:rsidR="001D3E1F">
        <w:t xml:space="preserve"> OECD</w:t>
      </w:r>
      <w:r w:rsidRPr="00AE786A">
        <w:t xml:space="preserve"> average public </w:t>
      </w:r>
      <w:r w:rsidRPr="00A31A15">
        <w:t>inv</w:t>
      </w:r>
      <w:r w:rsidRPr="004D1693">
        <w:t>estment</w:t>
      </w:r>
      <w:r w:rsidR="00725B8E" w:rsidRPr="00F74683">
        <w:t xml:space="preserve"> </w:t>
      </w:r>
      <w:r w:rsidR="00E57461" w:rsidRPr="00F74683">
        <w:t xml:space="preserve">into space programs </w:t>
      </w:r>
      <w:r w:rsidR="00EE48E7" w:rsidRPr="00F74683">
        <w:t>was app</w:t>
      </w:r>
      <w:r w:rsidR="00EE48E7" w:rsidRPr="00FA62A9">
        <w:t xml:space="preserve">roximately </w:t>
      </w:r>
      <w:r w:rsidR="00725B8E" w:rsidRPr="00FA62A9">
        <w:t>US$1.53 billion</w:t>
      </w:r>
      <w:r w:rsidR="00E121B0" w:rsidRPr="00FA62A9">
        <w:t xml:space="preserve"> </w:t>
      </w:r>
      <w:r w:rsidR="00725B8E" w:rsidRPr="00841C33">
        <w:t>in 2017</w:t>
      </w:r>
      <w:r w:rsidR="00E121B0" w:rsidRPr="0070314F">
        <w:t>.</w:t>
      </w:r>
      <w:r w:rsidR="00E121B0" w:rsidRPr="00841C33">
        <w:rPr>
          <w:rStyle w:val="FootnoteReference"/>
        </w:rPr>
        <w:footnoteReference w:id="18"/>
      </w:r>
      <w:r w:rsidR="00835090" w:rsidRPr="00841C33">
        <w:t xml:space="preserve"> </w:t>
      </w:r>
      <w:r w:rsidR="001D2D6E">
        <w:t xml:space="preserve">There is a vast difference in the </w:t>
      </w:r>
      <w:r w:rsidR="000F388D">
        <w:t xml:space="preserve">proportion of spending invested by different governments. The majority of countries spend less than 0.05 per cent of GDP on space. </w:t>
      </w:r>
      <w:r w:rsidR="00AC4327" w:rsidRPr="00FA62A9">
        <w:t xml:space="preserve">Australia </w:t>
      </w:r>
      <w:r w:rsidR="000F388D">
        <w:t xml:space="preserve">is growing its public investment, </w:t>
      </w:r>
      <w:r w:rsidR="00AC4327" w:rsidRPr="00FA62A9">
        <w:t>committ</w:t>
      </w:r>
      <w:r w:rsidR="000F388D">
        <w:t>ing</w:t>
      </w:r>
      <w:r w:rsidR="00AC4327" w:rsidRPr="00FA62A9">
        <w:t xml:space="preserve"> </w:t>
      </w:r>
      <w:r w:rsidR="00E46C1E" w:rsidRPr="00FA62A9">
        <w:t>A</w:t>
      </w:r>
      <w:r w:rsidR="00AC4327" w:rsidRPr="00FA62A9">
        <w:t xml:space="preserve">$300 million </w:t>
      </w:r>
      <w:r w:rsidR="005F534D" w:rsidRPr="00FA62A9">
        <w:t>for</w:t>
      </w:r>
      <w:r w:rsidR="00AC4327" w:rsidRPr="00FA62A9">
        <w:t xml:space="preserve"> space-related </w:t>
      </w:r>
      <w:r w:rsidR="005F534D" w:rsidRPr="00FA62A9">
        <w:t>spending</w:t>
      </w:r>
      <w:r w:rsidR="00AC4327" w:rsidRPr="00FA62A9">
        <w:t xml:space="preserve"> in the 2018-19 </w:t>
      </w:r>
      <w:r w:rsidR="005F534D" w:rsidRPr="00FA62A9">
        <w:t>Budget</w:t>
      </w:r>
      <w:r w:rsidR="00C61EC2">
        <w:t xml:space="preserve">, which is equivalent to </w:t>
      </w:r>
      <w:r w:rsidR="00AA748C" w:rsidRPr="00FA62A9">
        <w:t>0.02</w:t>
      </w:r>
      <w:r w:rsidR="00426A2E" w:rsidRPr="00FA62A9">
        <w:t xml:space="preserve"> per cent</w:t>
      </w:r>
      <w:r w:rsidR="005F534D" w:rsidRPr="00FA62A9">
        <w:t xml:space="preserve"> of GDP.</w:t>
      </w:r>
      <w:r w:rsidR="00AA748C" w:rsidRPr="00841C33">
        <w:rPr>
          <w:rStyle w:val="FootnoteReference"/>
        </w:rPr>
        <w:footnoteReference w:id="19"/>
      </w:r>
      <w:r w:rsidR="00985A7D" w:rsidRPr="00FA62A9">
        <w:t xml:space="preserve"> </w:t>
      </w:r>
      <w:r w:rsidR="000F388D">
        <w:t>Only</w:t>
      </w:r>
      <w:r w:rsidR="000F388D" w:rsidRPr="0070314F">
        <w:t xml:space="preserve"> three </w:t>
      </w:r>
      <w:r w:rsidR="000F388D">
        <w:t xml:space="preserve">OECD </w:t>
      </w:r>
      <w:r w:rsidR="000F388D" w:rsidRPr="0070314F">
        <w:t xml:space="preserve">countries </w:t>
      </w:r>
      <w:r w:rsidR="000F388D" w:rsidRPr="00FD55D7">
        <w:t>spen</w:t>
      </w:r>
      <w:r w:rsidR="000F388D" w:rsidRPr="00FA62A9">
        <w:t>d more than 0.1 per cent of GDP on space programs: the US, Russia,</w:t>
      </w:r>
      <w:r w:rsidR="000F388D" w:rsidRPr="00841C33">
        <w:t xml:space="preserve"> and</w:t>
      </w:r>
      <w:r w:rsidR="000F388D" w:rsidRPr="0070314F">
        <w:t xml:space="preserve"> France.</w:t>
      </w:r>
      <w:r w:rsidR="000F388D">
        <w:t xml:space="preserve"> The </w:t>
      </w:r>
      <w:r w:rsidR="000F388D" w:rsidRPr="00FD55D7">
        <w:t xml:space="preserve">US </w:t>
      </w:r>
      <w:r w:rsidR="000F388D">
        <w:t xml:space="preserve">is the largest public investor in space, with US Government spend </w:t>
      </w:r>
      <w:r w:rsidR="000F388D" w:rsidRPr="00FA62A9">
        <w:t>on space-related activities</w:t>
      </w:r>
      <w:r w:rsidR="000F388D">
        <w:t xml:space="preserve"> equivalent to</w:t>
      </w:r>
      <w:r w:rsidR="000F388D" w:rsidRPr="00841C33">
        <w:t xml:space="preserve"> </w:t>
      </w:r>
      <w:r w:rsidR="000F388D" w:rsidRPr="0070314F">
        <w:t>approximately 0.24</w:t>
      </w:r>
      <w:r w:rsidR="000F388D" w:rsidRPr="00FA62A9">
        <w:t xml:space="preserve"> per cent of its </w:t>
      </w:r>
      <w:r w:rsidR="000F388D" w:rsidRPr="00841C33">
        <w:t>GDP.</w:t>
      </w:r>
      <w:r w:rsidR="000F388D" w:rsidRPr="00FA62A9">
        <w:t xml:space="preserve"> </w:t>
      </w:r>
    </w:p>
    <w:p w14:paraId="23C6F094" w14:textId="1A2D7C8A" w:rsidR="00375F4E" w:rsidRDefault="00947FC6" w:rsidP="001D5900">
      <w:pPr>
        <w:spacing w:after="120" w:line="240" w:lineRule="auto"/>
      </w:pPr>
      <w:r w:rsidRPr="001D5900">
        <w:t>Both private and public investment in the</w:t>
      </w:r>
      <w:r w:rsidR="00353983" w:rsidRPr="001D5900">
        <w:t xml:space="preserve"> global space sector is growing quickly. </w:t>
      </w:r>
      <w:r w:rsidRPr="001D5900">
        <w:t xml:space="preserve">The sector </w:t>
      </w:r>
      <w:r w:rsidR="00733FB3" w:rsidRPr="001D5900">
        <w:t xml:space="preserve">was </w:t>
      </w:r>
      <w:r w:rsidR="00353983" w:rsidRPr="001D5900">
        <w:t xml:space="preserve">worth </w:t>
      </w:r>
      <w:r w:rsidR="00A86431" w:rsidRPr="001D5900">
        <w:t>US</w:t>
      </w:r>
      <w:r w:rsidR="00353983" w:rsidRPr="001D5900">
        <w:t>$</w:t>
      </w:r>
      <w:r w:rsidR="005D5E96" w:rsidRPr="001D5900">
        <w:t>3</w:t>
      </w:r>
      <w:r w:rsidR="005D5E96">
        <w:t>66</w:t>
      </w:r>
      <w:r w:rsidR="005D5E96" w:rsidRPr="001D5900">
        <w:t xml:space="preserve"> </w:t>
      </w:r>
      <w:r w:rsidR="00353983" w:rsidRPr="001D5900">
        <w:t>billion</w:t>
      </w:r>
      <w:r w:rsidR="00733FB3" w:rsidRPr="001D5900">
        <w:t xml:space="preserve"> in 2019, up from </w:t>
      </w:r>
      <w:r w:rsidR="00A86431" w:rsidRPr="001D5900">
        <w:t>US</w:t>
      </w:r>
      <w:r w:rsidR="00733FB3" w:rsidRPr="001D5900">
        <w:t>$</w:t>
      </w:r>
      <w:r w:rsidR="005D5E96">
        <w:t>345</w:t>
      </w:r>
      <w:r w:rsidR="00733FB3" w:rsidRPr="001D5900">
        <w:t xml:space="preserve"> billion in 201</w:t>
      </w:r>
      <w:r w:rsidR="005D5E96">
        <w:t>6</w:t>
      </w:r>
      <w:r w:rsidR="005D5E96">
        <w:rPr>
          <w:rStyle w:val="FootnoteReference"/>
        </w:rPr>
        <w:footnoteReference w:id="20"/>
      </w:r>
      <w:r w:rsidR="00733FB3" w:rsidRPr="001D5900">
        <w:t xml:space="preserve">. </w:t>
      </w:r>
      <w:r w:rsidR="00BD4A75">
        <w:t xml:space="preserve">Analysis </w:t>
      </w:r>
      <w:r w:rsidR="00523DA4">
        <w:t>undertaken</w:t>
      </w:r>
      <w:r w:rsidR="00BD4A75" w:rsidRPr="001D5900">
        <w:t xml:space="preserve"> </w:t>
      </w:r>
      <w:r w:rsidR="002D0E49" w:rsidRPr="001D5900">
        <w:t>before the COVID-19 pandemic estimated that b</w:t>
      </w:r>
      <w:r w:rsidR="003F0F86" w:rsidRPr="001D5900">
        <w:t>y 2040, t</w:t>
      </w:r>
      <w:r w:rsidR="00A60696" w:rsidRPr="001D5900">
        <w:t>he</w:t>
      </w:r>
      <w:r w:rsidR="0096042D" w:rsidRPr="001D5900">
        <w:t xml:space="preserve"> global</w:t>
      </w:r>
      <w:r w:rsidR="00A60696" w:rsidRPr="001D5900">
        <w:t xml:space="preserve"> sector is predicted to </w:t>
      </w:r>
      <w:r w:rsidR="003F0F86" w:rsidRPr="001D5900">
        <w:t>be worth US$1.1 trillion</w:t>
      </w:r>
      <w:r w:rsidR="00AC17AD" w:rsidRPr="001D5900">
        <w:t xml:space="preserve"> </w:t>
      </w:r>
      <w:r w:rsidR="00AC17AD" w:rsidRPr="001D5900">
        <w:rPr>
          <w:b/>
          <w:bCs/>
        </w:rPr>
        <w:t>(</w:t>
      </w:r>
      <w:r w:rsidR="00AC17AD" w:rsidRPr="001D5900">
        <w:rPr>
          <w:b/>
          <w:bCs/>
        </w:rPr>
        <w:fldChar w:fldCharType="begin"/>
      </w:r>
      <w:r w:rsidR="00AC17AD" w:rsidRPr="001D5900">
        <w:rPr>
          <w:b/>
          <w:bCs/>
        </w:rPr>
        <w:instrText xml:space="preserve"> REF _Ref46310767 \h  \* MERGEFORMAT </w:instrText>
      </w:r>
      <w:r w:rsidR="00AC17AD" w:rsidRPr="001D5900">
        <w:rPr>
          <w:b/>
          <w:bCs/>
        </w:rPr>
      </w:r>
      <w:r w:rsidR="00AC17AD" w:rsidRPr="001D5900">
        <w:rPr>
          <w:b/>
          <w:bCs/>
        </w:rPr>
        <w:fldChar w:fldCharType="separate"/>
      </w:r>
      <w:r w:rsidR="007040B4" w:rsidRPr="007040B4">
        <w:rPr>
          <w:b/>
          <w:bCs/>
        </w:rPr>
        <w:t xml:space="preserve">Exhibit </w:t>
      </w:r>
      <w:r w:rsidR="007040B4" w:rsidRPr="007040B4">
        <w:rPr>
          <w:b/>
          <w:bCs/>
          <w:noProof/>
        </w:rPr>
        <w:t>3</w:t>
      </w:r>
      <w:r w:rsidR="00AC17AD" w:rsidRPr="001D5900">
        <w:rPr>
          <w:b/>
          <w:bCs/>
        </w:rPr>
        <w:fldChar w:fldCharType="end"/>
      </w:r>
      <w:r w:rsidR="00AC17AD" w:rsidRPr="001D5900">
        <w:rPr>
          <w:b/>
          <w:bCs/>
        </w:rPr>
        <w:t>)</w:t>
      </w:r>
      <w:r w:rsidR="003F0F86" w:rsidRPr="001D5900">
        <w:t>.</w:t>
      </w:r>
      <w:r w:rsidR="002D0E49" w:rsidRPr="001D5900">
        <w:t xml:space="preserve"> The </w:t>
      </w:r>
      <w:r w:rsidR="003A6CE6" w:rsidRPr="001D5900">
        <w:t xml:space="preserve">economic impacts from the </w:t>
      </w:r>
      <w:r w:rsidR="002D0E49" w:rsidRPr="001D5900">
        <w:t>COVID</w:t>
      </w:r>
      <w:r w:rsidR="003514E5" w:rsidRPr="001D5900">
        <w:t xml:space="preserve">-19 </w:t>
      </w:r>
      <w:r w:rsidR="003A6CE6" w:rsidRPr="001D5900">
        <w:t xml:space="preserve">pandemic </w:t>
      </w:r>
      <w:r w:rsidR="00E94FF6" w:rsidRPr="001D5900">
        <w:t>may hamper growth.</w:t>
      </w:r>
      <w:r w:rsidR="00FE36A7" w:rsidRPr="001D5900">
        <w:t xml:space="preserve"> </w:t>
      </w:r>
      <w:r w:rsidR="00F76FEE" w:rsidRPr="001D5900">
        <w:t xml:space="preserve">As described above, </w:t>
      </w:r>
      <w:r w:rsidR="003B0321" w:rsidRPr="001D5900">
        <w:t xml:space="preserve">approximately a quarter of global </w:t>
      </w:r>
      <w:r w:rsidR="008A6BCA" w:rsidRPr="001D5900">
        <w:t xml:space="preserve">space sector is </w:t>
      </w:r>
      <w:r w:rsidR="003B0321" w:rsidRPr="001D5900">
        <w:t xml:space="preserve">from government. As public finances tighten, reductions in public space </w:t>
      </w:r>
      <w:r w:rsidR="008D58AD" w:rsidRPr="001D5900">
        <w:t xml:space="preserve">programs will impact sector growth. </w:t>
      </w:r>
      <w:r w:rsidR="00E94FF6" w:rsidRPr="001D5900">
        <w:t xml:space="preserve">The OECD expects </w:t>
      </w:r>
      <w:r w:rsidR="001D7A89" w:rsidRPr="001D5900">
        <w:t xml:space="preserve">space </w:t>
      </w:r>
      <w:r w:rsidR="00E94FF6" w:rsidRPr="001D5900">
        <w:t xml:space="preserve">SMEs </w:t>
      </w:r>
      <w:r w:rsidR="001D7A89" w:rsidRPr="001D5900">
        <w:t xml:space="preserve">to be more exposed to market downturns, potentially leading to greater industry concentration. The OECD recognises SMEs to be important drivers of growth and innovation in the sector and </w:t>
      </w:r>
      <w:r w:rsidR="00B93F1C" w:rsidRPr="001D5900">
        <w:t>have urged governments to consider the impact of funding changes on SMEs.</w:t>
      </w:r>
      <w:r w:rsidR="00B93F1C" w:rsidRPr="001D5900">
        <w:rPr>
          <w:rStyle w:val="FootnoteReference"/>
        </w:rPr>
        <w:footnoteReference w:id="21"/>
      </w:r>
      <w:r w:rsidR="00B93F1C">
        <w:t xml:space="preserve"> </w:t>
      </w:r>
    </w:p>
    <w:p w14:paraId="41512EAA" w14:textId="77777777" w:rsidR="00375F4E" w:rsidRDefault="00375F4E">
      <w:pPr>
        <w:spacing w:before="0" w:after="160"/>
        <w:jc w:val="left"/>
      </w:pPr>
      <w:r>
        <w:br w:type="page"/>
      </w:r>
    </w:p>
    <w:p w14:paraId="6E26E948" w14:textId="22023766" w:rsidR="00AC17AD" w:rsidRDefault="00AC17AD" w:rsidP="00FA62A9">
      <w:pPr>
        <w:pStyle w:val="Caption"/>
        <w:keepNext/>
      </w:pPr>
      <w:bookmarkStart w:id="55" w:name="_Ref46310767"/>
      <w:r>
        <w:lastRenderedPageBreak/>
        <w:t xml:space="preserve">Exhibit </w:t>
      </w:r>
      <w:r w:rsidR="00A91B80">
        <w:rPr>
          <w:noProof/>
        </w:rPr>
        <w:fldChar w:fldCharType="begin"/>
      </w:r>
      <w:r w:rsidR="00A91B80">
        <w:rPr>
          <w:noProof/>
        </w:rPr>
        <w:instrText xml:space="preserve"> SEQ Exhibit \* ARABIC </w:instrText>
      </w:r>
      <w:r w:rsidR="00A91B80">
        <w:rPr>
          <w:noProof/>
        </w:rPr>
        <w:fldChar w:fldCharType="separate"/>
      </w:r>
      <w:r w:rsidR="007040B4">
        <w:rPr>
          <w:noProof/>
        </w:rPr>
        <w:t>3</w:t>
      </w:r>
      <w:r w:rsidR="00A91B80">
        <w:rPr>
          <w:noProof/>
        </w:rPr>
        <w:fldChar w:fldCharType="end"/>
      </w:r>
      <w:bookmarkEnd w:id="55"/>
      <w:r>
        <w:t xml:space="preserve">: </w:t>
      </w:r>
      <w:r w:rsidR="00110274">
        <w:t>Estimated g</w:t>
      </w:r>
      <w:r>
        <w:t xml:space="preserve">lobal space sector growth </w:t>
      </w:r>
      <w:r w:rsidR="00110274">
        <w:t xml:space="preserve">to </w:t>
      </w:r>
      <w:r>
        <w:t>2040</w:t>
      </w:r>
    </w:p>
    <w:tbl>
      <w:tblPr>
        <w:tblStyle w:val="ExhibitTable"/>
        <w:tblW w:w="0" w:type="auto"/>
        <w:tblLook w:val="04A0" w:firstRow="1" w:lastRow="0" w:firstColumn="1" w:lastColumn="0" w:noHBand="0" w:noVBand="1"/>
        <w:tblCaption w:val="Estimated global space sector growth to 2040"/>
        <w:tblDescription w:val="Visualises the trajectory of global space economy revenue from 2015 to 2040. 2018 estimates for global space sector turnover is about US$414 billion."/>
      </w:tblPr>
      <w:tblGrid>
        <w:gridCol w:w="9026"/>
      </w:tblGrid>
      <w:tr w:rsidR="00AC17AD" w14:paraId="04649B2E" w14:textId="77777777" w:rsidTr="0054118D">
        <w:trPr>
          <w:tblHeader/>
        </w:trPr>
        <w:tc>
          <w:tcPr>
            <w:tcW w:w="9016" w:type="dxa"/>
          </w:tcPr>
          <w:p w14:paraId="65D05548" w14:textId="19B488E4" w:rsidR="00AC17AD" w:rsidRDefault="00C6648B" w:rsidP="00523172">
            <w:pPr>
              <w:spacing w:after="120"/>
            </w:pPr>
            <w:r>
              <w:rPr>
                <w:noProof/>
                <w:lang w:eastAsia="en-AU"/>
              </w:rPr>
              <w:drawing>
                <wp:inline distT="0" distB="0" distL="0" distR="0" wp14:anchorId="37752941" wp14:editId="3CB641B8">
                  <wp:extent cx="5703570" cy="2800296"/>
                  <wp:effectExtent l="0" t="0" r="0" b="0"/>
                  <wp:docPr id="236" name="Picture 236" descr="Visualises the trajectory of global space economy revenue from 2015 to 2040. 2018 estimates for global space sector turnover is about US$414 billion." title="Estimated global space sector growth to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5149" cy="2835439"/>
                          </a:xfrm>
                          <a:prstGeom prst="rect">
                            <a:avLst/>
                          </a:prstGeom>
                          <a:noFill/>
                        </pic:spPr>
                      </pic:pic>
                    </a:graphicData>
                  </a:graphic>
                </wp:inline>
              </w:drawing>
            </w:r>
          </w:p>
        </w:tc>
      </w:tr>
      <w:tr w:rsidR="00A02AA6" w14:paraId="0E3ABC0F" w14:textId="77777777" w:rsidTr="00FA62A9">
        <w:tc>
          <w:tcPr>
            <w:tcW w:w="9016" w:type="dxa"/>
          </w:tcPr>
          <w:p w14:paraId="26007A8F" w14:textId="59A48429" w:rsidR="00A02AA6" w:rsidRPr="00C6648B" w:rsidRDefault="00A02AA6" w:rsidP="00A02AA6">
            <w:pPr>
              <w:pStyle w:val="ExhibitFootnote"/>
              <w:rPr>
                <w:color w:val="auto"/>
                <w:lang w:eastAsia="en-AU"/>
              </w:rPr>
            </w:pPr>
            <w:r w:rsidRPr="00C6648B">
              <w:rPr>
                <w:color w:val="auto"/>
                <w:lang w:eastAsia="en-AU"/>
              </w:rPr>
              <w:t>Notes: 2018 estimates for global space sector turnover is about US</w:t>
            </w:r>
            <w:r w:rsidR="00CA5DA7" w:rsidRPr="00C6648B">
              <w:rPr>
                <w:color w:val="auto"/>
                <w:lang w:eastAsia="en-AU"/>
              </w:rPr>
              <w:t>$</w:t>
            </w:r>
            <w:r w:rsidRPr="00C6648B">
              <w:rPr>
                <w:color w:val="auto"/>
                <w:lang w:eastAsia="en-AU"/>
              </w:rPr>
              <w:t>414 billion</w:t>
            </w:r>
            <w:r w:rsidR="00415C0C" w:rsidRPr="00C6648B">
              <w:rPr>
                <w:color w:val="auto"/>
                <w:lang w:eastAsia="en-AU"/>
              </w:rPr>
              <w:t>.</w:t>
            </w:r>
          </w:p>
          <w:p w14:paraId="557F4303" w14:textId="73BD64D0" w:rsidR="00A02AA6" w:rsidRDefault="00A02AA6" w:rsidP="00A02AA6">
            <w:pPr>
              <w:pStyle w:val="ExhibitFootnote"/>
              <w:rPr>
                <w:lang w:eastAsia="en-AU"/>
              </w:rPr>
            </w:pPr>
            <w:r w:rsidRPr="00C6648B">
              <w:rPr>
                <w:color w:val="auto"/>
                <w:lang w:eastAsia="en-AU"/>
              </w:rPr>
              <w:t>Source</w:t>
            </w:r>
            <w:r w:rsidR="00415C0C" w:rsidRPr="00C6648B">
              <w:rPr>
                <w:color w:val="auto"/>
                <w:lang w:eastAsia="en-AU"/>
              </w:rPr>
              <w:t>s</w:t>
            </w:r>
            <w:r w:rsidRPr="00C6648B">
              <w:rPr>
                <w:color w:val="auto"/>
                <w:lang w:eastAsia="en-AU"/>
              </w:rPr>
              <w:t>: Statista 2020</w:t>
            </w:r>
            <w:r w:rsidR="00415C0C" w:rsidRPr="00C6648B">
              <w:rPr>
                <w:color w:val="auto"/>
                <w:lang w:eastAsia="en-AU"/>
              </w:rPr>
              <w:t>;</w:t>
            </w:r>
            <w:r w:rsidRPr="00C6648B">
              <w:rPr>
                <w:color w:val="auto"/>
                <w:lang w:eastAsia="en-AU"/>
              </w:rPr>
              <w:t xml:space="preserve"> Morgan Stanley</w:t>
            </w:r>
            <w:r w:rsidR="00415C0C" w:rsidRPr="00C6648B">
              <w:rPr>
                <w:color w:val="auto"/>
                <w:lang w:eastAsia="en-AU"/>
              </w:rPr>
              <w:t>;</w:t>
            </w:r>
            <w:r w:rsidRPr="00C6648B">
              <w:rPr>
                <w:color w:val="auto"/>
                <w:lang w:eastAsia="en-AU"/>
              </w:rPr>
              <w:t xml:space="preserve"> Haver Analytics</w:t>
            </w:r>
            <w:r w:rsidR="00415C0C" w:rsidRPr="00C6648B">
              <w:rPr>
                <w:color w:val="auto"/>
                <w:lang w:eastAsia="en-AU"/>
              </w:rPr>
              <w:t>.</w:t>
            </w:r>
          </w:p>
        </w:tc>
      </w:tr>
    </w:tbl>
    <w:p w14:paraId="22A1D608" w14:textId="4E8881A1" w:rsidR="00295AA7" w:rsidRDefault="00EB1A85" w:rsidP="00BE78BF">
      <w:pPr>
        <w:pStyle w:val="Heading2"/>
      </w:pPr>
      <w:bookmarkStart w:id="56" w:name="_Toc46321690"/>
      <w:bookmarkStart w:id="57" w:name="_Toc46321223"/>
      <w:bookmarkStart w:id="58" w:name="_Toc46323323"/>
      <w:bookmarkStart w:id="59" w:name="_Toc46321691"/>
      <w:bookmarkStart w:id="60" w:name="_Toc46321224"/>
      <w:bookmarkStart w:id="61" w:name="_Toc46323324"/>
      <w:bookmarkStart w:id="62" w:name="_Toc46321694"/>
      <w:bookmarkStart w:id="63" w:name="_Toc46321227"/>
      <w:bookmarkStart w:id="64" w:name="_Toc46323327"/>
      <w:bookmarkStart w:id="65" w:name="_Toc46321695"/>
      <w:bookmarkStart w:id="66" w:name="_Toc49366196"/>
      <w:bookmarkStart w:id="67" w:name="_Toc62719131"/>
      <w:bookmarkEnd w:id="56"/>
      <w:bookmarkEnd w:id="57"/>
      <w:bookmarkEnd w:id="58"/>
      <w:bookmarkEnd w:id="59"/>
      <w:bookmarkEnd w:id="60"/>
      <w:bookmarkEnd w:id="61"/>
      <w:bookmarkEnd w:id="62"/>
      <w:bookmarkEnd w:id="63"/>
      <w:bookmarkEnd w:id="64"/>
      <w:r>
        <w:t xml:space="preserve">The space sector will create </w:t>
      </w:r>
      <w:r w:rsidRPr="007D7659">
        <w:t>new</w:t>
      </w:r>
      <w:r>
        <w:t xml:space="preserve"> jobs and economic benefits as it grows</w:t>
      </w:r>
      <w:bookmarkEnd w:id="65"/>
      <w:bookmarkEnd w:id="66"/>
      <w:bookmarkEnd w:id="67"/>
    </w:p>
    <w:p w14:paraId="359CABBA" w14:textId="0174F259" w:rsidR="00313D81" w:rsidRDefault="00313D81" w:rsidP="00313D81">
      <w:pPr>
        <w:spacing w:after="120" w:line="240" w:lineRule="auto"/>
      </w:pPr>
      <w:r>
        <w:t xml:space="preserve">Governments around the world have recognised the opportunity space presents to drive innovation within their economies, boost growth, and provide a source of </w:t>
      </w:r>
      <w:r w:rsidR="00EA2001">
        <w:t>high-</w:t>
      </w:r>
      <w:r w:rsidR="003B55BF">
        <w:t>skilled</w:t>
      </w:r>
      <w:r w:rsidR="00EA2001">
        <w:t xml:space="preserve"> </w:t>
      </w:r>
      <w:r>
        <w:t xml:space="preserve">employment. To enable this, many of Australia’s peers have launched ambitious public programs </w:t>
      </w:r>
      <w:r w:rsidRPr="005B5744">
        <w:rPr>
          <w:b/>
          <w:bCs/>
        </w:rPr>
        <w:t>(</w:t>
      </w:r>
      <w:r w:rsidR="00596E7E" w:rsidRPr="005B686B">
        <w:rPr>
          <w:b/>
          <w:bCs/>
        </w:rPr>
        <w:fldChar w:fldCharType="begin"/>
      </w:r>
      <w:r w:rsidR="00596E7E" w:rsidRPr="00596E7E">
        <w:rPr>
          <w:b/>
          <w:bCs/>
        </w:rPr>
        <w:instrText xml:space="preserve"> REF _Ref47702476 \h </w:instrText>
      </w:r>
      <w:r w:rsidR="00596E7E" w:rsidRPr="007E7A00">
        <w:rPr>
          <w:b/>
          <w:bCs/>
        </w:rPr>
        <w:instrText xml:space="preserve"> \* MERGEFORMAT </w:instrText>
      </w:r>
      <w:r w:rsidR="00596E7E" w:rsidRPr="005B686B">
        <w:rPr>
          <w:b/>
          <w:bCs/>
        </w:rPr>
      </w:r>
      <w:r w:rsidR="00596E7E" w:rsidRPr="005B686B">
        <w:rPr>
          <w:b/>
          <w:bCs/>
        </w:rPr>
        <w:fldChar w:fldCharType="separate"/>
      </w:r>
      <w:r w:rsidR="007040B4" w:rsidRPr="007040B4">
        <w:rPr>
          <w:b/>
          <w:bCs/>
        </w:rPr>
        <w:t>Exhibit 5</w:t>
      </w:r>
      <w:r w:rsidR="00596E7E" w:rsidRPr="005B686B">
        <w:rPr>
          <w:b/>
          <w:bCs/>
        </w:rPr>
        <w:fldChar w:fldCharType="end"/>
      </w:r>
      <w:r w:rsidRPr="005B5744">
        <w:rPr>
          <w:b/>
          <w:bCs/>
        </w:rPr>
        <w:t>)</w:t>
      </w:r>
      <w:r>
        <w:t>. The UK, for example, is focused on their ecosystem of civil space firms which also support the broader aerospace and defence sectors. As a result of the UK’s Space Innovation and Growth Strategy, launched in 2010, direct employment in the industry increased 6</w:t>
      </w:r>
      <w:r w:rsidRPr="00107A7D">
        <w:t xml:space="preserve"> </w:t>
      </w:r>
      <w:r>
        <w:t>per cent per annum over four years.</w:t>
      </w:r>
      <w:r>
        <w:rPr>
          <w:rStyle w:val="FootnoteReference"/>
        </w:rPr>
        <w:footnoteReference w:id="22"/>
      </w:r>
      <w:r>
        <w:t xml:space="preserve"> Canada is investing C$1.9 billion to develop competitive advantages in </w:t>
      </w:r>
      <w:r w:rsidR="00832C6C">
        <w:t>Artificial Intelligence (</w:t>
      </w:r>
      <w:r>
        <w:t>AI</w:t>
      </w:r>
      <w:r w:rsidR="00832C6C">
        <w:t>)</w:t>
      </w:r>
      <w:r>
        <w:t xml:space="preserve"> and robotic capabilities suitable for space and have committed a further C$150 million towards NASA’s Lunar Gateway program, with the aim of bringing high-value jobs to the country.</w:t>
      </w:r>
      <w:r>
        <w:rPr>
          <w:rStyle w:val="FootnoteReference"/>
        </w:rPr>
        <w:footnoteReference w:id="23"/>
      </w:r>
      <w:r>
        <w:t xml:space="preserve"> </w:t>
      </w:r>
    </w:p>
    <w:p w14:paraId="682FF7F4" w14:textId="77777777" w:rsidR="006B1301" w:rsidRDefault="006B1301" w:rsidP="00313D81">
      <w:pPr>
        <w:spacing w:after="120" w:line="240" w:lineRule="auto"/>
        <w:rPr>
          <w:i/>
          <w:iCs/>
        </w:rPr>
        <w:sectPr w:rsidR="006B1301">
          <w:pgSz w:w="11906" w:h="16838"/>
          <w:pgMar w:top="1440" w:right="1440" w:bottom="1440" w:left="1440" w:header="708" w:footer="708" w:gutter="0"/>
          <w:cols w:space="708"/>
          <w:docGrid w:linePitch="360"/>
        </w:sectPr>
      </w:pPr>
    </w:p>
    <w:p w14:paraId="330BF628" w14:textId="7291370C" w:rsidR="00596E7E" w:rsidRDefault="00596E7E" w:rsidP="007E7A00">
      <w:pPr>
        <w:pStyle w:val="Caption"/>
        <w:keepNext/>
      </w:pPr>
      <w:r>
        <w:lastRenderedPageBreak/>
        <w:t xml:space="preserve">Exhibit </w:t>
      </w:r>
      <w:r w:rsidR="00A91B80">
        <w:rPr>
          <w:noProof/>
        </w:rPr>
        <w:fldChar w:fldCharType="begin"/>
      </w:r>
      <w:r w:rsidR="00A91B80">
        <w:rPr>
          <w:noProof/>
        </w:rPr>
        <w:instrText xml:space="preserve"> SEQ Exhibit \* ARABIC </w:instrText>
      </w:r>
      <w:r w:rsidR="00A91B80">
        <w:rPr>
          <w:noProof/>
        </w:rPr>
        <w:fldChar w:fldCharType="separate"/>
      </w:r>
      <w:r w:rsidR="007040B4">
        <w:rPr>
          <w:noProof/>
        </w:rPr>
        <w:t>4</w:t>
      </w:r>
      <w:r w:rsidR="00A91B80">
        <w:rPr>
          <w:noProof/>
        </w:rPr>
        <w:fldChar w:fldCharType="end"/>
      </w:r>
      <w:r>
        <w:t xml:space="preserve">: </w:t>
      </w:r>
      <w:r w:rsidR="00A91B80">
        <w:t>Examples of n</w:t>
      </w:r>
      <w:r w:rsidRPr="00F438AC">
        <w:t xml:space="preserve">ational </w:t>
      </w:r>
      <w:r>
        <w:t xml:space="preserve">space sector </w:t>
      </w:r>
      <w:r w:rsidRPr="00F438AC">
        <w:t>initiatives around the world</w:t>
      </w:r>
    </w:p>
    <w:tbl>
      <w:tblPr>
        <w:tblStyle w:val="ExhibitTable"/>
        <w:tblW w:w="0" w:type="auto"/>
        <w:tblLook w:val="04A0" w:firstRow="1" w:lastRow="0" w:firstColumn="1" w:lastColumn="0" w:noHBand="0" w:noVBand="1"/>
        <w:tblCaption w:val="Examples of national space sector initiatives around the world"/>
        <w:tblDescription w:val="Examples of national space initiatives around the world.&#10;Canada:&#10;Canada’s Space Advisory Board and Canadian Space Agency advises government on sector development strategy, regulation, and education programs&#10;Government aims to develop competitive advantages in robotics, AI,and biomedical space capabilities through a $1.9 billion investment in AI-driven space robotics&#10;Collaboration with the US on landmark lunar exploration projects, including $150 million in government funding to develop a smart robotic arm (‘Canadarm 3’) for these missions&#10;&#10;Australia:&#10;Establishment of the Australian Space Agency in 2018 (supported by $41 million of funding) and the launch of an Australian Civil Space Strategy to nurture the space sector and improve capability&#10;Government has committed over $15 million to foster international partnerships and $19.5 million to its Space Infrastructure Fund&#10;$6 million to support a Space Discovery Centre to improve public outreach and education&#10;$150 Moon to Mars initiative will showcase Australian knowledge and capabilities and support NASA’s Moon to Mars program.&#10;&#10;United Kingdom:&#10;Space Leadership Council and UK Space Agency created in 2010 to champion the sector and advise on policy and strategies, with a £250 million budget to help realise goals&#10;£35 million National Space Technology Programme that provides short- to long-term funding to support industry development and R&amp;D&#10;Government aims to capture 10 per cent of the global commercial space sector by 2030&#10;National Space Academy to support Higher Apprenticeships in Space Engineering&#10;&#10;New Zealand:&#10;NZ Space Agency supports strategic commercial partnerships&#10;Bilateral industry partnerships with the European Space Agency and US Government&#10;Host to world’s first fully private orbital launch facility&#10;Internships for tertiary students with NASA"/>
      </w:tblPr>
      <w:tblGrid>
        <w:gridCol w:w="13825"/>
      </w:tblGrid>
      <w:tr w:rsidR="00182420" w14:paraId="28EE24A2" w14:textId="77777777" w:rsidTr="0054118D">
        <w:trPr>
          <w:tblHeader/>
        </w:trPr>
        <w:tc>
          <w:tcPr>
            <w:tcW w:w="9026" w:type="dxa"/>
          </w:tcPr>
          <w:p w14:paraId="3057874B" w14:textId="49EDBE3B" w:rsidR="00182420" w:rsidRPr="00A666D0" w:rsidRDefault="0002573C" w:rsidP="0036716D">
            <w:pPr>
              <w:spacing w:after="120"/>
              <w:rPr>
                <w:i/>
                <w:iCs/>
                <w:noProof/>
              </w:rPr>
            </w:pPr>
            <w:r>
              <w:rPr>
                <w:i/>
                <w:iCs/>
                <w:noProof/>
                <w:lang w:eastAsia="en-AU"/>
              </w:rPr>
              <w:drawing>
                <wp:inline distT="0" distB="0" distL="0" distR="0" wp14:anchorId="47A6522D" wp14:editId="25EBA7DD">
                  <wp:extent cx="8641809" cy="4095750"/>
                  <wp:effectExtent l="0" t="0" r="0" b="0"/>
                  <wp:docPr id="237" name="Picture 237" descr="Examples of national space initiatives around the world.&#10;Canada:&#10;Canada’s Space Advisory Board and Canadian Space Agency advises government on sector development strategy, regulation, and education programs&#10;Government aims to develop competitive advantages in robotics, AI,and biomedical space capabilities through a $1.9 billion investment in AI-driven space robotics&#10;Collaboration with the US on landmark lunar exploration projects, including $150 million in government funding to develop a smart robotic arm (‘Canadarm 3’) for these missions&#10;&#10;Australia:&#10;Establishment of the Australian Space Agency in 2018 (supported by $41 million of funding) and the launch of an Australian Civil Space Strategy to nurture the space sector and improve capability&#10;Government has committed over $15 million to foster international partnerships and $19.5 million to its Space Infrastructure Fund&#10;$6 million to support a Space Discovery Centre to improve public outreach and education&#10;$150 Moon to Mars initiative will showcase Australian knowledge and capabilities and support NASA’s Moon to Mars program.&#10;&#10;United Kingdom:&#10;Space Leadership Council and UK Space Agency created in 2010 to champion the sector and advise on policy and strategies, with a £250 million budget to help realise goals&#10;£35 million National Space Technology Programme that provides short- to long-term funding to support industry development and R&amp;D&#10;Government aims to capture 10 per cent of the global commercial space sector by 2030&#10;National Space Academy to support Higher Apprenticeships in Space Engineering&#10;&#10;New Zealand:&#10;NZ Space Agency supports strategic commercial partnerships&#10;Bilateral industry partnerships with the European Space Agency and US Government&#10;Host to world’s first fully private orbital launch facility&#10;Internships for tertiary students with NASA" title="Examples of national space sector initiatives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1646" cy="4128849"/>
                          </a:xfrm>
                          <a:prstGeom prst="rect">
                            <a:avLst/>
                          </a:prstGeom>
                          <a:noFill/>
                        </pic:spPr>
                      </pic:pic>
                    </a:graphicData>
                  </a:graphic>
                </wp:inline>
              </w:drawing>
            </w:r>
          </w:p>
        </w:tc>
      </w:tr>
      <w:tr w:rsidR="0002573C" w:rsidRPr="00B95533" w14:paraId="646A07D1" w14:textId="77777777" w:rsidTr="00182420">
        <w:tc>
          <w:tcPr>
            <w:tcW w:w="9026" w:type="dxa"/>
          </w:tcPr>
          <w:p w14:paraId="6517FDA1" w14:textId="7016142C" w:rsidR="00FE3195" w:rsidRPr="00B95533" w:rsidRDefault="00427F9F" w:rsidP="007E7A00">
            <w:pPr>
              <w:pStyle w:val="ExhibitFootnote"/>
              <w:rPr>
                <w:color w:val="auto"/>
                <w:lang w:eastAsia="en-AU"/>
              </w:rPr>
            </w:pPr>
            <w:r w:rsidRPr="00B95533">
              <w:rPr>
                <w:color w:val="auto"/>
                <w:lang w:eastAsia="en-AU"/>
              </w:rPr>
              <w:t>Sources</w:t>
            </w:r>
            <w:r w:rsidR="00FE3195" w:rsidRPr="00B95533">
              <w:rPr>
                <w:color w:val="auto"/>
                <w:lang w:eastAsia="en-AU"/>
              </w:rPr>
              <w:t xml:space="preserve">: UK Space Agency (2014), Space Growth Action Plan 2014-2030; London Economics </w:t>
            </w:r>
            <w:r w:rsidR="0006497B" w:rsidRPr="00B95533">
              <w:rPr>
                <w:color w:val="auto"/>
                <w:lang w:eastAsia="en-AU"/>
              </w:rPr>
              <w:t xml:space="preserve">for the UK Space Agency </w:t>
            </w:r>
            <w:r w:rsidR="00FE3195" w:rsidRPr="00B95533">
              <w:rPr>
                <w:color w:val="auto"/>
                <w:lang w:eastAsia="en-AU"/>
              </w:rPr>
              <w:t>(2019), Size and Health of the UK Space Industry</w:t>
            </w:r>
            <w:r w:rsidR="0006497B" w:rsidRPr="00B95533">
              <w:rPr>
                <w:color w:val="auto"/>
                <w:lang w:eastAsia="en-AU"/>
              </w:rPr>
              <w:t xml:space="preserve"> 2018;</w:t>
            </w:r>
            <w:r w:rsidR="00FE3195" w:rsidRPr="00B95533">
              <w:rPr>
                <w:color w:val="auto"/>
                <w:lang w:eastAsia="en-AU"/>
              </w:rPr>
              <w:t xml:space="preserve"> MBIE NZ and Deloitte Access (2019), New Zealand Space Sector; Canadian Space Agency (2019), Canada’s Space</w:t>
            </w:r>
            <w:r w:rsidR="00E8421D" w:rsidRPr="00B95533">
              <w:rPr>
                <w:color w:val="auto"/>
                <w:lang w:eastAsia="en-AU"/>
              </w:rPr>
              <w:t xml:space="preserve"> Strategy</w:t>
            </w:r>
            <w:r w:rsidR="00415C0C" w:rsidRPr="00B95533">
              <w:rPr>
                <w:color w:val="auto"/>
                <w:lang w:eastAsia="en-AU"/>
              </w:rPr>
              <w:t>.</w:t>
            </w:r>
          </w:p>
        </w:tc>
      </w:tr>
    </w:tbl>
    <w:p w14:paraId="6F552D98" w14:textId="77777777" w:rsidR="006B1301" w:rsidRDefault="006B1301" w:rsidP="005B5744">
      <w:pPr>
        <w:spacing w:after="120" w:line="240" w:lineRule="auto"/>
        <w:sectPr w:rsidR="006B1301" w:rsidSect="006B1301">
          <w:pgSz w:w="16838" w:h="11906" w:orient="landscape"/>
          <w:pgMar w:top="1440" w:right="1440" w:bottom="1440" w:left="1440" w:header="708" w:footer="708" w:gutter="0"/>
          <w:cols w:space="708"/>
          <w:docGrid w:linePitch="360"/>
        </w:sectPr>
      </w:pPr>
    </w:p>
    <w:p w14:paraId="5BD9B890" w14:textId="2627EE1A" w:rsidR="00C425BE" w:rsidRDefault="00AF6C98" w:rsidP="005B5744">
      <w:pPr>
        <w:spacing w:after="120" w:line="240" w:lineRule="auto"/>
      </w:pPr>
      <w:r>
        <w:lastRenderedPageBreak/>
        <w:t>E</w:t>
      </w:r>
      <w:r w:rsidR="005A1276">
        <w:t>conomic</w:t>
      </w:r>
      <w:r w:rsidR="00BE7719">
        <w:t xml:space="preserve"> benefits</w:t>
      </w:r>
      <w:r w:rsidR="00645367">
        <w:t xml:space="preserve"> – in the form o</w:t>
      </w:r>
      <w:r w:rsidR="004C0553">
        <w:t>f</w:t>
      </w:r>
      <w:r w:rsidR="00645367">
        <w:t xml:space="preserve"> revenue and employment –</w:t>
      </w:r>
      <w:r w:rsidR="00BE7719">
        <w:t xml:space="preserve"> </w:t>
      </w:r>
      <w:r w:rsidR="00645367">
        <w:t>result from</w:t>
      </w:r>
      <w:r w:rsidR="00E72241">
        <w:t xml:space="preserve"> the diverse range of activities along the space value chain</w:t>
      </w:r>
      <w:r w:rsidR="000F388D">
        <w:t xml:space="preserve">. The value chain has </w:t>
      </w:r>
      <w:r w:rsidR="00E72241">
        <w:t xml:space="preserve">four segments: manufacturing, operations, enablers, and applications </w:t>
      </w:r>
      <w:r w:rsidR="00E72241" w:rsidRPr="005F73B0">
        <w:rPr>
          <w:b/>
        </w:rPr>
        <w:t>(</w:t>
      </w:r>
      <w:r w:rsidR="00C01294">
        <w:rPr>
          <w:b/>
        </w:rPr>
        <w:t>Exhibit 5</w:t>
      </w:r>
      <w:r w:rsidR="00E72241" w:rsidRPr="005B5744">
        <w:rPr>
          <w:b/>
          <w:bCs/>
        </w:rPr>
        <w:t>)</w:t>
      </w:r>
      <w:r w:rsidR="00E72241">
        <w:t>.</w:t>
      </w:r>
      <w:r w:rsidR="00E72241">
        <w:rPr>
          <w:rStyle w:val="FootnoteReference"/>
        </w:rPr>
        <w:footnoteReference w:id="24"/>
      </w:r>
      <w:r w:rsidR="00E72241">
        <w:t xml:space="preserve"> </w:t>
      </w:r>
      <w:r w:rsidR="0067638C">
        <w:t xml:space="preserve">These categories have been </w:t>
      </w:r>
      <w:r w:rsidR="009F44E9">
        <w:t>align</w:t>
      </w:r>
      <w:r w:rsidR="000F388D">
        <w:t>ed</w:t>
      </w:r>
      <w:r w:rsidR="00A37BA2">
        <w:t xml:space="preserve"> to the Australian Space Agency’s </w:t>
      </w:r>
      <w:r w:rsidR="009F44E9">
        <w:t xml:space="preserve">recently released </w:t>
      </w:r>
      <w:r w:rsidR="00A37BA2">
        <w:t>definition of the sector</w:t>
      </w:r>
      <w:r w:rsidR="009F44E9">
        <w:t>.</w:t>
      </w:r>
      <w:r w:rsidR="00E1638D">
        <w:rPr>
          <w:rStyle w:val="FootnoteReference"/>
        </w:rPr>
        <w:footnoteReference w:id="25"/>
      </w:r>
      <w:r w:rsidR="00A37BA2">
        <w:t xml:space="preserve"> </w:t>
      </w:r>
      <w:r w:rsidR="00C61EC2">
        <w:t xml:space="preserve">Large </w:t>
      </w:r>
      <w:r w:rsidR="00E72241">
        <w:t xml:space="preserve">firms hold </w:t>
      </w:r>
      <w:r w:rsidR="0019607C">
        <w:t>substantial market share</w:t>
      </w:r>
      <w:r w:rsidR="00E72241">
        <w:t xml:space="preserve"> of each segment</w:t>
      </w:r>
      <w:r w:rsidR="00D03ECF">
        <w:t xml:space="preserve">; for example </w:t>
      </w:r>
      <w:r w:rsidR="005D76C7">
        <w:t xml:space="preserve">Airbus, </w:t>
      </w:r>
      <w:r w:rsidR="00BB736B">
        <w:t>Mitsubishi</w:t>
      </w:r>
      <w:r w:rsidR="00DE6371">
        <w:t>,</w:t>
      </w:r>
      <w:r w:rsidR="00E72241">
        <w:t xml:space="preserve"> and </w:t>
      </w:r>
      <w:r w:rsidR="00BB736B">
        <w:t>Thales</w:t>
      </w:r>
      <w:r w:rsidR="00E72241">
        <w:t xml:space="preserve"> </w:t>
      </w:r>
      <w:r w:rsidR="00D03ECF">
        <w:t xml:space="preserve">are global leaders in </w:t>
      </w:r>
      <w:r w:rsidR="00E72241">
        <w:t>manufacturing</w:t>
      </w:r>
      <w:r w:rsidR="00BC2EC4">
        <w:t>.</w:t>
      </w:r>
      <w:r w:rsidR="00AE5915">
        <w:t xml:space="preserve"> </w:t>
      </w:r>
      <w:r w:rsidR="00E72241">
        <w:t xml:space="preserve">Foxtel and Optus are notable </w:t>
      </w:r>
      <w:r w:rsidR="00D03ECF">
        <w:t xml:space="preserve">Australian </w:t>
      </w:r>
      <w:r w:rsidR="00E72241">
        <w:t xml:space="preserve">firms </w:t>
      </w:r>
      <w:r w:rsidR="00C425BE">
        <w:t>which</w:t>
      </w:r>
      <w:r w:rsidR="00E72241">
        <w:t xml:space="preserve"> supply broadcasting </w:t>
      </w:r>
      <w:r w:rsidR="00AE5915">
        <w:t xml:space="preserve">and telecommunications </w:t>
      </w:r>
      <w:r w:rsidR="00E72241">
        <w:t>services in the applications segment</w:t>
      </w:r>
      <w:r w:rsidR="00AE5915">
        <w:t xml:space="preserve">. </w:t>
      </w:r>
    </w:p>
    <w:p w14:paraId="4A8A44F4" w14:textId="2B801EC6" w:rsidR="00194856" w:rsidRDefault="00194856" w:rsidP="00194856">
      <w:pPr>
        <w:pStyle w:val="Caption"/>
        <w:keepNext/>
      </w:pPr>
      <w:bookmarkStart w:id="68" w:name="_Ref47702476"/>
      <w:bookmarkStart w:id="69" w:name="_Ref46761353"/>
      <w:r>
        <w:t xml:space="preserve">Exhibit </w:t>
      </w:r>
      <w:r w:rsidR="00A91B80">
        <w:rPr>
          <w:noProof/>
        </w:rPr>
        <w:fldChar w:fldCharType="begin"/>
      </w:r>
      <w:r w:rsidR="00A91B80">
        <w:rPr>
          <w:noProof/>
        </w:rPr>
        <w:instrText xml:space="preserve"> SEQ Exhibit \* ARABIC </w:instrText>
      </w:r>
      <w:r w:rsidR="00A91B80">
        <w:rPr>
          <w:noProof/>
        </w:rPr>
        <w:fldChar w:fldCharType="separate"/>
      </w:r>
      <w:r w:rsidR="007040B4">
        <w:rPr>
          <w:noProof/>
        </w:rPr>
        <w:t>5</w:t>
      </w:r>
      <w:r w:rsidR="00A91B80">
        <w:rPr>
          <w:noProof/>
        </w:rPr>
        <w:fldChar w:fldCharType="end"/>
      </w:r>
      <w:bookmarkEnd w:id="68"/>
      <w:bookmarkEnd w:id="69"/>
      <w:r>
        <w:t xml:space="preserve">: </w:t>
      </w:r>
      <w:r w:rsidR="00455D86">
        <w:t>T</w:t>
      </w:r>
      <w:r w:rsidRPr="001A1DD4">
        <w:t>he space value chain</w:t>
      </w:r>
    </w:p>
    <w:tbl>
      <w:tblPr>
        <w:tblStyle w:val="ExhibitTable"/>
        <w:tblW w:w="0" w:type="auto"/>
        <w:tblLook w:val="04A0" w:firstRow="1" w:lastRow="0" w:firstColumn="1" w:lastColumn="0" w:noHBand="0" w:noVBand="1"/>
        <w:tblCaption w:val="Space value chain"/>
        <w:tblDescription w:val="Infographic describing the four key segments of the space value chain: manufacturing; operations; enablers; and applications. "/>
      </w:tblPr>
      <w:tblGrid>
        <w:gridCol w:w="9026"/>
      </w:tblGrid>
      <w:tr w:rsidR="00194856" w14:paraId="27E2CE3F" w14:textId="77777777" w:rsidTr="0054118D">
        <w:trPr>
          <w:tblHeader/>
        </w:trPr>
        <w:tc>
          <w:tcPr>
            <w:tcW w:w="9026" w:type="dxa"/>
          </w:tcPr>
          <w:p w14:paraId="358419E9" w14:textId="3F4EF6C1" w:rsidR="00AA4A58" w:rsidRDefault="00AA4A58" w:rsidP="00027C4D">
            <w:pPr>
              <w:keepNext/>
              <w:spacing w:after="120"/>
              <w:jc w:val="center"/>
              <w:rPr>
                <w:i/>
                <w:iCs/>
              </w:rPr>
            </w:pPr>
            <w:r w:rsidRPr="00AA4A58">
              <w:rPr>
                <w:i/>
                <w:iCs/>
                <w:noProof/>
                <w:lang w:eastAsia="en-AU"/>
              </w:rPr>
              <w:drawing>
                <wp:inline distT="0" distB="0" distL="0" distR="0" wp14:anchorId="7F205C2E" wp14:editId="69747B90">
                  <wp:extent cx="5673308" cy="2353586"/>
                  <wp:effectExtent l="0" t="0" r="3810" b="8890"/>
                  <wp:docPr id="21" name="Picture 21" descr="Infographic describing the four key segments of the space value chain: manufacturing (ground and space); operations; enablers; and applications. " title="The space value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96" t="15062" r="3889" b="18249"/>
                          <a:stretch/>
                        </pic:blipFill>
                        <pic:spPr bwMode="auto">
                          <a:xfrm>
                            <a:off x="0" y="0"/>
                            <a:ext cx="5693855" cy="23621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B2FB247" w14:textId="77777777" w:rsidR="007A62F5" w:rsidRDefault="007A62F5" w:rsidP="005B5744">
      <w:pPr>
        <w:spacing w:after="120" w:line="240" w:lineRule="auto"/>
      </w:pPr>
    </w:p>
    <w:p w14:paraId="1D3E8CEB" w14:textId="34E46934" w:rsidR="0006497B" w:rsidRDefault="007A62F5" w:rsidP="005B5744">
      <w:pPr>
        <w:spacing w:after="120" w:line="240" w:lineRule="auto"/>
      </w:pPr>
      <w:r>
        <w:t>Ad</w:t>
      </w:r>
      <w:r w:rsidR="00C425BE">
        <w:t>ditional economic advantages often spill over to the broader economy</w:t>
      </w:r>
      <w:r w:rsidR="00E86959">
        <w:t>,</w:t>
      </w:r>
      <w:r w:rsidR="00C425BE">
        <w:t xml:space="preserve"> such </w:t>
      </w:r>
      <w:r w:rsidR="00E8421D">
        <w:t xml:space="preserve">as </w:t>
      </w:r>
      <w:r w:rsidR="00C425BE">
        <w:t xml:space="preserve">social welfare </w:t>
      </w:r>
      <w:r w:rsidR="009352FD">
        <w:t>improvement</w:t>
      </w:r>
      <w:r w:rsidR="004E0EF2">
        <w:t xml:space="preserve"> and </w:t>
      </w:r>
      <w:r w:rsidR="004E0EF2" w:rsidRPr="004E0EF2">
        <w:t>productivity and efficiency gains</w:t>
      </w:r>
      <w:r w:rsidR="004E0EF2">
        <w:t xml:space="preserve"> that drive</w:t>
      </w:r>
      <w:r w:rsidR="00C425BE">
        <w:t xml:space="preserve"> cost savings</w:t>
      </w:r>
      <w:r w:rsidR="0006497B">
        <w:t xml:space="preserve"> </w:t>
      </w:r>
      <w:r w:rsidR="004E0EF2">
        <w:t>both within and beyond the sector.</w:t>
      </w:r>
      <w:r w:rsidR="00C425BE">
        <w:rPr>
          <w:rStyle w:val="FootnoteReference"/>
        </w:rPr>
        <w:footnoteReference w:id="26"/>
      </w:r>
      <w:r w:rsidR="00C425BE">
        <w:t xml:space="preserve"> The OECD estimates that 57</w:t>
      </w:r>
      <w:r w:rsidR="00107A7D">
        <w:t xml:space="preserve"> per cent </w:t>
      </w:r>
      <w:r w:rsidR="00C425BE">
        <w:t xml:space="preserve">of cost savings are </w:t>
      </w:r>
      <w:r w:rsidR="00E86959">
        <w:t>realised</w:t>
      </w:r>
      <w:r w:rsidR="00C425BE">
        <w:t xml:space="preserve"> outside of the space sector</w:t>
      </w:r>
      <w:r w:rsidR="008B6540">
        <w:t>, for example, when space technologies or higher quality data improve operations in other fields</w:t>
      </w:r>
      <w:r w:rsidR="00C425BE">
        <w:t xml:space="preserve">. </w:t>
      </w:r>
      <w:r w:rsidR="00B817F7">
        <w:t>These benefits are easily transferred with m</w:t>
      </w:r>
      <w:r w:rsidR="00E72241" w:rsidRPr="00FD55D7">
        <w:t>any firms work</w:t>
      </w:r>
      <w:r w:rsidR="00B817F7">
        <w:t>ing</w:t>
      </w:r>
      <w:r w:rsidR="00E72241" w:rsidRPr="00FD55D7">
        <w:t xml:space="preserve"> </w:t>
      </w:r>
      <w:r w:rsidR="00E72241" w:rsidRPr="00AE786A">
        <w:t xml:space="preserve">‘horizontally’ across </w:t>
      </w:r>
      <w:r w:rsidR="008624F4">
        <w:t xml:space="preserve">elements of the value chain and the </w:t>
      </w:r>
      <w:r w:rsidR="00E72241" w:rsidRPr="00A31A15">
        <w:t xml:space="preserve">space </w:t>
      </w:r>
      <w:r w:rsidR="00E72241" w:rsidRPr="004D1693">
        <w:t>and non-space sectors</w:t>
      </w:r>
      <w:r w:rsidR="005C0311">
        <w:t xml:space="preserve">. </w:t>
      </w:r>
    </w:p>
    <w:p w14:paraId="214A8F96" w14:textId="1FA527F0" w:rsidR="002A04A3" w:rsidRPr="00715302" w:rsidRDefault="00F77CAD" w:rsidP="005B5744">
      <w:pPr>
        <w:spacing w:after="120" w:line="240" w:lineRule="auto"/>
      </w:pPr>
      <w:r>
        <w:t>The following chapters of the report</w:t>
      </w:r>
      <w:r w:rsidR="002A04A3" w:rsidRPr="00715302">
        <w:t xml:space="preserve"> look </w:t>
      </w:r>
      <w:r w:rsidR="009F4924" w:rsidRPr="00715302">
        <w:t>at</w:t>
      </w:r>
      <w:r w:rsidR="003C680F" w:rsidRPr="00715302">
        <w:t xml:space="preserve"> the economic opportunity for</w:t>
      </w:r>
      <w:r w:rsidR="009F4924" w:rsidRPr="00715302">
        <w:t xml:space="preserve"> </w:t>
      </w:r>
      <w:r w:rsidR="003C680F" w:rsidRPr="00715302">
        <w:t xml:space="preserve">Australia </w:t>
      </w:r>
      <w:r w:rsidR="00E436CC">
        <w:t>in</w:t>
      </w:r>
      <w:r w:rsidR="003C680F" w:rsidRPr="00715302">
        <w:t xml:space="preserve"> developing its local civil space sector, across the four pillars of the </w:t>
      </w:r>
      <w:r w:rsidR="003C680F" w:rsidRPr="00E436CC">
        <w:t xml:space="preserve">Australian Civil Space Strategy and the </w:t>
      </w:r>
      <w:r w:rsidR="00386DEF">
        <w:t xml:space="preserve">sector </w:t>
      </w:r>
      <w:r w:rsidR="003C680F" w:rsidRPr="00E436CC">
        <w:t>value chain segments</w:t>
      </w:r>
      <w:r w:rsidR="008644E7">
        <w:t xml:space="preserve">, </w:t>
      </w:r>
      <w:r w:rsidR="00386DEF">
        <w:t>as well as</w:t>
      </w:r>
      <w:r w:rsidR="008644E7">
        <w:t xml:space="preserve"> the critical role Government continues to play</w:t>
      </w:r>
      <w:r w:rsidR="00386DEF">
        <w:t xml:space="preserve"> in developing a domestic space market</w:t>
      </w:r>
      <w:r w:rsidR="003C680F" w:rsidRPr="00E436CC">
        <w:t xml:space="preserve">. </w:t>
      </w:r>
    </w:p>
    <w:p w14:paraId="447328E9" w14:textId="3A992A5F" w:rsidR="005B5744" w:rsidRDefault="007A62F5" w:rsidP="006C312D">
      <w:pPr>
        <w:spacing w:before="0" w:after="160"/>
        <w:jc w:val="left"/>
      </w:pPr>
      <w:r>
        <w:rPr>
          <w:noProof/>
          <w:lang w:eastAsia="en-AU"/>
        </w:rPr>
        <w:lastRenderedPageBreak/>
        <mc:AlternateContent>
          <mc:Choice Requires="wps">
            <w:drawing>
              <wp:inline distT="0" distB="0" distL="0" distR="0" wp14:anchorId="3F135B51" wp14:editId="5FE9298D">
                <wp:extent cx="5747385" cy="1404620"/>
                <wp:effectExtent l="0" t="0" r="24765" b="34925"/>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404620"/>
                        </a:xfrm>
                        <a:prstGeom prst="rect">
                          <a:avLst/>
                        </a:prstGeom>
                        <a:solidFill>
                          <a:srgbClr val="FFFFFF"/>
                        </a:solidFill>
                        <a:ln w="9525">
                          <a:solidFill>
                            <a:schemeClr val="accent2"/>
                          </a:solidFill>
                          <a:miter lim="800000"/>
                          <a:headEnd/>
                          <a:tailEnd/>
                        </a:ln>
                      </wps:spPr>
                      <wps:txbx>
                        <w:txbxContent>
                          <w:p w14:paraId="730EC109" w14:textId="372C73C5" w:rsidR="00D37139" w:rsidRPr="0034394A" w:rsidRDefault="00D37139" w:rsidP="00332308">
                            <w:pPr>
                              <w:pStyle w:val="Caption"/>
                            </w:pPr>
                            <w:r>
                              <w:t xml:space="preserve">Box 1: </w:t>
                            </w:r>
                            <w:r w:rsidRPr="0034394A">
                              <w:t>Prominent global and local firms operating across the value chain</w:t>
                            </w:r>
                          </w:p>
                          <w:p w14:paraId="18106E62" w14:textId="167B679E" w:rsidR="00D37139" w:rsidRDefault="00D37139" w:rsidP="0034394A">
                            <w:pPr>
                              <w:spacing w:after="120" w:line="240" w:lineRule="auto"/>
                            </w:pPr>
                            <w:r>
                              <w:t>Looking across the value chain</w:t>
                            </w:r>
                            <w:r w:rsidRPr="00F74683">
                              <w:t xml:space="preserve">, </w:t>
                            </w:r>
                            <w:r w:rsidRPr="00FA62A9">
                              <w:t xml:space="preserve">Jacobs </w:t>
                            </w:r>
                            <w:r>
                              <w:t>(a US firm) employs</w:t>
                            </w:r>
                            <w:r w:rsidRPr="00FA62A9">
                              <w:t xml:space="preserve"> engineers, technicians, and scientists focused on manufacturing </w:t>
                            </w:r>
                            <w:r>
                              <w:t>and</w:t>
                            </w:r>
                            <w:r w:rsidRPr="00FA62A9">
                              <w:t xml:space="preserve"> professional services </w:t>
                            </w:r>
                            <w:r>
                              <w:t xml:space="preserve">divisions </w:t>
                            </w:r>
                            <w:r w:rsidRPr="00FA62A9">
                              <w:t>relevant to the enabler</w:t>
                            </w:r>
                            <w:r>
                              <w:t xml:space="preserve"> </w:t>
                            </w:r>
                            <w:r w:rsidRPr="00FA62A9">
                              <w:t xml:space="preserve">segment of the value chain. As a result, they are among NASA’s most prominent contractors. </w:t>
                            </w:r>
                          </w:p>
                          <w:p w14:paraId="49675FAC" w14:textId="12370A3F" w:rsidR="00D37139" w:rsidRDefault="00D37139" w:rsidP="0034394A">
                            <w:pPr>
                              <w:spacing w:after="120" w:line="240" w:lineRule="auto"/>
                            </w:pPr>
                            <w:r>
                              <w:t>Locally in Australia, Electro Optic Systems (</w:t>
                            </w:r>
                            <w:r w:rsidRPr="00FA62A9">
                              <w:t>EOS</w:t>
                            </w:r>
                            <w:r>
                              <w:t>)</w:t>
                            </w:r>
                            <w:r w:rsidRPr="00FA62A9">
                              <w:t xml:space="preserve"> straddles the manufacturing, operations, and enabler segments for civil and defence</w:t>
                            </w:r>
                            <w:r>
                              <w:t xml:space="preserve"> space</w:t>
                            </w:r>
                            <w:r w:rsidRPr="00FA62A9">
                              <w:t xml:space="preserve"> purposes.</w:t>
                            </w:r>
                            <w:r>
                              <w:t xml:space="preserve"> EOS provides space situational awareness services like laser tracking of space objects as well as manufacturing lasers and sensors</w:t>
                            </w:r>
                            <w:r w:rsidRPr="007E7A00">
                              <w:t>.</w:t>
                            </w:r>
                            <w:r>
                              <w:t xml:space="preserve"> These technologies are used for defence, space debris management, and satellite communications. Many space sector firms also underpin activities in other sectors. For example, firms such as Optus that specialise in satellite broadband enable a raft of internet-related non-space activities who, in turn, service their own set of consumers and businesses. </w:t>
                            </w:r>
                          </w:p>
                          <w:p w14:paraId="6BDC8F4B" w14:textId="1F8FC10C" w:rsidR="00D37139" w:rsidRDefault="00D37139" w:rsidP="00B4571D">
                            <w:pPr>
                              <w:pStyle w:val="Caption"/>
                              <w:keepNext/>
                            </w:pPr>
                            <w:r>
                              <w:t xml:space="preserve">Exhibit </w:t>
                            </w:r>
                            <w:r w:rsidRPr="007E7A00">
                              <w:t>6</w:t>
                            </w:r>
                            <w:r w:rsidRPr="00C40548">
                              <w:t xml:space="preserve">: </w:t>
                            </w:r>
                            <w:r>
                              <w:t>Jacobs and EOS participating in multiple segments of the space value chain</w:t>
                            </w:r>
                          </w:p>
                          <w:tbl>
                            <w:tblPr>
                              <w:tblStyle w:val="TableGrid"/>
                              <w:tblW w:w="0" w:type="auto"/>
                              <w:tblLook w:val="04A0" w:firstRow="1" w:lastRow="0" w:firstColumn="1" w:lastColumn="0" w:noHBand="0" w:noVBand="1"/>
                              <w:tblCaption w:val="Jacobs and EOS participating in multiple segments of the space value chain"/>
                              <w:tblDescription w:val="Infographic showing the participation of Jacobs and EOS in relevant segments of the space value chain."/>
                            </w:tblPr>
                            <w:tblGrid>
                              <w:gridCol w:w="8798"/>
                            </w:tblGrid>
                            <w:tr w:rsidR="00D37139" w14:paraId="3DF3D490" w14:textId="77777777" w:rsidTr="0054118D">
                              <w:trPr>
                                <w:tblHeader/>
                              </w:trPr>
                              <w:tc>
                                <w:tcPr>
                                  <w:tcW w:w="8940" w:type="dxa"/>
                                  <w:tcBorders>
                                    <w:left w:val="nil"/>
                                    <w:right w:val="nil"/>
                                  </w:tcBorders>
                                </w:tcPr>
                                <w:p w14:paraId="0772109C" w14:textId="20FB6278" w:rsidR="00D37139" w:rsidRDefault="00D37139" w:rsidP="00B4571D">
                                  <w:pPr>
                                    <w:keepNext/>
                                    <w:spacing w:after="120"/>
                                  </w:pPr>
                                  <w:r w:rsidRPr="009978B9">
                                    <w:rPr>
                                      <w:noProof/>
                                      <w:lang w:eastAsia="en-AU"/>
                                    </w:rPr>
                                    <w:drawing>
                                      <wp:inline distT="0" distB="0" distL="0" distR="0" wp14:anchorId="66FD54E8" wp14:editId="12910C0C">
                                        <wp:extent cx="5449676" cy="2194560"/>
                                        <wp:effectExtent l="0" t="0" r="0" b="0"/>
                                        <wp:docPr id="39" name="Picture 39" descr="Infographic showing the participation of Jacobs and EOS in relevant segments of the space value chain.&#10;Jacobs is active in manufacturing and enablers segments and EOS is active in manufacturing, operations and enablers." title="Jacobs and EOS participating in multiple segments of the space value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l="19566" t="14933" r="8418" b="8930"/>
                                                <a:stretch/>
                                              </pic:blipFill>
                                              <pic:spPr bwMode="auto">
                                                <a:xfrm>
                                                  <a:off x="0" y="0"/>
                                                  <a:ext cx="5472022" cy="22035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ADA9DC" w14:textId="77777777" w:rsidR="00D37139" w:rsidRDefault="00D37139" w:rsidP="00B4571D">
                            <w:pPr>
                              <w:spacing w:after="120" w:line="240" w:lineRule="auto"/>
                            </w:pPr>
                          </w:p>
                        </w:txbxContent>
                      </wps:txbx>
                      <wps:bodyPr rot="0" vert="horz" wrap="square" lIns="91440" tIns="45720" rIns="91440" bIns="45720" anchor="t" anchorCtr="0">
                        <a:spAutoFit/>
                      </wps:bodyPr>
                    </wps:wsp>
                  </a:graphicData>
                </a:graphic>
              </wp:inline>
            </w:drawing>
          </mc:Choice>
          <mc:Fallback>
            <w:pict>
              <v:shapetype w14:anchorId="3F135B51" id="_x0000_t202" coordsize="21600,21600" o:spt="202" path="m,l,21600r21600,l21600,xe">
                <v:stroke joinstyle="miter"/>
                <v:path gradientshapeok="t" o:connecttype="rect"/>
              </v:shapetype>
              <v:shape id="Text Box 2" o:spid="_x0000_s1026" type="#_x0000_t202" style="width:452.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" strokecolor="#a6a6a6 [3205]">
                <v:textbox style="mso-fit-shape-to-text:t">
                  <w:txbxContent>
                    <w:p w14:paraId="730EC109" w14:textId="372C73C5" w:rsidR="00D37139" w:rsidRPr="0034394A" w:rsidRDefault="00D37139" w:rsidP="00332308">
                      <w:pPr>
                        <w:pStyle w:val="Caption"/>
                      </w:pPr>
                      <w:r>
                        <w:t xml:space="preserve">Box 1: </w:t>
                      </w:r>
                      <w:r w:rsidRPr="0034394A">
                        <w:t>Prominent global and local firms operating across the value chain</w:t>
                      </w:r>
                    </w:p>
                    <w:p w14:paraId="18106E62" w14:textId="167B679E" w:rsidR="00D37139" w:rsidRDefault="00D37139" w:rsidP="0034394A">
                      <w:pPr>
                        <w:spacing w:after="120" w:line="240" w:lineRule="auto"/>
                      </w:pPr>
                      <w:r>
                        <w:t>Looking across the value chain</w:t>
                      </w:r>
                      <w:r w:rsidRPr="00F74683">
                        <w:t xml:space="preserve">, </w:t>
                      </w:r>
                      <w:r w:rsidRPr="00FA62A9">
                        <w:t xml:space="preserve">Jacobs </w:t>
                      </w:r>
                      <w:r>
                        <w:t>(a US firm) employs</w:t>
                      </w:r>
                      <w:r w:rsidRPr="00FA62A9">
                        <w:t xml:space="preserve"> engineers, technicians, and scientists focused on manufacturing </w:t>
                      </w:r>
                      <w:r>
                        <w:t>and</w:t>
                      </w:r>
                      <w:r w:rsidRPr="00FA62A9">
                        <w:t xml:space="preserve"> professional services </w:t>
                      </w:r>
                      <w:r>
                        <w:t xml:space="preserve">divisions </w:t>
                      </w:r>
                      <w:r w:rsidRPr="00FA62A9">
                        <w:t>relevant to the enabler</w:t>
                      </w:r>
                      <w:r>
                        <w:t xml:space="preserve"> </w:t>
                      </w:r>
                      <w:r w:rsidRPr="00FA62A9">
                        <w:t xml:space="preserve">segment of the value chain. As a result, they are among NASA’s most prominent contractors. </w:t>
                      </w:r>
                    </w:p>
                    <w:p w14:paraId="49675FAC" w14:textId="12370A3F" w:rsidR="00D37139" w:rsidRDefault="00D37139" w:rsidP="0034394A">
                      <w:pPr>
                        <w:spacing w:after="120" w:line="240" w:lineRule="auto"/>
                      </w:pPr>
                      <w:r>
                        <w:t>Locally in Australia, Electro Optic Systems (</w:t>
                      </w:r>
                      <w:r w:rsidRPr="00FA62A9">
                        <w:t>EOS</w:t>
                      </w:r>
                      <w:r>
                        <w:t>)</w:t>
                      </w:r>
                      <w:r w:rsidRPr="00FA62A9">
                        <w:t xml:space="preserve"> straddles the manufacturing, operations, and enabler segments for civil and defence</w:t>
                      </w:r>
                      <w:r>
                        <w:t xml:space="preserve"> space</w:t>
                      </w:r>
                      <w:r w:rsidRPr="00FA62A9">
                        <w:t xml:space="preserve"> purposes.</w:t>
                      </w:r>
                      <w:r>
                        <w:t xml:space="preserve"> EOS provides space situational awareness services like laser tracking of space objects as well as manufacturing lasers and sensors</w:t>
                      </w:r>
                      <w:r w:rsidRPr="007E7A00">
                        <w:t>.</w:t>
                      </w:r>
                      <w:r>
                        <w:t xml:space="preserve"> These technologies are used for defence, space debris management, and satellite communications. Many space sector firms also underpin activities in other sectors. For example, firms such as Optus that specialise in satellite broadband enable a raft of internet-related non-space activities who, in turn, service their own set of consumers and businesses. </w:t>
                      </w:r>
                    </w:p>
                    <w:p w14:paraId="6BDC8F4B" w14:textId="1F8FC10C" w:rsidR="00D37139" w:rsidRDefault="00D37139" w:rsidP="00B4571D">
                      <w:pPr>
                        <w:pStyle w:val="Caption"/>
                        <w:keepNext/>
                      </w:pPr>
                      <w:r>
                        <w:t xml:space="preserve">Exhibit </w:t>
                      </w:r>
                      <w:r w:rsidRPr="007E7A00">
                        <w:t>6</w:t>
                      </w:r>
                      <w:r w:rsidRPr="00C40548">
                        <w:t xml:space="preserve">: </w:t>
                      </w:r>
                      <w:r>
                        <w:t>Jacobs and EOS participating in multiple segments of the space value chain</w:t>
                      </w:r>
                    </w:p>
                    <w:tbl>
                      <w:tblPr>
                        <w:tblStyle w:val="TableGrid"/>
                        <w:tblW w:w="0" w:type="auto"/>
                        <w:tblLook w:val="04A0" w:firstRow="1" w:lastRow="0" w:firstColumn="1" w:lastColumn="0" w:noHBand="0" w:noVBand="1"/>
                        <w:tblCaption w:val="Jacobs and EOS participating in multiple segments of the space value chain"/>
                        <w:tblDescription w:val="Infographic showing the participation of Jacobs and EOS in relevant segments of the space value chain."/>
                      </w:tblPr>
                      <w:tblGrid>
                        <w:gridCol w:w="8798"/>
                      </w:tblGrid>
                      <w:tr w:rsidR="00D37139" w14:paraId="3DF3D490" w14:textId="77777777" w:rsidTr="0054118D">
                        <w:trPr>
                          <w:tblHeader/>
                        </w:trPr>
                        <w:tc>
                          <w:tcPr>
                            <w:tcW w:w="8940" w:type="dxa"/>
                            <w:tcBorders>
                              <w:left w:val="nil"/>
                              <w:right w:val="nil"/>
                            </w:tcBorders>
                          </w:tcPr>
                          <w:p w14:paraId="0772109C" w14:textId="20FB6278" w:rsidR="00D37139" w:rsidRDefault="00D37139" w:rsidP="00B4571D">
                            <w:pPr>
                              <w:keepNext/>
                              <w:spacing w:after="120"/>
                            </w:pPr>
                            <w:r w:rsidRPr="009978B9">
                              <w:rPr>
                                <w:noProof/>
                                <w:lang w:eastAsia="en-AU"/>
                              </w:rPr>
                              <w:drawing>
                                <wp:inline distT="0" distB="0" distL="0" distR="0" wp14:anchorId="66FD54E8" wp14:editId="12910C0C">
                                  <wp:extent cx="5449676" cy="2194560"/>
                                  <wp:effectExtent l="0" t="0" r="0" b="0"/>
                                  <wp:docPr id="39" name="Picture 39" descr="Infographic showing the participation of Jacobs and EOS in relevant segments of the space value chain.&#10;Jacobs is active in manufacturing and enablers segments and EOS is active in manufacturing, operations and enablers." title="Jacobs and EOS participating in multiple segments of the space value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l="19566" t="14933" r="8418" b="8930"/>
                                          <a:stretch/>
                                        </pic:blipFill>
                                        <pic:spPr bwMode="auto">
                                          <a:xfrm>
                                            <a:off x="0" y="0"/>
                                            <a:ext cx="5472022" cy="22035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ADA9DC" w14:textId="77777777" w:rsidR="00D37139" w:rsidRDefault="00D37139" w:rsidP="00B4571D">
                      <w:pPr>
                        <w:spacing w:after="120" w:line="240" w:lineRule="auto"/>
                      </w:pPr>
                    </w:p>
                  </w:txbxContent>
                </v:textbox>
                <w10:anchorlock/>
              </v:shape>
            </w:pict>
          </mc:Fallback>
        </mc:AlternateContent>
      </w:r>
      <w:r w:rsidR="001A1DD4">
        <w:br w:type="page"/>
      </w:r>
    </w:p>
    <w:p w14:paraId="10F54E0F" w14:textId="51389026" w:rsidR="00F74AD8" w:rsidRDefault="00C1256C" w:rsidP="007B1B80">
      <w:pPr>
        <w:pStyle w:val="Heading1"/>
      </w:pPr>
      <w:bookmarkStart w:id="70" w:name="_Toc46256306"/>
      <w:bookmarkStart w:id="71" w:name="_Toc46256553"/>
      <w:bookmarkStart w:id="72" w:name="_Toc46301231"/>
      <w:bookmarkStart w:id="73" w:name="_Toc46321696"/>
      <w:bookmarkStart w:id="74" w:name="_Toc46321229"/>
      <w:bookmarkStart w:id="75" w:name="_Toc46323329"/>
      <w:bookmarkStart w:id="76" w:name="_Toc46256307"/>
      <w:bookmarkStart w:id="77" w:name="_Toc46256554"/>
      <w:bookmarkStart w:id="78" w:name="_Toc46301232"/>
      <w:bookmarkStart w:id="79" w:name="_Toc46321697"/>
      <w:bookmarkStart w:id="80" w:name="_Toc46321230"/>
      <w:bookmarkStart w:id="81" w:name="_Toc46323330"/>
      <w:bookmarkStart w:id="82" w:name="_Toc46256308"/>
      <w:bookmarkStart w:id="83" w:name="_Toc46256555"/>
      <w:bookmarkStart w:id="84" w:name="_Toc46301233"/>
      <w:bookmarkStart w:id="85" w:name="_Toc46321698"/>
      <w:bookmarkStart w:id="86" w:name="_Toc46321231"/>
      <w:bookmarkStart w:id="87" w:name="_Toc46323331"/>
      <w:bookmarkStart w:id="88" w:name="_Toc46256309"/>
      <w:bookmarkStart w:id="89" w:name="_Toc46256556"/>
      <w:bookmarkStart w:id="90" w:name="_Toc46301234"/>
      <w:bookmarkStart w:id="91" w:name="_Toc46321699"/>
      <w:bookmarkStart w:id="92" w:name="_Toc46321232"/>
      <w:bookmarkStart w:id="93" w:name="_Toc46323332"/>
      <w:bookmarkStart w:id="94" w:name="_Toc46256310"/>
      <w:bookmarkStart w:id="95" w:name="_Toc46256557"/>
      <w:bookmarkStart w:id="96" w:name="_Toc46301235"/>
      <w:bookmarkStart w:id="97" w:name="_Toc46321700"/>
      <w:bookmarkStart w:id="98" w:name="_Toc46321233"/>
      <w:bookmarkStart w:id="99" w:name="_Toc46323333"/>
      <w:bookmarkStart w:id="100" w:name="_Toc46256311"/>
      <w:bookmarkStart w:id="101" w:name="_Toc46256558"/>
      <w:bookmarkStart w:id="102" w:name="_Toc46301236"/>
      <w:bookmarkStart w:id="103" w:name="_Toc46321701"/>
      <w:bookmarkStart w:id="104" w:name="_Toc46321234"/>
      <w:bookmarkStart w:id="105" w:name="_Toc46323334"/>
      <w:bookmarkStart w:id="106" w:name="_Toc46256312"/>
      <w:bookmarkStart w:id="107" w:name="_Toc46256559"/>
      <w:bookmarkStart w:id="108" w:name="_Toc46301237"/>
      <w:bookmarkStart w:id="109" w:name="_Toc46321702"/>
      <w:bookmarkStart w:id="110" w:name="_Toc46321235"/>
      <w:bookmarkStart w:id="111" w:name="_Toc46323335"/>
      <w:bookmarkStart w:id="112" w:name="_Toc46256313"/>
      <w:bookmarkStart w:id="113" w:name="_Toc46256560"/>
      <w:bookmarkStart w:id="114" w:name="_Toc46301238"/>
      <w:bookmarkStart w:id="115" w:name="_Toc46321703"/>
      <w:bookmarkStart w:id="116" w:name="_Toc46321236"/>
      <w:bookmarkStart w:id="117" w:name="_Toc46323336"/>
      <w:bookmarkStart w:id="118" w:name="_Toc46256314"/>
      <w:bookmarkStart w:id="119" w:name="_Toc46256561"/>
      <w:bookmarkStart w:id="120" w:name="_Toc46301239"/>
      <w:bookmarkStart w:id="121" w:name="_Toc46321704"/>
      <w:bookmarkStart w:id="122" w:name="_Toc46321237"/>
      <w:bookmarkStart w:id="123" w:name="_Toc46323337"/>
      <w:bookmarkStart w:id="124" w:name="_Toc46256315"/>
      <w:bookmarkStart w:id="125" w:name="_Toc46256562"/>
      <w:bookmarkStart w:id="126" w:name="_Toc46301240"/>
      <w:bookmarkStart w:id="127" w:name="_Toc46321705"/>
      <w:bookmarkStart w:id="128" w:name="_Toc46321238"/>
      <w:bookmarkStart w:id="129" w:name="_Toc46323338"/>
      <w:bookmarkStart w:id="130" w:name="_Toc46256316"/>
      <w:bookmarkStart w:id="131" w:name="_Toc46256563"/>
      <w:bookmarkStart w:id="132" w:name="_Toc46301241"/>
      <w:bookmarkStart w:id="133" w:name="_Toc46321706"/>
      <w:bookmarkStart w:id="134" w:name="_Toc46321239"/>
      <w:bookmarkStart w:id="135" w:name="_Toc46323339"/>
      <w:bookmarkStart w:id="136" w:name="_Toc46256317"/>
      <w:bookmarkStart w:id="137" w:name="_Toc46256564"/>
      <w:bookmarkStart w:id="138" w:name="_Toc46301242"/>
      <w:bookmarkStart w:id="139" w:name="_Toc46321707"/>
      <w:bookmarkStart w:id="140" w:name="_Toc46321240"/>
      <w:bookmarkStart w:id="141" w:name="_Toc46323340"/>
      <w:bookmarkStart w:id="142" w:name="_Toc46321708"/>
      <w:bookmarkStart w:id="143" w:name="_Toc49366197"/>
      <w:bookmarkStart w:id="144" w:name="_Toc6271913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036720">
        <w:rPr>
          <w:color w:val="002060" w:themeColor="text2"/>
        </w:rPr>
        <w:lastRenderedPageBreak/>
        <w:t>A</w:t>
      </w:r>
      <w:r w:rsidR="004D0C98" w:rsidRPr="00036720">
        <w:rPr>
          <w:caps w:val="0"/>
          <w:color w:val="002060" w:themeColor="text2"/>
        </w:rPr>
        <w:t>ustralia</w:t>
      </w:r>
      <w:r w:rsidR="0040471F" w:rsidRPr="00036720">
        <w:rPr>
          <w:color w:val="002060" w:themeColor="text2"/>
        </w:rPr>
        <w:t>’</w:t>
      </w:r>
      <w:r w:rsidR="004D0C98">
        <w:rPr>
          <w:caps w:val="0"/>
        </w:rPr>
        <w:t xml:space="preserve">s space sector is </w:t>
      </w:r>
      <w:r w:rsidR="004D0C98" w:rsidRPr="007B1B80">
        <w:rPr>
          <w:caps w:val="0"/>
        </w:rPr>
        <w:t>expanding</w:t>
      </w:r>
      <w:r w:rsidR="004D0C98">
        <w:rPr>
          <w:caps w:val="0"/>
        </w:rPr>
        <w:t xml:space="preserve"> quickly and developing </w:t>
      </w:r>
      <w:r w:rsidR="004D0C98" w:rsidRPr="007D7659">
        <w:rPr>
          <w:caps w:val="0"/>
        </w:rPr>
        <w:t>distinctive</w:t>
      </w:r>
      <w:r w:rsidR="0040471F">
        <w:t xml:space="preserve"> </w:t>
      </w:r>
      <w:r w:rsidR="004D0C98" w:rsidRPr="00BE78BF">
        <w:rPr>
          <w:caps w:val="0"/>
        </w:rPr>
        <w:t>capabilities</w:t>
      </w:r>
      <w:bookmarkEnd w:id="142"/>
      <w:bookmarkEnd w:id="143"/>
      <w:bookmarkEnd w:id="144"/>
    </w:p>
    <w:p w14:paraId="2DC06001" w14:textId="6D1C9E24" w:rsidR="00BB7613" w:rsidRPr="00C93591" w:rsidRDefault="004060E0" w:rsidP="00023422">
      <w:pPr>
        <w:pStyle w:val="ChapterSummary"/>
      </w:pPr>
      <w:bookmarkStart w:id="145" w:name="_Toc46321709"/>
      <w:r>
        <w:rPr>
          <w:lang w:val="en-US"/>
        </w:rPr>
        <w:t>Australian</w:t>
      </w:r>
      <w:r w:rsidR="00A12320">
        <w:rPr>
          <w:lang w:val="en-US"/>
        </w:rPr>
        <w:t xml:space="preserve"> </w:t>
      </w:r>
      <w:r w:rsidR="00541E3E">
        <w:rPr>
          <w:lang w:val="en-US"/>
        </w:rPr>
        <w:t xml:space="preserve">civil </w:t>
      </w:r>
      <w:r w:rsidR="00A12320">
        <w:rPr>
          <w:lang w:val="en-US"/>
        </w:rPr>
        <w:t>space</w:t>
      </w:r>
      <w:r>
        <w:rPr>
          <w:lang w:val="en-US"/>
        </w:rPr>
        <w:t xml:space="preserve"> sector </w:t>
      </w:r>
      <w:r w:rsidR="00AC76DC">
        <w:rPr>
          <w:lang w:val="en-US"/>
        </w:rPr>
        <w:t xml:space="preserve">revenue </w:t>
      </w:r>
      <w:r w:rsidR="000F379D">
        <w:rPr>
          <w:lang w:val="en-US"/>
        </w:rPr>
        <w:t xml:space="preserve">in 2019 </w:t>
      </w:r>
      <w:r w:rsidR="00AC76DC">
        <w:rPr>
          <w:lang w:val="en-US"/>
        </w:rPr>
        <w:t>is estimated at $4.8</w:t>
      </w:r>
      <w:r w:rsidR="00BA70EA">
        <w:rPr>
          <w:lang w:val="en-US"/>
        </w:rPr>
        <w:t xml:space="preserve"> </w:t>
      </w:r>
      <w:r w:rsidR="00AC76DC">
        <w:rPr>
          <w:lang w:val="en-US"/>
        </w:rPr>
        <w:t>b</w:t>
      </w:r>
      <w:r w:rsidR="00BA70EA">
        <w:rPr>
          <w:lang w:val="en-US"/>
        </w:rPr>
        <w:t>illio</w:t>
      </w:r>
      <w:r w:rsidR="00AC76DC">
        <w:rPr>
          <w:lang w:val="en-US"/>
        </w:rPr>
        <w:t xml:space="preserve">n </w:t>
      </w:r>
      <w:r w:rsidR="000F379D">
        <w:rPr>
          <w:lang w:val="en-US"/>
        </w:rPr>
        <w:t xml:space="preserve">– equivalent to </w:t>
      </w:r>
      <w:r w:rsidR="00F724A1">
        <w:rPr>
          <w:lang w:val="en-US"/>
        </w:rPr>
        <w:t>0.</w:t>
      </w:r>
      <w:r w:rsidR="006157EE">
        <w:rPr>
          <w:lang w:val="en-US"/>
        </w:rPr>
        <w:t>25</w:t>
      </w:r>
      <w:r w:rsidR="00F724A1">
        <w:rPr>
          <w:lang w:val="en-US"/>
        </w:rPr>
        <w:t xml:space="preserve"> per cent of GDP and </w:t>
      </w:r>
      <w:r w:rsidR="00044E6D">
        <w:rPr>
          <w:lang w:val="en-US"/>
        </w:rPr>
        <w:t>about 20 per cent smaller than</w:t>
      </w:r>
      <w:r w:rsidR="00F724A1">
        <w:rPr>
          <w:lang w:val="en-US"/>
        </w:rPr>
        <w:t xml:space="preserve"> Canada’s</w:t>
      </w:r>
      <w:r w:rsidR="00044E6D">
        <w:rPr>
          <w:lang w:val="en-US"/>
        </w:rPr>
        <w:t xml:space="preserve"> space sector by revenue</w:t>
      </w:r>
      <w:r w:rsidR="00F724A1">
        <w:rPr>
          <w:lang w:val="en-US"/>
        </w:rPr>
        <w:t>.</w:t>
      </w:r>
      <w:r w:rsidR="000F379D">
        <w:rPr>
          <w:lang w:val="en-US"/>
        </w:rPr>
        <w:t xml:space="preserve"> </w:t>
      </w:r>
      <w:r w:rsidR="005307B7" w:rsidRPr="005307B7">
        <w:t>Most of Australia’s</w:t>
      </w:r>
      <w:r w:rsidR="005307B7">
        <w:t xml:space="preserve"> space</w:t>
      </w:r>
      <w:r w:rsidR="005307B7" w:rsidRPr="005307B7">
        <w:t xml:space="preserve"> firms are concentrated in the enabler and applications segments</w:t>
      </w:r>
      <w:r w:rsidR="005307B7">
        <w:t xml:space="preserve"> which require</w:t>
      </w:r>
      <w:r w:rsidR="005307B7" w:rsidRPr="005307B7">
        <w:t xml:space="preserve"> relatively high-skilled, service-intensive jobs</w:t>
      </w:r>
      <w:r w:rsidR="005307B7">
        <w:t xml:space="preserve">, </w:t>
      </w:r>
      <w:r w:rsidR="005307B7" w:rsidRPr="005307B7">
        <w:t>reflect</w:t>
      </w:r>
      <w:r w:rsidR="00C11117">
        <w:t>ing</w:t>
      </w:r>
      <w:r w:rsidR="005307B7" w:rsidRPr="005307B7">
        <w:t xml:space="preserve"> the structure of the overall Australian economy.</w:t>
      </w:r>
      <w:r w:rsidR="00E139AB">
        <w:t xml:space="preserve"> </w:t>
      </w:r>
      <w:r w:rsidR="00C11117">
        <w:t xml:space="preserve">There are </w:t>
      </w:r>
      <w:r w:rsidR="00913C8F">
        <w:t xml:space="preserve">opportunities </w:t>
      </w:r>
      <w:r w:rsidR="00C11117">
        <w:t>for many</w:t>
      </w:r>
      <w:r w:rsidR="00913C8F">
        <w:t xml:space="preserve"> Australian firms</w:t>
      </w:r>
      <w:r w:rsidR="00C11117">
        <w:t xml:space="preserve"> </w:t>
      </w:r>
      <w:r w:rsidR="008B6540">
        <w:t>with suitable</w:t>
      </w:r>
      <w:r w:rsidR="00C11117">
        <w:t xml:space="preserve"> capabilities to enter the sector, especially </w:t>
      </w:r>
      <w:r w:rsidR="001A255A">
        <w:t>in areas such as manufacturing which are currentl</w:t>
      </w:r>
      <w:r w:rsidR="007864AA">
        <w:t>y smaller in Australia than global averages.</w:t>
      </w:r>
    </w:p>
    <w:p w14:paraId="482FD5F0" w14:textId="4541E17A" w:rsidR="002E5B03" w:rsidRDefault="00B60B87" w:rsidP="00BE78BF">
      <w:pPr>
        <w:pStyle w:val="Heading2"/>
      </w:pPr>
      <w:bookmarkStart w:id="146" w:name="_Toc49366198"/>
      <w:bookmarkStart w:id="147" w:name="_Toc62719133"/>
      <w:r>
        <w:t xml:space="preserve">The Australian space </w:t>
      </w:r>
      <w:r w:rsidRPr="007D7659">
        <w:t>sector</w:t>
      </w:r>
      <w:r>
        <w:t xml:space="preserve"> is</w:t>
      </w:r>
      <w:r w:rsidR="00C95D79">
        <w:t xml:space="preserve"> worth $</w:t>
      </w:r>
      <w:r w:rsidR="00AE786A">
        <w:t>4.8</w:t>
      </w:r>
      <w:r w:rsidR="00C95D79">
        <w:t xml:space="preserve"> billion and </w:t>
      </w:r>
      <w:r>
        <w:t xml:space="preserve">growing more </w:t>
      </w:r>
      <w:r w:rsidRPr="00BE78BF">
        <w:t>quickly</w:t>
      </w:r>
      <w:r>
        <w:t xml:space="preserve"> than its peers</w:t>
      </w:r>
      <w:bookmarkEnd w:id="145"/>
      <w:bookmarkEnd w:id="146"/>
      <w:bookmarkEnd w:id="147"/>
    </w:p>
    <w:p w14:paraId="6E2F2E47" w14:textId="253DCEE2" w:rsidR="00F3229F" w:rsidRDefault="0026382C" w:rsidP="00C308D0">
      <w:pPr>
        <w:spacing w:after="120" w:line="240" w:lineRule="auto"/>
      </w:pPr>
      <w:r>
        <w:t>Sector r</w:t>
      </w:r>
      <w:r w:rsidR="0022098C">
        <w:t xml:space="preserve">evenue </w:t>
      </w:r>
      <w:r w:rsidR="002D69F3">
        <w:t xml:space="preserve">for Australia’s space sector is </w:t>
      </w:r>
      <w:r>
        <w:t xml:space="preserve">estimated to be $4.8 </w:t>
      </w:r>
      <w:r w:rsidR="00230D09">
        <w:t>billion</w:t>
      </w:r>
      <w:r w:rsidR="002D69F3">
        <w:t xml:space="preserve"> as of 2019</w:t>
      </w:r>
      <w:r w:rsidR="00F03546">
        <w:t>.</w:t>
      </w:r>
      <w:r w:rsidR="00692979">
        <w:rPr>
          <w:rStyle w:val="FootnoteReference"/>
        </w:rPr>
        <w:footnoteReference w:id="27"/>
      </w:r>
      <w:r w:rsidR="00F03546">
        <w:t xml:space="preserve"> </w:t>
      </w:r>
      <w:r w:rsidR="0075751D">
        <w:t>Australia’s space secto</w:t>
      </w:r>
      <w:r w:rsidR="00117873">
        <w:t xml:space="preserve">r </w:t>
      </w:r>
      <w:r w:rsidR="00E745E0">
        <w:t>is similarly sized to Canada’s</w:t>
      </w:r>
      <w:r w:rsidR="00830075">
        <w:t xml:space="preserve"> and</w:t>
      </w:r>
      <w:r w:rsidR="001472AC">
        <w:t xml:space="preserve"> </w:t>
      </w:r>
      <w:r w:rsidR="005E69F1">
        <w:t>is equivalent to</w:t>
      </w:r>
      <w:r w:rsidR="001472AC">
        <w:t xml:space="preserve"> 0.</w:t>
      </w:r>
      <w:r w:rsidR="00371F2C">
        <w:t>25</w:t>
      </w:r>
      <w:r w:rsidR="00426A2E" w:rsidRPr="00426A2E">
        <w:t xml:space="preserve"> per cent</w:t>
      </w:r>
      <w:r w:rsidR="001472AC">
        <w:t xml:space="preserve"> of</w:t>
      </w:r>
      <w:r w:rsidR="00830075">
        <w:t xml:space="preserve"> Australian</w:t>
      </w:r>
      <w:r w:rsidR="001472AC">
        <w:t xml:space="preserve"> GDP</w:t>
      </w:r>
      <w:r w:rsidR="00E745E0">
        <w:t xml:space="preserve"> </w:t>
      </w:r>
      <w:r w:rsidR="00E745E0" w:rsidRPr="00990128">
        <w:rPr>
          <w:b/>
          <w:bCs/>
        </w:rPr>
        <w:t>(</w:t>
      </w:r>
      <w:r w:rsidR="000C4EA8">
        <w:rPr>
          <w:b/>
          <w:bCs/>
        </w:rPr>
        <w:t>Exhibit 7</w:t>
      </w:r>
      <w:r w:rsidR="00E745E0" w:rsidRPr="00990128">
        <w:rPr>
          <w:b/>
          <w:bCs/>
        </w:rPr>
        <w:t>)</w:t>
      </w:r>
      <w:r w:rsidR="00E745E0">
        <w:t>.</w:t>
      </w:r>
    </w:p>
    <w:p w14:paraId="126AD36C" w14:textId="77777777" w:rsidR="005E69F1" w:rsidRDefault="00DF1A3E" w:rsidP="001A46F2">
      <w:pPr>
        <w:spacing w:after="120" w:line="240" w:lineRule="auto"/>
      </w:pPr>
      <w:r>
        <w:t xml:space="preserve">As an emerging industry, </w:t>
      </w:r>
      <w:r w:rsidR="00795223">
        <w:t xml:space="preserve">the </w:t>
      </w:r>
      <w:r>
        <w:t>g</w:t>
      </w:r>
      <w:r w:rsidR="006E4956">
        <w:t xml:space="preserve">rowth </w:t>
      </w:r>
      <w:r w:rsidR="00795223">
        <w:t xml:space="preserve">rate </w:t>
      </w:r>
      <w:r w:rsidR="006E4956">
        <w:t xml:space="preserve">of the </w:t>
      </w:r>
      <w:r w:rsidR="00990128">
        <w:t>Australia</w:t>
      </w:r>
      <w:r w:rsidR="006E4956">
        <w:t>n</w:t>
      </w:r>
      <w:r w:rsidR="00990128">
        <w:t xml:space="preserve"> space sector</w:t>
      </w:r>
      <w:r w:rsidR="009D03AD">
        <w:t xml:space="preserve"> is difficult to </w:t>
      </w:r>
      <w:r w:rsidR="00FA6FDB">
        <w:t>quantify</w:t>
      </w:r>
      <w:r>
        <w:t xml:space="preserve"> due to limited</w:t>
      </w:r>
      <w:r w:rsidR="00AE5915">
        <w:t>, consistent historical</w:t>
      </w:r>
      <w:r>
        <w:t xml:space="preserve"> data</w:t>
      </w:r>
      <w:r w:rsidR="00795223">
        <w:t xml:space="preserve">. </w:t>
      </w:r>
      <w:r w:rsidR="00AE5915">
        <w:t>Several</w:t>
      </w:r>
      <w:r w:rsidR="00795223">
        <w:t xml:space="preserve"> sources </w:t>
      </w:r>
      <w:r w:rsidR="00AE5915">
        <w:t xml:space="preserve">have </w:t>
      </w:r>
      <w:r w:rsidR="00795223">
        <w:t>estimate</w:t>
      </w:r>
      <w:r w:rsidR="00AE5915">
        <w:t>d</w:t>
      </w:r>
      <w:r w:rsidR="00795223">
        <w:t xml:space="preserve"> that Australia’s space sector growth </w:t>
      </w:r>
      <w:r w:rsidR="006E4956">
        <w:t>has far outstripped its international peers</w:t>
      </w:r>
      <w:r w:rsidR="00AE5915">
        <w:t>, but the estimates of the actual rate of growth vary significantly</w:t>
      </w:r>
      <w:r w:rsidR="006E4956">
        <w:t>.</w:t>
      </w:r>
      <w:r w:rsidR="00950154">
        <w:t xml:space="preserve"> </w:t>
      </w:r>
      <w:r w:rsidR="00265775">
        <w:t xml:space="preserve">For example, </w:t>
      </w:r>
      <w:r w:rsidR="000B5AEE">
        <w:t xml:space="preserve">Canada’s space sector grew only 1 per cent </w:t>
      </w:r>
      <w:r w:rsidR="000B5AEE" w:rsidRPr="00426A2E">
        <w:t xml:space="preserve">per </w:t>
      </w:r>
      <w:r w:rsidR="000B5AEE">
        <w:t xml:space="preserve">year in the four years to 2018, while the UK’s space sector grew 3 per cent </w:t>
      </w:r>
      <w:r w:rsidR="000B5AEE" w:rsidRPr="00426A2E">
        <w:t xml:space="preserve">per </w:t>
      </w:r>
      <w:r w:rsidR="000B5AEE">
        <w:t>year in the two years to 2017.</w:t>
      </w:r>
      <w:r w:rsidR="000B5AEE">
        <w:rPr>
          <w:rStyle w:val="FootnoteReference"/>
        </w:rPr>
        <w:footnoteReference w:id="28"/>
      </w:r>
      <w:r w:rsidR="000B5AEE">
        <w:t xml:space="preserve"> </w:t>
      </w:r>
      <w:r w:rsidR="00AE5915">
        <w:t>By</w:t>
      </w:r>
      <w:r w:rsidR="000B5AEE">
        <w:t xml:space="preserve"> comparison, </w:t>
      </w:r>
      <w:r w:rsidR="00265775">
        <w:t>a</w:t>
      </w:r>
      <w:r w:rsidR="00C2615A" w:rsidRPr="00C2615A">
        <w:t xml:space="preserve"> survey of </w:t>
      </w:r>
      <w:r w:rsidR="005F7990">
        <w:t>128</w:t>
      </w:r>
      <w:r w:rsidR="00C2615A" w:rsidRPr="00C2615A">
        <w:t xml:space="preserve"> Aus</w:t>
      </w:r>
      <w:r w:rsidR="00406645">
        <w:t>tralian</w:t>
      </w:r>
      <w:r w:rsidR="00C2615A" w:rsidRPr="00C2615A">
        <w:t xml:space="preserve"> space sector</w:t>
      </w:r>
      <w:r w:rsidR="00A7191E">
        <w:t xml:space="preserve"> firms, 80 per cent of whom are</w:t>
      </w:r>
      <w:r w:rsidR="00B64D2B">
        <w:t xml:space="preserve"> </w:t>
      </w:r>
      <w:r w:rsidR="00AE5915">
        <w:t>SMEs</w:t>
      </w:r>
      <w:r w:rsidR="00A7191E">
        <w:t>,</w:t>
      </w:r>
      <w:r w:rsidR="00AE5915">
        <w:t xml:space="preserve"> </w:t>
      </w:r>
      <w:r w:rsidR="005E69F1">
        <w:t xml:space="preserve">by the Nous Group </w:t>
      </w:r>
      <w:r w:rsidR="00C2615A" w:rsidRPr="00C2615A">
        <w:t xml:space="preserve">found that revenue from space-related activities grew by 17 per cent </w:t>
      </w:r>
      <w:r w:rsidR="00265775">
        <w:t>per year</w:t>
      </w:r>
      <w:r w:rsidR="00C2615A" w:rsidRPr="00C2615A">
        <w:t xml:space="preserve"> </w:t>
      </w:r>
      <w:r w:rsidR="004805EB">
        <w:t>since the establishment of the Agency,</w:t>
      </w:r>
      <w:r w:rsidR="004805EB" w:rsidRPr="00C2615A">
        <w:t xml:space="preserve"> </w:t>
      </w:r>
      <w:r w:rsidR="00C2615A" w:rsidRPr="00C2615A">
        <w:t>between FY</w:t>
      </w:r>
      <w:r w:rsidR="0050205F">
        <w:t>20</w:t>
      </w:r>
      <w:r w:rsidR="00C2615A" w:rsidRPr="00C2615A">
        <w:t>16</w:t>
      </w:r>
      <w:r w:rsidR="0050205F">
        <w:noBreakHyphen/>
      </w:r>
      <w:r w:rsidR="00C2615A" w:rsidRPr="00C2615A">
        <w:t>17 and FY</w:t>
      </w:r>
      <w:r w:rsidR="0050205F">
        <w:t>20</w:t>
      </w:r>
      <w:r w:rsidR="00C2615A" w:rsidRPr="00C2615A">
        <w:t>18</w:t>
      </w:r>
      <w:r w:rsidR="0050205F">
        <w:t>-</w:t>
      </w:r>
      <w:r w:rsidR="00C2615A" w:rsidRPr="00C2615A">
        <w:t>19.</w:t>
      </w:r>
      <w:r w:rsidR="00A93C83">
        <w:rPr>
          <w:rStyle w:val="FootnoteReference"/>
        </w:rPr>
        <w:footnoteReference w:id="29"/>
      </w:r>
      <w:r w:rsidR="00D21663">
        <w:t xml:space="preserve"> For comparison, the rate of overall economic growth</w:t>
      </w:r>
      <w:r w:rsidR="0050205F">
        <w:t xml:space="preserve"> in Australia</w:t>
      </w:r>
      <w:r w:rsidR="00D21663">
        <w:t xml:space="preserve"> over this same time period was 4.9 per cent.</w:t>
      </w:r>
      <w:r w:rsidR="00D21663">
        <w:rPr>
          <w:rStyle w:val="FootnoteReference"/>
        </w:rPr>
        <w:footnoteReference w:id="30"/>
      </w:r>
      <w:r w:rsidR="00C2615A" w:rsidRPr="00C2615A">
        <w:t xml:space="preserve"> </w:t>
      </w:r>
    </w:p>
    <w:p w14:paraId="179DE201" w14:textId="1FAE9327" w:rsidR="005E69F1" w:rsidRDefault="005315AA" w:rsidP="001A46F2">
      <w:pPr>
        <w:spacing w:after="120" w:line="240" w:lineRule="auto"/>
      </w:pPr>
      <w:r>
        <w:t>SMEs tend to be hubs of innovation and have faster growth rates than more established firms</w:t>
      </w:r>
      <w:r w:rsidR="004F160A">
        <w:t xml:space="preserve">. Major employers in space applications, </w:t>
      </w:r>
      <w:r w:rsidR="00026ABA">
        <w:t>including</w:t>
      </w:r>
      <w:r w:rsidR="004F160A">
        <w:t xml:space="preserve"> major telecommunications firms Telstra</w:t>
      </w:r>
      <w:r w:rsidR="0042484A">
        <w:t xml:space="preserve"> and Optus</w:t>
      </w:r>
      <w:r w:rsidR="004F160A">
        <w:t xml:space="preserve">, </w:t>
      </w:r>
      <w:r w:rsidR="001647B0">
        <w:t>have</w:t>
      </w:r>
      <w:r w:rsidR="000854A6">
        <w:t xml:space="preserve"> </w:t>
      </w:r>
      <w:r w:rsidR="00FD507C">
        <w:t>experienced fluctuating revenue</w:t>
      </w:r>
      <w:r w:rsidR="000B580C">
        <w:t>s over the past few years due to a combination of commercial and technological factors</w:t>
      </w:r>
      <w:r w:rsidR="00EE1F3A">
        <w:t xml:space="preserve">, as </w:t>
      </w:r>
      <w:r w:rsidR="001E34D1">
        <w:t xml:space="preserve">competition intensifies and </w:t>
      </w:r>
      <w:r w:rsidR="00B462EE">
        <w:t xml:space="preserve">the sector </w:t>
      </w:r>
      <w:r w:rsidR="0009174A">
        <w:t>continues to develop</w:t>
      </w:r>
      <w:r w:rsidR="00973712">
        <w:t xml:space="preserve">. This drags on overall space sector </w:t>
      </w:r>
      <w:r w:rsidR="00162541">
        <w:t>growth</w:t>
      </w:r>
      <w:r w:rsidR="00973712">
        <w:t xml:space="preserve">. </w:t>
      </w:r>
    </w:p>
    <w:p w14:paraId="230F4EAF" w14:textId="08ED6DE7" w:rsidR="004C0553" w:rsidRDefault="001F0C27" w:rsidP="001A46F2">
      <w:pPr>
        <w:spacing w:after="120" w:line="240" w:lineRule="auto"/>
      </w:pPr>
      <w:r>
        <w:t xml:space="preserve">A longer term </w:t>
      </w:r>
      <w:r w:rsidR="00BF25FA">
        <w:t>report on the space sector, titled</w:t>
      </w:r>
      <w:r w:rsidR="00823B2C">
        <w:t xml:space="preserve"> </w:t>
      </w:r>
      <w:r w:rsidR="00CC4758" w:rsidRPr="00947A8A">
        <w:rPr>
          <w:i/>
          <w:iCs/>
        </w:rPr>
        <w:t xml:space="preserve">Satellite Communications and Astronautics in </w:t>
      </w:r>
      <w:r w:rsidR="00CC4758" w:rsidRPr="007E7A00">
        <w:rPr>
          <w:i/>
          <w:iCs/>
        </w:rPr>
        <w:t>Austral</w:t>
      </w:r>
      <w:r w:rsidR="00CC4758" w:rsidRPr="00616771">
        <w:rPr>
          <w:i/>
          <w:iCs/>
        </w:rPr>
        <w:t>ia</w:t>
      </w:r>
      <w:r w:rsidR="00CC4758" w:rsidRPr="00616771">
        <w:t xml:space="preserve"> </w:t>
      </w:r>
      <w:r w:rsidR="00AE5915" w:rsidRPr="00616771">
        <w:t xml:space="preserve">by </w:t>
      </w:r>
      <w:r w:rsidR="006D3871" w:rsidRPr="00616771">
        <w:t>IBISWorld</w:t>
      </w:r>
      <w:r w:rsidR="00BF25FA" w:rsidRPr="00616771">
        <w:t>,</w:t>
      </w:r>
      <w:r w:rsidR="00AE5915" w:rsidRPr="00616771">
        <w:t xml:space="preserve"> </w:t>
      </w:r>
      <w:r w:rsidR="00EC0ABF" w:rsidRPr="00616771">
        <w:t>estimate</w:t>
      </w:r>
      <w:r w:rsidR="00CC4758" w:rsidRPr="00616771">
        <w:t>s</w:t>
      </w:r>
      <w:r w:rsidR="00EC0ABF" w:rsidRPr="00616771">
        <w:t xml:space="preserve"> an annual growth rate of </w:t>
      </w:r>
      <w:r w:rsidR="00FA6FDB" w:rsidRPr="00616771">
        <w:t>8</w:t>
      </w:r>
      <w:r w:rsidR="00107A7D" w:rsidRPr="00616771">
        <w:t xml:space="preserve"> per cent</w:t>
      </w:r>
      <w:r w:rsidRPr="00616771">
        <w:t xml:space="preserve"> </w:t>
      </w:r>
      <w:r w:rsidR="00FA6FDB" w:rsidRPr="00616771">
        <w:t>between 2015 and 202</w:t>
      </w:r>
      <w:r w:rsidR="006836EC" w:rsidRPr="00616771">
        <w:t>0</w:t>
      </w:r>
      <w:r w:rsidR="00532BE4" w:rsidRPr="00616771">
        <w:t>.</w:t>
      </w:r>
      <w:r w:rsidR="00BF25FA" w:rsidRPr="00616771">
        <w:rPr>
          <w:rStyle w:val="FootnoteReference"/>
        </w:rPr>
        <w:footnoteReference w:id="31"/>
      </w:r>
      <w:r w:rsidR="00532BE4" w:rsidRPr="00616771">
        <w:t xml:space="preserve"> </w:t>
      </w:r>
      <w:r w:rsidR="00DD4244" w:rsidRPr="00616771">
        <w:t xml:space="preserve">The authors </w:t>
      </w:r>
      <w:r w:rsidR="003848F6" w:rsidRPr="00616771">
        <w:t>conside</w:t>
      </w:r>
      <w:r w:rsidR="00DD4244" w:rsidRPr="00616771">
        <w:t>r</w:t>
      </w:r>
      <w:r w:rsidR="003848F6" w:rsidRPr="00616771">
        <w:t xml:space="preserve"> the </w:t>
      </w:r>
      <w:r w:rsidR="00DD4244">
        <w:t xml:space="preserve">sector </w:t>
      </w:r>
      <w:r w:rsidR="003848F6">
        <w:t xml:space="preserve">to be in </w:t>
      </w:r>
      <w:r w:rsidR="009B1B62">
        <w:t>the</w:t>
      </w:r>
      <w:r w:rsidR="003848F6">
        <w:t xml:space="preserve"> growth </w:t>
      </w:r>
      <w:r w:rsidR="009B1B62">
        <w:t>stage of its lifecycle</w:t>
      </w:r>
      <w:r w:rsidR="00C304D8">
        <w:t xml:space="preserve"> as a result of increased innovation and multinational space projects</w:t>
      </w:r>
      <w:r w:rsidR="00FA6FDB">
        <w:t>.</w:t>
      </w:r>
      <w:r w:rsidR="00FA6FDB">
        <w:rPr>
          <w:rStyle w:val="FootnoteReference"/>
        </w:rPr>
        <w:footnoteReference w:id="32"/>
      </w:r>
      <w:r w:rsidR="00FA6FDB">
        <w:t xml:space="preserve"> </w:t>
      </w:r>
      <w:r w:rsidR="00D21663" w:rsidDel="00265775">
        <w:t xml:space="preserve"> </w:t>
      </w:r>
      <w:r w:rsidR="004C0553">
        <w:br w:type="page"/>
      </w:r>
    </w:p>
    <w:p w14:paraId="470C0399" w14:textId="6A0E03D3" w:rsidR="00990128" w:rsidRDefault="00A90814" w:rsidP="00950154">
      <w:pPr>
        <w:spacing w:after="120" w:line="240" w:lineRule="auto"/>
      </w:pPr>
      <w:r>
        <w:lastRenderedPageBreak/>
        <w:t>Despite this growth</w:t>
      </w:r>
      <w:r w:rsidR="00987DF0">
        <w:t xml:space="preserve">, comparing the GDP contribution of the Australian space sector to that of peer countries shows that Australia has yet to catch up. </w:t>
      </w:r>
      <w:r w:rsidR="004A4B97">
        <w:t xml:space="preserve">Australia’s </w:t>
      </w:r>
      <w:r w:rsidR="00681CA6">
        <w:t xml:space="preserve">space sector </w:t>
      </w:r>
      <w:r w:rsidR="004A4B97">
        <w:t xml:space="preserve">revenue </w:t>
      </w:r>
      <w:r w:rsidR="009B5A4B">
        <w:t xml:space="preserve">is equivalent </w:t>
      </w:r>
      <w:r w:rsidR="004A4B97">
        <w:t xml:space="preserve">to </w:t>
      </w:r>
      <w:r w:rsidR="009B5A4B">
        <w:t xml:space="preserve">approximately </w:t>
      </w:r>
      <w:r w:rsidR="004A4B97">
        <w:t>0.</w:t>
      </w:r>
      <w:r w:rsidR="000F56B8">
        <w:t>25</w:t>
      </w:r>
      <w:r w:rsidR="004A4B97">
        <w:t xml:space="preserve"> per cent of its GDP</w:t>
      </w:r>
      <w:r w:rsidR="004C0553">
        <w:t xml:space="preserve">. </w:t>
      </w:r>
      <w:r w:rsidR="004A4B97" w:rsidRPr="00290CC4">
        <w:rPr>
          <w:b/>
          <w:bCs/>
        </w:rPr>
        <w:t>(</w:t>
      </w:r>
      <w:r w:rsidR="001A42D6" w:rsidRPr="001A42D6">
        <w:rPr>
          <w:b/>
          <w:bCs/>
        </w:rPr>
        <w:fldChar w:fldCharType="begin"/>
      </w:r>
      <w:r w:rsidR="001A42D6" w:rsidRPr="003E79A2">
        <w:rPr>
          <w:b/>
        </w:rPr>
        <w:instrText xml:space="preserve"> REF _Ref46316684 \h </w:instrText>
      </w:r>
      <w:r w:rsidR="001A42D6" w:rsidRPr="00FA62A9">
        <w:rPr>
          <w:b/>
        </w:rPr>
        <w:instrText xml:space="preserve"> \* MERGEFORMAT </w:instrText>
      </w:r>
      <w:r w:rsidR="001A42D6" w:rsidRPr="001A42D6">
        <w:rPr>
          <w:b/>
          <w:bCs/>
        </w:rPr>
      </w:r>
      <w:r w:rsidR="001A42D6" w:rsidRPr="001A42D6">
        <w:rPr>
          <w:b/>
        </w:rPr>
        <w:fldChar w:fldCharType="separate"/>
      </w:r>
      <w:r w:rsidR="007040B4" w:rsidRPr="007040B4">
        <w:rPr>
          <w:b/>
        </w:rPr>
        <w:t>Exhibit 7</w:t>
      </w:r>
      <w:r w:rsidR="001A42D6" w:rsidRPr="001A42D6">
        <w:rPr>
          <w:b/>
          <w:bCs/>
        </w:rPr>
        <w:fldChar w:fldCharType="end"/>
      </w:r>
      <w:r w:rsidR="004A4B97" w:rsidRPr="00290CC4">
        <w:rPr>
          <w:b/>
          <w:bCs/>
        </w:rPr>
        <w:t>)</w:t>
      </w:r>
      <w:r w:rsidR="004A4B97">
        <w:t>.</w:t>
      </w:r>
      <w:r w:rsidR="004C0553">
        <w:t xml:space="preserve"> That is slightly less than the relatively size of peer countries of a similar size. For example, the revenue of the Canadian space sector is equivalent to 0.</w:t>
      </w:r>
      <w:r w:rsidR="00EB44B5">
        <w:t>4</w:t>
      </w:r>
      <w:r w:rsidR="004C0553">
        <w:t xml:space="preserve"> per cent of GDP, while New Zealand space sector revenue is equivalent to 0.5 per cent of GDP.</w:t>
      </w:r>
    </w:p>
    <w:p w14:paraId="32F2E6F7" w14:textId="699A6B6F" w:rsidR="00884277" w:rsidRDefault="00884277" w:rsidP="00FA62A9">
      <w:pPr>
        <w:pStyle w:val="Caption"/>
        <w:keepNext/>
      </w:pPr>
      <w:bookmarkStart w:id="148" w:name="_Ref46316684"/>
      <w:r>
        <w:t xml:space="preserve">Exhibit </w:t>
      </w:r>
      <w:r w:rsidR="000C4EA8">
        <w:t>7</w:t>
      </w:r>
      <w:bookmarkEnd w:id="148"/>
      <w:r>
        <w:t>: International comparison of revenue and growth of space sectors</w:t>
      </w:r>
    </w:p>
    <w:tbl>
      <w:tblPr>
        <w:tblStyle w:val="ExhibitTable"/>
        <w:tblW w:w="0" w:type="auto"/>
        <w:tblLook w:val="04A0" w:firstRow="1" w:lastRow="0" w:firstColumn="1" w:lastColumn="0" w:noHBand="0" w:noVBand="1"/>
        <w:tblCaption w:val="International comparison of revenue and growth of space sectors"/>
        <w:tblDescription w:val="Compares space revenue by (select) country. USA is the highest followed by UK, Canada, Australia and New Zealand"/>
      </w:tblPr>
      <w:tblGrid>
        <w:gridCol w:w="9026"/>
      </w:tblGrid>
      <w:tr w:rsidR="00884277" w14:paraId="4EAA1335" w14:textId="77777777" w:rsidTr="0054118D">
        <w:trPr>
          <w:tblHeader/>
        </w:trPr>
        <w:tc>
          <w:tcPr>
            <w:tcW w:w="9016" w:type="dxa"/>
          </w:tcPr>
          <w:p w14:paraId="6771481B" w14:textId="49ACF749" w:rsidR="00884277" w:rsidRDefault="00CF16C7" w:rsidP="00616771">
            <w:pPr>
              <w:spacing w:after="120"/>
              <w:rPr>
                <w:i/>
                <w:iCs/>
              </w:rPr>
            </w:pPr>
            <w:r>
              <w:rPr>
                <w:i/>
                <w:iCs/>
                <w:noProof/>
                <w:lang w:eastAsia="en-AU"/>
              </w:rPr>
              <w:drawing>
                <wp:inline distT="0" distB="0" distL="0" distR="0" wp14:anchorId="46DB735C" wp14:editId="16D3EE48">
                  <wp:extent cx="5676127" cy="2716171"/>
                  <wp:effectExtent l="0" t="0" r="1270" b="0"/>
                  <wp:docPr id="238" name="Picture 238" descr="Compares space revenue by (select) country. USA is the highest at $222 billion, followed by UK at $26.4 billion, Canada at $6 billion, Australia at $4.8 billion and New Zealand at $1.6 billion" title="International comparison of revenue and growth of space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8416" cy="2745978"/>
                          </a:xfrm>
                          <a:prstGeom prst="rect">
                            <a:avLst/>
                          </a:prstGeom>
                          <a:noFill/>
                        </pic:spPr>
                      </pic:pic>
                    </a:graphicData>
                  </a:graphic>
                </wp:inline>
              </w:drawing>
            </w:r>
          </w:p>
          <w:p w14:paraId="6F1B1616" w14:textId="77777777" w:rsidR="00EF7463" w:rsidRPr="00CF16C7" w:rsidRDefault="00EF7463" w:rsidP="00EF7463">
            <w:pPr>
              <w:pStyle w:val="ExhibitFootnote"/>
              <w:rPr>
                <w:color w:val="auto"/>
              </w:rPr>
            </w:pPr>
            <w:r w:rsidRPr="00CF16C7">
              <w:rPr>
                <w:color w:val="auto"/>
              </w:rPr>
              <w:t>* US estimate for 2016</w:t>
            </w:r>
          </w:p>
          <w:p w14:paraId="2B93582A" w14:textId="0F413561" w:rsidR="00EF7463" w:rsidRDefault="00EF7463" w:rsidP="00EF7463">
            <w:pPr>
              <w:pStyle w:val="ExhibitFootnote"/>
            </w:pPr>
            <w:r w:rsidRPr="00CF16C7">
              <w:rPr>
                <w:color w:val="auto"/>
              </w:rPr>
              <w:t>Source</w:t>
            </w:r>
            <w:r w:rsidR="009364D2" w:rsidRPr="00CF16C7">
              <w:rPr>
                <w:color w:val="auto"/>
              </w:rPr>
              <w:t>s</w:t>
            </w:r>
            <w:r w:rsidRPr="00CF16C7">
              <w:rPr>
                <w:color w:val="auto"/>
              </w:rPr>
              <w:t xml:space="preserve">: </w:t>
            </w:r>
            <w:r w:rsidRPr="00CF16C7">
              <w:rPr>
                <w:color w:val="auto"/>
                <w:lang w:val="en-GB"/>
              </w:rPr>
              <w:t>UK Space Agency and London Economics</w:t>
            </w:r>
            <w:r w:rsidR="006026CD" w:rsidRPr="00CF16C7">
              <w:rPr>
                <w:color w:val="auto"/>
                <w:lang w:val="en-GB"/>
              </w:rPr>
              <w:t xml:space="preserve"> </w:t>
            </w:r>
            <w:r w:rsidR="006026CD" w:rsidRPr="00CF16C7">
              <w:rPr>
                <w:color w:val="auto"/>
              </w:rPr>
              <w:t>(</w:t>
            </w:r>
            <w:hyperlink r:id="rId22" w:history="1">
              <w:r w:rsidR="006026CD" w:rsidRPr="00CF16C7">
                <w:rPr>
                  <w:rStyle w:val="Hyperlink"/>
                  <w:color w:val="auto"/>
                </w:rPr>
                <w:t>2019</w:t>
              </w:r>
            </w:hyperlink>
            <w:r w:rsidR="006026CD" w:rsidRPr="00CF16C7">
              <w:rPr>
                <w:color w:val="auto"/>
              </w:rPr>
              <w:t>)</w:t>
            </w:r>
            <w:r w:rsidRPr="00CF16C7">
              <w:rPr>
                <w:color w:val="auto"/>
                <w:lang w:val="en-GB"/>
              </w:rPr>
              <w:t>, Size &amp; Health of the UK Space Industry – £14.8bn at exchange rate of 1:1.79; MBIE NZ and Deloitte Access</w:t>
            </w:r>
            <w:r w:rsidR="00F61D10" w:rsidRPr="00CF16C7">
              <w:rPr>
                <w:color w:val="auto"/>
                <w:lang w:val="en-GB"/>
              </w:rPr>
              <w:t xml:space="preserve"> (</w:t>
            </w:r>
            <w:hyperlink r:id="rId23" w:history="1">
              <w:r w:rsidR="00F61D10" w:rsidRPr="00CF16C7">
                <w:rPr>
                  <w:rStyle w:val="Hyperlink"/>
                  <w:color w:val="auto"/>
                  <w:lang w:val="en-GB"/>
                </w:rPr>
                <w:t>2019</w:t>
              </w:r>
            </w:hyperlink>
            <w:r w:rsidR="00F61D10" w:rsidRPr="00CF16C7">
              <w:rPr>
                <w:color w:val="auto"/>
                <w:lang w:val="en-GB"/>
              </w:rPr>
              <w:t>),</w:t>
            </w:r>
            <w:r w:rsidRPr="00CF16C7">
              <w:rPr>
                <w:color w:val="auto"/>
                <w:lang w:val="en-GB"/>
              </w:rPr>
              <w:t xml:space="preserve"> New Zealand Space Secto</w:t>
            </w:r>
            <w:r w:rsidR="00F61D10" w:rsidRPr="00CF16C7">
              <w:rPr>
                <w:color w:val="auto"/>
                <w:lang w:val="en-GB"/>
              </w:rPr>
              <w:t xml:space="preserve">r </w:t>
            </w:r>
            <w:r w:rsidRPr="00CF16C7">
              <w:rPr>
                <w:color w:val="auto"/>
                <w:lang w:val="en-GB"/>
              </w:rPr>
              <w:t>– NZ$1.75bn at exchange rate of 1:0.93; Canadian Space Agency</w:t>
            </w:r>
            <w:r w:rsidR="007B57C2" w:rsidRPr="00CF16C7">
              <w:rPr>
                <w:color w:val="auto"/>
                <w:lang w:val="en-GB"/>
              </w:rPr>
              <w:t xml:space="preserve"> </w:t>
            </w:r>
            <w:r w:rsidR="007B57C2" w:rsidRPr="00CF16C7">
              <w:rPr>
                <w:color w:val="auto"/>
              </w:rPr>
              <w:t>(</w:t>
            </w:r>
            <w:hyperlink r:id="rId24" w:history="1">
              <w:r w:rsidR="007B57C2" w:rsidRPr="00CF16C7">
                <w:rPr>
                  <w:rStyle w:val="Hyperlink"/>
                  <w:color w:val="auto"/>
                </w:rPr>
                <w:t>2019</w:t>
              </w:r>
            </w:hyperlink>
            <w:r w:rsidR="007B57C2" w:rsidRPr="00CF16C7">
              <w:rPr>
                <w:color w:val="auto"/>
              </w:rPr>
              <w:t>)</w:t>
            </w:r>
            <w:r w:rsidRPr="00CF16C7">
              <w:rPr>
                <w:color w:val="auto"/>
                <w:lang w:val="en-GB"/>
              </w:rPr>
              <w:t xml:space="preserve">, Canada’s Space Strategy – C$5.7bn at exchange rate of 1:1.05; </w:t>
            </w:r>
            <w:r w:rsidR="007B57C2" w:rsidRPr="00CF16C7">
              <w:rPr>
                <w:color w:val="auto"/>
                <w:lang w:val="en-GB"/>
              </w:rPr>
              <w:t>U</w:t>
            </w:r>
            <w:r w:rsidR="007B57C2" w:rsidRPr="00CF16C7">
              <w:rPr>
                <w:color w:val="auto"/>
              </w:rPr>
              <w:t xml:space="preserve">S </w:t>
            </w:r>
            <w:r w:rsidRPr="00CF16C7">
              <w:rPr>
                <w:color w:val="auto"/>
                <w:lang w:val="en-GB"/>
              </w:rPr>
              <w:t>Federal Aviation Administration – US$158bn at exchange rate of 1:1.41</w:t>
            </w:r>
            <w:r w:rsidR="00415C0C" w:rsidRPr="00CF16C7">
              <w:rPr>
                <w:color w:val="auto"/>
                <w:lang w:val="en-GB"/>
              </w:rPr>
              <w:t>.</w:t>
            </w:r>
          </w:p>
        </w:tc>
      </w:tr>
    </w:tbl>
    <w:p w14:paraId="36C66D49" w14:textId="77777777" w:rsidR="00E61E43" w:rsidRDefault="00E61E43" w:rsidP="00616771">
      <w:pPr>
        <w:keepNext/>
      </w:pPr>
    </w:p>
    <w:p w14:paraId="53E414B9" w14:textId="77777777" w:rsidR="009617DB" w:rsidRDefault="009617DB">
      <w:pPr>
        <w:spacing w:before="0" w:after="160"/>
        <w:jc w:val="left"/>
      </w:pPr>
      <w:r>
        <w:br w:type="page"/>
      </w:r>
    </w:p>
    <w:p w14:paraId="705A484D" w14:textId="4C5D3A01" w:rsidR="00E61E43" w:rsidRDefault="004A4B97" w:rsidP="00332308">
      <w:pPr>
        <w:keepNext/>
      </w:pPr>
      <w:r>
        <w:lastRenderedPageBreak/>
        <w:t xml:space="preserve">Within Australia, the space sector is also </w:t>
      </w:r>
      <w:r w:rsidR="003C2615" w:rsidRPr="003C2615">
        <w:t xml:space="preserve">comparable in size to several other small, but highly innovative and highly specialised sectors </w:t>
      </w:r>
      <w:r>
        <w:t>such as medical equipment manufacturing</w:t>
      </w:r>
      <w:r w:rsidR="003C2615">
        <w:t>, aircraft</w:t>
      </w:r>
      <w:r w:rsidR="00616771">
        <w:t xml:space="preserve"> m</w:t>
      </w:r>
      <w:r w:rsidR="003C2615">
        <w:t>anufacturing and repair,</w:t>
      </w:r>
      <w:r>
        <w:t xml:space="preserve"> and cybersecurity. </w:t>
      </w:r>
      <w:r w:rsidR="003C2615">
        <w:t>It is smaller than the biotechnology sector, which is more mature but similarly innovative and technology-driven</w:t>
      </w:r>
      <w:r w:rsidR="00987DF0">
        <w:t xml:space="preserve"> </w:t>
      </w:r>
      <w:r w:rsidR="00987DF0" w:rsidRPr="00FA62A9">
        <w:rPr>
          <w:b/>
        </w:rPr>
        <w:t xml:space="preserve">(Exhibit </w:t>
      </w:r>
      <w:r w:rsidR="000C4EA8">
        <w:rPr>
          <w:b/>
        </w:rPr>
        <w:t>8</w:t>
      </w:r>
      <w:r w:rsidR="001C49CC">
        <w:rPr>
          <w:b/>
        </w:rPr>
        <w:t>)</w:t>
      </w:r>
      <w:r w:rsidR="003C2615" w:rsidRPr="00FA62A9">
        <w:rPr>
          <w:b/>
        </w:rPr>
        <w:t>.</w:t>
      </w:r>
      <w:r w:rsidR="003C2615">
        <w:t xml:space="preserve"> </w:t>
      </w:r>
    </w:p>
    <w:p w14:paraId="3A7CFA66" w14:textId="58FAD492" w:rsidR="004A4B97" w:rsidRDefault="004A4B97" w:rsidP="00880B47">
      <w:pPr>
        <w:pStyle w:val="Caption"/>
      </w:pPr>
      <w:bookmarkStart w:id="149" w:name="_Ref46320235"/>
      <w:r>
        <w:t xml:space="preserve">Exhibit </w:t>
      </w:r>
      <w:r w:rsidR="000C4EA8">
        <w:t>8</w:t>
      </w:r>
      <w:bookmarkEnd w:id="149"/>
      <w:r>
        <w:t xml:space="preserve">: Comparison of Australian space </w:t>
      </w:r>
      <w:r w:rsidRPr="00880B47">
        <w:t>sector</w:t>
      </w:r>
      <w:r>
        <w:t xml:space="preserve"> revenue against other sectors</w:t>
      </w:r>
    </w:p>
    <w:tbl>
      <w:tblPr>
        <w:tblStyle w:val="ExhibitTable"/>
        <w:tblW w:w="0" w:type="auto"/>
        <w:tblLook w:val="04A0" w:firstRow="1" w:lastRow="0" w:firstColumn="1" w:lastColumn="0" w:noHBand="0" w:noVBand="1"/>
        <w:tblCaption w:val="Comparison of Australian space sector revenue against other sectors"/>
        <w:tblDescription w:val="Compares revenue of the space sector with other similar sector. Biotechnology generates the highest revenue, followed by space, medical equipment manufacturing, aircraft manufacturing and repair, cyber security, smartphone app development"/>
      </w:tblPr>
      <w:tblGrid>
        <w:gridCol w:w="9026"/>
      </w:tblGrid>
      <w:tr w:rsidR="004A4B97" w14:paraId="57C12B63" w14:textId="77777777" w:rsidTr="0054118D">
        <w:trPr>
          <w:tblHeader/>
        </w:trPr>
        <w:tc>
          <w:tcPr>
            <w:tcW w:w="9016" w:type="dxa"/>
          </w:tcPr>
          <w:p w14:paraId="679EF245" w14:textId="5B527F46" w:rsidR="004A4B97" w:rsidRDefault="00CF16C7" w:rsidP="00616771">
            <w:pPr>
              <w:keepNext/>
            </w:pPr>
            <w:r>
              <w:rPr>
                <w:noProof/>
                <w:lang w:eastAsia="en-AU"/>
              </w:rPr>
              <w:drawing>
                <wp:inline distT="0" distB="0" distL="0" distR="0" wp14:anchorId="2FA9E7C9" wp14:editId="6C95B4FC">
                  <wp:extent cx="5657436" cy="2820729"/>
                  <wp:effectExtent l="0" t="0" r="635" b="0"/>
                  <wp:docPr id="239" name="Picture 239" descr="Compares revenue of the space sector with other similar sector. Biotechnology generates the highest revenue at $8 billion, followed by space at $4.8 billion, medical equipment manufacturing at $4 billion, aircraft manufacturing and repair at $4 billion, cyber security at $2.6 billion, smartphone app development at $2 billion." title="Comparison of Australian space sector revenue against other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2252" cy="2848060"/>
                          </a:xfrm>
                          <a:prstGeom prst="rect">
                            <a:avLst/>
                          </a:prstGeom>
                          <a:noFill/>
                        </pic:spPr>
                      </pic:pic>
                    </a:graphicData>
                  </a:graphic>
                </wp:inline>
              </w:drawing>
            </w:r>
          </w:p>
        </w:tc>
      </w:tr>
      <w:tr w:rsidR="00CF16C7" w:rsidRPr="00B95533" w14:paraId="1D3EB95A" w14:textId="77777777" w:rsidTr="00FA62A9">
        <w:tc>
          <w:tcPr>
            <w:tcW w:w="9016" w:type="dxa"/>
          </w:tcPr>
          <w:p w14:paraId="48B32FD4" w14:textId="6EAB4758" w:rsidR="00E61E43" w:rsidRPr="00B95533" w:rsidRDefault="000C764E" w:rsidP="000C764E">
            <w:pPr>
              <w:pStyle w:val="ExhibitFootnote"/>
              <w:rPr>
                <w:color w:val="auto"/>
              </w:rPr>
            </w:pPr>
            <w:r w:rsidRPr="00B95533">
              <w:rPr>
                <w:color w:val="auto"/>
              </w:rPr>
              <w:t xml:space="preserve">Source: </w:t>
            </w:r>
            <w:r w:rsidRPr="00B95533">
              <w:rPr>
                <w:color w:val="auto"/>
                <w:lang w:val="en-GB"/>
              </w:rPr>
              <w:t>IBISWorld Industry Reports 2018, 2019, 2020</w:t>
            </w:r>
            <w:r w:rsidR="00415C0C" w:rsidRPr="00B95533">
              <w:rPr>
                <w:color w:val="auto"/>
                <w:lang w:val="en-GB"/>
              </w:rPr>
              <w:t>.</w:t>
            </w:r>
          </w:p>
        </w:tc>
      </w:tr>
    </w:tbl>
    <w:p w14:paraId="28AA6B81" w14:textId="77777777" w:rsidR="00F51557" w:rsidRDefault="00F51557" w:rsidP="00F51557">
      <w:pPr>
        <w:spacing w:after="120" w:line="240" w:lineRule="auto"/>
      </w:pPr>
    </w:p>
    <w:p w14:paraId="0AA08DD3" w14:textId="01B56A1E" w:rsidR="005E2C9B" w:rsidRDefault="0011091F" w:rsidP="00BA1ADC">
      <w:pPr>
        <w:shd w:val="clear" w:color="auto" w:fill="FFFFFF" w:themeFill="background1"/>
      </w:pPr>
      <w:r w:rsidRPr="00BA1ADC">
        <w:t>The r</w:t>
      </w:r>
      <w:r w:rsidR="005E2C9B" w:rsidRPr="00BA1ADC">
        <w:t>evenue growth rate in the Australian space sector is predicted to be stronger than the more mature sectors such as biotechnology and medical equipment manufacturing, at 7.4 per cent annual growth in the next five years compared to 3 per cent and 2.4 per cent respectively.</w:t>
      </w:r>
      <w:r w:rsidR="005E2C9B" w:rsidRPr="00BA1ADC">
        <w:rPr>
          <w:rStyle w:val="FootnoteReference"/>
        </w:rPr>
        <w:footnoteReference w:id="33"/>
      </w:r>
      <w:r w:rsidR="005E2C9B" w:rsidRPr="00BA1ADC">
        <w:t xml:space="preserve"> The profitability of all these industries is estimated to increase as cost efficiencies continue to be achieved.</w:t>
      </w:r>
    </w:p>
    <w:p w14:paraId="4CC4EEBD" w14:textId="77777777" w:rsidR="008342D4" w:rsidRDefault="008342D4" w:rsidP="00BE78BF">
      <w:pPr>
        <w:pStyle w:val="Heading3"/>
      </w:pPr>
      <w:bookmarkStart w:id="150" w:name="_Toc46321710"/>
      <w:bookmarkStart w:id="151" w:name="_Toc49366199"/>
      <w:r>
        <w:t>Australia</w:t>
      </w:r>
      <w:r w:rsidR="001A42D6">
        <w:t>n</w:t>
      </w:r>
      <w:r>
        <w:t xml:space="preserve"> space sector </w:t>
      </w:r>
      <w:r w:rsidR="001A42D6">
        <w:t>employment is roughly in line with revenue</w:t>
      </w:r>
      <w:bookmarkEnd w:id="150"/>
      <w:bookmarkEnd w:id="151"/>
    </w:p>
    <w:p w14:paraId="01F32EFD" w14:textId="29923105" w:rsidR="00A2373F" w:rsidRDefault="00CA5D93">
      <w:pPr>
        <w:spacing w:after="120" w:line="240" w:lineRule="auto"/>
      </w:pPr>
      <w:r>
        <w:t>Employment</w:t>
      </w:r>
      <w:r w:rsidR="001E0140">
        <w:t xml:space="preserve"> </w:t>
      </w:r>
      <w:r>
        <w:t>in</w:t>
      </w:r>
      <w:r w:rsidR="001E0140">
        <w:t xml:space="preserve"> the Australian space sector </w:t>
      </w:r>
      <w:r>
        <w:t xml:space="preserve">can </w:t>
      </w:r>
      <w:r w:rsidR="00001DC7">
        <w:t xml:space="preserve">also </w:t>
      </w:r>
      <w:r>
        <w:t>be</w:t>
      </w:r>
      <w:r w:rsidR="001E0140">
        <w:t xml:space="preserve"> difficult to quantify due to limited </w:t>
      </w:r>
      <w:r w:rsidR="00001DC7">
        <w:t xml:space="preserve">granular, historical </w:t>
      </w:r>
      <w:r w:rsidR="001E0140">
        <w:t>data sources</w:t>
      </w:r>
      <w:r>
        <w:t xml:space="preserve">, as </w:t>
      </w:r>
      <w:r w:rsidRPr="00692979">
        <w:t>discussed above for revenue</w:t>
      </w:r>
      <w:r w:rsidR="001E0140" w:rsidRPr="00692979">
        <w:t xml:space="preserve">. </w:t>
      </w:r>
      <w:r w:rsidR="0068414C">
        <w:t>Based</w:t>
      </w:r>
      <w:r w:rsidRPr="00692979">
        <w:t xml:space="preserve"> on </w:t>
      </w:r>
      <w:r w:rsidR="00A21443">
        <w:t>AlphaBeta’s space database estimates</w:t>
      </w:r>
      <w:r w:rsidRPr="00692979">
        <w:t xml:space="preserve">, </w:t>
      </w:r>
      <w:r w:rsidR="00A21443">
        <w:t>the</w:t>
      </w:r>
      <w:r w:rsidR="00214BD5" w:rsidRPr="00692979">
        <w:t xml:space="preserve"> space sector employed approximately</w:t>
      </w:r>
      <w:r w:rsidR="00C1249E">
        <w:t xml:space="preserve"> </w:t>
      </w:r>
      <w:r w:rsidR="00C1249E" w:rsidRPr="004C512D">
        <w:t>9</w:t>
      </w:r>
      <w:r w:rsidR="00C1249E" w:rsidRPr="00B809A8">
        <w:t>,</w:t>
      </w:r>
      <w:r w:rsidR="00C1249E">
        <w:t xml:space="preserve">000–10,000 </w:t>
      </w:r>
      <w:r w:rsidR="00214BD5" w:rsidRPr="00692979">
        <w:t>workers</w:t>
      </w:r>
      <w:r w:rsidR="003D053F">
        <w:t xml:space="preserve"> (midpoint estimate of 9,500 workers)</w:t>
      </w:r>
      <w:r w:rsidR="00214BD5" w:rsidRPr="00692979">
        <w:t xml:space="preserve"> in </w:t>
      </w:r>
      <w:r w:rsidR="000C48C2" w:rsidRPr="00692979">
        <w:t>20</w:t>
      </w:r>
      <w:r w:rsidR="00692979" w:rsidRPr="00692979">
        <w:t>19</w:t>
      </w:r>
      <w:r w:rsidR="001C49CC">
        <w:t xml:space="preserve"> </w:t>
      </w:r>
      <w:r w:rsidR="001C49CC">
        <w:rPr>
          <w:b/>
          <w:bCs/>
        </w:rPr>
        <w:t xml:space="preserve">(Exhibit </w:t>
      </w:r>
      <w:r w:rsidR="000C4EA8">
        <w:rPr>
          <w:b/>
          <w:bCs/>
        </w:rPr>
        <w:t>9</w:t>
      </w:r>
      <w:r w:rsidR="001C49CC">
        <w:rPr>
          <w:b/>
          <w:bCs/>
        </w:rPr>
        <w:t>)</w:t>
      </w:r>
      <w:r w:rsidR="000C48C2" w:rsidRPr="00692979">
        <w:t xml:space="preserve">. </w:t>
      </w:r>
      <w:r w:rsidR="009C6ED5">
        <w:t xml:space="preserve"> </w:t>
      </w:r>
    </w:p>
    <w:p w14:paraId="43E84AE2" w14:textId="0C3B856C" w:rsidR="001A42D6" w:rsidRDefault="001A42D6" w:rsidP="00FA62A9">
      <w:pPr>
        <w:pStyle w:val="Caption"/>
        <w:keepNext/>
      </w:pPr>
      <w:r>
        <w:lastRenderedPageBreak/>
        <w:t xml:space="preserve">Exhibit </w:t>
      </w:r>
      <w:r w:rsidR="000C4EA8">
        <w:t>9</w:t>
      </w:r>
      <w:r>
        <w:t xml:space="preserve">: </w:t>
      </w:r>
      <w:r w:rsidR="00EF4A10">
        <w:t xml:space="preserve">Space sector employment in Australia and </w:t>
      </w:r>
      <w:r w:rsidR="00153127">
        <w:t>across</w:t>
      </w:r>
      <w:r w:rsidR="00EF4A10">
        <w:t xml:space="preserve"> pee</w:t>
      </w:r>
      <w:r w:rsidR="00153127">
        <w:t>r economies</w:t>
      </w:r>
    </w:p>
    <w:tbl>
      <w:tblPr>
        <w:tblStyle w:val="ExhibitTable"/>
        <w:tblW w:w="0" w:type="auto"/>
        <w:tblLook w:val="04A0" w:firstRow="1" w:lastRow="0" w:firstColumn="1" w:lastColumn="0" w:noHBand="0" w:noVBand="1"/>
        <w:tblCaption w:val="Space sector employment in Australia and across peer economies"/>
        <w:tblDescription w:val="UK has the highest number of workers, followed by Australia, Canada and New Zealand"/>
      </w:tblPr>
      <w:tblGrid>
        <w:gridCol w:w="9026"/>
      </w:tblGrid>
      <w:tr w:rsidR="00CF16C7" w:rsidRPr="00B95533" w14:paraId="6FADEBDA" w14:textId="77777777" w:rsidTr="0054118D">
        <w:trPr>
          <w:tblHeader/>
        </w:trPr>
        <w:tc>
          <w:tcPr>
            <w:tcW w:w="9016" w:type="dxa"/>
          </w:tcPr>
          <w:p w14:paraId="2ADB4F78" w14:textId="27636B98" w:rsidR="001750A3" w:rsidRPr="00B95533" w:rsidRDefault="00A674F5" w:rsidP="001750A3">
            <w:pPr>
              <w:spacing w:after="120"/>
            </w:pPr>
            <w:r>
              <w:rPr>
                <w:noProof/>
                <w:lang w:eastAsia="en-AU"/>
              </w:rPr>
              <w:drawing>
                <wp:inline distT="0" distB="0" distL="0" distR="0" wp14:anchorId="2C237F76" wp14:editId="40426E02">
                  <wp:extent cx="5625700" cy="2755293"/>
                  <wp:effectExtent l="0" t="0" r="0" b="6985"/>
                  <wp:docPr id="11" name="Picture 11" descr="UK has the highest number of workers at 42,900, followed by Australia at 9,000 to 10,000, Canada at 9,500 and New Zealand at 5,000 jobs." title="Space sector emplotment in Australia and across peer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0009" cy="2776994"/>
                          </a:xfrm>
                          <a:prstGeom prst="rect">
                            <a:avLst/>
                          </a:prstGeom>
                          <a:noFill/>
                        </pic:spPr>
                      </pic:pic>
                    </a:graphicData>
                  </a:graphic>
                </wp:inline>
              </w:drawing>
            </w:r>
          </w:p>
          <w:p w14:paraId="418D9585" w14:textId="44812B12" w:rsidR="004421AF" w:rsidRPr="00B95533" w:rsidRDefault="004421AF" w:rsidP="004421AF">
            <w:pPr>
              <w:pStyle w:val="ExhibitFootnote"/>
              <w:rPr>
                <w:color w:val="auto"/>
              </w:rPr>
            </w:pPr>
            <w:r w:rsidRPr="00B95533">
              <w:rPr>
                <w:color w:val="auto"/>
              </w:rPr>
              <w:t>Source</w:t>
            </w:r>
            <w:r w:rsidR="0066781C" w:rsidRPr="00B95533">
              <w:rPr>
                <w:color w:val="auto"/>
              </w:rPr>
              <w:t>s</w:t>
            </w:r>
            <w:r w:rsidRPr="00B95533">
              <w:rPr>
                <w:color w:val="auto"/>
              </w:rPr>
              <w:t xml:space="preserve">: </w:t>
            </w:r>
            <w:r w:rsidRPr="00B95533">
              <w:rPr>
                <w:color w:val="auto"/>
                <w:lang w:val="en-GB"/>
              </w:rPr>
              <w:t xml:space="preserve">UK Space Agency and London Economics </w:t>
            </w:r>
            <w:r w:rsidRPr="00B95533">
              <w:rPr>
                <w:color w:val="auto"/>
              </w:rPr>
              <w:t>(</w:t>
            </w:r>
            <w:hyperlink r:id="rId27" w:history="1">
              <w:r w:rsidRPr="00B95533">
                <w:rPr>
                  <w:rStyle w:val="Hyperlink"/>
                  <w:color w:val="auto"/>
                </w:rPr>
                <w:t>2019</w:t>
              </w:r>
            </w:hyperlink>
            <w:r w:rsidRPr="00B95533">
              <w:rPr>
                <w:color w:val="auto"/>
              </w:rPr>
              <w:t>)</w:t>
            </w:r>
            <w:r w:rsidRPr="00B95533">
              <w:rPr>
                <w:color w:val="auto"/>
                <w:lang w:val="en-GB"/>
              </w:rPr>
              <w:t>, Size &amp; Health of the UK Space Industry; MBIE NZ and Deloitte Access (</w:t>
            </w:r>
            <w:hyperlink r:id="rId28" w:history="1">
              <w:r w:rsidRPr="00B95533">
                <w:rPr>
                  <w:rStyle w:val="Hyperlink"/>
                  <w:color w:val="auto"/>
                  <w:lang w:val="en-GB"/>
                </w:rPr>
                <w:t>2019</w:t>
              </w:r>
            </w:hyperlink>
            <w:r w:rsidRPr="00B95533">
              <w:rPr>
                <w:color w:val="auto"/>
                <w:lang w:val="en-GB"/>
              </w:rPr>
              <w:t>), New Zealand Space Sector</w:t>
            </w:r>
            <w:r w:rsidRPr="00B95533">
              <w:rPr>
                <w:color w:val="auto"/>
              </w:rPr>
              <w:t>;</w:t>
            </w:r>
            <w:r w:rsidRPr="00B95533">
              <w:rPr>
                <w:color w:val="auto"/>
                <w:lang w:val="en-GB"/>
              </w:rPr>
              <w:t xml:space="preserve"> Canadian Space Agency (</w:t>
            </w:r>
            <w:hyperlink r:id="rId29" w:history="1">
              <w:r w:rsidRPr="00B95533">
                <w:rPr>
                  <w:rStyle w:val="Hyperlink"/>
                  <w:color w:val="auto"/>
                  <w:lang w:val="en-GB"/>
                </w:rPr>
                <w:t>2019</w:t>
              </w:r>
            </w:hyperlink>
            <w:r w:rsidRPr="00B95533">
              <w:rPr>
                <w:color w:val="auto"/>
                <w:lang w:val="en-GB"/>
              </w:rPr>
              <w:t>), Canada’s Space Strategy</w:t>
            </w:r>
            <w:r w:rsidR="0066781C" w:rsidRPr="00B95533">
              <w:rPr>
                <w:color w:val="auto"/>
                <w:lang w:val="en-GB"/>
              </w:rPr>
              <w:t>.</w:t>
            </w:r>
          </w:p>
        </w:tc>
      </w:tr>
    </w:tbl>
    <w:p w14:paraId="3A5EFE37" w14:textId="7FD3925E" w:rsidR="00BB74E6" w:rsidRDefault="00BB74E6" w:rsidP="00BB74E6">
      <w:pPr>
        <w:spacing w:after="120" w:line="240" w:lineRule="auto"/>
      </w:pPr>
      <w:r>
        <w:t xml:space="preserve">This is a healthy employment number compared with overseas markets given the size and revenue of the Australian space sector. </w:t>
      </w:r>
      <w:r w:rsidRPr="00692979">
        <w:t>The UK, whose space sector receives about five times as much revenue as the Australian sector, employs</w:t>
      </w:r>
      <w:r>
        <w:t xml:space="preserve"> roughly four times more workers: for the financial year 2017-18, 42,899 workers were estimated to have been employed in the UK space sector. New Zealand’s space sector is much </w:t>
      </w:r>
      <w:r w:rsidRPr="001322E0">
        <w:t xml:space="preserve">smaller and was estimated to have employed approximately 5,000 in the financial year 2018-19. </w:t>
      </w:r>
      <w:r w:rsidR="002979BF" w:rsidRPr="001322E0">
        <w:t>Canada</w:t>
      </w:r>
      <w:r w:rsidR="00850410">
        <w:t xml:space="preserve">’s space sector </w:t>
      </w:r>
      <w:r w:rsidR="002979BF" w:rsidRPr="001322E0">
        <w:t>employs a similar number of workers as Australia</w:t>
      </w:r>
      <w:r w:rsidR="00EE0F4D">
        <w:t xml:space="preserve"> </w:t>
      </w:r>
      <w:r w:rsidR="003D3A47">
        <w:t>– 9</w:t>
      </w:r>
      <w:r w:rsidR="00850410">
        <w:t>,567 in 2018 – but is more mature, with more established</w:t>
      </w:r>
      <w:r w:rsidR="00A6605F">
        <w:t xml:space="preserve"> links to international supply chain</w:t>
      </w:r>
      <w:r w:rsidR="00B1408D" w:rsidRPr="001322E0">
        <w:t>.</w:t>
      </w:r>
      <w:r w:rsidR="00B1408D">
        <w:rPr>
          <w:rStyle w:val="FootnoteReference"/>
        </w:rPr>
        <w:footnoteReference w:id="34"/>
      </w:r>
      <w:r w:rsidR="00850410">
        <w:t xml:space="preserve"> </w:t>
      </w:r>
      <w:r w:rsidR="00B1408D">
        <w:t xml:space="preserve">Canada </w:t>
      </w:r>
      <w:r w:rsidR="00EE0F4D">
        <w:t xml:space="preserve">generates </w:t>
      </w:r>
      <w:r w:rsidR="002979BF" w:rsidRPr="001322E0">
        <w:t>1.25 times Australia</w:t>
      </w:r>
      <w:r w:rsidR="007201F0">
        <w:t>’s</w:t>
      </w:r>
      <w:r w:rsidR="003D3A47">
        <w:t xml:space="preserve"> space sector revenue</w:t>
      </w:r>
      <w:r w:rsidR="007201F0">
        <w:t>:</w:t>
      </w:r>
      <w:r w:rsidR="00AC749B" w:rsidRPr="001322E0">
        <w:t xml:space="preserve"> equivalent to 0.4 per cent of Canada’s GDP, </w:t>
      </w:r>
      <w:r w:rsidR="007201F0">
        <w:t xml:space="preserve">compared </w:t>
      </w:r>
      <w:r w:rsidR="00AC749B">
        <w:t>to</w:t>
      </w:r>
      <w:r w:rsidR="00AC749B" w:rsidRPr="001322E0">
        <w:t xml:space="preserve"> 0.25 per cent of GDP in Australia.</w:t>
      </w:r>
    </w:p>
    <w:p w14:paraId="60D083D9" w14:textId="6A91CF53" w:rsidR="00BB74E6" w:rsidRDefault="00BB74E6" w:rsidP="001750A3">
      <w:pPr>
        <w:spacing w:after="120" w:line="240" w:lineRule="auto"/>
      </w:pPr>
      <w:r>
        <w:t xml:space="preserve">A </w:t>
      </w:r>
      <w:r w:rsidR="00B16955">
        <w:t xml:space="preserve">2018 </w:t>
      </w:r>
      <w:r>
        <w:t>study on Australia’s local space sector workforce estimated that there were between 9,500 to 11,500 workers in the sector in 2015</w:t>
      </w:r>
      <w:r w:rsidR="00B16955">
        <w:t>, whilst another 2019 study estimated employment at 13,200 workers</w:t>
      </w:r>
      <w:r>
        <w:t>.</w:t>
      </w:r>
      <w:r>
        <w:rPr>
          <w:rStyle w:val="FootnoteReference"/>
        </w:rPr>
        <w:footnoteReference w:id="35"/>
      </w:r>
      <w:r>
        <w:t xml:space="preserve"> Caution needs to be exercised in directly comparing the figures as differences between estimates may be due to the sample of firms analysed and differences in methodology. </w:t>
      </w:r>
      <w:r>
        <w:rPr>
          <w:vanish/>
        </w:rPr>
        <w:t>However, it is possible that in aggregate the</w:t>
      </w:r>
      <w:r w:rsidRPr="00A35254">
        <w:rPr>
          <w:vanish/>
        </w:rPr>
        <w:t xml:space="preserve"> </w:t>
      </w:r>
      <w:r>
        <w:t xml:space="preserve">local space workforce has remained steady over the past four years, particularly as different parts of the industry have experienced different rates of employment growth in that period. </w:t>
      </w:r>
      <w:r>
        <w:rPr>
          <w:rFonts w:eastAsia="Times New Roman"/>
          <w:color w:val="000000"/>
          <w:shd w:val="clear" w:color="auto" w:fill="FFFFFF"/>
          <w:lang w:val="en-US" w:eastAsia="en-AU"/>
        </w:rPr>
        <w:t>Major applications firms in Australia, such as Telstra</w:t>
      </w:r>
      <w:r w:rsidR="005E69F1">
        <w:rPr>
          <w:rFonts w:eastAsia="Times New Roman"/>
          <w:color w:val="000000"/>
          <w:shd w:val="clear" w:color="auto" w:fill="FFFFFF"/>
          <w:lang w:val="en-US" w:eastAsia="en-AU"/>
        </w:rPr>
        <w:t xml:space="preserve"> </w:t>
      </w:r>
      <w:r>
        <w:rPr>
          <w:rFonts w:eastAsia="Times New Roman"/>
          <w:color w:val="000000"/>
          <w:shd w:val="clear" w:color="auto" w:fill="FFFFFF"/>
          <w:lang w:val="en-US" w:eastAsia="en-AU"/>
        </w:rPr>
        <w:t>and Optus, implemented large staff cuts in 2017 and 2018.</w:t>
      </w:r>
      <w:r>
        <w:rPr>
          <w:rStyle w:val="FootnoteReference"/>
          <w:rFonts w:eastAsia="Times New Roman"/>
          <w:color w:val="000000"/>
          <w:shd w:val="clear" w:color="auto" w:fill="FFFFFF"/>
          <w:lang w:val="en-US" w:eastAsia="en-AU"/>
        </w:rPr>
        <w:footnoteReference w:id="36"/>
      </w:r>
      <w:r>
        <w:rPr>
          <w:rFonts w:eastAsia="Times New Roman"/>
          <w:color w:val="000000"/>
          <w:shd w:val="clear" w:color="auto" w:fill="FFFFFF"/>
          <w:lang w:val="en-US" w:eastAsia="en-AU"/>
        </w:rPr>
        <w:t xml:space="preserve"> This trend may well continue and even accelerate due to the impacts of COVID-19. For example, during the pandemic, </w:t>
      </w:r>
      <w:r w:rsidR="002E5E0A">
        <w:rPr>
          <w:rFonts w:eastAsia="Times New Roman"/>
          <w:color w:val="000000"/>
          <w:shd w:val="clear" w:color="auto" w:fill="FFFFFF"/>
          <w:lang w:val="en-US" w:eastAsia="en-AU"/>
        </w:rPr>
        <w:t xml:space="preserve">Foxtel </w:t>
      </w:r>
      <w:r w:rsidR="00D277D9">
        <w:rPr>
          <w:rFonts w:eastAsia="Times New Roman"/>
          <w:color w:val="000000"/>
          <w:shd w:val="clear" w:color="auto" w:fill="FFFFFF"/>
          <w:lang w:val="en-US" w:eastAsia="en-AU"/>
        </w:rPr>
        <w:t>has reduced its workforce by over 200 employees</w:t>
      </w:r>
      <w:r>
        <w:rPr>
          <w:rFonts w:eastAsia="Times New Roman"/>
          <w:color w:val="000000"/>
          <w:shd w:val="clear" w:color="auto" w:fill="FFFFFF"/>
          <w:lang w:val="en-US" w:eastAsia="en-AU"/>
        </w:rPr>
        <w:t>.</w:t>
      </w:r>
      <w:r>
        <w:rPr>
          <w:rStyle w:val="FootnoteReference"/>
          <w:rFonts w:eastAsia="Times New Roman"/>
          <w:color w:val="000000"/>
          <w:shd w:val="clear" w:color="auto" w:fill="FFFFFF"/>
          <w:lang w:val="en-US" w:eastAsia="en-AU"/>
        </w:rPr>
        <w:footnoteReference w:id="37"/>
      </w:r>
      <w:r>
        <w:rPr>
          <w:rFonts w:eastAsia="Times New Roman"/>
          <w:color w:val="000000"/>
          <w:shd w:val="clear" w:color="auto" w:fill="FFFFFF"/>
          <w:lang w:val="en-US" w:eastAsia="en-AU"/>
        </w:rPr>
        <w:t xml:space="preserve"> By contrast, </w:t>
      </w:r>
      <w:r>
        <w:t xml:space="preserve">a recent survey of </w:t>
      </w:r>
      <w:r w:rsidR="00FF6CE2">
        <w:t xml:space="preserve">128 </w:t>
      </w:r>
      <w:r>
        <w:t xml:space="preserve">Australian firms in the space sector by the Nous Group found that employment in the sector grew by </w:t>
      </w:r>
      <w:r>
        <w:lastRenderedPageBreak/>
        <w:t>10 per cent each year between FY2016-17 to FY2018-19</w:t>
      </w:r>
      <w:r w:rsidR="004C2382">
        <w:t>.</w:t>
      </w:r>
      <w:r>
        <w:t xml:space="preserve"> </w:t>
      </w:r>
      <w:r w:rsidR="005E69F1">
        <w:t>Eighty</w:t>
      </w:r>
      <w:r w:rsidR="004C2382">
        <w:t xml:space="preserve"> per cent of the survey’s respondents were SMEs, which tend to have stronger hiring</w:t>
      </w:r>
      <w:r w:rsidR="00E449DD">
        <w:t xml:space="preserve"> rates</w:t>
      </w:r>
      <w:r w:rsidR="004C2382">
        <w:t xml:space="preserve"> compared to large established firms. T</w:t>
      </w:r>
      <w:r>
        <w:t>he manufacturing segment</w:t>
      </w:r>
      <w:r w:rsidR="004C2382">
        <w:t xml:space="preserve"> of this survey, about 10 per cent of respondents, displayed especially high rates o</w:t>
      </w:r>
      <w:r>
        <w:t>f employment growth</w:t>
      </w:r>
      <w:r w:rsidR="005E69F1">
        <w:t xml:space="preserve">; however, some caution should be exercised in interpreting this data </w:t>
      </w:r>
      <w:r w:rsidR="00840FFC">
        <w:t>given the small number of manufacturing firm responses</w:t>
      </w:r>
      <w:r>
        <w:t>.</w:t>
      </w:r>
      <w:r>
        <w:rPr>
          <w:rStyle w:val="FootnoteReference"/>
        </w:rPr>
        <w:footnoteReference w:id="38"/>
      </w:r>
      <w:r>
        <w:t xml:space="preserve"> </w:t>
      </w:r>
    </w:p>
    <w:p w14:paraId="55F182DE" w14:textId="065544A8" w:rsidR="00BB74E6" w:rsidRDefault="00BB74E6" w:rsidP="00BB74E6">
      <w:pPr>
        <w:spacing w:after="120" w:line="240" w:lineRule="auto"/>
        <w:rPr>
          <w:b/>
        </w:rPr>
      </w:pPr>
      <w:r>
        <w:t xml:space="preserve">Comparing employment in space to similar sectors in Australia finds that aircraft manufacturing and repair and medical equipment in Australia employ similar numbers of workers and receive similar amounts of revenue compared to the space sector </w:t>
      </w:r>
      <w:r w:rsidRPr="00FA62A9">
        <w:rPr>
          <w:b/>
        </w:rPr>
        <w:t xml:space="preserve">(Exhibit </w:t>
      </w:r>
      <w:r w:rsidR="005B2B4C">
        <w:rPr>
          <w:b/>
        </w:rPr>
        <w:t>10</w:t>
      </w:r>
      <w:r>
        <w:rPr>
          <w:b/>
        </w:rPr>
        <w:t>)</w:t>
      </w:r>
      <w:r w:rsidRPr="00FA62A9">
        <w:rPr>
          <w:b/>
        </w:rPr>
        <w:t>.</w:t>
      </w:r>
      <w:r>
        <w:rPr>
          <w:b/>
        </w:rPr>
        <w:t xml:space="preserve"> </w:t>
      </w:r>
    </w:p>
    <w:p w14:paraId="07B70B9A" w14:textId="067DE126" w:rsidR="001C64BA" w:rsidRDefault="001C64BA" w:rsidP="001C64BA">
      <w:pPr>
        <w:pStyle w:val="Caption"/>
        <w:keepNext/>
      </w:pPr>
      <w:r>
        <w:t xml:space="preserve">Exhibit </w:t>
      </w:r>
      <w:r w:rsidR="005B2B4C">
        <w:t>10</w:t>
      </w:r>
      <w:r>
        <w:t xml:space="preserve">: </w:t>
      </w:r>
      <w:r w:rsidR="00896E9C">
        <w:t xml:space="preserve">Comparison of Australian space </w:t>
      </w:r>
      <w:r w:rsidR="00896E9C" w:rsidRPr="00880B47">
        <w:t>sector employment against other sectors</w:t>
      </w:r>
    </w:p>
    <w:tbl>
      <w:tblPr>
        <w:tblStyle w:val="ExhibitTable"/>
        <w:tblW w:w="0" w:type="auto"/>
        <w:tblLook w:val="04A0" w:firstRow="1" w:lastRow="0" w:firstColumn="1" w:lastColumn="0" w:noHBand="0" w:noVBand="1"/>
        <w:tblCaption w:val="Comparison of Australian space sector employment against other sectors"/>
        <w:tblDescription w:val="Cyber security employs the most, followed by biotechnology, aircraft manufacturing and repair, medical equipment manufacturing, space, and smartphone app development"/>
      </w:tblPr>
      <w:tblGrid>
        <w:gridCol w:w="9026"/>
      </w:tblGrid>
      <w:tr w:rsidR="001C64BA" w14:paraId="2FFDF211" w14:textId="77777777" w:rsidTr="0054118D">
        <w:trPr>
          <w:tblHeader/>
        </w:trPr>
        <w:tc>
          <w:tcPr>
            <w:tcW w:w="9016" w:type="dxa"/>
          </w:tcPr>
          <w:p w14:paraId="1444D722" w14:textId="3E5CC895" w:rsidR="001C64BA" w:rsidRDefault="00B21FE3" w:rsidP="004A5545">
            <w:pPr>
              <w:spacing w:after="120"/>
            </w:pPr>
            <w:r>
              <w:rPr>
                <w:noProof/>
                <w:lang w:eastAsia="en-AU"/>
              </w:rPr>
              <w:drawing>
                <wp:inline distT="0" distB="0" distL="0" distR="0" wp14:anchorId="0887C7BC" wp14:editId="09103B54">
                  <wp:extent cx="5663332" cy="2798859"/>
                  <wp:effectExtent l="0" t="0" r="0" b="1905"/>
                  <wp:docPr id="13" name="Picture 13" descr="Cyber security employs the most number of workers at 20,500 jobs, followed by biotechnology at 17,500 jobs, aircraft manufacturing and repair at 12,000 jobs, medical equipment manufacturing at 10,900 jobs, space at 9,000 to 10,000 jobs, and smartphone app development at 5,100 jobs" title="Comparison of Australian space sector employment against other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5961" cy="2844637"/>
                          </a:xfrm>
                          <a:prstGeom prst="rect">
                            <a:avLst/>
                          </a:prstGeom>
                          <a:noFill/>
                        </pic:spPr>
                      </pic:pic>
                    </a:graphicData>
                  </a:graphic>
                </wp:inline>
              </w:drawing>
            </w:r>
          </w:p>
        </w:tc>
      </w:tr>
      <w:tr w:rsidR="00CF16C7" w:rsidRPr="00B95533" w14:paraId="42B013F0" w14:textId="77777777" w:rsidTr="0054118D">
        <w:trPr>
          <w:tblHeader/>
        </w:trPr>
        <w:tc>
          <w:tcPr>
            <w:tcW w:w="9016" w:type="dxa"/>
          </w:tcPr>
          <w:p w14:paraId="13E13B63" w14:textId="58AE0803" w:rsidR="005F5FCC" w:rsidRPr="00B95533" w:rsidRDefault="0057285A" w:rsidP="0057285A">
            <w:pPr>
              <w:pStyle w:val="ExhibitFootnote"/>
              <w:rPr>
                <w:color w:val="auto"/>
              </w:rPr>
            </w:pPr>
            <w:r w:rsidRPr="00B95533">
              <w:rPr>
                <w:color w:val="auto"/>
              </w:rPr>
              <w:t xml:space="preserve">Source: </w:t>
            </w:r>
            <w:r w:rsidRPr="00B95533">
              <w:rPr>
                <w:color w:val="auto"/>
                <w:lang w:val="en-GB"/>
              </w:rPr>
              <w:t>IBISWorld Industry Reports 2018, 2019, 2020</w:t>
            </w:r>
          </w:p>
        </w:tc>
      </w:tr>
    </w:tbl>
    <w:p w14:paraId="4D4F5057" w14:textId="306F1C3F" w:rsidR="001C64BA" w:rsidRDefault="001C64BA" w:rsidP="001750A3">
      <w:pPr>
        <w:spacing w:after="120" w:line="240" w:lineRule="auto"/>
      </w:pPr>
    </w:p>
    <w:p w14:paraId="319B6EB6" w14:textId="5A9DE072" w:rsidR="00EC7467" w:rsidRDefault="00BB74E6" w:rsidP="001750A3">
      <w:pPr>
        <w:spacing w:after="120" w:line="240" w:lineRule="auto"/>
      </w:pPr>
      <w:r w:rsidRPr="008457AE">
        <w:rPr>
          <w:bCs/>
        </w:rPr>
        <w:t>There are some notable differences.</w:t>
      </w:r>
      <w:r>
        <w:rPr>
          <w:b/>
        </w:rPr>
        <w:t xml:space="preserve"> </w:t>
      </w:r>
      <w:r>
        <w:t xml:space="preserve">Whilst cyber security has much lower revenue, of about $2.8 billion in 2018 compared to space’s $4.8 billion in 2019, it employs 20,500 people. This is likely because it is a </w:t>
      </w:r>
      <w:r w:rsidR="003359AF">
        <w:t xml:space="preserve">far </w:t>
      </w:r>
      <w:r>
        <w:t xml:space="preserve">more labour-intensive and far less capital-intensive industry compared to space. For instance, many large organisations have cyber security teams who perform time consuming security tasks and fulfilling compliance protocols. </w:t>
      </w:r>
    </w:p>
    <w:p w14:paraId="6573107F" w14:textId="07214030" w:rsidR="00890B91" w:rsidRDefault="003A73CF" w:rsidP="00332308">
      <w:pPr>
        <w:pStyle w:val="Heading2"/>
        <w:ind w:left="567" w:hanging="567"/>
      </w:pPr>
      <w:bookmarkStart w:id="152" w:name="_Toc48224789"/>
      <w:bookmarkStart w:id="153" w:name="_Toc46321711"/>
      <w:bookmarkStart w:id="154" w:name="_Toc49366200"/>
      <w:bookmarkStart w:id="155" w:name="_Toc62719134"/>
      <w:r>
        <w:t>Australia’s space sector is dominated by the applications segment of the value chain that provides services such as mobile communications</w:t>
      </w:r>
      <w:bookmarkEnd w:id="152"/>
      <w:bookmarkEnd w:id="153"/>
      <w:r w:rsidR="009D5D50">
        <w:t>, weather forecasting and GPS</w:t>
      </w:r>
      <w:bookmarkEnd w:id="154"/>
      <w:bookmarkEnd w:id="155"/>
    </w:p>
    <w:p w14:paraId="378DD328" w14:textId="79A14C87" w:rsidR="00B2295D" w:rsidRDefault="001A42D6" w:rsidP="00A06A1D">
      <w:pPr>
        <w:spacing w:after="120" w:line="240" w:lineRule="auto"/>
      </w:pPr>
      <w:r>
        <w:t xml:space="preserve">Australia’s space sector comprises a total of </w:t>
      </w:r>
      <w:r w:rsidR="00ED1E51">
        <w:t xml:space="preserve">558 </w:t>
      </w:r>
      <w:r>
        <w:t xml:space="preserve">firms </w:t>
      </w:r>
      <w:r w:rsidR="00DE1DB4">
        <w:t xml:space="preserve">and </w:t>
      </w:r>
      <w:r w:rsidR="0084007C">
        <w:t xml:space="preserve">an estimated </w:t>
      </w:r>
      <w:r w:rsidR="00DE1DB4">
        <w:t>9,</w:t>
      </w:r>
      <w:r w:rsidR="00682DBB">
        <w:t>0</w:t>
      </w:r>
      <w:r w:rsidR="00DE1DB4">
        <w:t xml:space="preserve">00 </w:t>
      </w:r>
      <w:r w:rsidR="00813E0B">
        <w:t>to</w:t>
      </w:r>
      <w:r w:rsidR="00682DBB">
        <w:t xml:space="preserve"> 10,000 </w:t>
      </w:r>
      <w:r w:rsidR="00DE1DB4">
        <w:t xml:space="preserve">workers </w:t>
      </w:r>
      <w:r>
        <w:t xml:space="preserve">across </w:t>
      </w:r>
      <w:r w:rsidR="00980936">
        <w:t>all four segments of the space value chain</w:t>
      </w:r>
      <w:r w:rsidR="00E86BD6">
        <w:t xml:space="preserve">: manufacturing, operations, enablers, and </w:t>
      </w:r>
      <w:r w:rsidR="00E86BD6">
        <w:lastRenderedPageBreak/>
        <w:t>applications</w:t>
      </w:r>
      <w:r w:rsidR="00EC7467">
        <w:t xml:space="preserve"> </w:t>
      </w:r>
      <w:r w:rsidR="00EC7467" w:rsidRPr="007E7A00">
        <w:rPr>
          <w:b/>
          <w:bCs/>
        </w:rPr>
        <w:t>(Exhibit 1</w:t>
      </w:r>
      <w:r w:rsidR="005B2B4C">
        <w:rPr>
          <w:b/>
          <w:bCs/>
        </w:rPr>
        <w:t>1</w:t>
      </w:r>
      <w:r w:rsidR="00DE1DB4">
        <w:rPr>
          <w:b/>
          <w:bCs/>
        </w:rPr>
        <w:t>, Exhibit 12</w:t>
      </w:r>
      <w:r w:rsidR="00EC7467" w:rsidRPr="007E7A00">
        <w:rPr>
          <w:b/>
          <w:bCs/>
        </w:rPr>
        <w:t>)</w:t>
      </w:r>
      <w:r w:rsidRPr="007E7A00">
        <w:rPr>
          <w:b/>
          <w:bCs/>
        </w:rPr>
        <w:t>.</w:t>
      </w:r>
      <w:r w:rsidR="00BA2517">
        <w:t xml:space="preserve"> </w:t>
      </w:r>
      <w:r w:rsidR="00165ECE">
        <w:t>Exhibits 11 and 12,</w:t>
      </w:r>
      <w:r w:rsidR="00FA052B">
        <w:t xml:space="preserve"> </w:t>
      </w:r>
      <w:r w:rsidR="00682DBB">
        <w:t xml:space="preserve">describe </w:t>
      </w:r>
      <w:r w:rsidR="00165ECE">
        <w:t>t</w:t>
      </w:r>
      <w:r w:rsidR="00B2295D">
        <w:t xml:space="preserve">he distribution of </w:t>
      </w:r>
      <w:r w:rsidR="00165ECE">
        <w:t xml:space="preserve">approximately 9,500 </w:t>
      </w:r>
      <w:r w:rsidR="00B2295D">
        <w:t xml:space="preserve">space </w:t>
      </w:r>
      <w:r w:rsidR="00165ECE">
        <w:t>workers</w:t>
      </w:r>
      <w:r w:rsidR="00B2295D">
        <w:t xml:space="preserve"> across the sector</w:t>
      </w:r>
      <w:r w:rsidR="00682DBB">
        <w:t>,</w:t>
      </w:r>
      <w:r w:rsidR="00B2295D">
        <w:t xml:space="preserve"> reflect</w:t>
      </w:r>
      <w:r w:rsidR="00682DBB">
        <w:t>ing</w:t>
      </w:r>
      <w:r w:rsidR="00B2295D">
        <w:t xml:space="preserve"> the</w:t>
      </w:r>
      <w:r w:rsidR="00165ECE">
        <w:t xml:space="preserve"> </w:t>
      </w:r>
      <w:r w:rsidR="00B2295D">
        <w:t xml:space="preserve">mid-point </w:t>
      </w:r>
      <w:r w:rsidR="00682DBB">
        <w:t xml:space="preserve">of the </w:t>
      </w:r>
      <w:r w:rsidR="00B2295D">
        <w:t xml:space="preserve">estimated </w:t>
      </w:r>
      <w:r w:rsidR="00682DBB">
        <w:t xml:space="preserve">range </w:t>
      </w:r>
      <w:r w:rsidR="00165ECE">
        <w:t xml:space="preserve">of </w:t>
      </w:r>
      <w:r w:rsidR="00B2295D">
        <w:t>9,000 to 10,000 space workers.</w:t>
      </w:r>
    </w:p>
    <w:p w14:paraId="06D26546" w14:textId="77777777" w:rsidR="0015600E" w:rsidRDefault="0015600E" w:rsidP="00EC7467">
      <w:pPr>
        <w:pStyle w:val="Caption"/>
        <w:keepNext/>
        <w:sectPr w:rsidR="0015600E">
          <w:pgSz w:w="11906" w:h="16838"/>
          <w:pgMar w:top="1440" w:right="1440" w:bottom="1440" w:left="1440" w:header="708" w:footer="708" w:gutter="0"/>
          <w:cols w:space="708"/>
          <w:docGrid w:linePitch="360"/>
        </w:sectPr>
      </w:pPr>
    </w:p>
    <w:p w14:paraId="663C0B50" w14:textId="499928F4" w:rsidR="00EC7467" w:rsidRDefault="00EC7467" w:rsidP="00EC7467">
      <w:pPr>
        <w:pStyle w:val="Caption"/>
        <w:keepNext/>
      </w:pPr>
      <w:r>
        <w:lastRenderedPageBreak/>
        <w:t>Exhibit 1</w:t>
      </w:r>
      <w:r w:rsidR="005B2B4C">
        <w:t>1</w:t>
      </w:r>
      <w:r w:rsidRPr="001A42D6">
        <w:t xml:space="preserve">: </w:t>
      </w:r>
      <w:r w:rsidR="00375629">
        <w:t xml:space="preserve">Firm count, revenue estimates, and </w:t>
      </w:r>
      <w:r w:rsidR="00847F0C">
        <w:t>common services</w:t>
      </w:r>
      <w:r w:rsidR="00384258">
        <w:t xml:space="preserve"> and </w:t>
      </w:r>
      <w:r w:rsidR="00847F0C">
        <w:t xml:space="preserve">activities </w:t>
      </w:r>
      <w:r w:rsidR="00375629">
        <w:t>across the Australian space value chain</w:t>
      </w:r>
      <w:r w:rsidR="00375629" w:rsidRPr="001A42D6">
        <w:t>,</w:t>
      </w:r>
      <w:r w:rsidR="00375629">
        <w:t xml:space="preserve"> 2019</w:t>
      </w:r>
    </w:p>
    <w:tbl>
      <w:tblPr>
        <w:tblStyle w:val="ExhibitTable"/>
        <w:tblW w:w="0" w:type="auto"/>
        <w:tblLook w:val="04A0" w:firstRow="1" w:lastRow="0" w:firstColumn="1" w:lastColumn="0" w:noHBand="0" w:noVBand="1"/>
        <w:tblCaption w:val="Firm count, revenue estimates and common services and activities across the Austalian space value chain, 2019"/>
        <w:tblDescription w:val="Describes the number of firms and revenues, and common activities identified by value chain segment."/>
      </w:tblPr>
      <w:tblGrid>
        <w:gridCol w:w="13325"/>
      </w:tblGrid>
      <w:tr w:rsidR="00470D27" w14:paraId="7686B3AD" w14:textId="77777777" w:rsidTr="00242288">
        <w:trPr>
          <w:tblHeader/>
        </w:trPr>
        <w:tc>
          <w:tcPr>
            <w:tcW w:w="13325" w:type="dxa"/>
          </w:tcPr>
          <w:p w14:paraId="47EA2A45" w14:textId="38DC1E59" w:rsidR="00EC7467" w:rsidRDefault="00470D27" w:rsidP="00470D27">
            <w:pPr>
              <w:keepNext/>
              <w:spacing w:after="120"/>
              <w:ind w:right="34"/>
              <w:jc w:val="center"/>
            </w:pPr>
            <w:r>
              <w:rPr>
                <w:noProof/>
                <w:lang w:eastAsia="en-AU"/>
              </w:rPr>
              <w:drawing>
                <wp:inline distT="0" distB="0" distL="0" distR="0" wp14:anchorId="6F8516B1" wp14:editId="0ED2DD0D">
                  <wp:extent cx="7933509" cy="3723487"/>
                  <wp:effectExtent l="0" t="0" r="0" b="0"/>
                  <wp:docPr id="14" name="Picture 14" descr="Describes the number of firms and revenues, and common activities identified by value chain segment.&#10;Manufacturing (space segment) includes the manufacture of spacecraft, satellites, payloads, launch vehicles &amp; products to be used in space. Number of firms is 65, generating $51 million in revenue, which is 1% of total Australian space revenue. Example firm is Axiom. Common services include supply of material and components.&#10;Manufacturing ground segment includes The manufacture of ground facilities and equipment including launch facilities. There are 82 firms in this segment, generating $126 million in revenye, accounting for 3% of total Australian space revenue. Example firm is ESS and common service example is supply of material and components.&#10;Opereations segment includes the operation &amp; management of satellites &amp; other objects in space. There are 44 firms in this segment, generating $357 million, accounting for 7% of total australian space revenue. Example firm is SES and common service is logistics and program management.&#10;Enablers include services that support space activities including research &amp; development, policy and regulation, infrastructure &amp; professional services. There are 244 firms in this segment, generating $432 million, accounting for 9% of total Australian space revenue. Example firm is ANU, and common services includes education and training.&#10;Applications include services that enable downstream and consumer applications of space-related activities such as satellite television, satellite broadband, mobile communications and earth observation. There are 123 firms in this segment, generating $3.8 billion, accounting for 80% of total Australian space revenue. Example firms include Optus and Foxtel. Remote sensing and earth observation are common activities.&#10;&#10;&#10;&#10;&#10;" title="Firm count, revenue estimates, and common services and activities across the Australian space value cha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986171" cy="3748203"/>
                          </a:xfrm>
                          <a:prstGeom prst="rect">
                            <a:avLst/>
                          </a:prstGeom>
                        </pic:spPr>
                      </pic:pic>
                    </a:graphicData>
                  </a:graphic>
                </wp:inline>
              </w:drawing>
            </w:r>
          </w:p>
          <w:p w14:paraId="0C5BBB34" w14:textId="3D183CE4" w:rsidR="003B5141" w:rsidRPr="00470D27" w:rsidRDefault="003B5141" w:rsidP="00470D27">
            <w:pPr>
              <w:pStyle w:val="ExhibitFootnote"/>
              <w:jc w:val="both"/>
              <w:rPr>
                <w:color w:val="000000" w:themeColor="text1"/>
                <w:szCs w:val="18"/>
              </w:rPr>
            </w:pPr>
            <w:r w:rsidRPr="00470D27">
              <w:rPr>
                <w:color w:val="000000" w:themeColor="text1"/>
                <w:szCs w:val="18"/>
              </w:rPr>
              <w:t>Note</w:t>
            </w:r>
            <w:r w:rsidR="00CC5D83" w:rsidRPr="00470D27">
              <w:rPr>
                <w:color w:val="000000" w:themeColor="text1"/>
                <w:szCs w:val="18"/>
              </w:rPr>
              <w:t>s</w:t>
            </w:r>
            <w:r w:rsidRPr="00470D27">
              <w:rPr>
                <w:color w:val="000000" w:themeColor="text1"/>
                <w:szCs w:val="18"/>
              </w:rPr>
              <w:t>:</w:t>
            </w:r>
            <w:r w:rsidRPr="00470D27">
              <w:rPr>
                <w:b/>
                <w:bCs/>
                <w:color w:val="000000" w:themeColor="text1"/>
                <w:szCs w:val="18"/>
              </w:rPr>
              <w:t xml:space="preserve"> </w:t>
            </w:r>
            <w:r w:rsidRPr="00470D27">
              <w:rPr>
                <w:color w:val="000000" w:themeColor="text1"/>
                <w:szCs w:val="18"/>
              </w:rPr>
              <w:t xml:space="preserve">Non-exhaustive: these figures only represent firms that earned revenue from the space sector, according to our database. For each firm we estimated the proportion of space-related revenue based on an individual assessment of their activities. </w:t>
            </w:r>
          </w:p>
          <w:p w14:paraId="36297336" w14:textId="37686C81" w:rsidR="003B5141" w:rsidRPr="00470D27" w:rsidRDefault="003B5141" w:rsidP="00470D27">
            <w:pPr>
              <w:pStyle w:val="ExhibitFootnote"/>
              <w:jc w:val="both"/>
              <w:rPr>
                <w:color w:val="000000" w:themeColor="text1"/>
                <w:szCs w:val="18"/>
              </w:rPr>
            </w:pPr>
            <w:r w:rsidRPr="00470D27">
              <w:rPr>
                <w:color w:val="000000" w:themeColor="text1"/>
                <w:szCs w:val="18"/>
                <w:vertAlign w:val="superscript"/>
                <w:lang w:val="en-GB"/>
              </w:rPr>
              <w:t>1</w:t>
            </w:r>
            <w:r w:rsidRPr="00470D27">
              <w:rPr>
                <w:color w:val="000000" w:themeColor="text1"/>
                <w:szCs w:val="18"/>
                <w:lang w:val="en-GB"/>
              </w:rPr>
              <w:t xml:space="preserve"> </w:t>
            </w:r>
            <w:r w:rsidR="00926B8B" w:rsidRPr="00470D27">
              <w:rPr>
                <w:color w:val="000000" w:themeColor="text1"/>
                <w:szCs w:val="18"/>
                <w:lang w:val="en-GB"/>
              </w:rPr>
              <w:t>Common services and activities</w:t>
            </w:r>
            <w:r w:rsidRPr="00470D27">
              <w:rPr>
                <w:color w:val="000000" w:themeColor="text1"/>
                <w:szCs w:val="18"/>
                <w:lang w:val="en-GB"/>
              </w:rPr>
              <w:t xml:space="preserve"> identified using most common capabilities of Australian space firms listed in the SIAA database in the relevant area. Organisations are able to self-select into the database so may only be tangentially involved in space. The ‘Aviation’ category has been withheld due to data quality concerns. </w:t>
            </w:r>
          </w:p>
          <w:p w14:paraId="288AF932" w14:textId="1C813671" w:rsidR="003B5141" w:rsidRPr="003B5141" w:rsidRDefault="003B5141" w:rsidP="00470D27">
            <w:pPr>
              <w:pStyle w:val="ExhibitFootnote"/>
              <w:jc w:val="both"/>
            </w:pPr>
            <w:r w:rsidRPr="00470D27">
              <w:rPr>
                <w:color w:val="000000" w:themeColor="text1"/>
                <w:szCs w:val="18"/>
              </w:rPr>
              <w:t>Source</w:t>
            </w:r>
            <w:r w:rsidR="00CC5D83" w:rsidRPr="00470D27">
              <w:rPr>
                <w:color w:val="000000" w:themeColor="text1"/>
                <w:szCs w:val="18"/>
              </w:rPr>
              <w:t>s</w:t>
            </w:r>
            <w:r w:rsidRPr="00470D27">
              <w:rPr>
                <w:color w:val="000000" w:themeColor="text1"/>
                <w:szCs w:val="18"/>
              </w:rPr>
              <w:t xml:space="preserve">: AlphaBeta analysis; </w:t>
            </w:r>
            <w:r w:rsidRPr="00470D27">
              <w:rPr>
                <w:color w:val="000000" w:themeColor="text1"/>
                <w:szCs w:val="18"/>
                <w:lang w:val="en-GB"/>
              </w:rPr>
              <w:t>SIAA (2020)</w:t>
            </w:r>
            <w:r w:rsidR="003941E1" w:rsidRPr="00470D27">
              <w:rPr>
                <w:color w:val="000000" w:themeColor="text1"/>
                <w:szCs w:val="18"/>
                <w:lang w:val="en-GB"/>
              </w:rPr>
              <w:t>.</w:t>
            </w:r>
          </w:p>
        </w:tc>
      </w:tr>
    </w:tbl>
    <w:p w14:paraId="6D6D3F3D" w14:textId="77777777" w:rsidR="0015600E" w:rsidRDefault="0015600E" w:rsidP="00A06A1D">
      <w:pPr>
        <w:spacing w:after="120" w:line="240" w:lineRule="auto"/>
        <w:sectPr w:rsidR="0015600E" w:rsidSect="00522235">
          <w:pgSz w:w="16838" w:h="11906" w:orient="landscape"/>
          <w:pgMar w:top="1440" w:right="1440" w:bottom="1440" w:left="1440" w:header="708" w:footer="708" w:gutter="0"/>
          <w:cols w:space="708"/>
          <w:docGrid w:linePitch="360"/>
        </w:sectPr>
      </w:pPr>
    </w:p>
    <w:p w14:paraId="0A4CBD4B" w14:textId="778E101D" w:rsidR="009A47B1" w:rsidRPr="00A06A1D" w:rsidRDefault="009A47B1" w:rsidP="00A06A1D">
      <w:pPr>
        <w:spacing w:after="120" w:line="240" w:lineRule="auto"/>
      </w:pPr>
      <w:r>
        <w:lastRenderedPageBreak/>
        <w:t>The</w:t>
      </w:r>
      <w:r w:rsidR="00DC3987">
        <w:t xml:space="preserve"> </w:t>
      </w:r>
      <w:r w:rsidR="00D14E3D">
        <w:t xml:space="preserve">breakdown of revenue across each stage of the value chain is as follows: </w:t>
      </w:r>
    </w:p>
    <w:p w14:paraId="3D06A1F7" w14:textId="77777777" w:rsidR="001A42D6" w:rsidRPr="009C16EE" w:rsidRDefault="00AD5B83" w:rsidP="009C16EE">
      <w:pPr>
        <w:pStyle w:val="Bullet-square"/>
      </w:pPr>
      <w:r w:rsidRPr="009C16EE">
        <w:rPr>
          <w:b/>
        </w:rPr>
        <w:t>Manufacturing:</w:t>
      </w:r>
      <w:r w:rsidRPr="009C16EE">
        <w:t xml:space="preserve"> </w:t>
      </w:r>
      <w:r w:rsidR="001A42D6" w:rsidRPr="009C16EE">
        <w:t xml:space="preserve">There are two sub-segments of manufacturing. </w:t>
      </w:r>
    </w:p>
    <w:p w14:paraId="428051A7" w14:textId="7028790F" w:rsidR="001A42D6" w:rsidRPr="00FA62A9" w:rsidRDefault="001A42D6" w:rsidP="00E13F5B">
      <w:pPr>
        <w:pStyle w:val="Bullet-square"/>
        <w:numPr>
          <w:ilvl w:val="1"/>
          <w:numId w:val="48"/>
        </w:numPr>
        <w:ind w:left="709"/>
      </w:pPr>
      <w:r w:rsidRPr="00FA62A9">
        <w:rPr>
          <w:i/>
        </w:rPr>
        <w:t>Space:</w:t>
      </w:r>
      <w:r>
        <w:t xml:space="preserve"> T</w:t>
      </w:r>
      <w:r w:rsidR="00AD5B83">
        <w:t xml:space="preserve">he manufacturing of products involved in the launch and orbit of spacecraft and satellites </w:t>
      </w:r>
      <w:r w:rsidR="009F67A7">
        <w:t xml:space="preserve">was </w:t>
      </w:r>
      <w:r w:rsidR="00AD5B83">
        <w:t>worth an estimated $51 million</w:t>
      </w:r>
      <w:r w:rsidR="00080360">
        <w:t xml:space="preserve"> in 2019, equivalent to just 1 per cent of the total Australian space sector. 65 firms </w:t>
      </w:r>
      <w:r w:rsidR="007B67BC">
        <w:t xml:space="preserve">and 260 workers </w:t>
      </w:r>
      <w:r w:rsidR="00080360">
        <w:t xml:space="preserve">in Australia </w:t>
      </w:r>
      <w:r w:rsidR="009F67A7">
        <w:t xml:space="preserve">were </w:t>
      </w:r>
      <w:r w:rsidR="00080360">
        <w:t xml:space="preserve">involved in this sub-segment. </w:t>
      </w:r>
    </w:p>
    <w:p w14:paraId="4FC9541A" w14:textId="1DA35482" w:rsidR="00080360" w:rsidRDefault="001A42D6" w:rsidP="00E13F5B">
      <w:pPr>
        <w:pStyle w:val="Bullet-square"/>
        <w:numPr>
          <w:ilvl w:val="1"/>
          <w:numId w:val="48"/>
        </w:numPr>
        <w:ind w:left="709"/>
      </w:pPr>
      <w:r w:rsidRPr="00FA62A9">
        <w:rPr>
          <w:i/>
        </w:rPr>
        <w:t>Ground:</w:t>
      </w:r>
      <w:r w:rsidR="00080360" w:rsidDel="001A42D6">
        <w:rPr>
          <w:b/>
          <w:i/>
        </w:rPr>
        <w:t xml:space="preserve"> </w:t>
      </w:r>
      <w:r w:rsidR="009F67A7">
        <w:t>The g</w:t>
      </w:r>
      <w:r w:rsidR="00080360">
        <w:t xml:space="preserve">round facilities and equipment that support launches and space operations. There </w:t>
      </w:r>
      <w:r w:rsidR="00AD10B4">
        <w:t xml:space="preserve">were </w:t>
      </w:r>
      <w:r w:rsidR="00080360">
        <w:t>82 firms</w:t>
      </w:r>
      <w:r w:rsidR="007B67BC">
        <w:t xml:space="preserve"> </w:t>
      </w:r>
      <w:r w:rsidR="00080360">
        <w:t xml:space="preserve">in this sub-segment, receiving $126 million in </w:t>
      </w:r>
      <w:r w:rsidR="0069415B">
        <w:t xml:space="preserve">revenue which </w:t>
      </w:r>
      <w:r w:rsidR="009F67A7">
        <w:t xml:space="preserve">was </w:t>
      </w:r>
      <w:r w:rsidR="0069415B">
        <w:t>equal to 3 per cent of total sector revenue</w:t>
      </w:r>
      <w:r w:rsidR="007B67BC">
        <w:t>, employing about 330 workers.</w:t>
      </w:r>
    </w:p>
    <w:p w14:paraId="79AC3A84" w14:textId="4324129B" w:rsidR="00080360" w:rsidRPr="009C16EE" w:rsidRDefault="00080360" w:rsidP="009C16EE">
      <w:pPr>
        <w:pStyle w:val="Bullet-square"/>
      </w:pPr>
      <w:r w:rsidRPr="009C16EE">
        <w:rPr>
          <w:b/>
        </w:rPr>
        <w:t xml:space="preserve">Operations: </w:t>
      </w:r>
      <w:r w:rsidR="001A42D6" w:rsidRPr="009C16EE">
        <w:t xml:space="preserve">The </w:t>
      </w:r>
      <w:r w:rsidRPr="009C16EE">
        <w:t>operation</w:t>
      </w:r>
      <w:r w:rsidR="000A734C" w:rsidRPr="009C16EE">
        <w:t>s</w:t>
      </w:r>
      <w:r w:rsidRPr="009C16EE">
        <w:t xml:space="preserve"> segment </w:t>
      </w:r>
      <w:r w:rsidR="0069415B" w:rsidRPr="009C16EE">
        <w:t>receive</w:t>
      </w:r>
      <w:r w:rsidR="006D108D" w:rsidRPr="009C16EE">
        <w:t>d</w:t>
      </w:r>
      <w:r w:rsidR="0069415B" w:rsidRPr="009C16EE">
        <w:t xml:space="preserve"> about $357 million in revenue, equivalent to 7 per cent of total sector revenue, and include</w:t>
      </w:r>
      <w:r w:rsidR="006D108D" w:rsidRPr="009C16EE">
        <w:t>d</w:t>
      </w:r>
      <w:r w:rsidR="0069415B" w:rsidRPr="009C16EE">
        <w:t xml:space="preserve"> 44 firms</w:t>
      </w:r>
      <w:r w:rsidR="007B67BC" w:rsidRPr="009C16EE">
        <w:t xml:space="preserve"> and 150 workers</w:t>
      </w:r>
      <w:r w:rsidR="0069415B" w:rsidRPr="009C16EE">
        <w:t xml:space="preserve"> locally. </w:t>
      </w:r>
    </w:p>
    <w:p w14:paraId="5F4DC852" w14:textId="2B958CDF" w:rsidR="0069415B" w:rsidRPr="009C16EE" w:rsidRDefault="0069415B" w:rsidP="009C16EE">
      <w:pPr>
        <w:pStyle w:val="Bullet-square"/>
      </w:pPr>
      <w:r w:rsidRPr="009C16EE">
        <w:rPr>
          <w:b/>
        </w:rPr>
        <w:t>Enablers:</w:t>
      </w:r>
      <w:r w:rsidRPr="009C16EE">
        <w:t xml:space="preserve"> </w:t>
      </w:r>
      <w:r w:rsidR="001A42D6" w:rsidRPr="009C16EE">
        <w:t>R</w:t>
      </w:r>
      <w:r w:rsidRPr="009C16EE">
        <w:t xml:space="preserve">evenue for enabler firms </w:t>
      </w:r>
      <w:r w:rsidR="006D108D" w:rsidRPr="009C16EE">
        <w:t xml:space="preserve">was </w:t>
      </w:r>
      <w:r w:rsidRPr="009C16EE">
        <w:t xml:space="preserve">about $432 million, representing 9 per cent of total space sector revenue. There </w:t>
      </w:r>
      <w:r w:rsidR="006D108D" w:rsidRPr="009C16EE">
        <w:t xml:space="preserve">were </w:t>
      </w:r>
      <w:r w:rsidRPr="009C16EE">
        <w:t>approximately 244 firms in this segment</w:t>
      </w:r>
      <w:r w:rsidR="000F56B8" w:rsidRPr="009C16EE">
        <w:t>, representing the largest contingent of firms of all segments.</w:t>
      </w:r>
      <w:r w:rsidR="007B67BC" w:rsidRPr="009C16EE">
        <w:t xml:space="preserve"> About 490 workers </w:t>
      </w:r>
      <w:r w:rsidR="006D108D" w:rsidRPr="009C16EE">
        <w:t xml:space="preserve">were </w:t>
      </w:r>
      <w:r w:rsidR="007B67BC" w:rsidRPr="009C16EE">
        <w:t>employed in this segment.</w:t>
      </w:r>
    </w:p>
    <w:p w14:paraId="460AE10F" w14:textId="5F55A399" w:rsidR="0069415B" w:rsidRPr="009C16EE" w:rsidRDefault="0069415B" w:rsidP="009C16EE">
      <w:pPr>
        <w:pStyle w:val="Bullet-square"/>
      </w:pPr>
      <w:r w:rsidRPr="009C16EE">
        <w:rPr>
          <w:b/>
        </w:rPr>
        <w:t>Applications:</w:t>
      </w:r>
      <w:r w:rsidR="00E40B38" w:rsidRPr="009C16EE">
        <w:t xml:space="preserve"> </w:t>
      </w:r>
      <w:r w:rsidR="001A42D6" w:rsidRPr="009C16EE">
        <w:t xml:space="preserve">The </w:t>
      </w:r>
      <w:r w:rsidRPr="009C16EE">
        <w:t xml:space="preserve">applications </w:t>
      </w:r>
      <w:r w:rsidR="00E40B38" w:rsidRPr="009C16EE">
        <w:t xml:space="preserve">segment </w:t>
      </w:r>
      <w:r w:rsidR="00EF0C56" w:rsidRPr="009C16EE">
        <w:t xml:space="preserve">was </w:t>
      </w:r>
      <w:r w:rsidRPr="009C16EE">
        <w:t xml:space="preserve">by far the </w:t>
      </w:r>
      <w:r w:rsidR="00E40B38" w:rsidRPr="009C16EE">
        <w:t xml:space="preserve">largest of </w:t>
      </w:r>
      <w:r w:rsidR="00115A0B" w:rsidRPr="009C16EE">
        <w:t>component of the value chain</w:t>
      </w:r>
      <w:r w:rsidR="000F56B8" w:rsidRPr="009C16EE">
        <w:t xml:space="preserve"> by revenue</w:t>
      </w:r>
      <w:r w:rsidRPr="009C16EE">
        <w:t xml:space="preserve">, with $3.8 billion in revenue </w:t>
      </w:r>
      <w:r w:rsidR="00EF0C56" w:rsidRPr="009C16EE">
        <w:t xml:space="preserve">in 2019 </w:t>
      </w:r>
      <w:r w:rsidR="000A734C" w:rsidRPr="009C16EE">
        <w:t>(</w:t>
      </w:r>
      <w:r w:rsidRPr="009C16EE">
        <w:t>80 per cent of total sector revenue</w:t>
      </w:r>
      <w:r w:rsidR="000A734C" w:rsidRPr="009C16EE">
        <w:t>)</w:t>
      </w:r>
      <w:r w:rsidRPr="009C16EE">
        <w:t xml:space="preserve">. There </w:t>
      </w:r>
      <w:r w:rsidR="00EF0C56" w:rsidRPr="009C16EE">
        <w:t xml:space="preserve">were </w:t>
      </w:r>
      <w:r w:rsidRPr="009C16EE">
        <w:t xml:space="preserve">approximately 123 firms </w:t>
      </w:r>
      <w:r w:rsidR="007B67BC" w:rsidRPr="009C16EE">
        <w:t xml:space="preserve">and </w:t>
      </w:r>
      <w:r w:rsidR="00274F7C" w:rsidRPr="009C16EE">
        <w:t xml:space="preserve">7,940 workers </w:t>
      </w:r>
      <w:r w:rsidRPr="009C16EE">
        <w:t xml:space="preserve">in this segment. </w:t>
      </w:r>
    </w:p>
    <w:p w14:paraId="2A68CC2D" w14:textId="15E2689B" w:rsidR="00F00043" w:rsidRDefault="009A47B1" w:rsidP="00FA62A9">
      <w:pPr>
        <w:spacing w:after="120" w:line="240" w:lineRule="auto"/>
      </w:pPr>
      <w:r>
        <w:t xml:space="preserve">Most of Australia’s </w:t>
      </w:r>
      <w:r w:rsidR="00EF0C56">
        <w:t xml:space="preserve">space </w:t>
      </w:r>
      <w:r>
        <w:t>firms</w:t>
      </w:r>
      <w:r w:rsidR="00367DD7">
        <w:t xml:space="preserve"> and workers</w:t>
      </w:r>
      <w:r>
        <w:t xml:space="preserve"> are concentrated in the enabler and applications segments</w:t>
      </w:r>
      <w:r w:rsidR="00F774EE">
        <w:t xml:space="preserve"> </w:t>
      </w:r>
      <w:r w:rsidR="00F774EE" w:rsidRPr="007E7A00">
        <w:rPr>
          <w:b/>
          <w:bCs/>
        </w:rPr>
        <w:t>(Exhibit 1</w:t>
      </w:r>
      <w:r w:rsidR="005B2B4C">
        <w:rPr>
          <w:b/>
          <w:bCs/>
        </w:rPr>
        <w:t>2)</w:t>
      </w:r>
      <w:r>
        <w:t xml:space="preserve">. These segments involve relatively high-skilled, service-intensive jobs which reflect the structure of the overall Australian economy. </w:t>
      </w:r>
      <w:r w:rsidR="00EC7467">
        <w:t>For example, the</w:t>
      </w:r>
      <w:r w:rsidR="009B5A4B">
        <w:t xml:space="preserve"> </w:t>
      </w:r>
      <w:r w:rsidR="00B72D1B">
        <w:t>enablers segment</w:t>
      </w:r>
      <w:r>
        <w:t xml:space="preserve"> include</w:t>
      </w:r>
      <w:r w:rsidR="00B72D1B">
        <w:t>s</w:t>
      </w:r>
      <w:r>
        <w:t xml:space="preserve"> a host of education and research organisations, such as universities, and professional services firms which work across multiple sectors </w:t>
      </w:r>
      <w:r w:rsidR="00B6444E">
        <w:t>in the</w:t>
      </w:r>
      <w:r>
        <w:t xml:space="preserve"> economy. </w:t>
      </w:r>
      <w:r w:rsidR="00760B33">
        <w:t>Applications dominate the Australian space</w:t>
      </w:r>
      <w:r w:rsidR="00763E5F">
        <w:t xml:space="preserve"> sector</w:t>
      </w:r>
      <w:r w:rsidR="00B72D1B">
        <w:t xml:space="preserve"> as their services are</w:t>
      </w:r>
      <w:r w:rsidR="001B5199">
        <w:t xml:space="preserve"> valuable consumer services such as satellite television, radio</w:t>
      </w:r>
      <w:r w:rsidR="00FB741E">
        <w:t>,</w:t>
      </w:r>
      <w:r w:rsidR="001B5199">
        <w:t xml:space="preserve"> broadban</w:t>
      </w:r>
      <w:r w:rsidR="00FB741E">
        <w:t>d</w:t>
      </w:r>
      <w:r w:rsidR="00F06B43">
        <w:t>,</w:t>
      </w:r>
      <w:r w:rsidR="00FB741E">
        <w:t xml:space="preserve"> mobile </w:t>
      </w:r>
      <w:r w:rsidR="000A50A9">
        <w:t>telecommunications</w:t>
      </w:r>
      <w:r w:rsidR="00F06B43">
        <w:t>,</w:t>
      </w:r>
      <w:r w:rsidR="000A50A9">
        <w:t xml:space="preserve"> and </w:t>
      </w:r>
      <w:r w:rsidR="000C5D6B">
        <w:t>navigational and observation tools and services</w:t>
      </w:r>
      <w:r w:rsidR="00EC7467">
        <w:t>, such as geospatial analysis</w:t>
      </w:r>
      <w:r w:rsidR="000C5D6B">
        <w:t>.</w:t>
      </w:r>
      <w:r w:rsidR="00EF7F82">
        <w:t xml:space="preserve"> </w:t>
      </w:r>
      <w:r w:rsidR="00EC7467">
        <w:t>About</w:t>
      </w:r>
      <w:r w:rsidR="00247CBE">
        <w:t xml:space="preserve"> </w:t>
      </w:r>
      <w:r w:rsidR="00EF0C56">
        <w:t xml:space="preserve">84 </w:t>
      </w:r>
      <w:r w:rsidR="00247CBE">
        <w:t>per cent of Australia’s space sector workers belong to this segment</w:t>
      </w:r>
      <w:r w:rsidR="00DD5123">
        <w:t xml:space="preserve"> and work for major employers such as Optus and Foxtel.  </w:t>
      </w:r>
    </w:p>
    <w:p w14:paraId="39727780" w14:textId="6466ABBA" w:rsidR="00FF04B2" w:rsidRDefault="00FF04B2">
      <w:pPr>
        <w:spacing w:after="120" w:line="240" w:lineRule="auto"/>
      </w:pPr>
      <w:r>
        <w:t>Many space sector firms</w:t>
      </w:r>
      <w:r w:rsidR="00CA28BB">
        <w:t>, especially in the enablers and applications categories,</w:t>
      </w:r>
      <w:r>
        <w:t xml:space="preserve"> </w:t>
      </w:r>
      <w:r w:rsidR="00CA28BB">
        <w:t>also perform non-space sector work</w:t>
      </w:r>
      <w:r w:rsidR="00A75468">
        <w:t>:</w:t>
      </w:r>
      <w:r w:rsidR="00CA28BB">
        <w:t xml:space="preserve"> </w:t>
      </w:r>
      <w:r w:rsidR="00A75468">
        <w:t>f</w:t>
      </w:r>
      <w:r w:rsidR="00CA28BB">
        <w:t>or example,</w:t>
      </w:r>
      <w:r w:rsidR="00AE22BD">
        <w:t xml:space="preserve"> Jacobs (engineering and professional services) and Optus (telecommunications).</w:t>
      </w:r>
      <w:r w:rsidR="00CA28BB">
        <w:t xml:space="preserve"> </w:t>
      </w:r>
      <w:r w:rsidR="00C079B8">
        <w:t xml:space="preserve">The revenue and employment estimates in this report </w:t>
      </w:r>
      <w:r w:rsidR="004D70B6">
        <w:t xml:space="preserve">were weighted to </w:t>
      </w:r>
      <w:r w:rsidR="00C079B8">
        <w:t>account only for firms’ space-related</w:t>
      </w:r>
      <w:r w:rsidR="00582025">
        <w:t xml:space="preserve"> </w:t>
      </w:r>
      <w:r w:rsidR="00C079B8">
        <w:t xml:space="preserve">activities. </w:t>
      </w:r>
    </w:p>
    <w:p w14:paraId="234131D7" w14:textId="399A1CE7" w:rsidR="007B67BC" w:rsidRDefault="007B67BC" w:rsidP="007B67BC">
      <w:pPr>
        <w:pStyle w:val="Caption"/>
        <w:keepNext/>
      </w:pPr>
      <w:r>
        <w:lastRenderedPageBreak/>
        <w:t>Exhibit 1</w:t>
      </w:r>
      <w:r w:rsidR="005B2B4C">
        <w:t>2</w:t>
      </w:r>
      <w:r w:rsidRPr="001A42D6">
        <w:t xml:space="preserve">: </w:t>
      </w:r>
      <w:r w:rsidR="005B7D45">
        <w:t>Employment estimate broken down across the space value chain</w:t>
      </w:r>
    </w:p>
    <w:tbl>
      <w:tblPr>
        <w:tblStyle w:val="ExhibitTable"/>
        <w:tblW w:w="0" w:type="auto"/>
        <w:tblLook w:val="04A0" w:firstRow="1" w:lastRow="0" w:firstColumn="1" w:lastColumn="0" w:noHBand="0" w:noVBand="1"/>
        <w:tblCaption w:val="Employment estimate broken down across the space value chain"/>
        <w:tblDescription w:val="Describes how employment is split across the value chain. Applications supports the highest number of workers at 7,940 jobs."/>
      </w:tblPr>
      <w:tblGrid>
        <w:gridCol w:w="9026"/>
      </w:tblGrid>
      <w:tr w:rsidR="007B67BC" w14:paraId="058D4877" w14:textId="77777777" w:rsidTr="00242288">
        <w:trPr>
          <w:tblHeader/>
        </w:trPr>
        <w:tc>
          <w:tcPr>
            <w:tcW w:w="9026" w:type="dxa"/>
          </w:tcPr>
          <w:p w14:paraId="1721C4F2" w14:textId="587086CF" w:rsidR="002F5A19" w:rsidRDefault="00470D27" w:rsidP="004A5545">
            <w:pPr>
              <w:keepNext/>
              <w:spacing w:after="120"/>
              <w:jc w:val="center"/>
            </w:pPr>
            <w:r>
              <w:rPr>
                <w:noProof/>
                <w:lang w:eastAsia="en-AU"/>
              </w:rPr>
              <w:drawing>
                <wp:inline distT="0" distB="0" distL="0" distR="0" wp14:anchorId="6FF0A65D" wp14:editId="7D507084">
                  <wp:extent cx="5731510" cy="2506980"/>
                  <wp:effectExtent l="0" t="0" r="2540" b="7620"/>
                  <wp:docPr id="6" name="Picture 6" descr="Describes how employment is split across the value chain. Applications supports the highest number of workers at 7,940 jobs." title="Employment estimate broken down across the space value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506980"/>
                          </a:xfrm>
                          <a:prstGeom prst="rect">
                            <a:avLst/>
                          </a:prstGeom>
                        </pic:spPr>
                      </pic:pic>
                    </a:graphicData>
                  </a:graphic>
                </wp:inline>
              </w:drawing>
            </w:r>
          </w:p>
        </w:tc>
      </w:tr>
      <w:tr w:rsidR="00B063F3" w14:paraId="1B74C245" w14:textId="77777777" w:rsidTr="00242288">
        <w:trPr>
          <w:tblHeader/>
        </w:trPr>
        <w:tc>
          <w:tcPr>
            <w:tcW w:w="9026" w:type="dxa"/>
          </w:tcPr>
          <w:p w14:paraId="50C8BBE4" w14:textId="620E7FED" w:rsidR="00B063F3" w:rsidRPr="00977760" w:rsidRDefault="00B063F3" w:rsidP="00470D27">
            <w:pPr>
              <w:pStyle w:val="ExhibitFootnote"/>
              <w:jc w:val="both"/>
              <w:rPr>
                <w:color w:val="000000" w:themeColor="text1"/>
                <w:szCs w:val="18"/>
              </w:rPr>
            </w:pPr>
            <w:r w:rsidRPr="00977760">
              <w:rPr>
                <w:color w:val="000000" w:themeColor="text1"/>
                <w:szCs w:val="18"/>
              </w:rPr>
              <w:t>Note</w:t>
            </w:r>
            <w:r w:rsidR="00D14AA8" w:rsidRPr="00977760">
              <w:rPr>
                <w:color w:val="000000" w:themeColor="text1"/>
                <w:szCs w:val="18"/>
              </w:rPr>
              <w:t>s</w:t>
            </w:r>
            <w:r w:rsidRPr="00977760">
              <w:rPr>
                <w:color w:val="000000" w:themeColor="text1"/>
                <w:szCs w:val="18"/>
              </w:rPr>
              <w:t>:</w:t>
            </w:r>
            <w:r w:rsidRPr="00977760">
              <w:rPr>
                <w:b/>
                <w:bCs/>
                <w:color w:val="000000" w:themeColor="text1"/>
                <w:szCs w:val="18"/>
              </w:rPr>
              <w:t xml:space="preserve"> </w:t>
            </w:r>
            <w:r w:rsidRPr="00977760">
              <w:rPr>
                <w:color w:val="000000" w:themeColor="text1"/>
                <w:szCs w:val="18"/>
              </w:rPr>
              <w:t>These estimates assume that where firms operate across multiple segments of the value chain, their employment is split equally between those segments. For example, if a firm works across both Enablers and Applications, then the model assumes their employment is split equally between these functions. If the labour intensity of different segments in the value chain differs then this will overestimate employment estimates in capital-intensive segments and underestimate employment in labour-intensive segments.</w:t>
            </w:r>
          </w:p>
          <w:p w14:paraId="40EB3C4A" w14:textId="614E96AA" w:rsidR="00B063F3" w:rsidRPr="007B67BC" w:rsidRDefault="00B063F3" w:rsidP="00470D27">
            <w:pPr>
              <w:pStyle w:val="ExhibitFootnote"/>
              <w:jc w:val="both"/>
            </w:pPr>
            <w:r w:rsidRPr="00977760">
              <w:rPr>
                <w:color w:val="000000" w:themeColor="text1"/>
                <w:szCs w:val="18"/>
              </w:rPr>
              <w:t>Source</w:t>
            </w:r>
            <w:r w:rsidR="00D14AA8" w:rsidRPr="00977760">
              <w:rPr>
                <w:color w:val="000000" w:themeColor="text1"/>
                <w:szCs w:val="18"/>
              </w:rPr>
              <w:t>s</w:t>
            </w:r>
            <w:r w:rsidRPr="00977760">
              <w:rPr>
                <w:color w:val="000000" w:themeColor="text1"/>
                <w:szCs w:val="18"/>
              </w:rPr>
              <w:t>: AlphaBeta analysis</w:t>
            </w:r>
          </w:p>
        </w:tc>
      </w:tr>
    </w:tbl>
    <w:p w14:paraId="343B49DF" w14:textId="77777777" w:rsidR="00943B43" w:rsidRDefault="00943B43" w:rsidP="00943B43">
      <w:pPr>
        <w:spacing w:after="120" w:line="240" w:lineRule="auto"/>
      </w:pPr>
    </w:p>
    <w:p w14:paraId="618DC37B" w14:textId="1A156212" w:rsidR="00943B43" w:rsidRPr="001216AF" w:rsidRDefault="00A12900" w:rsidP="001216AF">
      <w:pPr>
        <w:pStyle w:val="Heading3"/>
      </w:pPr>
      <w:r w:rsidRPr="001216AF">
        <w:t xml:space="preserve">The unique composition of Australia’s space sector </w:t>
      </w:r>
      <w:r w:rsidR="00EE110E" w:rsidRPr="001216AF">
        <w:t xml:space="preserve">reflects </w:t>
      </w:r>
      <w:r w:rsidRPr="001216AF">
        <w:t>areas of</w:t>
      </w:r>
      <w:r w:rsidR="00EE110E" w:rsidRPr="001216AF">
        <w:t xml:space="preserve"> global competitive advantage</w:t>
      </w:r>
    </w:p>
    <w:p w14:paraId="4D91744C" w14:textId="4AB4032C" w:rsidR="005771A6" w:rsidRDefault="005771A6" w:rsidP="00077899">
      <w:pPr>
        <w:spacing w:after="120" w:line="240" w:lineRule="auto"/>
      </w:pPr>
      <w:r>
        <w:t xml:space="preserve">To understand Australia’s competitive advantage in the space sector compared to the rest of the world, the composition of the Australian space sector can be understood in two ways: </w:t>
      </w:r>
      <w:r w:rsidR="001451FC">
        <w:t xml:space="preserve">first, </w:t>
      </w:r>
      <w:r>
        <w:t>the</w:t>
      </w:r>
      <w:r w:rsidRPr="005771A6">
        <w:t xml:space="preserve"> proportion of </w:t>
      </w:r>
      <w:r>
        <w:t xml:space="preserve">each value chain segment compared to the </w:t>
      </w:r>
      <w:r w:rsidRPr="005771A6">
        <w:t>total sector</w:t>
      </w:r>
      <w:r w:rsidR="00F774EE" w:rsidRPr="007E7A00">
        <w:t xml:space="preserve">, </w:t>
      </w:r>
      <w:r>
        <w:t xml:space="preserve">and </w:t>
      </w:r>
      <w:r w:rsidR="001451FC">
        <w:t xml:space="preserve">secondly the </w:t>
      </w:r>
      <w:r w:rsidR="001451FC" w:rsidRPr="005771A6">
        <w:t xml:space="preserve">proportion of </w:t>
      </w:r>
      <w:r w:rsidR="001451FC">
        <w:t xml:space="preserve">each value chain segment </w:t>
      </w:r>
      <w:r w:rsidR="00137DD7">
        <w:t xml:space="preserve">compared to </w:t>
      </w:r>
      <w:r>
        <w:t xml:space="preserve">the </w:t>
      </w:r>
      <w:r w:rsidRPr="005771A6">
        <w:t>total economy</w:t>
      </w:r>
      <w:r w:rsidR="00F774EE">
        <w:rPr>
          <w:b/>
          <w:bCs/>
        </w:rPr>
        <w:t>.</w:t>
      </w:r>
    </w:p>
    <w:p w14:paraId="45CB8D3C" w14:textId="1E843011" w:rsidR="00683FCF" w:rsidRDefault="001A42D6" w:rsidP="00077899">
      <w:pPr>
        <w:spacing w:after="120" w:line="240" w:lineRule="auto"/>
      </w:pPr>
      <w:r>
        <w:t xml:space="preserve">The composition of </w:t>
      </w:r>
      <w:r w:rsidR="002312D1">
        <w:t>the Australian space sector</w:t>
      </w:r>
      <w:r>
        <w:t xml:space="preserve"> is different to that of its international peers </w:t>
      </w:r>
      <w:r w:rsidR="006441B5">
        <w:rPr>
          <w:b/>
          <w:bCs/>
        </w:rPr>
        <w:t>(</w:t>
      </w:r>
      <w:r w:rsidR="004908A4">
        <w:rPr>
          <w:b/>
          <w:bCs/>
        </w:rPr>
        <w:t>Exhibit 1</w:t>
      </w:r>
      <w:r w:rsidR="005B2B4C">
        <w:rPr>
          <w:b/>
          <w:bCs/>
        </w:rPr>
        <w:t>3</w:t>
      </w:r>
      <w:r w:rsidR="006441B5">
        <w:rPr>
          <w:b/>
          <w:bCs/>
        </w:rPr>
        <w:t>)</w:t>
      </w:r>
      <w:r w:rsidR="00EA7E4F">
        <w:t>.</w:t>
      </w:r>
      <w:r w:rsidR="00F774EE">
        <w:t xml:space="preserve"> </w:t>
      </w:r>
      <w:r w:rsidR="00584961">
        <w:t xml:space="preserve">Australia </w:t>
      </w:r>
      <w:r w:rsidR="00F774EE">
        <w:t>has less</w:t>
      </w:r>
      <w:r w:rsidR="00584961">
        <w:t xml:space="preserve"> manufacturing activity but </w:t>
      </w:r>
      <w:r w:rsidR="00F774EE">
        <w:t>substantial</w:t>
      </w:r>
      <w:r w:rsidR="00584961">
        <w:t xml:space="preserve"> </w:t>
      </w:r>
      <w:r w:rsidR="004F1EC9">
        <w:t xml:space="preserve">applications activity, at 4 and 80 per cent of the </w:t>
      </w:r>
      <w:r w:rsidR="005B75B1">
        <w:t xml:space="preserve">Australian </w:t>
      </w:r>
      <w:r w:rsidR="004F1EC9">
        <w:t>value chain, respectively. Globally, the manufacturing segment is responsible</w:t>
      </w:r>
      <w:r w:rsidR="00FA31F8">
        <w:t xml:space="preserve"> for</w:t>
      </w:r>
      <w:r w:rsidR="004F1EC9">
        <w:t xml:space="preserve"> over a third – 36 per cent – of revenue </w:t>
      </w:r>
      <w:r w:rsidR="00F774EE">
        <w:t xml:space="preserve">while the </w:t>
      </w:r>
      <w:r w:rsidR="00040F5A">
        <w:t xml:space="preserve">applications </w:t>
      </w:r>
      <w:r w:rsidR="005B75B1">
        <w:t>segment makes up 54 per cent</w:t>
      </w:r>
      <w:r w:rsidR="00E0414D">
        <w:t xml:space="preserve"> of global value chain revenue. </w:t>
      </w:r>
      <w:r w:rsidR="002A0E51">
        <w:t>There are con</w:t>
      </w:r>
      <w:r w:rsidR="006A5DC7">
        <w:t>trasts between Australian and global revenue averages for the operations and enablers segments of the value chain as well although they are not as stark</w:t>
      </w:r>
      <w:r w:rsidR="002865E0">
        <w:t xml:space="preserve">. Operations receives 7 per cent of space revenue </w:t>
      </w:r>
      <w:r w:rsidR="0097707A">
        <w:t xml:space="preserve">in Australia </w:t>
      </w:r>
      <w:r w:rsidR="002865E0">
        <w:t xml:space="preserve">but </w:t>
      </w:r>
      <w:r w:rsidR="0097707A">
        <w:t>just 3 per cent globally; enablers receive 9 per cent in Australia and 7 per cent</w:t>
      </w:r>
      <w:r w:rsidR="009F13CB">
        <w:t xml:space="preserve"> globally. </w:t>
      </w:r>
    </w:p>
    <w:p w14:paraId="62ACC09E" w14:textId="1231D519" w:rsidR="001A42D6" w:rsidRDefault="001A42D6" w:rsidP="00FA62A9">
      <w:pPr>
        <w:pStyle w:val="Caption"/>
        <w:keepNext/>
      </w:pPr>
      <w:bookmarkStart w:id="156" w:name="_Ref47728797"/>
      <w:bookmarkStart w:id="157" w:name="_Ref46322540"/>
      <w:r>
        <w:lastRenderedPageBreak/>
        <w:t xml:space="preserve">Exhibit </w:t>
      </w:r>
      <w:bookmarkEnd w:id="156"/>
      <w:r w:rsidR="004908A4">
        <w:t>1</w:t>
      </w:r>
      <w:r w:rsidR="005B2B4C">
        <w:t>3</w:t>
      </w:r>
      <w:bookmarkEnd w:id="157"/>
      <w:r w:rsidRPr="00C40548">
        <w:rPr>
          <w:i/>
          <w:iCs w:val="0"/>
        </w:rPr>
        <w:t xml:space="preserve">: </w:t>
      </w:r>
      <w:r w:rsidRPr="007F3819">
        <w:t xml:space="preserve">Comparison of value chain </w:t>
      </w:r>
      <w:r w:rsidR="005771A6" w:rsidRPr="007F3819">
        <w:t xml:space="preserve">segments </w:t>
      </w:r>
      <w:r w:rsidRPr="007F3819">
        <w:t xml:space="preserve">as proportion of total </w:t>
      </w:r>
      <w:r w:rsidR="005771A6" w:rsidRPr="007F3819">
        <w:t xml:space="preserve">space </w:t>
      </w:r>
      <w:r w:rsidRPr="007F3819">
        <w:t xml:space="preserve">sector, between Australia and </w:t>
      </w:r>
      <w:r w:rsidR="005771A6" w:rsidRPr="007F3819">
        <w:t xml:space="preserve">the </w:t>
      </w:r>
      <w:r w:rsidRPr="007F3819">
        <w:t xml:space="preserve">global </w:t>
      </w:r>
      <w:r w:rsidR="005771A6" w:rsidRPr="007F3819">
        <w:t>average</w:t>
      </w:r>
    </w:p>
    <w:tbl>
      <w:tblPr>
        <w:tblStyle w:val="ExhibitTable"/>
        <w:tblW w:w="0" w:type="auto"/>
        <w:tblLook w:val="04A0" w:firstRow="1" w:lastRow="0" w:firstColumn="1" w:lastColumn="0" w:noHBand="0" w:noVBand="1"/>
        <w:tblCaption w:val="Comparison of value chain segments as proportion of total space sector, between Australia and the global average"/>
        <w:tblDescription w:val="Compares value chain segments performance - Australia vs Global. Australia over indexes in operations, enablers and applications."/>
      </w:tblPr>
      <w:tblGrid>
        <w:gridCol w:w="9026"/>
      </w:tblGrid>
      <w:tr w:rsidR="0054118D" w:rsidRPr="00B95533" w14:paraId="205012A1" w14:textId="77777777" w:rsidTr="0054118D">
        <w:trPr>
          <w:tblHeader/>
        </w:trPr>
        <w:tc>
          <w:tcPr>
            <w:tcW w:w="9016" w:type="dxa"/>
          </w:tcPr>
          <w:p w14:paraId="186666DC" w14:textId="4B1A7C77" w:rsidR="000F6E9E" w:rsidRPr="00B95533" w:rsidRDefault="00D31897" w:rsidP="0013040C">
            <w:pPr>
              <w:keepNext/>
              <w:spacing w:after="120"/>
            </w:pPr>
            <w:r>
              <w:rPr>
                <w:noProof/>
                <w:lang w:eastAsia="en-AU"/>
              </w:rPr>
              <w:drawing>
                <wp:inline distT="0" distB="0" distL="0" distR="0" wp14:anchorId="460D6762" wp14:editId="6B70176D">
                  <wp:extent cx="5709396" cy="2564034"/>
                  <wp:effectExtent l="0" t="0" r="5715" b="8255"/>
                  <wp:docPr id="63" name="Picture 63" descr="Compares value chain segments performance - Australia vs Global. Australia over indexes in operations, enablers and applications." title="Comparison of value chain segments as proportion of total space sector, between Australia and the glob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4546" cy="2588801"/>
                          </a:xfrm>
                          <a:prstGeom prst="rect">
                            <a:avLst/>
                          </a:prstGeom>
                          <a:noFill/>
                        </pic:spPr>
                      </pic:pic>
                    </a:graphicData>
                  </a:graphic>
                </wp:inline>
              </w:drawing>
            </w:r>
          </w:p>
          <w:p w14:paraId="2B84CA42" w14:textId="563D200E" w:rsidR="000F6E9E" w:rsidRPr="00B95533" w:rsidRDefault="00CC5D83" w:rsidP="00FA6FBB">
            <w:pPr>
              <w:pStyle w:val="ExhibitFootnote"/>
              <w:rPr>
                <w:color w:val="auto"/>
              </w:rPr>
            </w:pPr>
            <w:r w:rsidRPr="00B95533">
              <w:rPr>
                <w:color w:val="auto"/>
                <w:lang w:val="en-US"/>
              </w:rPr>
              <w:t>Sources</w:t>
            </w:r>
            <w:r w:rsidR="008C40E4" w:rsidRPr="00B95533">
              <w:rPr>
                <w:color w:val="auto"/>
                <w:lang w:val="en-US"/>
              </w:rPr>
              <w:t>: Bryce Space Industry report</w:t>
            </w:r>
            <w:r w:rsidRPr="00B95533">
              <w:rPr>
                <w:color w:val="auto"/>
                <w:lang w:val="en-US"/>
              </w:rPr>
              <w:t>;</w:t>
            </w:r>
            <w:r w:rsidR="008C40E4" w:rsidRPr="00B95533">
              <w:rPr>
                <w:color w:val="auto"/>
                <w:lang w:val="en-US"/>
              </w:rPr>
              <w:t xml:space="preserve"> AlphaBeta space firm database</w:t>
            </w:r>
            <w:r w:rsidR="009364D2" w:rsidRPr="00B95533">
              <w:rPr>
                <w:color w:val="auto"/>
                <w:lang w:val="en-US"/>
              </w:rPr>
              <w:t>.</w:t>
            </w:r>
          </w:p>
        </w:tc>
      </w:tr>
    </w:tbl>
    <w:p w14:paraId="5E25F156" w14:textId="77777777" w:rsidR="008C40E4" w:rsidRDefault="008C40E4" w:rsidP="00141CA6">
      <w:pPr>
        <w:spacing w:after="120" w:line="240" w:lineRule="auto"/>
      </w:pPr>
    </w:p>
    <w:p w14:paraId="3AE77D5C" w14:textId="3BB7DF5C" w:rsidR="00CE25E6" w:rsidRDefault="008C40E4" w:rsidP="00141CA6">
      <w:pPr>
        <w:spacing w:after="120" w:line="240" w:lineRule="auto"/>
      </w:pPr>
      <w:r>
        <w:t>C</w:t>
      </w:r>
      <w:r w:rsidR="009409F4">
        <w:t>omparing the contribution of space value chain</w:t>
      </w:r>
      <w:r w:rsidR="009B1D70">
        <w:t xml:space="preserve"> segment</w:t>
      </w:r>
      <w:r w:rsidR="009409F4">
        <w:t xml:space="preserve"> to </w:t>
      </w:r>
      <w:r w:rsidR="009B1D70">
        <w:t xml:space="preserve">Australian and global </w:t>
      </w:r>
      <w:r w:rsidR="009409F4">
        <w:t xml:space="preserve">economic output </w:t>
      </w:r>
      <w:r w:rsidR="009E2F8A">
        <w:t>reveals</w:t>
      </w:r>
      <w:r w:rsidR="004A1DD0">
        <w:t xml:space="preserve"> which segments are of greater comparative value to the </w:t>
      </w:r>
      <w:r w:rsidR="00A81E75">
        <w:t xml:space="preserve">overall </w:t>
      </w:r>
      <w:r w:rsidR="004A1DD0">
        <w:t>Australian economy</w:t>
      </w:r>
      <w:r w:rsidR="004721A6">
        <w:t xml:space="preserve"> </w:t>
      </w:r>
      <w:r w:rsidR="00FC577A" w:rsidRPr="008D5C69">
        <w:rPr>
          <w:b/>
          <w:bCs/>
        </w:rPr>
        <w:t>(</w:t>
      </w:r>
      <w:r w:rsidR="004908A4">
        <w:rPr>
          <w:b/>
          <w:bCs/>
        </w:rPr>
        <w:t>Exhibit 1</w:t>
      </w:r>
      <w:r w:rsidR="005B2B4C">
        <w:rPr>
          <w:b/>
          <w:bCs/>
        </w:rPr>
        <w:t>4</w:t>
      </w:r>
      <w:r w:rsidR="004721A6" w:rsidRPr="00FC577A">
        <w:rPr>
          <w:b/>
        </w:rPr>
        <w:t>)</w:t>
      </w:r>
      <w:r w:rsidR="009E2F8A">
        <w:t>.</w:t>
      </w:r>
    </w:p>
    <w:p w14:paraId="5DC10837" w14:textId="3DEBA99E" w:rsidR="00CE2152" w:rsidRPr="007E7A00" w:rsidRDefault="00CE2152" w:rsidP="00CE2152">
      <w:pPr>
        <w:pStyle w:val="Caption"/>
        <w:keepNext/>
      </w:pPr>
      <w:bookmarkStart w:id="158" w:name="_Ref46398905"/>
      <w:bookmarkStart w:id="159" w:name="_Ref46398901"/>
      <w:r>
        <w:t xml:space="preserve">Exhibit </w:t>
      </w:r>
      <w:r w:rsidR="005B2B4C">
        <w:t>14</w:t>
      </w:r>
      <w:bookmarkEnd w:id="158"/>
      <w:r w:rsidRPr="00C40548">
        <w:rPr>
          <w:i/>
          <w:iCs w:val="0"/>
        </w:rPr>
        <w:t xml:space="preserve">: </w:t>
      </w:r>
      <w:r w:rsidRPr="007E7A00">
        <w:t>Comparison of share of value chain as proportion of total economy, between Australian and global economies</w:t>
      </w:r>
      <w:bookmarkEnd w:id="159"/>
    </w:p>
    <w:tbl>
      <w:tblPr>
        <w:tblStyle w:val="ExhibitTable"/>
        <w:tblW w:w="0" w:type="auto"/>
        <w:tblLook w:val="04A0" w:firstRow="1" w:lastRow="0" w:firstColumn="1" w:lastColumn="0" w:noHBand="0" w:noVBand="1"/>
        <w:tblCaption w:val="Comparison of share of value chain as proportion of total economy, between Australian and global economies"/>
        <w:tblDescription w:val="Comparing the contribution of space value chain segment to Australian and global economic output reveals which segments are of greater comparative value to the overall Australian economy "/>
      </w:tblPr>
      <w:tblGrid>
        <w:gridCol w:w="9026"/>
      </w:tblGrid>
      <w:tr w:rsidR="00CE2152" w14:paraId="2A974E63" w14:textId="77777777" w:rsidTr="0054118D">
        <w:trPr>
          <w:tblHeader/>
        </w:trPr>
        <w:tc>
          <w:tcPr>
            <w:tcW w:w="9016" w:type="dxa"/>
          </w:tcPr>
          <w:p w14:paraId="5164FEFF" w14:textId="0923AA58" w:rsidR="00CE2152" w:rsidRDefault="00D31897" w:rsidP="007864AA">
            <w:pPr>
              <w:keepNext/>
              <w:spacing w:after="120"/>
            </w:pPr>
            <w:r>
              <w:rPr>
                <w:noProof/>
                <w:lang w:eastAsia="en-AU"/>
              </w:rPr>
              <w:drawing>
                <wp:inline distT="0" distB="0" distL="0" distR="0" wp14:anchorId="617A7C12" wp14:editId="386DFE04">
                  <wp:extent cx="5632533" cy="2673636"/>
                  <wp:effectExtent l="0" t="0" r="6350" b="0"/>
                  <wp:docPr id="57" name="Picture 57" descr="Comparing the contribution of space value chain segment to Australian and global economic output reveals which segments are of greater comparative value to the overall Australian economy " title="Comparison of share of value chain as proportion of total economy, between Australian and global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0118" cy="2696223"/>
                          </a:xfrm>
                          <a:prstGeom prst="rect">
                            <a:avLst/>
                          </a:prstGeom>
                          <a:noFill/>
                        </pic:spPr>
                      </pic:pic>
                    </a:graphicData>
                  </a:graphic>
                </wp:inline>
              </w:drawing>
            </w:r>
          </w:p>
        </w:tc>
      </w:tr>
      <w:tr w:rsidR="00D31897" w:rsidRPr="00B95533" w14:paraId="4D377797" w14:textId="77777777" w:rsidTr="0054118D">
        <w:trPr>
          <w:tblHeader/>
        </w:trPr>
        <w:tc>
          <w:tcPr>
            <w:tcW w:w="9016" w:type="dxa"/>
          </w:tcPr>
          <w:p w14:paraId="1EA5799E" w14:textId="61D1759C" w:rsidR="00A81E75" w:rsidRPr="00B95533" w:rsidRDefault="00EE110E" w:rsidP="00A81E75">
            <w:pPr>
              <w:pStyle w:val="ExhibitFootnote"/>
              <w:rPr>
                <w:color w:val="auto"/>
                <w:lang w:eastAsia="en-AU"/>
              </w:rPr>
            </w:pPr>
            <w:r w:rsidRPr="00B95533">
              <w:rPr>
                <w:color w:val="auto"/>
                <w:lang w:val="en-US" w:eastAsia="en-AU"/>
              </w:rPr>
              <w:t>Sources</w:t>
            </w:r>
            <w:r w:rsidR="00A81E75" w:rsidRPr="00B95533">
              <w:rPr>
                <w:color w:val="auto"/>
                <w:lang w:val="en-US" w:eastAsia="en-AU"/>
              </w:rPr>
              <w:t>: Bryce Space Industry report</w:t>
            </w:r>
            <w:r w:rsidRPr="00B95533">
              <w:rPr>
                <w:color w:val="auto"/>
                <w:lang w:val="en-US" w:eastAsia="en-AU"/>
              </w:rPr>
              <w:t>;</w:t>
            </w:r>
            <w:r w:rsidR="00A81E75" w:rsidRPr="00B95533">
              <w:rPr>
                <w:color w:val="auto"/>
                <w:lang w:val="en-US" w:eastAsia="en-AU"/>
              </w:rPr>
              <w:t xml:space="preserve"> AlphaBeta space firm database</w:t>
            </w:r>
            <w:r w:rsidR="009364D2" w:rsidRPr="00B95533">
              <w:rPr>
                <w:color w:val="auto"/>
                <w:lang w:val="en-US" w:eastAsia="en-AU"/>
              </w:rPr>
              <w:t>.</w:t>
            </w:r>
          </w:p>
        </w:tc>
      </w:tr>
    </w:tbl>
    <w:p w14:paraId="10C2A614" w14:textId="07B951CA" w:rsidR="00F774EE" w:rsidRDefault="00141CA6" w:rsidP="007E7A00">
      <w:pPr>
        <w:rPr>
          <w:i/>
          <w:iCs/>
        </w:rPr>
      </w:pPr>
      <w:r>
        <w:lastRenderedPageBreak/>
        <w:t xml:space="preserve">Australia is most competitive globally in </w:t>
      </w:r>
      <w:r w:rsidR="00622773">
        <w:t>the operations segment</w:t>
      </w:r>
      <w:r>
        <w:t xml:space="preserve">, a segment of the sector that includes </w:t>
      </w:r>
      <w:r w:rsidR="006A5D12">
        <w:t xml:space="preserve">activities such as </w:t>
      </w:r>
      <w:r>
        <w:t>the operations and management of satellite</w:t>
      </w:r>
      <w:r w:rsidR="009A2148">
        <w:t xml:space="preserve">s. </w:t>
      </w:r>
      <w:r w:rsidR="001561F7" w:rsidRPr="003B549B">
        <w:t xml:space="preserve">Over the last 5 years, </w:t>
      </w:r>
      <w:r w:rsidR="008D27BE" w:rsidRPr="003B549B">
        <w:t xml:space="preserve">the sector’s </w:t>
      </w:r>
      <w:r w:rsidR="001561F7" w:rsidRPr="003B549B">
        <w:t>profit margin</w:t>
      </w:r>
      <w:r w:rsidR="008D27BE" w:rsidRPr="003B549B">
        <w:t>s</w:t>
      </w:r>
      <w:r w:rsidR="001561F7" w:rsidRPr="003B549B">
        <w:t xml:space="preserve"> </w:t>
      </w:r>
      <w:r w:rsidR="006A5D12">
        <w:t>grew</w:t>
      </w:r>
      <w:r w:rsidR="008D27BE" w:rsidRPr="003B549B">
        <w:t xml:space="preserve"> </w:t>
      </w:r>
      <w:r w:rsidR="008D27BE" w:rsidRPr="003B549B">
        <w:rPr>
          <w:rFonts w:ascii="Calibri" w:hAnsi="Calibri" w:cs="Calibri"/>
        </w:rPr>
        <w:t>as satellites bec</w:t>
      </w:r>
      <w:r w:rsidR="00F404A2">
        <w:rPr>
          <w:rFonts w:ascii="Calibri" w:hAnsi="Calibri" w:cs="Calibri"/>
        </w:rPr>
        <w:t>a</w:t>
      </w:r>
      <w:r w:rsidR="008D27BE" w:rsidRPr="003B549B">
        <w:rPr>
          <w:rFonts w:ascii="Calibri" w:hAnsi="Calibri" w:cs="Calibri"/>
        </w:rPr>
        <w:t xml:space="preserve">me cheaper </w:t>
      </w:r>
      <w:r w:rsidR="004D1693" w:rsidRPr="003B549B">
        <w:rPr>
          <w:rFonts w:ascii="Calibri" w:hAnsi="Calibri" w:cs="Calibri"/>
        </w:rPr>
        <w:t>whilst demand</w:t>
      </w:r>
      <w:r w:rsidR="001561F7" w:rsidRPr="003B549B" w:rsidDel="004D1693">
        <w:t xml:space="preserve"> </w:t>
      </w:r>
      <w:r w:rsidR="001561F7" w:rsidRPr="003B549B">
        <w:t xml:space="preserve">for </w:t>
      </w:r>
      <w:r w:rsidR="001561F7" w:rsidRPr="003B549B">
        <w:rPr>
          <w:rFonts w:ascii="Calibri" w:hAnsi="Calibri" w:cs="Calibri"/>
        </w:rPr>
        <w:t>satellite-based services</w:t>
      </w:r>
      <w:r w:rsidR="004D1693" w:rsidRPr="003B549B">
        <w:rPr>
          <w:rFonts w:ascii="Calibri" w:hAnsi="Calibri" w:cs="Calibri"/>
        </w:rPr>
        <w:t xml:space="preserve"> grew</w:t>
      </w:r>
      <w:r w:rsidR="001561F7" w:rsidRPr="003B549B">
        <w:rPr>
          <w:rFonts w:ascii="Calibri" w:hAnsi="Calibri" w:cs="Calibri"/>
        </w:rPr>
        <w:t>.</w:t>
      </w:r>
      <w:r w:rsidR="001561F7" w:rsidRPr="003B549B">
        <w:rPr>
          <w:rStyle w:val="FootnoteReference"/>
          <w:rFonts w:ascii="Calibri" w:hAnsi="Calibri" w:cs="Calibri"/>
        </w:rPr>
        <w:footnoteReference w:id="39"/>
      </w:r>
      <w:r w:rsidR="001561F7" w:rsidRPr="003B549B">
        <w:rPr>
          <w:rFonts w:ascii="Calibri" w:hAnsi="Calibri" w:cs="Calibri"/>
        </w:rPr>
        <w:t xml:space="preserve"> </w:t>
      </w:r>
      <w:r w:rsidR="00095855" w:rsidRPr="003B549B">
        <w:rPr>
          <w:rFonts w:ascii="Calibri" w:hAnsi="Calibri" w:cs="Calibri"/>
        </w:rPr>
        <w:t>The number of countries with a satellite in orbit ha</w:t>
      </w:r>
      <w:r w:rsidR="00F404A2">
        <w:rPr>
          <w:rFonts w:ascii="Calibri" w:hAnsi="Calibri" w:cs="Calibri"/>
        </w:rPr>
        <w:t>s</w:t>
      </w:r>
      <w:r w:rsidR="00095855" w:rsidRPr="003B549B">
        <w:rPr>
          <w:rFonts w:ascii="Calibri" w:hAnsi="Calibri" w:cs="Calibri"/>
        </w:rPr>
        <w:t xml:space="preserve"> increased </w:t>
      </w:r>
      <w:r w:rsidR="003C2A3E" w:rsidRPr="003B549B">
        <w:rPr>
          <w:rFonts w:ascii="Calibri" w:hAnsi="Calibri" w:cs="Calibri"/>
        </w:rPr>
        <w:t xml:space="preserve">by </w:t>
      </w:r>
      <w:r w:rsidR="00AB0309" w:rsidRPr="003B549B">
        <w:rPr>
          <w:rFonts w:ascii="Calibri" w:hAnsi="Calibri" w:cs="Calibri"/>
        </w:rPr>
        <w:t xml:space="preserve">approximately </w:t>
      </w:r>
      <w:r w:rsidR="003C2A3E" w:rsidRPr="003B549B">
        <w:rPr>
          <w:rFonts w:ascii="Calibri" w:hAnsi="Calibri" w:cs="Calibri"/>
        </w:rPr>
        <w:t>6</w:t>
      </w:r>
      <w:r w:rsidR="00AB0309" w:rsidRPr="003B549B">
        <w:rPr>
          <w:rFonts w:ascii="Calibri" w:hAnsi="Calibri" w:cs="Calibri"/>
        </w:rPr>
        <w:t>5</w:t>
      </w:r>
      <w:r w:rsidR="00426A2E" w:rsidRPr="003B549B">
        <w:rPr>
          <w:rFonts w:ascii="Calibri" w:hAnsi="Calibri" w:cs="Calibri"/>
        </w:rPr>
        <w:t xml:space="preserve"> </w:t>
      </w:r>
      <w:r w:rsidR="00426A2E" w:rsidRPr="003B549B">
        <w:t>per cent</w:t>
      </w:r>
      <w:r w:rsidR="003C2A3E" w:rsidRPr="003B549B">
        <w:rPr>
          <w:rFonts w:ascii="Calibri" w:hAnsi="Calibri" w:cs="Calibri"/>
        </w:rPr>
        <w:t xml:space="preserve"> in the last decade, </w:t>
      </w:r>
      <w:r w:rsidR="00095855" w:rsidRPr="003B549B">
        <w:rPr>
          <w:rFonts w:ascii="Calibri" w:hAnsi="Calibri" w:cs="Calibri"/>
        </w:rPr>
        <w:t>from 50 in 2008 to 82 in 2018</w:t>
      </w:r>
      <w:r w:rsidR="00095855">
        <w:rPr>
          <w:rFonts w:ascii="Calibri" w:hAnsi="Calibri" w:cs="Calibri"/>
        </w:rPr>
        <w:t>.</w:t>
      </w:r>
      <w:r w:rsidR="00095855">
        <w:rPr>
          <w:rStyle w:val="FootnoteReference"/>
          <w:rFonts w:ascii="Calibri" w:hAnsi="Calibri" w:cs="Calibri"/>
        </w:rPr>
        <w:footnoteReference w:id="40"/>
      </w:r>
      <w:r w:rsidR="00095855" w:rsidRPr="00095855">
        <w:rPr>
          <w:rFonts w:ascii="Calibri" w:hAnsi="Calibri" w:cs="Calibri"/>
        </w:rPr>
        <w:t xml:space="preserve"> </w:t>
      </w:r>
      <w:r w:rsidR="00A6028D">
        <w:t xml:space="preserve">As of 2019, the number of active satellites are at an all-time high at over 2,514. Ten years ago in 2009, there </w:t>
      </w:r>
      <w:r w:rsidR="002209E6">
        <w:t>were</w:t>
      </w:r>
      <w:r w:rsidR="00A6028D">
        <w:t xml:space="preserve"> just 986 satellites, less than half as many </w:t>
      </w:r>
      <w:r w:rsidR="00A6028D" w:rsidRPr="00F072C8">
        <w:rPr>
          <w:b/>
          <w:bCs/>
        </w:rPr>
        <w:t>(</w:t>
      </w:r>
      <w:r w:rsidR="004908A4">
        <w:rPr>
          <w:b/>
          <w:bCs/>
        </w:rPr>
        <w:t>Exhibit 1</w:t>
      </w:r>
      <w:r w:rsidR="005B2B4C">
        <w:rPr>
          <w:b/>
          <w:bCs/>
        </w:rPr>
        <w:t>5</w:t>
      </w:r>
      <w:r w:rsidR="00A6028D">
        <w:rPr>
          <w:b/>
          <w:bCs/>
        </w:rPr>
        <w:t>)</w:t>
      </w:r>
      <w:r w:rsidR="00A6028D">
        <w:t xml:space="preserve">. Satellite services are </w:t>
      </w:r>
      <w:r w:rsidR="00A20EC7">
        <w:t>crucial</w:t>
      </w:r>
      <w:r w:rsidR="00A6028D">
        <w:t xml:space="preserve"> for a range of industries</w:t>
      </w:r>
      <w:r w:rsidR="00311B20">
        <w:t xml:space="preserve"> and activities</w:t>
      </w:r>
      <w:r w:rsidR="00A6028D">
        <w:t xml:space="preserve">, such as telecommunications, defence, agriculture, mining exploration, meteorological services, and environmental and climate change monitoring. </w:t>
      </w:r>
    </w:p>
    <w:p w14:paraId="7A122272" w14:textId="24E2F3B4" w:rsidR="00A6028D" w:rsidRDefault="00A6028D" w:rsidP="00A6028D">
      <w:pPr>
        <w:pStyle w:val="Caption"/>
        <w:keepNext/>
      </w:pPr>
      <w:bookmarkStart w:id="160" w:name="_Ref47728829"/>
      <w:r>
        <w:t xml:space="preserve">Exhibit </w:t>
      </w:r>
      <w:bookmarkEnd w:id="160"/>
      <w:r w:rsidR="004908A4">
        <w:t>1</w:t>
      </w:r>
      <w:r w:rsidR="005B2B4C">
        <w:t>5</w:t>
      </w:r>
      <w:r>
        <w:t>: N</w:t>
      </w:r>
      <w:r w:rsidRPr="00EF2DAA">
        <w:t xml:space="preserve">umber of satellites launched </w:t>
      </w:r>
      <w:r w:rsidR="00926697">
        <w:t>between</w:t>
      </w:r>
      <w:r w:rsidRPr="00EF2DAA">
        <w:t xml:space="preserve"> 2004 to 2019</w:t>
      </w:r>
    </w:p>
    <w:tbl>
      <w:tblPr>
        <w:tblStyle w:val="ExhibitTable"/>
        <w:tblW w:w="0" w:type="auto"/>
        <w:tblLook w:val="04A0" w:firstRow="1" w:lastRow="0" w:firstColumn="1" w:lastColumn="0" w:noHBand="0" w:noVBand="1"/>
        <w:tblCaption w:val="Number of satellites launched between 2004 to 2019"/>
        <w:tblDescription w:val="As of 2019, the number of active satellites are at an all-time high at over 2,514. Ten years ago in 2009, there were just 986 satellites, less than half as many."/>
      </w:tblPr>
      <w:tblGrid>
        <w:gridCol w:w="9026"/>
      </w:tblGrid>
      <w:tr w:rsidR="00D31897" w:rsidRPr="00B95533" w14:paraId="037E9505" w14:textId="77777777" w:rsidTr="0054118D">
        <w:trPr>
          <w:tblHeader/>
        </w:trPr>
        <w:tc>
          <w:tcPr>
            <w:tcW w:w="9016" w:type="dxa"/>
          </w:tcPr>
          <w:p w14:paraId="61FC6D2B" w14:textId="42EF1B10" w:rsidR="00324348" w:rsidRPr="00B95533" w:rsidRDefault="00D31897" w:rsidP="00A6028D">
            <w:pPr>
              <w:spacing w:after="120"/>
              <w:rPr>
                <w:i/>
                <w:iCs/>
              </w:rPr>
            </w:pPr>
            <w:r>
              <w:rPr>
                <w:i/>
                <w:iCs/>
                <w:noProof/>
                <w:lang w:eastAsia="en-AU"/>
              </w:rPr>
              <w:drawing>
                <wp:inline distT="0" distB="0" distL="0" distR="0" wp14:anchorId="2C5A4B67" wp14:editId="46D9540D">
                  <wp:extent cx="5656718" cy="2909308"/>
                  <wp:effectExtent l="0" t="0" r="1270" b="0"/>
                  <wp:docPr id="297" name="Picture 297" descr="As of 2019, the number of active satellites are at an all-time high at over 2,514. Ten years ago in 2009, there were just 986 satellites, less than half as many." title="Number of satellites launched between 2004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8334" cy="2920425"/>
                          </a:xfrm>
                          <a:prstGeom prst="rect">
                            <a:avLst/>
                          </a:prstGeom>
                          <a:noFill/>
                        </pic:spPr>
                      </pic:pic>
                    </a:graphicData>
                  </a:graphic>
                </wp:inline>
              </w:drawing>
            </w:r>
          </w:p>
          <w:p w14:paraId="24C0620F" w14:textId="3B99BA51" w:rsidR="006652B6" w:rsidRPr="00B95533" w:rsidRDefault="006652B6" w:rsidP="006652B6">
            <w:pPr>
              <w:pStyle w:val="ExhibitFootnote"/>
              <w:rPr>
                <w:color w:val="auto"/>
              </w:rPr>
            </w:pPr>
            <w:r w:rsidRPr="00B95533">
              <w:rPr>
                <w:color w:val="auto"/>
              </w:rPr>
              <w:t>Source</w:t>
            </w:r>
            <w:r w:rsidR="00CC5D83" w:rsidRPr="00B95533">
              <w:rPr>
                <w:color w:val="auto"/>
              </w:rPr>
              <w:t>s</w:t>
            </w:r>
            <w:r w:rsidRPr="00B95533">
              <w:rPr>
                <w:color w:val="auto"/>
              </w:rPr>
              <w:t xml:space="preserve">: </w:t>
            </w:r>
            <w:r w:rsidRPr="00B95533">
              <w:rPr>
                <w:color w:val="auto"/>
                <w:lang w:val="en-GB"/>
              </w:rPr>
              <w:t>Statista</w:t>
            </w:r>
            <w:r w:rsidR="00CC5D83" w:rsidRPr="00B95533">
              <w:rPr>
                <w:color w:val="auto"/>
                <w:lang w:val="en-GB"/>
              </w:rPr>
              <w:t>;</w:t>
            </w:r>
            <w:r w:rsidRPr="00B95533">
              <w:rPr>
                <w:color w:val="auto"/>
                <w:lang w:val="en-GB"/>
              </w:rPr>
              <w:t xml:space="preserve"> JSR 2020</w:t>
            </w:r>
            <w:r w:rsidR="009364D2" w:rsidRPr="00B95533">
              <w:rPr>
                <w:color w:val="auto"/>
                <w:lang w:val="en-GB"/>
              </w:rPr>
              <w:t>.</w:t>
            </w:r>
          </w:p>
        </w:tc>
      </w:tr>
    </w:tbl>
    <w:p w14:paraId="411B2438" w14:textId="77777777" w:rsidR="00182638" w:rsidRDefault="00182638" w:rsidP="00141CA6"/>
    <w:p w14:paraId="2A27A3CE" w14:textId="49494C30" w:rsidR="00471B84" w:rsidRDefault="00622773" w:rsidP="00141CA6">
      <w:r>
        <w:t>Operations</w:t>
      </w:r>
      <w:r w:rsidR="00141CA6">
        <w:t xml:space="preserve"> contributes 0.02 per cent to Australia’s GDP but the global operations segment is just 0.01 per cent of world GDP.</w:t>
      </w:r>
      <w:r w:rsidR="00273200">
        <w:t xml:space="preserve"> </w:t>
      </w:r>
      <w:r w:rsidR="00141CA6">
        <w:t xml:space="preserve">This hints at an Australian competitive advantage in operations. </w:t>
      </w:r>
      <w:r w:rsidR="00291775">
        <w:t>Government-supported projects</w:t>
      </w:r>
      <w:r w:rsidR="00B101A7" w:rsidRPr="00B101A7">
        <w:t xml:space="preserve"> </w:t>
      </w:r>
      <w:r w:rsidR="00B101A7">
        <w:t xml:space="preserve">to </w:t>
      </w:r>
      <w:r w:rsidR="00CB76B3">
        <w:t xml:space="preserve">increase resolution of GNSS </w:t>
      </w:r>
      <w:r w:rsidR="00B101A7">
        <w:t>technology in Australia,</w:t>
      </w:r>
      <w:r w:rsidR="00291775">
        <w:t xml:space="preserve"> </w:t>
      </w:r>
      <w:r w:rsidR="000F13E8">
        <w:t xml:space="preserve">such as </w:t>
      </w:r>
      <w:r w:rsidR="00E13933">
        <w:t>the development of a Satellite-Based Aug</w:t>
      </w:r>
      <w:r w:rsidR="00E931C7">
        <w:t>men</w:t>
      </w:r>
      <w:r w:rsidR="00E13933">
        <w:t xml:space="preserve">tation System (SBAS) and </w:t>
      </w:r>
      <w:r w:rsidR="00ED17C4">
        <w:t xml:space="preserve">the </w:t>
      </w:r>
      <w:r w:rsidR="000F0201">
        <w:t>National Positional Infrastructure Capability (NPIC)</w:t>
      </w:r>
      <w:r w:rsidR="00ED17C4">
        <w:t xml:space="preserve"> </w:t>
      </w:r>
      <w:r w:rsidR="0041032E">
        <w:t>program</w:t>
      </w:r>
      <w:r w:rsidR="0090351D">
        <w:t xml:space="preserve">, helps further drive Australian capability in this area. </w:t>
      </w:r>
    </w:p>
    <w:p w14:paraId="4DC3D826" w14:textId="52ED1763" w:rsidR="00704473" w:rsidRPr="00704473" w:rsidRDefault="00471B84" w:rsidP="00704473">
      <w:r w:rsidRPr="003B549B">
        <w:t xml:space="preserve">The operations segment </w:t>
      </w:r>
      <w:r w:rsidR="00066A6F" w:rsidRPr="003B549B">
        <w:t xml:space="preserve">will be a strong driver </w:t>
      </w:r>
      <w:r w:rsidR="00956412" w:rsidRPr="003B549B">
        <w:t>of growth in the future</w:t>
      </w:r>
      <w:r w:rsidR="00066A6F" w:rsidRPr="003B549B">
        <w:t>. For example,</w:t>
      </w:r>
      <w:r w:rsidR="00806653" w:rsidRPr="003B549B">
        <w:t xml:space="preserve"> </w:t>
      </w:r>
      <w:r w:rsidR="004678A7" w:rsidRPr="003B549B">
        <w:t>Global Navigation Satellite Systems (</w:t>
      </w:r>
      <w:r w:rsidR="00806653" w:rsidRPr="003B549B">
        <w:t>GNSS</w:t>
      </w:r>
      <w:r w:rsidR="004678A7" w:rsidRPr="003B549B">
        <w:t>)</w:t>
      </w:r>
      <w:r w:rsidR="00806653" w:rsidRPr="003B549B">
        <w:t xml:space="preserve"> and GNSS-based positioning, navigation, and timing services </w:t>
      </w:r>
      <w:r w:rsidR="00066A6F" w:rsidRPr="003B549B">
        <w:t>were</w:t>
      </w:r>
      <w:r w:rsidR="00806653" w:rsidRPr="003B549B">
        <w:t xml:space="preserve"> predicted </w:t>
      </w:r>
      <w:r w:rsidR="00806653" w:rsidRPr="003B549B">
        <w:lastRenderedPageBreak/>
        <w:t>to grow 11</w:t>
      </w:r>
      <w:r w:rsidR="00426A2E" w:rsidRPr="003B549B">
        <w:t xml:space="preserve"> per cent </w:t>
      </w:r>
      <w:r w:rsidR="00806653" w:rsidRPr="003B549B">
        <w:t xml:space="preserve">per year between 2014 and 2023, </w:t>
      </w:r>
      <w:r w:rsidR="00066A6F" w:rsidRPr="003B549B">
        <w:t>due to increasing demand in the</w:t>
      </w:r>
      <w:r w:rsidR="00806653" w:rsidRPr="003B549B">
        <w:t xml:space="preserve"> Asia Pacific region </w:t>
      </w:r>
      <w:r w:rsidR="00066A6F" w:rsidRPr="003B549B">
        <w:t>for</w:t>
      </w:r>
      <w:r w:rsidR="00806653" w:rsidRPr="003B549B">
        <w:t xml:space="preserve"> </w:t>
      </w:r>
      <w:r w:rsidR="00D24A60" w:rsidRPr="003B549B">
        <w:t xml:space="preserve">satellite-based </w:t>
      </w:r>
      <w:r w:rsidR="00806653" w:rsidRPr="003B549B">
        <w:t xml:space="preserve">products and software for industries such as mining, </w:t>
      </w:r>
      <w:r w:rsidR="00066A6F" w:rsidRPr="003B549B">
        <w:t xml:space="preserve">and </w:t>
      </w:r>
      <w:r w:rsidR="00806653" w:rsidRPr="003B549B">
        <w:t>chipsets in smartphones.</w:t>
      </w:r>
      <w:r w:rsidR="009D1CBA" w:rsidRPr="003B549B">
        <w:rPr>
          <w:rStyle w:val="FootnoteReference"/>
        </w:rPr>
        <w:footnoteReference w:id="41"/>
      </w:r>
      <w:r w:rsidR="00FD028F">
        <w:t xml:space="preserve"> </w:t>
      </w:r>
      <w:r w:rsidR="00056A7E">
        <w:t xml:space="preserve">These services require the operation of satellites and processing data transmission between satellites and receivers. </w:t>
      </w:r>
      <w:r w:rsidR="00FD028F">
        <w:t>Demand for these</w:t>
      </w:r>
      <w:r w:rsidR="00056A7E">
        <w:t xml:space="preserve"> navigational and positioning</w:t>
      </w:r>
      <w:r w:rsidR="00FD028F">
        <w:t xml:space="preserve"> services are expected to be fairly</w:t>
      </w:r>
      <w:r w:rsidR="005B2B4C">
        <w:t xml:space="preserve"> </w:t>
      </w:r>
      <w:r w:rsidR="00FD028F">
        <w:t xml:space="preserve">resilient to the economic shock of the COVID-19 pandemic, as </w:t>
      </w:r>
      <w:r w:rsidR="00ED00B5">
        <w:t>their use in telecommunications, supply chains, and logistics tend to improve productivity and efficiency</w:t>
      </w:r>
      <w:r w:rsidR="00FD028F">
        <w:t xml:space="preserve">. </w:t>
      </w:r>
    </w:p>
    <w:p w14:paraId="5250ABEB" w14:textId="6CA7154B" w:rsidR="007E036D" w:rsidRDefault="00141CA6" w:rsidP="007E036D">
      <w:r>
        <w:t>Australian strengths in the enablers and applications segments of the value chain</w:t>
      </w:r>
      <w:r w:rsidR="00F774EE">
        <w:t xml:space="preserve"> are</w:t>
      </w:r>
      <w:r w:rsidR="00870395">
        <w:t xml:space="preserve"> on par with global averages</w:t>
      </w:r>
      <w:r>
        <w:t>. The contribution of these two segments of the value chain to the Australian economy</w:t>
      </w:r>
      <w:r w:rsidR="001716D1">
        <w:t xml:space="preserve"> is similar </w:t>
      </w:r>
      <w:r>
        <w:t>compared to global averages</w:t>
      </w:r>
      <w:r w:rsidR="001716D1">
        <w:t xml:space="preserve">. The </w:t>
      </w:r>
      <w:r>
        <w:t>enabler</w:t>
      </w:r>
      <w:r w:rsidR="001716D1">
        <w:t xml:space="preserve"> segment </w:t>
      </w:r>
      <w:r>
        <w:t>add</w:t>
      </w:r>
      <w:r w:rsidR="001716D1">
        <w:t>s</w:t>
      </w:r>
      <w:r>
        <w:t xml:space="preserve"> 0.02 per cent</w:t>
      </w:r>
      <w:r w:rsidR="00D315D1">
        <w:t xml:space="preserve"> to the Australian economy,</w:t>
      </w:r>
      <w:r>
        <w:t xml:space="preserve"> </w:t>
      </w:r>
      <w:r w:rsidR="00DD6C50">
        <w:t>compared</w:t>
      </w:r>
      <w:r>
        <w:t xml:space="preserve"> to 0.03 per cent to the global economy.</w:t>
      </w:r>
      <w:r w:rsidR="001E2B40">
        <w:t xml:space="preserve"> Australia’s </w:t>
      </w:r>
      <w:r w:rsidR="00AC40F5">
        <w:t>research and development capabilities</w:t>
      </w:r>
      <w:r w:rsidR="007E036D">
        <w:t>, currently supported by Australian Research Council and Cooperative Research Centres</w:t>
      </w:r>
      <w:r w:rsidR="007757F1">
        <w:t xml:space="preserve"> as well as </w:t>
      </w:r>
      <w:r w:rsidR="009F446C">
        <w:t xml:space="preserve">the $19.5 </w:t>
      </w:r>
      <w:r w:rsidR="00202B79">
        <w:t>million</w:t>
      </w:r>
      <w:r w:rsidR="009F446C">
        <w:t xml:space="preserve"> Space Infrastructure Fund and the $15 million International Space Investment </w:t>
      </w:r>
      <w:r w:rsidR="003975B7">
        <w:t>initiative</w:t>
      </w:r>
      <w:r w:rsidR="007E036D">
        <w:t xml:space="preserve">, help grow and support the enabler segment although commercialising research will likely prove a challenge for local researchers. This will especially be the case in the absence of scaled commercial ecosystems looking to take up new innovations, as is the case for space manufacturing. </w:t>
      </w:r>
      <w:r w:rsidR="00C93053" w:rsidRPr="00391269">
        <w:t xml:space="preserve">There is an opportunity to improve both Australia’s space sector and </w:t>
      </w:r>
      <w:r w:rsidR="0022474E" w:rsidRPr="00391269">
        <w:t xml:space="preserve">other sectors like advanced manufacturing by </w:t>
      </w:r>
      <w:r w:rsidR="00BB29D5" w:rsidRPr="00391269">
        <w:t xml:space="preserve">encouraging </w:t>
      </w:r>
      <w:r w:rsidR="008B0D5D" w:rsidRPr="00391269">
        <w:t>more cross-sector</w:t>
      </w:r>
      <w:r w:rsidR="000405B8" w:rsidRPr="00391269">
        <w:t xml:space="preserve"> cooperation.</w:t>
      </w:r>
    </w:p>
    <w:p w14:paraId="732C9DD7" w14:textId="77777777" w:rsidR="007040B4" w:rsidRPr="007E7A00" w:rsidRDefault="0062799E" w:rsidP="008A335C">
      <w:pPr>
        <w:rPr>
          <w:b/>
          <w:bCs/>
        </w:rPr>
      </w:pPr>
      <w:r>
        <w:t>Within the</w:t>
      </w:r>
      <w:r w:rsidR="00141CA6">
        <w:t xml:space="preserve"> applications</w:t>
      </w:r>
      <w:r>
        <w:t xml:space="preserve"> segment</w:t>
      </w:r>
      <w:r w:rsidR="00141CA6">
        <w:t xml:space="preserve">, Australian firms contribute 0.2 per cent to the Australian economy and global firms contribute to 0.23 per cent to the global economy. </w:t>
      </w:r>
      <w:r w:rsidR="007F5F9D">
        <w:t xml:space="preserve">A </w:t>
      </w:r>
      <w:r w:rsidR="008F5EF3">
        <w:t>more detailed look at the activities within the</w:t>
      </w:r>
      <w:r w:rsidR="00131D0A">
        <w:t xml:space="preserve"> </w:t>
      </w:r>
      <w:r w:rsidR="008F5EF3">
        <w:t xml:space="preserve">space sector </w:t>
      </w:r>
      <w:r w:rsidR="00B75F1E">
        <w:t>reveal that</w:t>
      </w:r>
      <w:r w:rsidR="00E7635B">
        <w:t xml:space="preserve"> applications services such as subscription </w:t>
      </w:r>
      <w:r w:rsidR="008B2B41">
        <w:t>broadcasting</w:t>
      </w:r>
      <w:r w:rsidR="0089667B">
        <w:t xml:space="preserve">, telecommunications, and </w:t>
      </w:r>
      <w:r w:rsidR="00621675">
        <w:t>surveying and mapping</w:t>
      </w:r>
      <w:r w:rsidR="00DC7D43">
        <w:t xml:space="preserve"> drive much of overall sector revenue</w:t>
      </w:r>
      <w:r w:rsidR="00297733">
        <w:t xml:space="preserve"> </w:t>
      </w:r>
      <w:r w:rsidR="00297733" w:rsidRPr="00F072C8">
        <w:rPr>
          <w:b/>
          <w:bCs/>
        </w:rPr>
        <w:t>(</w:t>
      </w:r>
      <w:r w:rsidR="004908A4">
        <w:rPr>
          <w:b/>
          <w:bCs/>
        </w:rPr>
        <w:t>Exhibit 1</w:t>
      </w:r>
      <w:r w:rsidR="005B2B4C">
        <w:rPr>
          <w:b/>
          <w:bCs/>
        </w:rPr>
        <w:t>6</w:t>
      </w:r>
      <w:r w:rsidR="00297733" w:rsidRPr="00244B80">
        <w:rPr>
          <w:b/>
          <w:bCs/>
        </w:rPr>
        <w:fldChar w:fldCharType="begin"/>
      </w:r>
      <w:r w:rsidR="00297733" w:rsidRPr="00AE2B85">
        <w:rPr>
          <w:b/>
          <w:bCs/>
        </w:rPr>
        <w:instrText xml:space="preserve"> REF _Ref46399301 \h  \* MERGEFORMAT </w:instrText>
      </w:r>
      <w:r w:rsidR="00297733" w:rsidRPr="00244B80">
        <w:rPr>
          <w:b/>
          <w:bCs/>
        </w:rPr>
      </w:r>
      <w:r w:rsidR="007040B4">
        <w:rPr>
          <w:b/>
          <w:bCs/>
        </w:rPr>
        <w:fldChar w:fldCharType="separate"/>
      </w:r>
    </w:p>
    <w:p w14:paraId="38CFF863" w14:textId="5C2A0775" w:rsidR="00A71E23" w:rsidRDefault="007040B4" w:rsidP="00A71E23">
      <w:r>
        <w:t>Exhibit 16</w:t>
      </w:r>
      <w:r w:rsidR="00297733" w:rsidRPr="00244B80">
        <w:rPr>
          <w:b/>
          <w:bCs/>
        </w:rPr>
        <w:fldChar w:fldCharType="end"/>
      </w:r>
      <w:r w:rsidR="00297733" w:rsidRPr="00AE2B85">
        <w:rPr>
          <w:b/>
          <w:bCs/>
        </w:rPr>
        <w:t>)</w:t>
      </w:r>
      <w:r w:rsidR="00DC7D43" w:rsidRPr="00AE2B85">
        <w:t>.</w:t>
      </w:r>
      <w:r w:rsidR="00B65123">
        <w:t xml:space="preserve"> </w:t>
      </w:r>
      <w:r w:rsidR="00A20B7A">
        <w:t xml:space="preserve">These </w:t>
      </w:r>
      <w:r w:rsidR="00A069F7">
        <w:t xml:space="preserve">technologies </w:t>
      </w:r>
      <w:r w:rsidR="00A20B7A">
        <w:t>underpin critical applications such as weather forecasting and bushfire management</w:t>
      </w:r>
      <w:r w:rsidR="00A069F7">
        <w:t>.</w:t>
      </w:r>
      <w:r w:rsidR="00A20B7A">
        <w:t xml:space="preserve"> </w:t>
      </w:r>
      <w:r w:rsidR="00106FE6">
        <w:t>S</w:t>
      </w:r>
      <w:r w:rsidR="00106FE6" w:rsidRPr="00FD7DF9">
        <w:t>atellite television for pay television services such as those provided by Foxtel and Telstra is by far the largest contributor</w:t>
      </w:r>
      <w:r w:rsidR="005715B3">
        <w:t xml:space="preserve"> of applications revenues</w:t>
      </w:r>
      <w:r w:rsidR="00106FE6" w:rsidRPr="00FD7DF9">
        <w:t>, at nearly $2.5 billion in 2019</w:t>
      </w:r>
      <w:r w:rsidR="00106FE6" w:rsidRPr="003B549B">
        <w:t xml:space="preserve">. </w:t>
      </w:r>
      <w:r w:rsidR="00B65123">
        <w:t>Spending by the Department of Defence is the second largest contributor to overall sector revenue, at about $1 billion in 2019</w:t>
      </w:r>
      <w:r w:rsidR="00FD028F">
        <w:t xml:space="preserve">. This underscores the importance of the local civil space sector to </w:t>
      </w:r>
      <w:r w:rsidR="003975B7">
        <w:t>domestic</w:t>
      </w:r>
      <w:r w:rsidR="00D03E81">
        <w:t xml:space="preserve"> </w:t>
      </w:r>
      <w:r w:rsidR="00A71E23">
        <w:t xml:space="preserve">capability. </w:t>
      </w:r>
    </w:p>
    <w:p w14:paraId="7D539309" w14:textId="1FD6CC1A" w:rsidR="008A335C" w:rsidRPr="007E7A00" w:rsidRDefault="00283B3B" w:rsidP="008A335C">
      <w:pPr>
        <w:rPr>
          <w:b/>
          <w:bCs/>
        </w:rPr>
      </w:pPr>
      <w:r w:rsidRPr="003B549B">
        <w:t xml:space="preserve">In the future, </w:t>
      </w:r>
      <w:r w:rsidRPr="003B549B">
        <w:rPr>
          <w:rFonts w:ascii="Calibri" w:hAnsi="Calibri" w:cs="Calibri"/>
        </w:rPr>
        <w:t xml:space="preserve">fixed satellite managed services </w:t>
      </w:r>
      <w:r w:rsidR="00C7125F" w:rsidRPr="003B549B">
        <w:rPr>
          <w:rFonts w:ascii="Calibri" w:hAnsi="Calibri" w:cs="Calibri"/>
        </w:rPr>
        <w:t>(</w:t>
      </w:r>
      <w:r w:rsidRPr="003B549B">
        <w:rPr>
          <w:rFonts w:ascii="Calibri" w:hAnsi="Calibri" w:cs="Calibri"/>
        </w:rPr>
        <w:t>e.g. business and government internal networks</w:t>
      </w:r>
      <w:r w:rsidR="00C7125F" w:rsidRPr="003B549B">
        <w:rPr>
          <w:rFonts w:ascii="Calibri" w:hAnsi="Calibri" w:cs="Calibri"/>
        </w:rPr>
        <w:t xml:space="preserve"> and</w:t>
      </w:r>
      <w:r w:rsidRPr="003B549B">
        <w:rPr>
          <w:rFonts w:ascii="Calibri" w:hAnsi="Calibri" w:cs="Calibri"/>
        </w:rPr>
        <w:t xml:space="preserve"> internet service to aircraft passenger cabins</w:t>
      </w:r>
      <w:r w:rsidR="00C7125F" w:rsidRPr="003B549B">
        <w:rPr>
          <w:rFonts w:ascii="Calibri" w:hAnsi="Calibri" w:cs="Calibri"/>
        </w:rPr>
        <w:t>)</w:t>
      </w:r>
      <w:r w:rsidRPr="003B549B">
        <w:rPr>
          <w:rFonts w:ascii="Calibri" w:hAnsi="Calibri" w:cs="Calibri"/>
        </w:rPr>
        <w:t xml:space="preserve"> have been flagged as a key area for Australian industry growth</w:t>
      </w:r>
      <w:r w:rsidR="00C7125F" w:rsidRPr="003B549B">
        <w:rPr>
          <w:rFonts w:ascii="Calibri" w:hAnsi="Calibri" w:cs="Calibri"/>
        </w:rPr>
        <w:t xml:space="preserve"> due to an established </w:t>
      </w:r>
      <w:r w:rsidR="00C7125F" w:rsidRPr="003B549B">
        <w:t>domestic market for managed services</w:t>
      </w:r>
      <w:r w:rsidRPr="003B549B">
        <w:rPr>
          <w:rFonts w:ascii="Calibri" w:hAnsi="Calibri" w:cs="Calibri"/>
        </w:rPr>
        <w:t>. This segment grew at an annual rate of nearly 8</w:t>
      </w:r>
      <w:r w:rsidR="00426A2E" w:rsidRPr="003B549B">
        <w:rPr>
          <w:rFonts w:ascii="Calibri" w:hAnsi="Calibri" w:cs="Calibri"/>
        </w:rPr>
        <w:t xml:space="preserve"> </w:t>
      </w:r>
      <w:r w:rsidR="00426A2E" w:rsidRPr="003B549B">
        <w:t>per cent</w:t>
      </w:r>
      <w:r w:rsidRPr="003B549B">
        <w:t xml:space="preserve"> </w:t>
      </w:r>
      <w:r w:rsidRPr="003B549B">
        <w:rPr>
          <w:rFonts w:ascii="Calibri" w:hAnsi="Calibri" w:cs="Calibri"/>
        </w:rPr>
        <w:t>between 2012</w:t>
      </w:r>
      <w:r w:rsidR="00FD50A8">
        <w:rPr>
          <w:rFonts w:ascii="Calibri" w:hAnsi="Calibri" w:cs="Calibri"/>
        </w:rPr>
        <w:t xml:space="preserve"> </w:t>
      </w:r>
      <w:r w:rsidR="00C0688B">
        <w:rPr>
          <w:rFonts w:ascii="Calibri" w:hAnsi="Calibri" w:cs="Calibri"/>
        </w:rPr>
        <w:t>and</w:t>
      </w:r>
      <w:r w:rsidR="00FD50A8">
        <w:rPr>
          <w:rFonts w:ascii="Calibri" w:hAnsi="Calibri" w:cs="Calibri"/>
        </w:rPr>
        <w:t xml:space="preserve"> </w:t>
      </w:r>
      <w:r w:rsidRPr="003B549B">
        <w:rPr>
          <w:rFonts w:ascii="Calibri" w:hAnsi="Calibri" w:cs="Calibri"/>
        </w:rPr>
        <w:t xml:space="preserve">2016 and </w:t>
      </w:r>
      <w:r w:rsidR="000811E1" w:rsidRPr="003B549B">
        <w:rPr>
          <w:rFonts w:ascii="Calibri" w:hAnsi="Calibri" w:cs="Calibri"/>
        </w:rPr>
        <w:t>is</w:t>
      </w:r>
      <w:r w:rsidRPr="003B549B">
        <w:rPr>
          <w:rFonts w:ascii="Calibri" w:hAnsi="Calibri" w:cs="Calibri"/>
        </w:rPr>
        <w:t xml:space="preserve"> predicted to continue to grow</w:t>
      </w:r>
      <w:r w:rsidRPr="003B549B">
        <w:t>.</w:t>
      </w:r>
      <w:r w:rsidRPr="003B549B">
        <w:rPr>
          <w:rStyle w:val="FootnoteReference"/>
        </w:rPr>
        <w:footnoteReference w:id="42"/>
      </w:r>
      <w:r w:rsidR="002D69F3">
        <w:t xml:space="preserve"> </w:t>
      </w:r>
      <w:bookmarkStart w:id="161" w:name="_Ref46399301"/>
    </w:p>
    <w:p w14:paraId="0A3CB264" w14:textId="3C4C9342" w:rsidR="00467884" w:rsidRDefault="00467884" w:rsidP="00A31B55">
      <w:pPr>
        <w:pStyle w:val="Caption"/>
        <w:keepNext/>
      </w:pPr>
      <w:r>
        <w:lastRenderedPageBreak/>
        <w:t xml:space="preserve">Exhibit </w:t>
      </w:r>
      <w:r w:rsidR="004908A4">
        <w:t>1</w:t>
      </w:r>
      <w:r w:rsidR="005B2B4C">
        <w:t>6</w:t>
      </w:r>
      <w:bookmarkEnd w:id="161"/>
      <w:r w:rsidRPr="00332308">
        <w:t xml:space="preserve">: </w:t>
      </w:r>
      <w:r w:rsidR="00676220">
        <w:t>Contributo</w:t>
      </w:r>
      <w:r w:rsidR="00676220" w:rsidRPr="00926697">
        <w:t>rs of</w:t>
      </w:r>
      <w:r w:rsidR="00676220">
        <w:t xml:space="preserve"> Australian</w:t>
      </w:r>
      <w:r w:rsidR="00676220" w:rsidRPr="00926697">
        <w:t xml:space="preserve"> space sector revenue</w:t>
      </w:r>
    </w:p>
    <w:tbl>
      <w:tblPr>
        <w:tblStyle w:val="ExhibitTable"/>
        <w:tblW w:w="0" w:type="auto"/>
        <w:tblLook w:val="04A0" w:firstRow="1" w:lastRow="0" w:firstColumn="1" w:lastColumn="0" w:noHBand="0" w:noVBand="1"/>
        <w:tblCaption w:val="Contributors of Australian space sector revenue"/>
        <w:tblDescription w:val="Highest contributors include subscription broadcasting, defence and wired telecommunications"/>
      </w:tblPr>
      <w:tblGrid>
        <w:gridCol w:w="9026"/>
      </w:tblGrid>
      <w:tr w:rsidR="00CD164E" w14:paraId="58B3D572" w14:textId="77777777" w:rsidTr="0054118D">
        <w:trPr>
          <w:tblHeader/>
        </w:trPr>
        <w:tc>
          <w:tcPr>
            <w:tcW w:w="9026" w:type="dxa"/>
          </w:tcPr>
          <w:p w14:paraId="2987C596" w14:textId="38B0A591" w:rsidR="00CD164E" w:rsidRPr="00A06A1D" w:rsidRDefault="00D31897">
            <w:pPr>
              <w:keepNext/>
              <w:spacing w:after="120"/>
              <w:rPr>
                <w:noProof/>
                <w:lang w:eastAsia="en-AU"/>
              </w:rPr>
            </w:pPr>
            <w:r>
              <w:rPr>
                <w:noProof/>
                <w:lang w:eastAsia="en-AU"/>
              </w:rPr>
              <w:drawing>
                <wp:inline distT="0" distB="0" distL="0" distR="0" wp14:anchorId="4914CB72" wp14:editId="20FCC280">
                  <wp:extent cx="5690443" cy="2771665"/>
                  <wp:effectExtent l="0" t="0" r="5715" b="0"/>
                  <wp:docPr id="299" name="Picture 299" descr="Highest contributors include subscription broadcasting, defence and wired telecommunications" title="Contributors of Australian space sector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969" cy="2804068"/>
                          </a:xfrm>
                          <a:prstGeom prst="rect">
                            <a:avLst/>
                          </a:prstGeom>
                          <a:noFill/>
                        </pic:spPr>
                      </pic:pic>
                    </a:graphicData>
                  </a:graphic>
                </wp:inline>
              </w:drawing>
            </w:r>
          </w:p>
        </w:tc>
      </w:tr>
      <w:tr w:rsidR="0054118D" w:rsidRPr="00B95533" w14:paraId="5911DD96" w14:textId="77777777" w:rsidTr="0054118D">
        <w:trPr>
          <w:tblHeader/>
        </w:trPr>
        <w:tc>
          <w:tcPr>
            <w:tcW w:w="9026" w:type="dxa"/>
          </w:tcPr>
          <w:p w14:paraId="5FDA6998" w14:textId="0DD13A16" w:rsidR="00C91A2D" w:rsidRPr="00B95533" w:rsidRDefault="002A0A3A" w:rsidP="002A0A3A">
            <w:pPr>
              <w:pStyle w:val="ExhibitFootnote"/>
              <w:rPr>
                <w:color w:val="auto"/>
                <w:lang w:eastAsia="en-AU"/>
              </w:rPr>
            </w:pPr>
            <w:r w:rsidRPr="00B95533">
              <w:rPr>
                <w:color w:val="auto"/>
                <w:lang w:eastAsia="en-AU"/>
              </w:rPr>
              <w:t>Source: AlphaBeta space firm database</w:t>
            </w:r>
            <w:r w:rsidR="009364D2" w:rsidRPr="00B95533">
              <w:rPr>
                <w:color w:val="auto"/>
                <w:lang w:eastAsia="en-AU"/>
              </w:rPr>
              <w:t>.</w:t>
            </w:r>
          </w:p>
        </w:tc>
      </w:tr>
    </w:tbl>
    <w:p w14:paraId="51B209BC" w14:textId="39956810" w:rsidR="000F6E9E" w:rsidRDefault="000F6E9E" w:rsidP="00C40548">
      <w:pPr>
        <w:spacing w:after="120" w:line="240" w:lineRule="auto"/>
      </w:pPr>
    </w:p>
    <w:p w14:paraId="3DDDAD46" w14:textId="5E37ECFB" w:rsidR="008A6B61" w:rsidRDefault="009E2F8A" w:rsidP="00C40548">
      <w:pPr>
        <w:spacing w:after="120" w:line="240" w:lineRule="auto"/>
      </w:pPr>
      <w:r>
        <w:t>Australia is less well-re</w:t>
      </w:r>
      <w:r w:rsidR="000A6078">
        <w:t xml:space="preserve">presented in the </w:t>
      </w:r>
      <w:r w:rsidR="00F774EE">
        <w:t xml:space="preserve">space manufacturing segment </w:t>
      </w:r>
      <w:r w:rsidR="000A6078">
        <w:t xml:space="preserve">compared with the </w:t>
      </w:r>
      <w:r w:rsidR="00F774EE">
        <w:t xml:space="preserve">global market. Manufacturing disproportionately contributes more to global GDP than it does to Australian GDP: Australian space manufacturers contribute 0.01 per cent to Australian GDP and it is 0.15 per cent in the global case. Like other manufacturing activities, space manufacturing benefits from scale meaning that much of the world’s space manufacturing occurs in North America and Europe. Australia can </w:t>
      </w:r>
      <w:r w:rsidR="00327B70">
        <w:t>consolidate</w:t>
      </w:r>
      <w:r w:rsidR="00F774EE">
        <w:t xml:space="preserve"> its</w:t>
      </w:r>
      <w:r w:rsidR="00325D41">
        <w:t xml:space="preserve"> niche speciality</w:t>
      </w:r>
      <w:r w:rsidR="00F774EE">
        <w:t xml:space="preserve"> manufacturing presence by</w:t>
      </w:r>
      <w:r w:rsidR="00325D41">
        <w:t xml:space="preserve"> creatively using existing local industrial capabilities to service the global market</w:t>
      </w:r>
      <w:r w:rsidR="00F774EE">
        <w:t>.</w:t>
      </w:r>
      <w:r w:rsidR="005F6812">
        <w:t xml:space="preserve"> For example, the Australian firm</w:t>
      </w:r>
      <w:r w:rsidR="00327B70">
        <w:t xml:space="preserve"> Gilmour Space Technologies</w:t>
      </w:r>
      <w:r w:rsidR="007763C0">
        <w:t xml:space="preserve"> </w:t>
      </w:r>
      <w:r w:rsidR="009C7C96">
        <w:t xml:space="preserve">is developing </w:t>
      </w:r>
      <w:r w:rsidR="007763C0">
        <w:t xml:space="preserve">globally competitive hybrid-engine rockets </w:t>
      </w:r>
      <w:r w:rsidR="00A74D5A">
        <w:t>to launch low-cost satellites</w:t>
      </w:r>
      <w:r w:rsidR="007F07ED">
        <w:t>. Its supply chain enables them to</w:t>
      </w:r>
      <w:r w:rsidR="00A74D5A">
        <w:t xml:space="preserve"> </w:t>
      </w:r>
      <w:r w:rsidR="007F07ED">
        <w:t>engage</w:t>
      </w:r>
      <w:r w:rsidR="00A74D5A">
        <w:t xml:space="preserve"> local Australian supplie</w:t>
      </w:r>
      <w:r w:rsidR="007F07ED">
        <w:t>rs,</w:t>
      </w:r>
      <w:r w:rsidR="00C11C17">
        <w:t xml:space="preserve"> such as manufacturers who </w:t>
      </w:r>
      <w:r w:rsidR="009E4FE1">
        <w:t xml:space="preserve">have </w:t>
      </w:r>
      <w:r w:rsidR="00374A9D">
        <w:t>historically</w:t>
      </w:r>
      <w:r w:rsidR="00C11C17">
        <w:t xml:space="preserve"> focus</w:t>
      </w:r>
      <w:r w:rsidR="009E4FE1">
        <w:t>sed</w:t>
      </w:r>
      <w:r w:rsidR="00C11C17">
        <w:t xml:space="preserve"> on automobile parts.  </w:t>
      </w:r>
    </w:p>
    <w:p w14:paraId="362C4751" w14:textId="77777777" w:rsidR="00C40548" w:rsidRPr="00B95533" w:rsidRDefault="00E16B26" w:rsidP="00C40548">
      <w:pPr>
        <w:spacing w:after="120" w:line="240" w:lineRule="auto"/>
      </w:pPr>
      <w:r w:rsidRPr="00B95533">
        <w:rPr>
          <w:b/>
          <w:bCs/>
          <w:noProof/>
          <w:lang w:eastAsia="en-AU"/>
        </w:rPr>
        <w:lastRenderedPageBreak/>
        <mc:AlternateContent>
          <mc:Choice Requires="wps">
            <w:drawing>
              <wp:inline distT="0" distB="0" distL="0" distR="0" wp14:anchorId="190820A0" wp14:editId="2FE83800">
                <wp:extent cx="5934974" cy="8931859"/>
                <wp:effectExtent l="0" t="0" r="27940" b="22225"/>
                <wp:docPr id="45" name="Text Box 2" title="Australian space sector firms by parent loc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974" cy="8931859"/>
                        </a:xfrm>
                        <a:prstGeom prst="rect">
                          <a:avLst/>
                        </a:prstGeom>
                        <a:solidFill>
                          <a:srgbClr val="FFFFFF"/>
                        </a:solidFill>
                        <a:ln w="9525">
                          <a:solidFill>
                            <a:schemeClr val="accent2"/>
                          </a:solidFill>
                          <a:miter lim="800000"/>
                          <a:headEnd/>
                          <a:tailEnd/>
                        </a:ln>
                      </wps:spPr>
                      <wps:txbx>
                        <w:txbxContent>
                          <w:p w14:paraId="06DDA7F6" w14:textId="6F9518A7" w:rsidR="00D37139" w:rsidRPr="00A31B55" w:rsidRDefault="00D37139" w:rsidP="00BE0795">
                            <w:pPr>
                              <w:pStyle w:val="Caption"/>
                              <w:spacing w:before="120"/>
                            </w:pPr>
                            <w:r>
                              <w:t xml:space="preserve">Box 2: </w:t>
                            </w:r>
                            <w:r w:rsidRPr="00A31B55">
                              <w:t xml:space="preserve">Most of Australia’s space firms are based along the east coast and South Australia </w:t>
                            </w:r>
                          </w:p>
                          <w:p w14:paraId="76551C7F" w14:textId="25278C58" w:rsidR="00D37139" w:rsidRDefault="00D37139" w:rsidP="007E7A00">
                            <w:pPr>
                              <w:spacing w:after="120" w:line="240" w:lineRule="auto"/>
                            </w:pPr>
                            <w:r>
                              <w:t>The local Australian sector is made up of an estimated 558 firms (including many SMEs), serving all four segments of the space value chain and who have a diverse range of capabilities. While many Australian space firms operate in multiple states and territories, an estimated one-third of Australian space sector firms are based in New South Wales and about a fifth of firms based in Victoria. South Australia hosts a relatively large proportion of firms, given its population, at one sixth of total firms.</w:t>
                            </w:r>
                          </w:p>
                          <w:p w14:paraId="2C3FD955" w14:textId="6597EBF4" w:rsidR="00D37139" w:rsidRDefault="00D37139" w:rsidP="00BE0795">
                            <w:pPr>
                              <w:pStyle w:val="Caption"/>
                              <w:keepNext/>
                              <w:spacing w:before="120"/>
                            </w:pPr>
                            <w:r>
                              <w:t>Exhibit 17</w:t>
                            </w:r>
                            <w:r w:rsidRPr="00C40548">
                              <w:t xml:space="preserve">: </w:t>
                            </w:r>
                            <w:r>
                              <w:t>Distribution of Australian space firms across states and territories</w:t>
                            </w:r>
                          </w:p>
                          <w:tbl>
                            <w:tblPr>
                              <w:tblStyle w:val="TableGrid"/>
                              <w:tblW w:w="0" w:type="auto"/>
                              <w:tblLook w:val="04A0" w:firstRow="1" w:lastRow="0" w:firstColumn="1" w:lastColumn="0" w:noHBand="0" w:noVBand="1"/>
                              <w:tblCaption w:val="Distribution of Australian space firms across states and territories"/>
                              <w:tblDescription w:val="Map of Australia shows that New South Wales, Victoria, South Australia and Queensland have the highest number of space firms."/>
                            </w:tblPr>
                            <w:tblGrid>
                              <w:gridCol w:w="9156"/>
                            </w:tblGrid>
                            <w:tr w:rsidR="00D37139" w14:paraId="55D11454" w14:textId="77777777" w:rsidTr="0054118D">
                              <w:trPr>
                                <w:tblHeader/>
                              </w:trPr>
                              <w:tc>
                                <w:tcPr>
                                  <w:tcW w:w="8940" w:type="dxa"/>
                                  <w:tcBorders>
                                    <w:left w:val="nil"/>
                                    <w:right w:val="nil"/>
                                  </w:tcBorders>
                                </w:tcPr>
                                <w:p w14:paraId="2CB08CCF" w14:textId="36A5350F" w:rsidR="00D37139" w:rsidRDefault="00D37139" w:rsidP="00E16B26">
                                  <w:pPr>
                                    <w:keepNext/>
                                    <w:spacing w:after="120"/>
                                  </w:pPr>
                                  <w:r w:rsidRPr="00D31897">
                                    <w:rPr>
                                      <w:noProof/>
                                      <w:lang w:eastAsia="en-AU"/>
                                    </w:rPr>
                                    <w:drawing>
                                      <wp:inline distT="0" distB="0" distL="0" distR="0" wp14:anchorId="685D805C" wp14:editId="52AA6E40">
                                        <wp:extent cx="5669280" cy="2799080"/>
                                        <wp:effectExtent l="0" t="0" r="7620" b="1270"/>
                                        <wp:docPr id="300" name="Picture 300" descr="Map of Australia shows that New South Wales, Victoria, South Australia and Queensland have the highest number of space firms" title="Distribution of Australian space firms across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2799080"/>
                                                </a:xfrm>
                                                <a:prstGeom prst="rect">
                                                  <a:avLst/>
                                                </a:prstGeom>
                                                <a:noFill/>
                                                <a:ln>
                                                  <a:noFill/>
                                                </a:ln>
                                              </pic:spPr>
                                            </pic:pic>
                                          </a:graphicData>
                                        </a:graphic>
                                      </wp:inline>
                                    </w:drawing>
                                  </w:r>
                                </w:p>
                                <w:p w14:paraId="3A331C4A" w14:textId="3005CDAF" w:rsidR="00D37139" w:rsidRDefault="00D37139" w:rsidP="00232C2C">
                                  <w:pPr>
                                    <w:pStyle w:val="ExhibitFootnote"/>
                                  </w:pPr>
                                  <w:r w:rsidRPr="00B95533">
                                    <w:rPr>
                                      <w:color w:val="auto"/>
                                    </w:rPr>
                                    <w:t>Source: AlphaBeta space firm database</w:t>
                                  </w:r>
                                </w:p>
                              </w:tc>
                            </w:tr>
                          </w:tbl>
                          <w:p w14:paraId="5105C55D" w14:textId="77777777" w:rsidR="00D37139" w:rsidRDefault="00D37139" w:rsidP="00E16B26">
                            <w:pPr>
                              <w:spacing w:after="120" w:line="240" w:lineRule="auto"/>
                            </w:pPr>
                            <w:r>
                              <w:t xml:space="preserve">About 70 per cent of firms participating in the Australian space sector are Australian-owned. The remaining 30 per cent of firms are owned internationally, with the United States, the United Kingdom, and Japan being the most common providence of foreign-owned space firms in Australia.  </w:t>
                            </w:r>
                          </w:p>
                          <w:p w14:paraId="615524D1" w14:textId="3220094E" w:rsidR="00D37139" w:rsidRDefault="00D37139" w:rsidP="00BE0795">
                            <w:pPr>
                              <w:pStyle w:val="Caption"/>
                              <w:spacing w:before="120"/>
                            </w:pPr>
                            <w:r>
                              <w:t>Exhibit 18:</w:t>
                            </w:r>
                            <w:r w:rsidRPr="002F5A18">
                              <w:t xml:space="preserve"> </w:t>
                            </w:r>
                            <w:r>
                              <w:t>Australian space sector firms by parent location</w:t>
                            </w:r>
                            <w:r w:rsidRPr="00C40548">
                              <w:t xml:space="preserve"> </w:t>
                            </w:r>
                          </w:p>
                          <w:tbl>
                            <w:tblPr>
                              <w:tblStyle w:val="TableGrid"/>
                              <w:tblW w:w="9195" w:type="dxa"/>
                              <w:tblLook w:val="04A0" w:firstRow="1" w:lastRow="0" w:firstColumn="1" w:lastColumn="0" w:noHBand="0" w:noVBand="1"/>
                              <w:tblCaption w:val="Australian space sector firms by parent location."/>
                              <w:tblDescription w:val="Two donut charts presented side by side, describing Australian space sector firms by parent location. The leftmost chart shows that 71% of Australian space sector firms are Australian-owned. The chart on the right shows the location breakdown of foreign-owned firms that operate in Australia."/>
                            </w:tblPr>
                            <w:tblGrid>
                              <w:gridCol w:w="9195"/>
                            </w:tblGrid>
                            <w:tr w:rsidR="00D37139" w14:paraId="37DCF768" w14:textId="77777777" w:rsidTr="00BE4437">
                              <w:trPr>
                                <w:trHeight w:val="4850"/>
                                <w:tblHeader/>
                              </w:trPr>
                              <w:tc>
                                <w:tcPr>
                                  <w:tcW w:w="9195" w:type="dxa"/>
                                  <w:tcBorders>
                                    <w:left w:val="nil"/>
                                    <w:right w:val="nil"/>
                                  </w:tcBorders>
                                </w:tcPr>
                                <w:p w14:paraId="48CB3C81" w14:textId="620153E2" w:rsidR="00D37139" w:rsidRPr="009E21DA" w:rsidRDefault="00D37139" w:rsidP="008A6B61">
                                  <w:pPr>
                                    <w:keepNext/>
                                    <w:spacing w:after="120"/>
                                    <w:rPr>
                                      <w:sz w:val="18"/>
                                    </w:rPr>
                                  </w:pPr>
                                  <w:r w:rsidRPr="00BE4437">
                                    <w:rPr>
                                      <w:noProof/>
                                      <w:sz w:val="18"/>
                                      <w:lang w:eastAsia="en-AU"/>
                                    </w:rPr>
                                    <w:drawing>
                                      <wp:inline distT="0" distB="0" distL="0" distR="0" wp14:anchorId="559A64EC" wp14:editId="2E9C9096">
                                        <wp:extent cx="5647005" cy="2779776"/>
                                        <wp:effectExtent l="0" t="0" r="0" b="0"/>
                                        <wp:docPr id="49" name="Picture 49" descr="Two donut charts presented side by side, describing Australian space sector firms by parent location. The leftmost chart shows that 71% of Australian space sector firms are Australian-owned. The chart on the right shows the location breakdown of foreign-owned firms that operate in Australia." title="Australian space sector firms by parent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57" cy="2789794"/>
                                                </a:xfrm>
                                                <a:prstGeom prst="rect">
                                                  <a:avLst/>
                                                </a:prstGeom>
                                                <a:noFill/>
                                                <a:ln>
                                                  <a:noFill/>
                                                </a:ln>
                                              </pic:spPr>
                                            </pic:pic>
                                          </a:graphicData>
                                        </a:graphic>
                                      </wp:inline>
                                    </w:drawing>
                                  </w:r>
                                  <w:r>
                                    <w:rPr>
                                      <w:sz w:val="18"/>
                                    </w:rPr>
                                    <w:br/>
                                  </w:r>
                                  <w:r w:rsidRPr="009E21DA">
                                    <w:rPr>
                                      <w:sz w:val="18"/>
                                    </w:rPr>
                                    <w:t>Source: AlphaBeta space firm database</w:t>
                                  </w:r>
                                </w:p>
                              </w:tc>
                            </w:tr>
                          </w:tbl>
                          <w:p w14:paraId="330C22C1" w14:textId="77777777" w:rsidR="00D37139" w:rsidRDefault="00D37139" w:rsidP="00E16B26"/>
                        </w:txbxContent>
                      </wps:txbx>
                      <wps:bodyPr rot="0" vert="horz" wrap="square" lIns="91440" tIns="45720" rIns="91440" bIns="45720" anchor="t" anchorCtr="0">
                        <a:noAutofit/>
                      </wps:bodyPr>
                    </wps:wsp>
                  </a:graphicData>
                </a:graphic>
              </wp:inline>
            </w:drawing>
          </mc:Choice>
          <mc:Fallback>
            <w:pict>
              <v:shape w14:anchorId="190820A0" id="_x0000_s1027" type="#_x0000_t202" alt="Title: Australian space sector firms by parent location " style="width:467.3pt;height:7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" strokecolor="#a6a6a6 [3205]">
                <v:textbox>
                  <w:txbxContent>
                    <w:p w14:paraId="06DDA7F6" w14:textId="6F9518A7" w:rsidR="00D37139" w:rsidRPr="00A31B55" w:rsidRDefault="00D37139" w:rsidP="00BE0795">
                      <w:pPr>
                        <w:pStyle w:val="Caption"/>
                        <w:spacing w:before="120"/>
                      </w:pPr>
                      <w:r>
                        <w:t xml:space="preserve">Box 2: </w:t>
                      </w:r>
                      <w:r w:rsidRPr="00A31B55">
                        <w:t xml:space="preserve">Most of Australia’s space firms are based along the east coast and South Australia </w:t>
                      </w:r>
                    </w:p>
                    <w:p w14:paraId="76551C7F" w14:textId="25278C58" w:rsidR="00D37139" w:rsidRDefault="00D37139" w:rsidP="007E7A00">
                      <w:pPr>
                        <w:spacing w:after="120" w:line="240" w:lineRule="auto"/>
                      </w:pPr>
                      <w:r>
                        <w:t>The local Australian sector is made up of an estimated 558 firms (including many SMEs), serving all four segments of the space value chain and who have a diverse range of capabilities. While many Australian space firms operate in multiple states and territories, an estimated one-third of Australian space sector firms are based in New South Wales and about a fifth of firms based in Victoria. South Australia hosts a relatively large proportion of firms, given its population, at one sixth of total firms.</w:t>
                      </w:r>
                    </w:p>
                    <w:p w14:paraId="2C3FD955" w14:textId="6597EBF4" w:rsidR="00D37139" w:rsidRDefault="00D37139" w:rsidP="00BE0795">
                      <w:pPr>
                        <w:pStyle w:val="Caption"/>
                        <w:keepNext/>
                        <w:spacing w:before="120"/>
                      </w:pPr>
                      <w:r>
                        <w:t>Exhibit 17</w:t>
                      </w:r>
                      <w:r w:rsidRPr="00C40548">
                        <w:t xml:space="preserve">: </w:t>
                      </w:r>
                      <w:r>
                        <w:t>Distribution of Australian space firms across states and territories</w:t>
                      </w:r>
                    </w:p>
                    <w:tbl>
                      <w:tblPr>
                        <w:tblStyle w:val="TableGrid"/>
                        <w:tblW w:w="0" w:type="auto"/>
                        <w:tblLook w:val="04A0" w:firstRow="1" w:lastRow="0" w:firstColumn="1" w:lastColumn="0" w:noHBand="0" w:noVBand="1"/>
                        <w:tblCaption w:val="Distribution of Australian space firms across states and territories"/>
                        <w:tblDescription w:val="Map of Australia shows that New South Wales, Victoria, South Australia and Queensland have the highest number of space firms."/>
                      </w:tblPr>
                      <w:tblGrid>
                        <w:gridCol w:w="9156"/>
                      </w:tblGrid>
                      <w:tr w:rsidR="00D37139" w14:paraId="55D11454" w14:textId="77777777" w:rsidTr="0054118D">
                        <w:trPr>
                          <w:tblHeader/>
                        </w:trPr>
                        <w:tc>
                          <w:tcPr>
                            <w:tcW w:w="8940" w:type="dxa"/>
                            <w:tcBorders>
                              <w:left w:val="nil"/>
                              <w:right w:val="nil"/>
                            </w:tcBorders>
                          </w:tcPr>
                          <w:p w14:paraId="2CB08CCF" w14:textId="36A5350F" w:rsidR="00D37139" w:rsidRDefault="00D37139" w:rsidP="00E16B26">
                            <w:pPr>
                              <w:keepNext/>
                              <w:spacing w:after="120"/>
                            </w:pPr>
                            <w:r w:rsidRPr="00D31897">
                              <w:rPr>
                                <w:noProof/>
                                <w:lang w:eastAsia="en-AU"/>
                              </w:rPr>
                              <w:drawing>
                                <wp:inline distT="0" distB="0" distL="0" distR="0" wp14:anchorId="685D805C" wp14:editId="52AA6E40">
                                  <wp:extent cx="5669280" cy="2799080"/>
                                  <wp:effectExtent l="0" t="0" r="7620" b="1270"/>
                                  <wp:docPr id="300" name="Picture 300" descr="Map of Australia shows that New South Wales, Victoria, South Australia and Queensland have the highest number of space firms" title="Distribution of Australian space firms across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2799080"/>
                                          </a:xfrm>
                                          <a:prstGeom prst="rect">
                                            <a:avLst/>
                                          </a:prstGeom>
                                          <a:noFill/>
                                          <a:ln>
                                            <a:noFill/>
                                          </a:ln>
                                        </pic:spPr>
                                      </pic:pic>
                                    </a:graphicData>
                                  </a:graphic>
                                </wp:inline>
                              </w:drawing>
                            </w:r>
                          </w:p>
                          <w:p w14:paraId="3A331C4A" w14:textId="3005CDAF" w:rsidR="00D37139" w:rsidRDefault="00D37139" w:rsidP="00232C2C">
                            <w:pPr>
                              <w:pStyle w:val="ExhibitFootnote"/>
                            </w:pPr>
                            <w:r w:rsidRPr="00B95533">
                              <w:rPr>
                                <w:color w:val="auto"/>
                              </w:rPr>
                              <w:t>Source: AlphaBeta space firm database</w:t>
                            </w:r>
                          </w:p>
                        </w:tc>
                      </w:tr>
                    </w:tbl>
                    <w:p w14:paraId="5105C55D" w14:textId="77777777" w:rsidR="00D37139" w:rsidRDefault="00D37139" w:rsidP="00E16B26">
                      <w:pPr>
                        <w:spacing w:after="120" w:line="240" w:lineRule="auto"/>
                      </w:pPr>
                      <w:r>
                        <w:t xml:space="preserve">About 70 per cent of firms participating in the Australian space sector are Australian-owned. The remaining 30 per cent of firms are owned internationally, with the United States, the United Kingdom, and Japan being the most common providence of foreign-owned space firms in Australia.  </w:t>
                      </w:r>
                    </w:p>
                    <w:p w14:paraId="615524D1" w14:textId="3220094E" w:rsidR="00D37139" w:rsidRDefault="00D37139" w:rsidP="00BE0795">
                      <w:pPr>
                        <w:pStyle w:val="Caption"/>
                        <w:spacing w:before="120"/>
                      </w:pPr>
                      <w:r>
                        <w:t>Exhibit 18:</w:t>
                      </w:r>
                      <w:r w:rsidRPr="002F5A18">
                        <w:t xml:space="preserve"> </w:t>
                      </w:r>
                      <w:r>
                        <w:t>Australian space sector firms by parent location</w:t>
                      </w:r>
                      <w:r w:rsidRPr="00C40548">
                        <w:t xml:space="preserve"> </w:t>
                      </w:r>
                    </w:p>
                    <w:tbl>
                      <w:tblPr>
                        <w:tblStyle w:val="TableGrid"/>
                        <w:tblW w:w="9195" w:type="dxa"/>
                        <w:tblLook w:val="04A0" w:firstRow="1" w:lastRow="0" w:firstColumn="1" w:lastColumn="0" w:noHBand="0" w:noVBand="1"/>
                        <w:tblCaption w:val="Australian space sector firms by parent location."/>
                        <w:tblDescription w:val="Two donut charts presented side by side, describing Australian space sector firms by parent location. The leftmost chart shows that 71% of Australian space sector firms are Australian-owned. The chart on the right shows the location breakdown of foreign-owned firms that operate in Australia."/>
                      </w:tblPr>
                      <w:tblGrid>
                        <w:gridCol w:w="9195"/>
                      </w:tblGrid>
                      <w:tr w:rsidR="00D37139" w14:paraId="37DCF768" w14:textId="77777777" w:rsidTr="00BE4437">
                        <w:trPr>
                          <w:trHeight w:val="4850"/>
                          <w:tblHeader/>
                        </w:trPr>
                        <w:tc>
                          <w:tcPr>
                            <w:tcW w:w="9195" w:type="dxa"/>
                            <w:tcBorders>
                              <w:left w:val="nil"/>
                              <w:right w:val="nil"/>
                            </w:tcBorders>
                          </w:tcPr>
                          <w:p w14:paraId="48CB3C81" w14:textId="620153E2" w:rsidR="00D37139" w:rsidRPr="009E21DA" w:rsidRDefault="00D37139" w:rsidP="008A6B61">
                            <w:pPr>
                              <w:keepNext/>
                              <w:spacing w:after="120"/>
                              <w:rPr>
                                <w:sz w:val="18"/>
                              </w:rPr>
                            </w:pPr>
                            <w:r w:rsidRPr="00BE4437">
                              <w:rPr>
                                <w:noProof/>
                                <w:sz w:val="18"/>
                                <w:lang w:eastAsia="en-AU"/>
                              </w:rPr>
                              <w:drawing>
                                <wp:inline distT="0" distB="0" distL="0" distR="0" wp14:anchorId="559A64EC" wp14:editId="2E9C9096">
                                  <wp:extent cx="5647005" cy="2779776"/>
                                  <wp:effectExtent l="0" t="0" r="0" b="0"/>
                                  <wp:docPr id="49" name="Picture 49" descr="Two donut charts presented side by side, describing Australian space sector firms by parent location. The leftmost chart shows that 71% of Australian space sector firms are Australian-owned. The chart on the right shows the location breakdown of foreign-owned firms that operate in Australia." title="Australian space sector firms by parent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57" cy="2789794"/>
                                          </a:xfrm>
                                          <a:prstGeom prst="rect">
                                            <a:avLst/>
                                          </a:prstGeom>
                                          <a:noFill/>
                                          <a:ln>
                                            <a:noFill/>
                                          </a:ln>
                                        </pic:spPr>
                                      </pic:pic>
                                    </a:graphicData>
                                  </a:graphic>
                                </wp:inline>
                              </w:drawing>
                            </w:r>
                            <w:r>
                              <w:rPr>
                                <w:sz w:val="18"/>
                              </w:rPr>
                              <w:br/>
                            </w:r>
                            <w:r w:rsidRPr="009E21DA">
                              <w:rPr>
                                <w:sz w:val="18"/>
                              </w:rPr>
                              <w:t>Source: AlphaBeta space firm database</w:t>
                            </w:r>
                          </w:p>
                        </w:tc>
                      </w:tr>
                    </w:tbl>
                    <w:p w14:paraId="330C22C1" w14:textId="77777777" w:rsidR="00D37139" w:rsidRDefault="00D37139" w:rsidP="00E16B26"/>
                  </w:txbxContent>
                </v:textbox>
                <w10:anchorlock/>
              </v:shape>
            </w:pict>
          </mc:Fallback>
        </mc:AlternateContent>
      </w:r>
    </w:p>
    <w:p w14:paraId="5BB8B5FB" w14:textId="77777777" w:rsidR="00EB1A85" w:rsidRDefault="00EB1A85" w:rsidP="00BE78BF">
      <w:pPr>
        <w:pStyle w:val="Heading2"/>
      </w:pPr>
      <w:bookmarkStart w:id="162" w:name="_Toc46321712"/>
      <w:bookmarkStart w:id="163" w:name="_Toc49366201"/>
      <w:bookmarkStart w:id="164" w:name="_Toc62719135"/>
      <w:r>
        <w:lastRenderedPageBreak/>
        <w:t xml:space="preserve">A further 4,000 firms are in space-adjacent sectors and could extend their </w:t>
      </w:r>
      <w:r w:rsidRPr="007D7659">
        <w:t>capabilities</w:t>
      </w:r>
      <w:r>
        <w:t xml:space="preserve"> into space</w:t>
      </w:r>
      <w:bookmarkEnd w:id="162"/>
      <w:bookmarkEnd w:id="163"/>
      <w:bookmarkEnd w:id="164"/>
    </w:p>
    <w:p w14:paraId="582A49EE" w14:textId="7AF4445A" w:rsidR="00452A78" w:rsidRDefault="00317055" w:rsidP="00812A4A">
      <w:pPr>
        <w:spacing w:after="120" w:line="240" w:lineRule="auto"/>
      </w:pPr>
      <w:r>
        <w:t xml:space="preserve">Growth </w:t>
      </w:r>
      <w:r w:rsidR="00434537">
        <w:t>and the continued prosperity of</w:t>
      </w:r>
      <w:r>
        <w:t xml:space="preserve"> the Australian space sector will be contingent on </w:t>
      </w:r>
      <w:r w:rsidR="00096040">
        <w:t xml:space="preserve">more firms </w:t>
      </w:r>
      <w:r w:rsidR="00434537">
        <w:t>entering and participating in the value chain.</w:t>
      </w:r>
      <w:r w:rsidR="00812A4A">
        <w:t xml:space="preserve"> There are a range of firms in Australia who do </w:t>
      </w:r>
      <w:r w:rsidR="00734894">
        <w:t>not</w:t>
      </w:r>
      <w:r w:rsidR="00812A4A">
        <w:t xml:space="preserve"> yet participate in the space economy but by virtue of their capabilities, are well-positioned to enter the space sector</w:t>
      </w:r>
      <w:r w:rsidR="00FC64C8" w:rsidRPr="004C512D">
        <w:rPr>
          <w:b/>
          <w:bCs/>
        </w:rPr>
        <w:t xml:space="preserve"> </w:t>
      </w:r>
      <w:r w:rsidR="00FC64C8" w:rsidRPr="00FC64C8">
        <w:rPr>
          <w:b/>
          <w:bCs/>
        </w:rPr>
        <w:t>(</w:t>
      </w:r>
      <w:r w:rsidR="00A453CB">
        <w:rPr>
          <w:b/>
          <w:bCs/>
        </w:rPr>
        <w:t>Exhibit 1</w:t>
      </w:r>
      <w:r w:rsidR="005B2B4C">
        <w:rPr>
          <w:b/>
          <w:bCs/>
        </w:rPr>
        <w:t>9</w:t>
      </w:r>
      <w:r w:rsidR="00FC64C8" w:rsidRPr="00FC64C8">
        <w:rPr>
          <w:b/>
          <w:bCs/>
        </w:rPr>
        <w:t>)</w:t>
      </w:r>
      <w:r w:rsidR="00812A4A">
        <w:t>.</w:t>
      </w:r>
      <w:r w:rsidR="00434537">
        <w:t xml:space="preserve"> </w:t>
      </w:r>
    </w:p>
    <w:p w14:paraId="696310F1" w14:textId="7B6AD95F" w:rsidR="00FA6415" w:rsidDel="0040486D" w:rsidRDefault="00FA6415" w:rsidP="00FA6415">
      <w:pPr>
        <w:pStyle w:val="Caption"/>
      </w:pPr>
      <w:bookmarkStart w:id="165" w:name="_Ref46756101"/>
      <w:r w:rsidDel="0040486D">
        <w:t xml:space="preserve">Exhibit </w:t>
      </w:r>
      <w:r w:rsidR="00A453CB">
        <w:t>1</w:t>
      </w:r>
      <w:r w:rsidR="005B2B4C">
        <w:t>9</w:t>
      </w:r>
      <w:bookmarkEnd w:id="165"/>
      <w:r w:rsidRPr="00C40548" w:rsidDel="0040486D">
        <w:t>:</w:t>
      </w:r>
      <w:r w:rsidDel="0040486D">
        <w:t xml:space="preserve"> Adjacent industries containing firms that may be suitable to enter the space sector </w:t>
      </w:r>
    </w:p>
    <w:tbl>
      <w:tblPr>
        <w:tblStyle w:val="TableGrid"/>
        <w:tblW w:w="0" w:type="auto"/>
        <w:tblLook w:val="04A0" w:firstRow="1" w:lastRow="0" w:firstColumn="1" w:lastColumn="0" w:noHBand="0" w:noVBand="1"/>
        <w:tblCaption w:val="Adjacent industries containing firms that may be suitable to enter the space sector"/>
        <w:tblDescription w:val="Adjacent industries include:&#10;&#10;Aircraft Manufacturing and Repair Services &#10;&#10;Communication Equipment Manufacturing &#10;&#10;Computer System Design and Related Services &#10;&#10;Data Processing and Web Hosting Services &#10;&#10;Defence &#10;&#10;Engineering Design and Engineering Consulting Services &#10;&#10;Machine Tool and Parts Manufacturing &#10;&#10;Management Advice and Related Consulting Services &#10;&#10;Oil and Gas Extraction &#10;&#10;Other Electrical Equipment Manufacturing &#10;&#10;Other Electronic Equipment Manufacturing &#10;&#10;Other Machinery and Equipment Manufacturing (not elsewhere classified) &#10;&#10;Other Metal Ore Mining &#10;&#10;Other Professional and Scientific Equipment Manufacturing &#10;&#10;Other Professional, Scientific and Technical Services (not elsewhere classified) &#10;&#10;Other Specialised Machinery and Equipment Manufacturing &#10;&#10;Other Structural Metal Product Manufacturing &#10;&#10;Other Telecommunications Services &#10;&#10;Photographic, Optical and Ophthalmic Equipment Manufacturing &#10;&#10;Scientific Research Services &#10;&#10;Scientific Testing and Analysis Services &#10;&#10;Surveying and Mapping Services &#10;&#10;Wired Telecommunications Network Operation &#10;&#10;"/>
      </w:tblPr>
      <w:tblGrid>
        <w:gridCol w:w="9026"/>
      </w:tblGrid>
      <w:tr w:rsidR="001B647C" w:rsidDel="0040486D" w14:paraId="13F5E42E" w14:textId="77777777" w:rsidTr="0054118D">
        <w:trPr>
          <w:tblHeader/>
        </w:trPr>
        <w:tc>
          <w:tcPr>
            <w:tcW w:w="9026" w:type="dxa"/>
            <w:tcBorders>
              <w:left w:val="nil"/>
              <w:right w:val="nil"/>
            </w:tcBorders>
          </w:tcPr>
          <w:p w14:paraId="4E434F68" w14:textId="218DD917" w:rsidR="00FA6415" w:rsidRDefault="002C4C37" w:rsidP="006342C2">
            <w:pPr>
              <w:spacing w:after="120"/>
            </w:pPr>
            <w:r>
              <w:rPr>
                <w:noProof/>
                <w:lang w:eastAsia="en-AU"/>
              </w:rPr>
              <w:drawing>
                <wp:inline distT="0" distB="0" distL="0" distR="0" wp14:anchorId="7DF51CAB" wp14:editId="1EBFEF76">
                  <wp:extent cx="5663924" cy="2591467"/>
                  <wp:effectExtent l="0" t="0" r="0" b="0"/>
                  <wp:docPr id="306" name="Picture 306" descr="Adjacent industries include:&#10;&#10;Aircraft Manufacturing and Repair Services &#10;&#10;Communication Equipment Manufacturing &#10;&#10;Computer System Design and Related Services &#10;&#10;Data Processing and Web Hosting Services &#10;&#10;Defence &#10;&#10;Engineering Design and Engineering Consulting Services &#10;&#10;Machine Tool and Parts Manufacturing &#10;&#10;Management Advice and Related Consulting Services &#10;&#10;Oil and Gas Extraction &#10;&#10;Other Electrical Equipment Manufacturing &#10;&#10;Other Electronic Equipment Manufacturing &#10;&#10;Other Machinery and Equipment Manufacturing (not elsewhere classified) &#10;&#10;Other Metal Ore Mining &#10;&#10;Other Professional and Scientific Equipment Manufacturing &#10;&#10;Other Professional, Scientific and Technical Services (not elsewhere classified) &#10;&#10;Other Specialised Machinery and Equipment Manufacturing &#10;&#10;Other Structural Metal Product Manufacturing &#10;&#10;Other Telecommunications Services &#10;&#10;Photographic, Optical and Ophthalmic Equipment Manufacturing &#10;&#10;Scientific Research Services &#10;&#10;Scientific Testing and Analysis Services &#10;&#10;Surveying and Mapping Services &#10;&#10;Wired Telecommunications Network Operation &#10;&#10;" title="Adjacent industries containing firms that may be suitable to enter the spac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7228" cy="2629582"/>
                          </a:xfrm>
                          <a:prstGeom prst="rect">
                            <a:avLst/>
                          </a:prstGeom>
                          <a:noFill/>
                        </pic:spPr>
                      </pic:pic>
                    </a:graphicData>
                  </a:graphic>
                </wp:inline>
              </w:drawing>
            </w:r>
          </w:p>
          <w:p w14:paraId="188DD375" w14:textId="174F9E52" w:rsidR="00AA6B0C" w:rsidDel="0040486D" w:rsidRDefault="00AA6B0C">
            <w:pPr>
              <w:pStyle w:val="ExhibitFootnote"/>
            </w:pPr>
            <w:r w:rsidRPr="00B95533">
              <w:rPr>
                <w:color w:val="auto"/>
              </w:rPr>
              <w:t xml:space="preserve">Notes: Industry names adjusted for readability; bold denotes that industry spans multiple segments. There is a many-to-many relationship between industry groups and segments, which means that industry groups can map to multiple segments. For example, computer system design can encompass an operation capability such as situational space awareness (SSA), or an application such as </w:t>
            </w:r>
            <w:r w:rsidR="00D03E81" w:rsidRPr="00B95533">
              <w:rPr>
                <w:color w:val="auto"/>
              </w:rPr>
              <w:t>E</w:t>
            </w:r>
            <w:r w:rsidRPr="00B95533">
              <w:rPr>
                <w:color w:val="auto"/>
              </w:rPr>
              <w:t>arth observation</w:t>
            </w:r>
            <w:r w:rsidR="00D03E81" w:rsidRPr="00B95533">
              <w:rPr>
                <w:color w:val="auto"/>
              </w:rPr>
              <w:t xml:space="preserve"> information services</w:t>
            </w:r>
            <w:r w:rsidRPr="00B95533">
              <w:rPr>
                <w:color w:val="auto"/>
              </w:rPr>
              <w:t>.</w:t>
            </w:r>
          </w:p>
        </w:tc>
      </w:tr>
    </w:tbl>
    <w:p w14:paraId="3A8543D1" w14:textId="77777777" w:rsidR="00F774EE" w:rsidRDefault="00F774EE" w:rsidP="0036595A">
      <w:pPr>
        <w:spacing w:after="120" w:line="240" w:lineRule="auto"/>
      </w:pPr>
    </w:p>
    <w:p w14:paraId="5B3F86C9" w14:textId="5038C8D8" w:rsidR="0036595A" w:rsidRDefault="0036595A" w:rsidP="0036595A">
      <w:pPr>
        <w:spacing w:after="120" w:line="240" w:lineRule="auto"/>
      </w:pPr>
      <w:r>
        <w:t xml:space="preserve">Analysis of suitable subindustries with space-relevant capabilities has identified 23 </w:t>
      </w:r>
      <w:r w:rsidR="008F560B">
        <w:t xml:space="preserve">subindustries </w:t>
      </w:r>
      <w:r>
        <w:t xml:space="preserve">within which are 4,125 firms that are high-potential candidates </w:t>
      </w:r>
      <w:r>
        <w:rPr>
          <w:b/>
          <w:bCs/>
        </w:rPr>
        <w:t>(</w:t>
      </w:r>
      <w:r w:rsidR="00A453CB">
        <w:rPr>
          <w:b/>
          <w:bCs/>
        </w:rPr>
        <w:t xml:space="preserve">Exhibit </w:t>
      </w:r>
      <w:r w:rsidR="005B2B4C">
        <w:rPr>
          <w:b/>
          <w:bCs/>
        </w:rPr>
        <w:t>20</w:t>
      </w:r>
      <w:r>
        <w:rPr>
          <w:b/>
          <w:bCs/>
        </w:rPr>
        <w:t>)</w:t>
      </w:r>
      <w:r>
        <w:t>. Several criteria were used to determine which subindustries were relevant</w:t>
      </w:r>
      <w:r w:rsidR="00F774EE">
        <w:t>, including subindustries</w:t>
      </w:r>
      <w:r w:rsidR="000957B6" w:rsidRPr="000957B6">
        <w:t xml:space="preserve"> </w:t>
      </w:r>
      <w:r w:rsidR="000957B6">
        <w:t xml:space="preserve">which contain firms already in the space sector </w:t>
      </w:r>
      <w:r>
        <w:t>and those which were identified by the Australian Space Agency.</w:t>
      </w:r>
      <w:r w:rsidR="000957B6">
        <w:rPr>
          <w:rStyle w:val="FootnoteReference"/>
        </w:rPr>
        <w:footnoteReference w:id="43"/>
      </w:r>
      <w:r>
        <w:t xml:space="preserve"> Industries were also filtered for whether they were high-growth, high-tech industries (based on patent</w:t>
      </w:r>
      <w:r w:rsidR="008F560B">
        <w:t>s</w:t>
      </w:r>
      <w:r>
        <w:t xml:space="preserve"> and grants) as these were more likely to contain firms that reflected the dynamic and technology-intensive nature of space. </w:t>
      </w:r>
    </w:p>
    <w:p w14:paraId="2F22B133" w14:textId="04CCFE5A" w:rsidR="0036595A" w:rsidRPr="00A31B55" w:rsidDel="0040486D" w:rsidRDefault="0036595A" w:rsidP="00926697">
      <w:pPr>
        <w:pStyle w:val="Caption"/>
        <w:keepNext/>
      </w:pPr>
      <w:bookmarkStart w:id="166" w:name="_Ref47700169"/>
      <w:r w:rsidRPr="001A46F2" w:rsidDel="0040486D">
        <w:lastRenderedPageBreak/>
        <w:t xml:space="preserve">Exhibit </w:t>
      </w:r>
      <w:bookmarkEnd w:id="166"/>
      <w:r w:rsidR="005B2B4C">
        <w:t>20</w:t>
      </w:r>
      <w:r w:rsidRPr="000B38A1" w:rsidDel="0040486D">
        <w:t xml:space="preserve">: </w:t>
      </w:r>
      <w:r w:rsidRPr="00A31B55" w:rsidDel="0040486D">
        <w:t>Count of firms in space-adjacent sectors who have been identified to be suitable to enter the space sector, as mapped to value chain segments</w:t>
      </w:r>
    </w:p>
    <w:tbl>
      <w:tblPr>
        <w:tblStyle w:val="TableGrid"/>
        <w:tblW w:w="0" w:type="auto"/>
        <w:tblLook w:val="04A0" w:firstRow="1" w:lastRow="0" w:firstColumn="1" w:lastColumn="0" w:noHBand="0" w:noVBand="1"/>
        <w:tblCaption w:val="Count of firms in space-adjacent sectors who have been identified to be suitable to enter the space sector, as mapper to value chain segments"/>
        <w:tblDescription w:val="1,945 firms are suitable to join manufacturing, 599 firms are suitable to be in operations, 433 firms are suitable to enter the enablers segment and 1,168 firms are suitable for applications."/>
      </w:tblPr>
      <w:tblGrid>
        <w:gridCol w:w="9026"/>
      </w:tblGrid>
      <w:tr w:rsidR="0036595A" w:rsidDel="0040486D" w14:paraId="29531085" w14:textId="77777777" w:rsidTr="0054118D">
        <w:trPr>
          <w:tblHeader/>
        </w:trPr>
        <w:tc>
          <w:tcPr>
            <w:tcW w:w="9016" w:type="dxa"/>
            <w:tcBorders>
              <w:left w:val="nil"/>
              <w:right w:val="nil"/>
            </w:tcBorders>
          </w:tcPr>
          <w:p w14:paraId="71CD6086" w14:textId="321D482D" w:rsidR="0036595A" w:rsidRDefault="002C4C37" w:rsidP="00926697">
            <w:pPr>
              <w:keepNext/>
              <w:spacing w:after="120"/>
              <w:rPr>
                <w:i/>
                <w:iCs/>
              </w:rPr>
            </w:pPr>
            <w:r>
              <w:rPr>
                <w:i/>
                <w:iCs/>
                <w:noProof/>
                <w:lang w:eastAsia="en-AU"/>
              </w:rPr>
              <w:drawing>
                <wp:inline distT="0" distB="0" distL="0" distR="0" wp14:anchorId="7A1415CC" wp14:editId="1C789FC3">
                  <wp:extent cx="5653322" cy="2370937"/>
                  <wp:effectExtent l="0" t="0" r="5080" b="0"/>
                  <wp:docPr id="307" name="Picture 307" descr="1,945 firms are suitable to join manufacturing, 599 firms are suitable to be in operations, 433 firms are suitable to enter the enablers segment and 1,168 firms are suitable for applications." title="Count of firms in space-adjacent sectors who have been identified to be suitable to enter the space sector, as mapped to value chain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826" cy="2403861"/>
                          </a:xfrm>
                          <a:prstGeom prst="rect">
                            <a:avLst/>
                          </a:prstGeom>
                          <a:noFill/>
                        </pic:spPr>
                      </pic:pic>
                    </a:graphicData>
                  </a:graphic>
                </wp:inline>
              </w:drawing>
            </w:r>
          </w:p>
          <w:p w14:paraId="530F850A" w14:textId="2D7DF3B7" w:rsidR="00117085" w:rsidRPr="00B95533" w:rsidRDefault="009364D2" w:rsidP="00117085">
            <w:pPr>
              <w:pStyle w:val="ExhibitFootnote"/>
              <w:rPr>
                <w:color w:val="auto"/>
              </w:rPr>
            </w:pPr>
            <w:r w:rsidRPr="00B95533">
              <w:rPr>
                <w:color w:val="auto"/>
                <w:lang w:val="en-US"/>
              </w:rPr>
              <w:t>Notes</w:t>
            </w:r>
            <w:r w:rsidR="00117085" w:rsidRPr="00B95533">
              <w:rPr>
                <w:color w:val="auto"/>
                <w:lang w:val="en-US"/>
              </w:rPr>
              <w:t>: Unlike in the database of existing Australian space firms, there is less of a bias towards applications in our adjacent firms database. This is because of two main reasons:</w:t>
            </w:r>
          </w:p>
          <w:p w14:paraId="156FBF4E" w14:textId="228B3ABA" w:rsidR="00117085" w:rsidRPr="00B95533" w:rsidRDefault="00117085" w:rsidP="00117085">
            <w:pPr>
              <w:pStyle w:val="ExhibitFootnote"/>
              <w:numPr>
                <w:ilvl w:val="0"/>
                <w:numId w:val="36"/>
              </w:numPr>
              <w:rPr>
                <w:color w:val="auto"/>
              </w:rPr>
            </w:pPr>
            <w:r w:rsidRPr="00B95533">
              <w:rPr>
                <w:color w:val="auto"/>
                <w:lang w:val="en-US"/>
              </w:rPr>
              <w:t xml:space="preserve">The applications segment of the existing space firms is heavily </w:t>
            </w:r>
            <w:r w:rsidR="006E07C2" w:rsidRPr="00B95533">
              <w:rPr>
                <w:color w:val="auto"/>
                <w:lang w:val="en-US"/>
              </w:rPr>
              <w:t xml:space="preserve">comprised </w:t>
            </w:r>
            <w:r w:rsidR="00DF2EB3" w:rsidRPr="00B95533">
              <w:rPr>
                <w:color w:val="auto"/>
                <w:lang w:val="en-US"/>
              </w:rPr>
              <w:t>of</w:t>
            </w:r>
            <w:r w:rsidRPr="00B95533">
              <w:rPr>
                <w:color w:val="auto"/>
                <w:lang w:val="en-US"/>
              </w:rPr>
              <w:t xml:space="preserve"> subscription television, which we do not see as a large opportunity for future growth.</w:t>
            </w:r>
          </w:p>
          <w:p w14:paraId="7B0AD1AC" w14:textId="77777777" w:rsidR="00117085" w:rsidRPr="00B95533" w:rsidRDefault="00117085" w:rsidP="00117085">
            <w:pPr>
              <w:pStyle w:val="ExhibitFootnote"/>
              <w:numPr>
                <w:ilvl w:val="0"/>
                <w:numId w:val="36"/>
              </w:numPr>
              <w:rPr>
                <w:color w:val="auto"/>
              </w:rPr>
            </w:pPr>
            <w:r w:rsidRPr="00B95533">
              <w:rPr>
                <w:color w:val="auto"/>
                <w:lang w:val="en-US"/>
              </w:rPr>
              <w:t>Our industry analysis lends weight to high-technology and high-growth industry groups which are more evenly spread across the taxonomy.</w:t>
            </w:r>
          </w:p>
          <w:p w14:paraId="60F4C5BF" w14:textId="37721CD7" w:rsidR="005B1A67" w:rsidRPr="00CD6F37" w:rsidDel="0040486D" w:rsidRDefault="009364D2" w:rsidP="00117085">
            <w:pPr>
              <w:pStyle w:val="ExhibitFootnote"/>
            </w:pPr>
            <w:r w:rsidRPr="00B95533">
              <w:rPr>
                <w:color w:val="auto"/>
                <w:lang w:val="en-US"/>
              </w:rPr>
              <w:t>Sources</w:t>
            </w:r>
            <w:r w:rsidR="00117085" w:rsidRPr="00B95533">
              <w:rPr>
                <w:color w:val="auto"/>
                <w:lang w:val="en-US"/>
              </w:rPr>
              <w:t>: AlphaBeta analysis</w:t>
            </w:r>
            <w:r w:rsidRPr="00B95533">
              <w:rPr>
                <w:color w:val="auto"/>
                <w:lang w:val="en-US"/>
              </w:rPr>
              <w:t>;</w:t>
            </w:r>
            <w:r w:rsidR="00117085" w:rsidRPr="00B95533">
              <w:rPr>
                <w:color w:val="auto"/>
                <w:lang w:val="en-US"/>
              </w:rPr>
              <w:t xml:space="preserve"> </w:t>
            </w:r>
            <w:r w:rsidRPr="00B95533">
              <w:rPr>
                <w:color w:val="auto"/>
                <w:lang w:val="en-US"/>
              </w:rPr>
              <w:t>i</w:t>
            </w:r>
            <w:r w:rsidR="00117085" w:rsidRPr="00B95533">
              <w:rPr>
                <w:color w:val="auto"/>
                <w:lang w:val="en-US"/>
              </w:rPr>
              <w:t>llion data</w:t>
            </w:r>
            <w:r w:rsidRPr="00B95533">
              <w:rPr>
                <w:color w:val="auto"/>
                <w:lang w:val="en-US"/>
              </w:rPr>
              <w:t>.</w:t>
            </w:r>
          </w:p>
        </w:tc>
      </w:tr>
    </w:tbl>
    <w:p w14:paraId="72AD99E0" w14:textId="77777777" w:rsidR="0040486D" w:rsidRDefault="0040486D" w:rsidP="00812A4A">
      <w:pPr>
        <w:spacing w:after="120" w:line="240" w:lineRule="auto"/>
      </w:pPr>
    </w:p>
    <w:p w14:paraId="08F5253B" w14:textId="51A8D58E" w:rsidR="008538ED" w:rsidRDefault="00BD08DB" w:rsidP="0096512D">
      <w:pPr>
        <w:spacing w:before="0" w:after="120" w:line="240" w:lineRule="auto"/>
        <w:jc w:val="left"/>
      </w:pPr>
      <w:r>
        <w:t xml:space="preserve">In the manufacturing segment of the value chain, there are Australian firms in aerospace, electronic equipment, and metal production </w:t>
      </w:r>
      <w:r w:rsidR="00AA6B0C">
        <w:t>that</w:t>
      </w:r>
      <w:r>
        <w:t xml:space="preserve"> possess capabilities that overlap with space</w:t>
      </w:r>
      <w:r w:rsidR="00A30E29">
        <w:t xml:space="preserve"> and ground</w:t>
      </w:r>
      <w:r>
        <w:t xml:space="preserve"> manufacturing</w:t>
      </w:r>
      <w:r w:rsidR="00AA6B0C">
        <w:t>.</w:t>
      </w:r>
      <w:r w:rsidR="0096512D">
        <w:t xml:space="preserve"> </w:t>
      </w:r>
      <w:r w:rsidR="00AA6B0C">
        <w:t>I</w:t>
      </w:r>
      <w:r>
        <w:t>n the operations segment, example adjacent industries include computer system design, data processing, engineering design, and defence</w:t>
      </w:r>
      <w:r w:rsidR="00E9204A">
        <w:t xml:space="preserve"> (for example firms, see</w:t>
      </w:r>
      <w:r w:rsidR="005B2B4C">
        <w:t xml:space="preserve"> </w:t>
      </w:r>
      <w:r w:rsidR="005B2B4C" w:rsidRPr="007E7A00">
        <w:rPr>
          <w:b/>
          <w:bCs/>
        </w:rPr>
        <w:t>Exhibit 21</w:t>
      </w:r>
      <w:r w:rsidR="005B2B4C">
        <w:t>)</w:t>
      </w:r>
      <w:r>
        <w:t>.</w:t>
      </w:r>
      <w:r w:rsidR="0096512D">
        <w:t xml:space="preserve"> </w:t>
      </w:r>
      <w:r>
        <w:t>In the enablers segment, computer system design and engineering design are also plausible sources of new space firms, as well as scientific and analytical services.</w:t>
      </w:r>
      <w:r w:rsidR="0096512D">
        <w:t xml:space="preserve"> </w:t>
      </w:r>
      <w:r>
        <w:t xml:space="preserve">Finally, the broad range of </w:t>
      </w:r>
      <w:r w:rsidR="000364A9">
        <w:t>a</w:t>
      </w:r>
      <w:r>
        <w:t>ctivities relevant to the applications segment of the value chain presents a very rich set of adjacent industries, from computer system design, data processing, to professional services.</w:t>
      </w:r>
    </w:p>
    <w:p w14:paraId="3FA20FD7" w14:textId="77777777" w:rsidR="0036595A" w:rsidRDefault="0036595A" w:rsidP="0036595A">
      <w:pPr>
        <w:spacing w:after="120" w:line="240" w:lineRule="auto"/>
      </w:pPr>
      <w:r>
        <w:t>Of the firms who have been identified as possibly being suitable to participate in the space sector, the most common capabilities they have involve those related to the fields of engineering, design, and advanced manufacturing. Specific capabilities include precision machining and design, remote operation and automation, and machinery and component manufacturing.</w:t>
      </w:r>
    </w:p>
    <w:p w14:paraId="474688EA" w14:textId="454F6D9D" w:rsidR="001216AF" w:rsidRDefault="001216AF">
      <w:pPr>
        <w:spacing w:before="0" w:after="160"/>
        <w:jc w:val="left"/>
      </w:pPr>
      <w:r>
        <w:br w:type="page"/>
      </w:r>
    </w:p>
    <w:p w14:paraId="77FF62BB" w14:textId="4CDC9510" w:rsidR="000364A9" w:rsidRDefault="000364A9" w:rsidP="000364A9">
      <w:pPr>
        <w:pStyle w:val="Caption"/>
      </w:pPr>
      <w:r>
        <w:lastRenderedPageBreak/>
        <w:t>Case studies: Space-adjacent manufacturing firms entering the sector (space manufacturing)</w:t>
      </w:r>
      <w:r>
        <w:rPr>
          <w:rStyle w:val="FootnoteReference"/>
        </w:rPr>
        <w:footnoteReference w:id="44"/>
      </w:r>
    </w:p>
    <w:tbl>
      <w:tblPr>
        <w:tblStyle w:val="TableGrid"/>
        <w:tblW w:w="0" w:type="auto"/>
        <w:tblCellMar>
          <w:top w:w="284" w:type="dxa"/>
          <w:left w:w="284" w:type="dxa"/>
          <w:bottom w:w="284" w:type="dxa"/>
          <w:right w:w="284" w:type="dxa"/>
        </w:tblCellMar>
        <w:tblLook w:val="04A0" w:firstRow="1" w:lastRow="0" w:firstColumn="1" w:lastColumn="0" w:noHBand="0" w:noVBand="1"/>
        <w:tblDescription w:val="Layout table that contains two cells providing information on XTEK and HTA."/>
      </w:tblPr>
      <w:tblGrid>
        <w:gridCol w:w="4508"/>
        <w:gridCol w:w="4508"/>
      </w:tblGrid>
      <w:tr w:rsidR="001216AF" w14:paraId="2EEBB503" w14:textId="77777777" w:rsidTr="001216AF">
        <w:tc>
          <w:tcPr>
            <w:tcW w:w="4508" w:type="dxa"/>
          </w:tcPr>
          <w:p w14:paraId="5068F1BC" w14:textId="358A9426" w:rsidR="001216AF" w:rsidRDefault="001216AF" w:rsidP="001216AF">
            <w:pPr>
              <w:jc w:val="center"/>
              <w:rPr>
                <w:b/>
                <w:bCs/>
              </w:rPr>
            </w:pPr>
            <w:r>
              <w:rPr>
                <w:noProof/>
                <w:lang w:eastAsia="en-AU"/>
              </w:rPr>
              <w:drawing>
                <wp:inline distT="0" distB="0" distL="0" distR="0" wp14:anchorId="79A2C93B" wp14:editId="750ED571">
                  <wp:extent cx="1992702" cy="745395"/>
                  <wp:effectExtent l="0" t="0" r="7620" b="0"/>
                  <wp:docPr id="2" name="Picture 2" descr="XTEK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 XTE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9503" cy="796567"/>
                          </a:xfrm>
                          <a:prstGeom prst="rect">
                            <a:avLst/>
                          </a:prstGeom>
                          <a:noFill/>
                          <a:ln>
                            <a:noFill/>
                          </a:ln>
                        </pic:spPr>
                      </pic:pic>
                    </a:graphicData>
                  </a:graphic>
                </wp:inline>
              </w:drawing>
            </w:r>
          </w:p>
          <w:p w14:paraId="3C2B66F3" w14:textId="3DCB18AE" w:rsidR="001216AF" w:rsidRDefault="001216AF" w:rsidP="001216AF">
            <w:r w:rsidRPr="00E56F1B">
              <w:rPr>
                <w:b/>
                <w:bCs/>
              </w:rPr>
              <w:t>XTEK</w:t>
            </w:r>
            <w:r w:rsidRPr="00E56F1B">
              <w:t xml:space="preserve"> </w:t>
            </w:r>
            <w:r>
              <w:t>is an established manufacturer of ballistic armour and produce advanced composites manufacturing technology</w:t>
            </w:r>
            <w:r w:rsidRPr="00E43821">
              <w:rPr>
                <w:rFonts w:ascii="rawline" w:hAnsi="rawline"/>
                <w:color w:val="777777"/>
                <w:sz w:val="30"/>
                <w:szCs w:val="30"/>
              </w:rPr>
              <w:t xml:space="preserve"> </w:t>
            </w:r>
            <w:r w:rsidRPr="00F072C8">
              <w:t>for Defence Forces and Government agencies.</w:t>
            </w:r>
            <w:r>
              <w:t xml:space="preserve"> XTEK’s unique technical advantages positioned the firm well for space </w:t>
            </w:r>
            <w:r w:rsidRPr="004C5F8D">
              <w:t>applications, leading to the recent partnership with SkyKraft to deliver on a grant from the Australian Space Agency to design small satellites for low</w:t>
            </w:r>
            <w:r>
              <w:t xml:space="preserve"> Earth orbit and to research and develop Australia’s space technologies.</w:t>
            </w:r>
          </w:p>
        </w:tc>
        <w:tc>
          <w:tcPr>
            <w:tcW w:w="4508" w:type="dxa"/>
          </w:tcPr>
          <w:p w14:paraId="0279E089" w14:textId="77777777" w:rsidR="001216AF" w:rsidRDefault="001216AF" w:rsidP="001216AF">
            <w:pPr>
              <w:jc w:val="center"/>
            </w:pPr>
            <w:r>
              <w:rPr>
                <w:noProof/>
                <w:lang w:eastAsia="en-AU"/>
              </w:rPr>
              <w:drawing>
                <wp:inline distT="0" distB="0" distL="0" distR="0" wp14:anchorId="029F281D" wp14:editId="2ED29FA0">
                  <wp:extent cx="1993900" cy="744855"/>
                  <wp:effectExtent l="0" t="0" r="6350" b="0"/>
                  <wp:docPr id="4" name="Picture 4" descr="HTA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rospace - Victorian Defence Allianc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994400" cy="745042"/>
                          </a:xfrm>
                          <a:prstGeom prst="rect">
                            <a:avLst/>
                          </a:prstGeom>
                          <a:noFill/>
                          <a:ln>
                            <a:noFill/>
                          </a:ln>
                          <a:extLst>
                            <a:ext uri="{53640926-AAD7-44D8-BBD7-CCE9431645EC}">
                              <a14:shadowObscured xmlns:a14="http://schemas.microsoft.com/office/drawing/2010/main"/>
                            </a:ext>
                          </a:extLst>
                        </pic:spPr>
                      </pic:pic>
                    </a:graphicData>
                  </a:graphic>
                </wp:inline>
              </w:drawing>
            </w:r>
          </w:p>
          <w:p w14:paraId="68195556" w14:textId="23FA98C6" w:rsidR="001216AF" w:rsidRDefault="001216AF" w:rsidP="001216AF">
            <w:r w:rsidRPr="001216AF">
              <w:rPr>
                <w:b/>
              </w:rPr>
              <w:t>HTA</w:t>
            </w:r>
            <w:r w:rsidRPr="001216AF">
              <w:t xml:space="preserve"> has provided heat treatment processing services for the last 15 years, both in Australia and globally. Starting out as a heat treatment facility for aerospace and defense metal components, HTA is now also approved to treat space components, including approvals for SpaceX in Los Angeles, USA.</w:t>
            </w:r>
          </w:p>
        </w:tc>
      </w:tr>
    </w:tbl>
    <w:p w14:paraId="480A3B89" w14:textId="77777777" w:rsidR="00F774EE" w:rsidRDefault="00F774EE" w:rsidP="00982A05">
      <w:pPr>
        <w:spacing w:after="120" w:line="240" w:lineRule="auto"/>
      </w:pPr>
      <w:r>
        <w:br w:type="page"/>
      </w:r>
    </w:p>
    <w:p w14:paraId="1B7B8517" w14:textId="362AD668" w:rsidR="00982A05" w:rsidRDefault="00DE298E" w:rsidP="00982A05">
      <w:pPr>
        <w:spacing w:after="120" w:line="240" w:lineRule="auto"/>
      </w:pPr>
      <w:r w:rsidDel="0040486D">
        <w:lastRenderedPageBreak/>
        <w:fldChar w:fldCharType="begin"/>
      </w:r>
      <w:r w:rsidDel="0040486D">
        <w:fldChar w:fldCharType="end"/>
      </w:r>
      <w:r w:rsidR="008F065C" w:rsidRPr="000B38A1" w:rsidDel="0040486D">
        <w:fldChar w:fldCharType="begin"/>
      </w:r>
      <w:r w:rsidR="008F065C" w:rsidRPr="000B38A1" w:rsidDel="0040486D">
        <w:fldChar w:fldCharType="end"/>
      </w:r>
      <w:r w:rsidR="00982A05">
        <w:t>Of the over 4,000 firms identified as potential candidates to enter the space sector, we focused on 380 firms who appear to have the highest potential to transition into the space industry. This was based by their</w:t>
      </w:r>
      <w:r w:rsidR="00982A05" w:rsidRPr="00CA38DB">
        <w:t xml:space="preserve"> size (measured by revenue and employment), whether they were export active, and</w:t>
      </w:r>
      <w:r w:rsidR="00982A05">
        <w:t xml:space="preserve"> whether they clearly reported having space-relevant capabilities. </w:t>
      </w:r>
      <w:r w:rsidR="00982A05" w:rsidRPr="00692492">
        <w:t>The ten most common capabilities</w:t>
      </w:r>
      <w:r w:rsidR="00982A05">
        <w:t xml:space="preserve"> of these high-potential firms</w:t>
      </w:r>
      <w:r w:rsidR="00982A05" w:rsidRPr="00692492">
        <w:t xml:space="preserve"> illustrate the depth and diversity of firms that could participate in space</w:t>
      </w:r>
      <w:r w:rsidR="00982A05">
        <w:t xml:space="preserve"> </w:t>
      </w:r>
      <w:r w:rsidR="00982A05" w:rsidRPr="00CD4230">
        <w:rPr>
          <w:b/>
          <w:bCs/>
        </w:rPr>
        <w:t>(</w:t>
      </w:r>
      <w:r w:rsidR="00A453CB">
        <w:rPr>
          <w:b/>
          <w:bCs/>
        </w:rPr>
        <w:t>Exhibit 2</w:t>
      </w:r>
      <w:r w:rsidR="00190B44">
        <w:rPr>
          <w:b/>
          <w:bCs/>
        </w:rPr>
        <w:t>1</w:t>
      </w:r>
      <w:r w:rsidR="00982A05" w:rsidRPr="00F072C8">
        <w:rPr>
          <w:b/>
          <w:bCs/>
        </w:rPr>
        <w:t>).</w:t>
      </w:r>
    </w:p>
    <w:p w14:paraId="6CAD7F39" w14:textId="77777777" w:rsidR="00982A05" w:rsidRDefault="00982A05" w:rsidP="002528CC">
      <w:pPr>
        <w:spacing w:before="0" w:after="120" w:line="240" w:lineRule="auto"/>
        <w:jc w:val="left"/>
      </w:pPr>
    </w:p>
    <w:p w14:paraId="56F68C91" w14:textId="2FC932DB" w:rsidR="00A0115C" w:rsidRDefault="008F065C" w:rsidP="0072568F">
      <w:pPr>
        <w:pStyle w:val="Caption"/>
        <w:keepNext/>
        <w:rPr>
          <w:i/>
          <w:iCs w:val="0"/>
        </w:rPr>
      </w:pPr>
      <w:bookmarkStart w:id="167" w:name="_Ref46406793"/>
      <w:r>
        <w:t xml:space="preserve">Exhibit </w:t>
      </w:r>
      <w:r w:rsidR="00A453CB">
        <w:t>2</w:t>
      </w:r>
      <w:r w:rsidR="00190B44">
        <w:t>1</w:t>
      </w:r>
      <w:bookmarkEnd w:id="167"/>
      <w:r w:rsidR="00A0115C">
        <w:rPr>
          <w:i/>
        </w:rPr>
        <w:t xml:space="preserve">: </w:t>
      </w:r>
      <w:r w:rsidRPr="00A31B55">
        <w:rPr>
          <w:iCs w:val="0"/>
        </w:rPr>
        <w:t xml:space="preserve">Common </w:t>
      </w:r>
      <w:r w:rsidR="00A0115C" w:rsidRPr="00A31B55">
        <w:rPr>
          <w:iCs w:val="0"/>
        </w:rPr>
        <w:t xml:space="preserve">capabilities of firms </w:t>
      </w:r>
      <w:r w:rsidR="00AA0D44">
        <w:rPr>
          <w:iCs w:val="0"/>
        </w:rPr>
        <w:t>that</w:t>
      </w:r>
      <w:r w:rsidR="00AA0D44" w:rsidRPr="00A31B55">
        <w:rPr>
          <w:iCs w:val="0"/>
        </w:rPr>
        <w:t xml:space="preserve"> </w:t>
      </w:r>
      <w:r w:rsidR="00A0115C" w:rsidRPr="00A31B55">
        <w:rPr>
          <w:iCs w:val="0"/>
        </w:rPr>
        <w:t>have been identified as space-adjacent</w:t>
      </w:r>
    </w:p>
    <w:tbl>
      <w:tblPr>
        <w:tblStyle w:val="TableGrid"/>
        <w:tblW w:w="0" w:type="auto"/>
        <w:tblLook w:val="04A0" w:firstRow="1" w:lastRow="0" w:firstColumn="1" w:lastColumn="0" w:noHBand="0" w:noVBand="1"/>
        <w:tblCaption w:val="Common capabilities of firms that have been identified as space-adjacent"/>
        <w:tblDescription w:val="Most common capabilities of space adjacent firms include:&#10;Precision machining and design&#10;Remote operation and automation&#10;Machinery and component manufacturing&#10;R&amp;D manufacturing"/>
      </w:tblPr>
      <w:tblGrid>
        <w:gridCol w:w="9026"/>
      </w:tblGrid>
      <w:tr w:rsidR="002C4C37" w:rsidRPr="002C4C37" w14:paraId="595ECC36" w14:textId="77777777" w:rsidTr="0054118D">
        <w:trPr>
          <w:tblHeader/>
        </w:trPr>
        <w:tc>
          <w:tcPr>
            <w:tcW w:w="9016" w:type="dxa"/>
            <w:tcBorders>
              <w:left w:val="nil"/>
              <w:right w:val="nil"/>
            </w:tcBorders>
          </w:tcPr>
          <w:p w14:paraId="5B5858E3" w14:textId="7BC2FD49" w:rsidR="00A0115C" w:rsidRPr="002C4C37" w:rsidRDefault="002C4C37" w:rsidP="0072568F">
            <w:pPr>
              <w:keepNext/>
              <w:spacing w:after="120"/>
              <w:rPr>
                <w:i/>
                <w:iCs/>
              </w:rPr>
            </w:pPr>
            <w:r w:rsidRPr="002C4C37">
              <w:rPr>
                <w:i/>
                <w:iCs/>
                <w:noProof/>
                <w:lang w:eastAsia="en-AU"/>
              </w:rPr>
              <w:drawing>
                <wp:inline distT="0" distB="0" distL="0" distR="0" wp14:anchorId="2A49B0A7" wp14:editId="54949581">
                  <wp:extent cx="5664476" cy="2686290"/>
                  <wp:effectExtent l="0" t="0" r="0" b="0"/>
                  <wp:docPr id="308" name="Picture 308" descr="Most common capabilities of space adjacent firms include:&#10;Precision machining and design&#10;Remote operation and automation&#10;Machinery and component manufacturing&#10;R&amp;D manufacturing" title="Common capabilities of firms that have been identified as space-adja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6050" cy="2715491"/>
                          </a:xfrm>
                          <a:prstGeom prst="rect">
                            <a:avLst/>
                          </a:prstGeom>
                          <a:noFill/>
                        </pic:spPr>
                      </pic:pic>
                    </a:graphicData>
                  </a:graphic>
                </wp:inline>
              </w:drawing>
            </w:r>
          </w:p>
          <w:p w14:paraId="4B7B6F04" w14:textId="54B0D1BA" w:rsidR="00EA767A" w:rsidRPr="002C4C37" w:rsidRDefault="009364D2" w:rsidP="00EA767A">
            <w:pPr>
              <w:pStyle w:val="ExhibitFootnote"/>
              <w:rPr>
                <w:color w:val="auto"/>
              </w:rPr>
            </w:pPr>
            <w:r w:rsidRPr="002C4C37">
              <w:rPr>
                <w:color w:val="auto"/>
              </w:rPr>
              <w:t>Source</w:t>
            </w:r>
            <w:r w:rsidR="00EA767A" w:rsidRPr="002C4C37">
              <w:rPr>
                <w:color w:val="auto"/>
              </w:rPr>
              <w:t>: AlphaBeta analysis</w:t>
            </w:r>
            <w:r w:rsidRPr="002C4C37">
              <w:rPr>
                <w:color w:val="auto"/>
              </w:rPr>
              <w:t>.</w:t>
            </w:r>
          </w:p>
        </w:tc>
      </w:tr>
    </w:tbl>
    <w:p w14:paraId="0621A851" w14:textId="77777777" w:rsidR="000A6078" w:rsidRDefault="000A6078" w:rsidP="00A0115C">
      <w:pPr>
        <w:spacing w:after="120" w:line="240" w:lineRule="auto"/>
      </w:pPr>
    </w:p>
    <w:p w14:paraId="24CD12B4" w14:textId="08642D11" w:rsidR="00A0115C" w:rsidRPr="004C512D" w:rsidRDefault="00024F30" w:rsidP="00A0115C">
      <w:pPr>
        <w:spacing w:after="120" w:line="240" w:lineRule="auto"/>
      </w:pPr>
      <w:r>
        <w:t xml:space="preserve">By </w:t>
      </w:r>
      <w:r w:rsidR="00D877DF">
        <w:t>encouraging</w:t>
      </w:r>
      <w:r w:rsidR="006B0542">
        <w:t xml:space="preserve"> space-adjacent firms to expand their operations into the space</w:t>
      </w:r>
      <w:r w:rsidR="00176DA5">
        <w:t xml:space="preserve"> </w:t>
      </w:r>
      <w:r w:rsidR="006B0542">
        <w:t>sector</w:t>
      </w:r>
      <w:r>
        <w:t>, Australia</w:t>
      </w:r>
      <w:r w:rsidR="006B0542">
        <w:t xml:space="preserve"> will </w:t>
      </w:r>
      <w:r>
        <w:t>be able to</w:t>
      </w:r>
      <w:r w:rsidR="00D877DF">
        <w:t xml:space="preserve"> more</w:t>
      </w:r>
      <w:r>
        <w:t xml:space="preserve"> rapidly scale</w:t>
      </w:r>
      <w:r w:rsidR="00D877DF">
        <w:t xml:space="preserve"> its</w:t>
      </w:r>
      <w:r>
        <w:t xml:space="preserve"> local </w:t>
      </w:r>
      <w:r w:rsidR="00D877DF">
        <w:t xml:space="preserve">sector </w:t>
      </w:r>
      <w:r>
        <w:t>while providing a</w:t>
      </w:r>
      <w:r w:rsidR="006A3FEF">
        <w:t xml:space="preserve"> commercial</w:t>
      </w:r>
      <w:r>
        <w:t xml:space="preserve"> </w:t>
      </w:r>
      <w:r w:rsidR="00176DA5">
        <w:t>opportunity for these firms</w:t>
      </w:r>
      <w:r>
        <w:t xml:space="preserve"> to </w:t>
      </w:r>
      <w:r w:rsidR="00B60EA1">
        <w:t xml:space="preserve">develop </w:t>
      </w:r>
      <w:r w:rsidR="004E5A7A">
        <w:t>both their</w:t>
      </w:r>
      <w:r w:rsidR="00CD0763">
        <w:t xml:space="preserve"> domestic capabilities</w:t>
      </w:r>
      <w:r>
        <w:t xml:space="preserve"> and </w:t>
      </w:r>
      <w:r w:rsidR="00CD0763">
        <w:t>foreign partnerships.</w:t>
      </w:r>
    </w:p>
    <w:p w14:paraId="6A534A1F" w14:textId="77777777" w:rsidR="00FF58D2" w:rsidRDefault="00FF58D2">
      <w:pPr>
        <w:spacing w:before="0" w:after="160"/>
        <w:jc w:val="left"/>
        <w:rPr>
          <w:rFonts w:asciiTheme="majorHAnsi" w:eastAsiaTheme="majorEastAsia" w:hAnsiTheme="majorHAnsi" w:cstheme="majorHAnsi"/>
          <w:b/>
          <w:caps/>
          <w:color w:val="4CB8C1" w:themeColor="accent5"/>
          <w:sz w:val="40"/>
          <w:szCs w:val="44"/>
          <w:lang w:val="en-US"/>
        </w:rPr>
      </w:pPr>
      <w:r>
        <w:br w:type="page"/>
      </w:r>
    </w:p>
    <w:p w14:paraId="184F7316" w14:textId="0E0AA6AE" w:rsidR="00DF2966" w:rsidRDefault="00AB3DEA" w:rsidP="00BE78BF">
      <w:pPr>
        <w:pStyle w:val="Heading1"/>
      </w:pPr>
      <w:bookmarkStart w:id="168" w:name="_Toc46321713"/>
      <w:bookmarkStart w:id="169" w:name="_Toc49366202"/>
      <w:bookmarkStart w:id="170" w:name="_Toc62719136"/>
      <w:r>
        <w:rPr>
          <w:caps w:val="0"/>
        </w:rPr>
        <w:lastRenderedPageBreak/>
        <w:t xml:space="preserve">Government will continue to </w:t>
      </w:r>
      <w:r w:rsidRPr="00036720">
        <w:rPr>
          <w:caps w:val="0"/>
        </w:rPr>
        <w:t>play</w:t>
      </w:r>
      <w:r w:rsidR="00D73639">
        <w:t xml:space="preserve"> </w:t>
      </w:r>
      <w:r>
        <w:rPr>
          <w:caps w:val="0"/>
        </w:rPr>
        <w:t xml:space="preserve">a central role in stimulating </w:t>
      </w:r>
      <w:r w:rsidRPr="007D7659">
        <w:rPr>
          <w:caps w:val="0"/>
        </w:rPr>
        <w:t>and</w:t>
      </w:r>
      <w:r>
        <w:rPr>
          <w:caps w:val="0"/>
        </w:rPr>
        <w:t xml:space="preserve"> supporting</w:t>
      </w:r>
      <w:r w:rsidR="00EB1A85">
        <w:t xml:space="preserve"> </w:t>
      </w:r>
      <w:r>
        <w:rPr>
          <w:caps w:val="0"/>
        </w:rPr>
        <w:t>the increasingly commercial space sector</w:t>
      </w:r>
      <w:bookmarkEnd w:id="168"/>
      <w:bookmarkEnd w:id="169"/>
      <w:bookmarkEnd w:id="170"/>
    </w:p>
    <w:p w14:paraId="3AFED514" w14:textId="77777777" w:rsidR="00D73639" w:rsidRPr="00A31B55" w:rsidRDefault="00D84100" w:rsidP="00DC6603">
      <w:pPr>
        <w:pStyle w:val="ChapterSummary"/>
      </w:pPr>
      <w:r w:rsidRPr="00A31B55">
        <w:t xml:space="preserve">Despite the increasing </w:t>
      </w:r>
      <w:r w:rsidR="000952DC" w:rsidRPr="00A31B55">
        <w:t>number</w:t>
      </w:r>
      <w:r w:rsidRPr="00A31B55">
        <w:t xml:space="preserve"> of commercial actors in </w:t>
      </w:r>
      <w:r w:rsidR="007B3242" w:rsidRPr="00A31B55">
        <w:t xml:space="preserve">the space industry, Government continues to play a central role in </w:t>
      </w:r>
      <w:r w:rsidR="00953988">
        <w:t>driving</w:t>
      </w:r>
      <w:r w:rsidR="00953988" w:rsidRPr="00A31B55">
        <w:t xml:space="preserve"> </w:t>
      </w:r>
      <w:r w:rsidR="007B3242" w:rsidRPr="00A31B55">
        <w:t xml:space="preserve">both </w:t>
      </w:r>
      <w:r w:rsidR="0013040C" w:rsidRPr="00A31B55">
        <w:t xml:space="preserve">civil and defence space </w:t>
      </w:r>
      <w:r w:rsidR="00953988">
        <w:t>activity</w:t>
      </w:r>
      <w:r w:rsidR="000952DC" w:rsidRPr="00A31B55">
        <w:t xml:space="preserve">. Government </w:t>
      </w:r>
      <w:r w:rsidR="001E7872" w:rsidRPr="00A31B55">
        <w:t>support enables</w:t>
      </w:r>
      <w:r w:rsidR="00474866" w:rsidRPr="00A31B55">
        <w:t xml:space="preserve"> </w:t>
      </w:r>
      <w:r w:rsidR="001E7872" w:rsidRPr="00A31B55">
        <w:t xml:space="preserve">Australian firms to </w:t>
      </w:r>
      <w:r w:rsidR="0013040C" w:rsidRPr="00A31B55">
        <w:t xml:space="preserve">demonstrate </w:t>
      </w:r>
      <w:r w:rsidR="00474866" w:rsidRPr="00A31B55">
        <w:t xml:space="preserve">the </w:t>
      </w:r>
      <w:r w:rsidR="0013040C" w:rsidRPr="00A31B55">
        <w:t>space capabilit</w:t>
      </w:r>
      <w:r w:rsidR="00474866" w:rsidRPr="00A31B55">
        <w:t>ies</w:t>
      </w:r>
      <w:r w:rsidR="0013040C" w:rsidRPr="00A31B55">
        <w:t xml:space="preserve"> needed to enter competitive </w:t>
      </w:r>
      <w:r w:rsidR="00953988">
        <w:t xml:space="preserve">global </w:t>
      </w:r>
      <w:r w:rsidR="0013040C" w:rsidRPr="00A31B55">
        <w:t>commercial supply chains</w:t>
      </w:r>
      <w:r w:rsidR="001E7872" w:rsidRPr="00A31B55">
        <w:t xml:space="preserve"> while providing support for </w:t>
      </w:r>
      <w:r w:rsidR="00C9616F" w:rsidRPr="00A31B55">
        <w:t xml:space="preserve">the sector to develop and become self-sustainable. </w:t>
      </w:r>
      <w:r w:rsidR="0013040C" w:rsidRPr="00A31B55">
        <w:t xml:space="preserve">This chapter outlines </w:t>
      </w:r>
      <w:r w:rsidR="001A42D6" w:rsidRPr="00A31B55">
        <w:t>three</w:t>
      </w:r>
      <w:r w:rsidR="0013040C" w:rsidRPr="00A31B55" w:rsidDel="001A42D6">
        <w:t xml:space="preserve"> </w:t>
      </w:r>
      <w:r w:rsidR="009161E3" w:rsidRPr="00A31B55">
        <w:t xml:space="preserve">factors which are </w:t>
      </w:r>
      <w:r w:rsidR="000B61B3" w:rsidRPr="00A31B55">
        <w:t>critical to helping Australia’s</w:t>
      </w:r>
      <w:r w:rsidR="0013040C" w:rsidRPr="00A31B55">
        <w:t xml:space="preserve"> space sector grow: </w:t>
      </w:r>
    </w:p>
    <w:p w14:paraId="5D41420C" w14:textId="5258B95A" w:rsidR="00B51288" w:rsidRPr="009161E3" w:rsidRDefault="00B51288" w:rsidP="00EF568A">
      <w:pPr>
        <w:pStyle w:val="ChapterSummary"/>
        <w:spacing w:after="120"/>
        <w:ind w:left="720"/>
      </w:pPr>
      <w:r w:rsidRPr="009161E3">
        <w:t xml:space="preserve">1. </w:t>
      </w:r>
      <w:r w:rsidR="00EA14CF">
        <w:t xml:space="preserve">Government partnership and </w:t>
      </w:r>
      <w:r w:rsidR="00E772E6">
        <w:t>facilitation</w:t>
      </w:r>
      <w:r w:rsidR="00361973">
        <w:t xml:space="preserve"> and </w:t>
      </w:r>
      <w:r w:rsidR="00E772E6">
        <w:t>s</w:t>
      </w:r>
      <w:r w:rsidRPr="009161E3">
        <w:t>upport</w:t>
      </w:r>
      <w:r w:rsidR="000B61B3">
        <w:t>ing</w:t>
      </w:r>
      <w:r w:rsidRPr="009161E3">
        <w:t xml:space="preserve"> major infrastructure projects</w:t>
      </w:r>
      <w:r w:rsidR="009F32E3">
        <w:t xml:space="preserve"> </w:t>
      </w:r>
    </w:p>
    <w:p w14:paraId="2B8FA1C6" w14:textId="77777777" w:rsidR="00B51288" w:rsidRPr="009161E3" w:rsidRDefault="00B51288" w:rsidP="00EF568A">
      <w:pPr>
        <w:pStyle w:val="ChapterSummary"/>
        <w:spacing w:after="120"/>
        <w:ind w:left="720"/>
      </w:pPr>
      <w:r w:rsidRPr="009161E3">
        <w:t>2. Reduc</w:t>
      </w:r>
      <w:r w:rsidR="000B61B3">
        <w:t>ing</w:t>
      </w:r>
      <w:r w:rsidRPr="009161E3">
        <w:t xml:space="preserve"> barriers to entry through innovative regulatory and standards frameworks</w:t>
      </w:r>
    </w:p>
    <w:p w14:paraId="403DF37C" w14:textId="77777777" w:rsidR="00B51288" w:rsidRPr="009161E3" w:rsidRDefault="00B51288" w:rsidP="00EF568A">
      <w:pPr>
        <w:pStyle w:val="ChapterSummary"/>
        <w:spacing w:after="120"/>
        <w:ind w:left="720"/>
      </w:pPr>
      <w:r w:rsidRPr="009161E3">
        <w:t>3. Develop</w:t>
      </w:r>
      <w:r w:rsidR="000B61B3">
        <w:t>ing</w:t>
      </w:r>
      <w:r w:rsidRPr="009161E3">
        <w:t xml:space="preserve"> regular and robust measurements to improve sector visibility</w:t>
      </w:r>
    </w:p>
    <w:p w14:paraId="23B2AB9F" w14:textId="40E253E0" w:rsidR="00EB1A85" w:rsidRDefault="00EB1A85" w:rsidP="00BE78BF">
      <w:pPr>
        <w:pStyle w:val="Heading2"/>
      </w:pPr>
      <w:bookmarkStart w:id="171" w:name="_Toc46321714"/>
      <w:bookmarkStart w:id="172" w:name="_Toc49366203"/>
      <w:bookmarkStart w:id="173" w:name="_Toc62719137"/>
      <w:r>
        <w:t xml:space="preserve">Major </w:t>
      </w:r>
      <w:r w:rsidRPr="007D7659">
        <w:t>infrastructure</w:t>
      </w:r>
      <w:r>
        <w:t xml:space="preserve"> projects </w:t>
      </w:r>
      <w:r w:rsidR="00635E35">
        <w:t xml:space="preserve">and </w:t>
      </w:r>
      <w:r w:rsidR="00CA0453">
        <w:t>government facilitation</w:t>
      </w:r>
      <w:r w:rsidR="00635E35">
        <w:t xml:space="preserve"> </w:t>
      </w:r>
      <w:r w:rsidR="00F774EE">
        <w:t>can</w:t>
      </w:r>
      <w:r>
        <w:t xml:space="preserve"> driv</w:t>
      </w:r>
      <w:r w:rsidR="00F774EE">
        <w:t>e</w:t>
      </w:r>
      <w:r>
        <w:t xml:space="preserve"> local innovation and developing supplier capabilities</w:t>
      </w:r>
      <w:bookmarkEnd w:id="171"/>
      <w:bookmarkEnd w:id="172"/>
      <w:bookmarkEnd w:id="173"/>
    </w:p>
    <w:p w14:paraId="7AF59235" w14:textId="0A2C0CA4" w:rsidR="005D4DAF" w:rsidRDefault="00F33A4B" w:rsidP="005D4DAF">
      <w:pPr>
        <w:spacing w:after="120"/>
      </w:pPr>
      <w:r>
        <w:t xml:space="preserve">The role of government </w:t>
      </w:r>
      <w:r w:rsidR="00BD1C6F">
        <w:t xml:space="preserve">as a </w:t>
      </w:r>
      <w:r>
        <w:t>partner and facilitat</w:t>
      </w:r>
      <w:r w:rsidR="00BD1C6F">
        <w:t>or</w:t>
      </w:r>
      <w:r>
        <w:t xml:space="preserve"> is an important factor in driving local innovation and capability development of the sector. </w:t>
      </w:r>
      <w:r w:rsidR="005D4DAF">
        <w:t>As part of the ‘open doors’ priority, the Australian Space Agency is leading international collaboration through international partnerships for industry and research. This has included attending several international forums such as the UN Committee on the Peaceful Use of Space, and:</w:t>
      </w:r>
    </w:p>
    <w:p w14:paraId="39F702EA" w14:textId="77777777" w:rsidR="005D4DAF" w:rsidRPr="00C91A14" w:rsidRDefault="005D4DAF" w:rsidP="001227BF">
      <w:pPr>
        <w:pStyle w:val="Bullet-square"/>
      </w:pPr>
      <w:r w:rsidRPr="00C91A14">
        <w:t>Entering five memorandums of understanding with foreign governments,</w:t>
      </w:r>
    </w:p>
    <w:p w14:paraId="54378C6B" w14:textId="77777777" w:rsidR="005D4DAF" w:rsidRPr="00C91A14" w:rsidRDefault="005D4DAF" w:rsidP="00C91A14">
      <w:pPr>
        <w:pStyle w:val="Bullet-square"/>
      </w:pPr>
      <w:r w:rsidRPr="00C91A14">
        <w:t>Formalising strategic partnerships with NASA, ESA, the German Space Agency (DLR), and the New Zealand Ministry of Business, Innovation and Employment, and</w:t>
      </w:r>
    </w:p>
    <w:p w14:paraId="7212D4A9" w14:textId="77777777" w:rsidR="005D4DAF" w:rsidRPr="00C91A14" w:rsidRDefault="005D4DAF" w:rsidP="00C91A14">
      <w:pPr>
        <w:pStyle w:val="Bullet-square"/>
      </w:pPr>
      <w:r w:rsidRPr="00C91A14">
        <w:t>Engaging on five UN space treaties.</w:t>
      </w:r>
      <w:r w:rsidRPr="00C91A14">
        <w:rPr>
          <w:rStyle w:val="FootnoteReference"/>
          <w:vertAlign w:val="baseline"/>
        </w:rPr>
        <w:footnoteReference w:id="45"/>
      </w:r>
      <w:r w:rsidRPr="00C91A14">
        <w:t xml:space="preserve"> </w:t>
      </w:r>
    </w:p>
    <w:p w14:paraId="577557E5" w14:textId="110D5B46" w:rsidR="005D4DAF" w:rsidRDefault="005D4DAF" w:rsidP="005D4DAF">
      <w:r>
        <w:t>These partnerships enable programs like the Australian Government’s Moon to Mars initiative, which provides a total of $150 million to</w:t>
      </w:r>
      <w:r w:rsidR="0052769C">
        <w:t xml:space="preserve"> Australian</w:t>
      </w:r>
      <w:r>
        <w:t xml:space="preserve"> business and research projects that can support NASA’s Artemis mission to the Moon and subsequent missions to Mars. The growing network of collaborations and support from government will create an environment that can foster and inspire new space-related ventures. Part of the Moon to Mars initiative is the Trailblazer Program which will be the initiative’s flagship aimed at inspiring Australians with a major space exploration program.  </w:t>
      </w:r>
    </w:p>
    <w:p w14:paraId="6063A63E" w14:textId="3D08E8D3" w:rsidR="00F774EE" w:rsidRDefault="005A3537" w:rsidP="005D78CB">
      <w:pPr>
        <w:spacing w:after="120"/>
      </w:pPr>
      <w:r>
        <w:t>Large mission</w:t>
      </w:r>
      <w:r w:rsidR="00906973">
        <w:t>-</w:t>
      </w:r>
      <w:r>
        <w:t xml:space="preserve">driven projects are key for scaling the local space sector. </w:t>
      </w:r>
      <w:r w:rsidR="00991336">
        <w:t>Government</w:t>
      </w:r>
      <w:r w:rsidR="00941595" w:rsidRPr="006A16BE">
        <w:t xml:space="preserve"> </w:t>
      </w:r>
      <w:r w:rsidR="009F5B3B" w:rsidRPr="006A16BE">
        <w:t>is both a major customer</w:t>
      </w:r>
      <w:r w:rsidR="00421B44" w:rsidRPr="006A16BE">
        <w:t>, employer,</w:t>
      </w:r>
      <w:r w:rsidR="009F5B3B" w:rsidRPr="006A16BE">
        <w:t xml:space="preserve"> and policy</w:t>
      </w:r>
      <w:r w:rsidR="00317F8D">
        <w:t xml:space="preserve"> </w:t>
      </w:r>
      <w:r w:rsidR="009F5B3B" w:rsidRPr="006A16BE">
        <w:t xml:space="preserve">maker and can thereby exert substantial influence over the sector’s </w:t>
      </w:r>
      <w:r w:rsidR="009F5B3B" w:rsidRPr="006A16BE">
        <w:lastRenderedPageBreak/>
        <w:t xml:space="preserve">growth trajectory. </w:t>
      </w:r>
      <w:r w:rsidR="00991336">
        <w:t xml:space="preserve">As a customer and employer, </w:t>
      </w:r>
      <w:r w:rsidR="00941595" w:rsidRPr="006A16BE">
        <w:t xml:space="preserve">Government </w:t>
      </w:r>
      <w:r w:rsidR="005308F5" w:rsidRPr="006A16BE">
        <w:t xml:space="preserve">can </w:t>
      </w:r>
      <w:r w:rsidR="00417675">
        <w:t xml:space="preserve">help </w:t>
      </w:r>
      <w:r w:rsidR="005308F5" w:rsidRPr="006A16BE">
        <w:t>drive demand and stimulate the local space value chain</w:t>
      </w:r>
      <w:r w:rsidR="00421B44" w:rsidRPr="006A16BE">
        <w:t xml:space="preserve"> by purchasing goods and services from the local sector</w:t>
      </w:r>
      <w:r w:rsidR="005308F5" w:rsidRPr="006A16BE">
        <w:t xml:space="preserve">. </w:t>
      </w:r>
    </w:p>
    <w:p w14:paraId="186EC8DB" w14:textId="2850FDBD" w:rsidR="005D78CB" w:rsidRDefault="00625457" w:rsidP="005D78CB">
      <w:pPr>
        <w:spacing w:after="120"/>
      </w:pPr>
      <w:r>
        <w:t>M</w:t>
      </w:r>
      <w:r w:rsidR="000D7ED1" w:rsidRPr="006A16BE">
        <w:t xml:space="preserve">ajor </w:t>
      </w:r>
      <w:r w:rsidR="006C1488">
        <w:t xml:space="preserve">Government-supported </w:t>
      </w:r>
      <w:r w:rsidR="000D7ED1" w:rsidRPr="006A16BE">
        <w:t xml:space="preserve">projects can provide nascent Australian </w:t>
      </w:r>
      <w:r w:rsidR="00F774EE">
        <w:t>firms</w:t>
      </w:r>
      <w:r w:rsidR="00F774EE" w:rsidRPr="006A16BE">
        <w:t xml:space="preserve"> </w:t>
      </w:r>
      <w:r w:rsidR="000D7ED1" w:rsidRPr="006A16BE">
        <w:t xml:space="preserve">with the confidence to scale their operations. </w:t>
      </w:r>
      <w:r w:rsidR="005D78CB">
        <w:t xml:space="preserve">For example, the construction of the ambitious SKA project in remote Western Australia is set to drive local innovation in telescope construction, energy infrastructure astronomy, data storage, basic research, and analytics over its 50-year lifetime. Australia is co-hosting the SKA (with South Africa) in large part due to support from the Australian Government, </w:t>
      </w:r>
      <w:r w:rsidR="00C0688B">
        <w:t>which is</w:t>
      </w:r>
      <w:r w:rsidR="005D78CB">
        <w:t xml:space="preserve"> investing nearly </w:t>
      </w:r>
      <w:r w:rsidR="005D78CB" w:rsidRPr="00D2779C">
        <w:t xml:space="preserve">$300 million to construct this globally </w:t>
      </w:r>
      <w:r w:rsidR="0012651F" w:rsidRPr="00D2779C">
        <w:t>significant project</w:t>
      </w:r>
      <w:r w:rsidR="005D78CB" w:rsidRPr="00D2779C">
        <w:t>.</w:t>
      </w:r>
      <w:r w:rsidR="00433AED" w:rsidRPr="00332308">
        <w:rPr>
          <w:rStyle w:val="FootnoteReference"/>
        </w:rPr>
        <w:footnoteReference w:id="46"/>
      </w:r>
    </w:p>
    <w:p w14:paraId="674B7EE7" w14:textId="20E3265B" w:rsidR="004A750D" w:rsidRDefault="00403514" w:rsidP="00403514">
      <w:r w:rsidRPr="00897815">
        <w:t xml:space="preserve">Government procurement </w:t>
      </w:r>
      <w:r w:rsidR="00375670">
        <w:t>is</w:t>
      </w:r>
      <w:r>
        <w:t xml:space="preserve"> critical</w:t>
      </w:r>
      <w:r w:rsidRPr="00897815">
        <w:t xml:space="preserve"> </w:t>
      </w:r>
      <w:r w:rsidR="00375670">
        <w:t xml:space="preserve">in </w:t>
      </w:r>
      <w:r w:rsidRPr="00897815">
        <w:t>developing domestic firm</w:t>
      </w:r>
      <w:r>
        <w:t xml:space="preserve"> capability, especially where it created a ‘first’ or ‘strategic</w:t>
      </w:r>
      <w:r w:rsidR="00375670">
        <w:t>’</w:t>
      </w:r>
      <w:r>
        <w:t xml:space="preserve"> </w:t>
      </w:r>
      <w:r w:rsidRPr="000F2CB3">
        <w:t xml:space="preserve">customer for small, innovative firms. Existing small and medium firms in the space sector in Australia reported they are largely self-funded by customer contracts, rather than debt or equity financing. </w:t>
      </w:r>
      <w:r w:rsidR="004A750D" w:rsidRPr="000F2CB3">
        <w:t>This is a common issue for Australian small businesses, with one in five reporting that it was relatively difficult for them to access finance in 2018.</w:t>
      </w:r>
      <w:r w:rsidR="004A750D" w:rsidRPr="000F2CB3">
        <w:rPr>
          <w:rStyle w:val="FootnoteReference"/>
        </w:rPr>
        <w:footnoteReference w:id="47"/>
      </w:r>
      <w:r w:rsidR="004A750D" w:rsidRPr="000F2CB3">
        <w:t xml:space="preserve"> Australia invests only two-thirds the venture capital of OECD peers.</w:t>
      </w:r>
      <w:r w:rsidR="004A750D" w:rsidRPr="000F2CB3">
        <w:rPr>
          <w:rStyle w:val="FootnoteReference"/>
        </w:rPr>
        <w:footnoteReference w:id="48"/>
      </w:r>
    </w:p>
    <w:p w14:paraId="6D1C4815" w14:textId="07ED8F8F" w:rsidR="00403514" w:rsidRDefault="002A3947" w:rsidP="00403514">
      <w:r>
        <w:t>For small and medium space businesses, t</w:t>
      </w:r>
      <w:r w:rsidR="00403514">
        <w:t xml:space="preserve">he dearth of larger local customers or projects </w:t>
      </w:r>
      <w:r>
        <w:t xml:space="preserve">is </w:t>
      </w:r>
      <w:r w:rsidR="00403514">
        <w:t xml:space="preserve">a dampener on growth. </w:t>
      </w:r>
      <w:r w:rsidR="00F774EE">
        <w:t>Smaller innovative firms interviewed for the report noted that governments commissioning new capabilities, such as geospatial assets or analy</w:t>
      </w:r>
      <w:r w:rsidR="00747E91">
        <w:t>sis,</w:t>
      </w:r>
      <w:r w:rsidR="00F774EE">
        <w:t xml:space="preserve"> can be important </w:t>
      </w:r>
      <w:r w:rsidR="00747E91">
        <w:t>first or</w:t>
      </w:r>
      <w:r w:rsidR="00403514">
        <w:t xml:space="preserve"> major </w:t>
      </w:r>
      <w:r w:rsidR="00747E91">
        <w:t>customers for innovative new products</w:t>
      </w:r>
      <w:r w:rsidR="003E6C13">
        <w:t>.</w:t>
      </w:r>
    </w:p>
    <w:p w14:paraId="71063541" w14:textId="22343470" w:rsidR="00D477C2" w:rsidRDefault="00894183" w:rsidP="00516F4C">
      <w:pPr>
        <w:spacing w:after="120"/>
      </w:pPr>
      <w:r>
        <w:t xml:space="preserve">Government can also nurture the local space ecosystem </w:t>
      </w:r>
      <w:r w:rsidR="00F06793">
        <w:t>by</w:t>
      </w:r>
      <w:r>
        <w:t xml:space="preserve"> investing in key pieces of infrastructure that boost local firm capability as well as attract foreign firms and foreign investment. </w:t>
      </w:r>
      <w:r w:rsidR="00FD5D16">
        <w:t xml:space="preserve">The Australian </w:t>
      </w:r>
      <w:r w:rsidR="00D44C04">
        <w:t xml:space="preserve">Government has already committed to several infrastructure initiatives. For example, it launched the Space Infrastructure Fund, worth $19.5 million, to develop critical Australian capabilities across the space value chain. The fund will include projects to develop future space manufacturing facilities, data analysis facilities, robotics and AI technology development, and testing facilities for SMEs and researchers. Government committed </w:t>
      </w:r>
      <w:r w:rsidR="00CB6FC8">
        <w:t xml:space="preserve">over </w:t>
      </w:r>
      <w:r w:rsidR="00D44C04">
        <w:t>$260 million in 2018 to improving Australian satellite-based positioning infrastructure, including setting up the National Position</w:t>
      </w:r>
      <w:r w:rsidR="00430BAF">
        <w:t>ing</w:t>
      </w:r>
      <w:r w:rsidR="00D44C04">
        <w:t xml:space="preserve"> Infrastructure Capability (NPIC) which will see GPS accuracy narrow to within three centimetres in Australia.</w:t>
      </w:r>
      <w:r w:rsidR="002A3947">
        <w:rPr>
          <w:rStyle w:val="FootnoteReference"/>
        </w:rPr>
        <w:footnoteReference w:id="49"/>
      </w:r>
      <w:r w:rsidR="00D44C04">
        <w:t xml:space="preserve"> </w:t>
      </w:r>
    </w:p>
    <w:p w14:paraId="1AEDF19F" w14:textId="4FDE0B3E" w:rsidR="009345F0" w:rsidRDefault="009345F0" w:rsidP="00516F4C">
      <w:pPr>
        <w:spacing w:after="120"/>
      </w:pPr>
      <w:r>
        <w:t xml:space="preserve">The space sector also has a central role to play in national defence. The Department of Defence </w:t>
      </w:r>
      <w:r w:rsidR="00995750">
        <w:t>will invest $7 billion in improving its space capabilities over the next decade, including</w:t>
      </w:r>
      <w:r w:rsidR="00581542">
        <w:t xml:space="preserve"> $50 million in space research and innovation activities, focusing on new and emerging technologies to create greater Australian industry capacity.</w:t>
      </w:r>
      <w:r w:rsidR="00581542">
        <w:rPr>
          <w:rStyle w:val="FootnoteReference"/>
        </w:rPr>
        <w:footnoteReference w:id="50"/>
      </w:r>
    </w:p>
    <w:p w14:paraId="1635E08C" w14:textId="7715A4A0" w:rsidR="00FB06E2" w:rsidRDefault="002162C1" w:rsidP="00516F4C">
      <w:pPr>
        <w:spacing w:after="120"/>
      </w:pPr>
      <w:r>
        <w:t xml:space="preserve">After the establishment of these signature pieces of space-related infrastructure, local firms are well positioned to take advantage of </w:t>
      </w:r>
      <w:r w:rsidR="00005160">
        <w:t xml:space="preserve">these projects through their future business and investment </w:t>
      </w:r>
      <w:r w:rsidR="00005160">
        <w:lastRenderedPageBreak/>
        <w:t>decisions.</w:t>
      </w:r>
      <w:r w:rsidR="00D477C2">
        <w:t xml:space="preserve"> This is further supported by the Australian Space Agency’s International Space Investment initiative - committing $15 million to projects that grow the Australian space </w:t>
      </w:r>
      <w:r w:rsidR="00DD3BF9">
        <w:t>industry</w:t>
      </w:r>
      <w:r w:rsidR="00D477C2">
        <w:t xml:space="preserve"> and </w:t>
      </w:r>
      <w:r w:rsidR="00DD3BF9" w:rsidRPr="00DD3BF9">
        <w:t>target at least 80</w:t>
      </w:r>
      <w:r w:rsidR="00107A7D">
        <w:t xml:space="preserve"> per cent</w:t>
      </w:r>
      <w:r w:rsidR="00107A7D" w:rsidRPr="00DD3BF9">
        <w:t xml:space="preserve"> </w:t>
      </w:r>
      <w:r w:rsidR="00DD3BF9" w:rsidRPr="00DD3BF9">
        <w:t>Australian investment</w:t>
      </w:r>
      <w:r w:rsidR="001A00CF">
        <w:t>.</w:t>
      </w:r>
      <w:r w:rsidR="00A3768C" w:rsidRPr="00A3768C">
        <w:t xml:space="preserve"> </w:t>
      </w:r>
      <w:r w:rsidR="00A3768C">
        <w:t>The Australian Space Agency is also developing roadmaps for each priority area in consultation with the sector (including other government agencies) to build on competitive strengths by identifying strategic investment opportunities.</w:t>
      </w:r>
    </w:p>
    <w:p w14:paraId="2BF41DEC" w14:textId="49E3EF48" w:rsidR="00F8175E" w:rsidRDefault="00F8175E" w:rsidP="00516F4C">
      <w:pPr>
        <w:spacing w:after="120"/>
      </w:pPr>
      <w:r w:rsidRPr="006A16BE">
        <w:t>As a policy</w:t>
      </w:r>
      <w:r w:rsidR="007D2514">
        <w:t xml:space="preserve"> </w:t>
      </w:r>
      <w:r w:rsidRPr="006A16BE">
        <w:t>maker, Government can help boost the inputs needed by the sector, such as access to skilled workers, access to finance, and a suitable regulatory framework. This can be done both at the federal and state-level, with key states already developing space strategies. For example, NSW and Queensland both recently released 2020 strategies, aiming to both strengthen and grow their local industry.</w:t>
      </w:r>
      <w:r w:rsidR="002538FB">
        <w:t xml:space="preserve"> States and territories are heavily investing in STEM education programs, across the education sector,</w:t>
      </w:r>
      <w:r w:rsidR="002538FB" w:rsidRPr="00B4090D">
        <w:t xml:space="preserve"> </w:t>
      </w:r>
      <w:r w:rsidR="002538FB">
        <w:t>to develop a skilled workforce and provide employment pathways to the space industry.</w:t>
      </w:r>
      <w:r w:rsidR="009D3C2B">
        <w:rPr>
          <w:rStyle w:val="FootnoteReference"/>
        </w:rPr>
        <w:footnoteReference w:id="51"/>
      </w:r>
      <w:r w:rsidR="002538FB">
        <w:t xml:space="preserve"> These investments help signal long-term, national commitment to space-based technologies and help attract investors and firms.</w:t>
      </w:r>
      <w:r w:rsidR="00E05F59">
        <w:t xml:space="preserve"> The Australian Government’s Modern Manufacturing Strategy is a contemporary example of policy that seeks to support and stimulate the space sector. </w:t>
      </w:r>
    </w:p>
    <w:p w14:paraId="67EDCF79" w14:textId="1C1DFE82" w:rsidR="00EB1A85" w:rsidRPr="007E7A00" w:rsidRDefault="00EB1A85" w:rsidP="00BE78BF">
      <w:pPr>
        <w:pStyle w:val="Heading2"/>
      </w:pPr>
      <w:bookmarkStart w:id="174" w:name="_Toc46321715"/>
      <w:bookmarkStart w:id="175" w:name="_Toc49366204"/>
      <w:bookmarkStart w:id="176" w:name="_Toc62719138"/>
      <w:r w:rsidRPr="007E7A00">
        <w:t>Government is working to</w:t>
      </w:r>
      <w:r w:rsidR="00123913" w:rsidRPr="007E7A00">
        <w:t xml:space="preserve"> encourage innovation throu</w:t>
      </w:r>
      <w:r w:rsidRPr="007E7A00">
        <w:t xml:space="preserve">gh </w:t>
      </w:r>
      <w:r w:rsidR="00123913" w:rsidRPr="007E7A00">
        <w:t xml:space="preserve">creating a safe and certain </w:t>
      </w:r>
      <w:r w:rsidRPr="007D7659">
        <w:t>regulatory</w:t>
      </w:r>
      <w:r w:rsidRPr="007E7A00">
        <w:t xml:space="preserve"> </w:t>
      </w:r>
      <w:bookmarkEnd w:id="174"/>
      <w:r w:rsidR="00123913" w:rsidRPr="007E7A00">
        <w:t>environment</w:t>
      </w:r>
      <w:bookmarkEnd w:id="175"/>
      <w:bookmarkEnd w:id="176"/>
      <w:r w:rsidR="00123913" w:rsidRPr="007E7A00">
        <w:t xml:space="preserve"> </w:t>
      </w:r>
    </w:p>
    <w:p w14:paraId="293D3564" w14:textId="09FDF21C" w:rsidR="00123913" w:rsidRPr="00123913" w:rsidRDefault="00A65377" w:rsidP="00123913">
      <w:pPr>
        <w:spacing w:after="120"/>
        <w:rPr>
          <w:rFonts w:eastAsia="Times New Roman"/>
        </w:rPr>
      </w:pPr>
      <w:r>
        <w:rPr>
          <w:rFonts w:eastAsia="Times New Roman"/>
        </w:rPr>
        <w:t>Australian Government agencies</w:t>
      </w:r>
      <w:r w:rsidR="00123913" w:rsidRPr="00123913">
        <w:rPr>
          <w:rFonts w:eastAsia="Times New Roman"/>
        </w:rPr>
        <w:t xml:space="preserve"> have developed and implemented a range of new activities and investments to leverage</w:t>
      </w:r>
      <w:r w:rsidR="00123913">
        <w:rPr>
          <w:rFonts w:eastAsia="Times New Roman"/>
        </w:rPr>
        <w:t xml:space="preserve"> opportunities and help support</w:t>
      </w:r>
      <w:r w:rsidR="00123913" w:rsidRPr="00123913">
        <w:rPr>
          <w:rFonts w:eastAsia="Times New Roman"/>
        </w:rPr>
        <w:t xml:space="preserve"> the industry through:</w:t>
      </w:r>
    </w:p>
    <w:p w14:paraId="30D34D6D" w14:textId="002401C4" w:rsidR="00123913" w:rsidRPr="00C91A14" w:rsidRDefault="00123913" w:rsidP="00C91A14">
      <w:pPr>
        <w:pStyle w:val="Bullet-square"/>
      </w:pPr>
      <w:r w:rsidRPr="00C91A14">
        <w:t>Manag</w:t>
      </w:r>
      <w:r w:rsidR="006B1A74" w:rsidRPr="00C91A14">
        <w:t>ing</w:t>
      </w:r>
      <w:r w:rsidRPr="00C91A14">
        <w:t xml:space="preserve"> and shap</w:t>
      </w:r>
      <w:r w:rsidR="006B1A74" w:rsidRPr="00C91A14">
        <w:t xml:space="preserve">ing </w:t>
      </w:r>
      <w:r w:rsidRPr="00C91A14">
        <w:t>the regulatory landscape to support and enable safe, efficient space activities.</w:t>
      </w:r>
    </w:p>
    <w:p w14:paraId="354E176E" w14:textId="56D20844" w:rsidR="00123913" w:rsidRPr="00C91A14" w:rsidRDefault="00123913" w:rsidP="00C91A14">
      <w:pPr>
        <w:pStyle w:val="Bullet-square"/>
      </w:pPr>
      <w:r w:rsidRPr="00C91A14">
        <w:t>Updat</w:t>
      </w:r>
      <w:r w:rsidR="006B1A74" w:rsidRPr="00C91A14">
        <w:t>ing</w:t>
      </w:r>
      <w:r w:rsidRPr="00C91A14">
        <w:t xml:space="preserve"> and implement</w:t>
      </w:r>
      <w:r w:rsidR="00513482" w:rsidRPr="00C91A14">
        <w:t>ing</w:t>
      </w:r>
      <w:r w:rsidRPr="00C91A14">
        <w:t xml:space="preserve"> a regulatory framework</w:t>
      </w:r>
      <w:r w:rsidR="003504BB" w:rsidRPr="00C91A14">
        <w:t xml:space="preserve">: As of July 2020, </w:t>
      </w:r>
      <w:r w:rsidRPr="00C91A14">
        <w:t>there have been four overseas payload permits issued under this framework. Partial cost recovery has been deferred until mid</w:t>
      </w:r>
      <w:r w:rsidR="00513482" w:rsidRPr="00C91A14">
        <w:t>-</w:t>
      </w:r>
      <w:r w:rsidRPr="00C91A14">
        <w:t xml:space="preserve">2021, in recognition of the impact that the COVID-19 pandemic has had on the Australian space industry.  </w:t>
      </w:r>
    </w:p>
    <w:p w14:paraId="6E600202" w14:textId="119B86DC" w:rsidR="0013040C" w:rsidRDefault="00123913" w:rsidP="00C91A14">
      <w:pPr>
        <w:pStyle w:val="Bullet-square"/>
      </w:pPr>
      <w:r w:rsidRPr="00123913">
        <w:t>Represent</w:t>
      </w:r>
      <w:r w:rsidR="00513482">
        <w:t>ing</w:t>
      </w:r>
      <w:r w:rsidRPr="00123913">
        <w:t xml:space="preserve"> Australian interests at the UN Committee on the Peaceful Uses of Outer Space to support the long term sustainability of outer space activities, ensure the effective implementation of international space law, develop norms of behaviour and transparency and confidence building measures, exchange information on regulatory arrangements and best practices for civil space </w:t>
      </w:r>
      <w:r w:rsidR="00602D41" w:rsidRPr="00123913">
        <w:t>activities</w:t>
      </w:r>
      <w:r w:rsidR="00602D41" w:rsidRPr="00787A97">
        <w:t>, and promote the importance of space in future economic and societal growth.</w:t>
      </w:r>
    </w:p>
    <w:p w14:paraId="743A0940" w14:textId="77777777" w:rsidR="00EB1A85" w:rsidRDefault="00EB1A85" w:rsidP="00BE78BF">
      <w:pPr>
        <w:pStyle w:val="Heading2"/>
      </w:pPr>
      <w:bookmarkStart w:id="177" w:name="_Toc46321716"/>
      <w:bookmarkStart w:id="178" w:name="_Toc49366205"/>
      <w:bookmarkStart w:id="179" w:name="_Toc62719139"/>
      <w:r>
        <w:t xml:space="preserve">Regular and robust measurements will improve sector visibility, which could </w:t>
      </w:r>
      <w:r w:rsidRPr="007D7659">
        <w:t>help</w:t>
      </w:r>
      <w:r>
        <w:t xml:space="preserve"> support and encourage investors</w:t>
      </w:r>
      <w:bookmarkEnd w:id="177"/>
      <w:bookmarkEnd w:id="178"/>
      <w:bookmarkEnd w:id="179"/>
      <w:r>
        <w:t xml:space="preserve"> </w:t>
      </w:r>
    </w:p>
    <w:p w14:paraId="7181C645" w14:textId="77777777" w:rsidR="00785D92" w:rsidRDefault="00AB3E1E" w:rsidP="00516F4C">
      <w:pPr>
        <w:spacing w:after="120"/>
      </w:pPr>
      <w:r>
        <w:t xml:space="preserve">Finally, </w:t>
      </w:r>
      <w:r w:rsidR="00655954">
        <w:t xml:space="preserve">a </w:t>
      </w:r>
      <w:r w:rsidR="00472A33">
        <w:t xml:space="preserve">clear view of the space sector is crucial for its future health. </w:t>
      </w:r>
      <w:r w:rsidR="00B15559">
        <w:t>Without a clear fact base, firms are unable to make informed decisions, investors</w:t>
      </w:r>
      <w:r w:rsidR="00472A33">
        <w:t xml:space="preserve"> and entrepreneurs</w:t>
      </w:r>
      <w:r w:rsidR="00B15559">
        <w:t xml:space="preserve"> lack clarity and</w:t>
      </w:r>
      <w:r w:rsidR="00E34B3B">
        <w:t xml:space="preserve"> may instead</w:t>
      </w:r>
      <w:r w:rsidR="00B15559">
        <w:t xml:space="preserve"> </w:t>
      </w:r>
      <w:r w:rsidR="00B15559">
        <w:lastRenderedPageBreak/>
        <w:t xml:space="preserve">redirect their investments to markets </w:t>
      </w:r>
      <w:r w:rsidR="001C3659">
        <w:t>where</w:t>
      </w:r>
      <w:r w:rsidR="00B15559">
        <w:t xml:space="preserve"> opportunities</w:t>
      </w:r>
      <w:r w:rsidR="001C3659">
        <w:t xml:space="preserve"> are more clearly articulated.</w:t>
      </w:r>
      <w:r w:rsidR="00B15559">
        <w:t xml:space="preserve"> </w:t>
      </w:r>
      <w:r w:rsidR="00223134">
        <w:t>P</w:t>
      </w:r>
      <w:r w:rsidR="00B15559">
        <w:t xml:space="preserve">olicymakers may fail to correctly identify issues that hinder growth. </w:t>
      </w:r>
    </w:p>
    <w:p w14:paraId="1AA0462C" w14:textId="5288322C" w:rsidR="00655954" w:rsidRDefault="00785D92" w:rsidP="00516F4C">
      <w:pPr>
        <w:spacing w:after="120"/>
      </w:pPr>
      <w:r>
        <w:t xml:space="preserve">The </w:t>
      </w:r>
      <w:r w:rsidR="00B356B0">
        <w:t>Commonwealth and State</w:t>
      </w:r>
      <w:r w:rsidR="00FF7F3D">
        <w:t xml:space="preserve"> and Territory</w:t>
      </w:r>
      <w:r w:rsidR="00B356B0">
        <w:t xml:space="preserve"> Governments </w:t>
      </w:r>
      <w:r>
        <w:t xml:space="preserve">recognise this and </w:t>
      </w:r>
      <w:r w:rsidR="00C97F83">
        <w:t xml:space="preserve">are implementing measures to address the lack of sector measurement. </w:t>
      </w:r>
      <w:r w:rsidR="00F72DC7">
        <w:t>Annual ‘State of Space Reports’ released by the Australian Space Agency also document the Government’s activities and sector progress against key metrics, keeping industry informed of opportunities and policy priorities.</w:t>
      </w:r>
      <w:r w:rsidR="00EA49E7">
        <w:t xml:space="preserve"> </w:t>
      </w:r>
      <w:r w:rsidR="00D002F6">
        <w:t>Some s</w:t>
      </w:r>
      <w:r w:rsidR="00EF69E7">
        <w:t>tates and territories</w:t>
      </w:r>
      <w:r w:rsidR="005869AC">
        <w:t>, such as South Australia,</w:t>
      </w:r>
      <w:r w:rsidR="00EF69E7">
        <w:t xml:space="preserve"> </w:t>
      </w:r>
      <w:r w:rsidR="00D002F6">
        <w:t xml:space="preserve">maintain </w:t>
      </w:r>
      <w:r w:rsidR="0072368F">
        <w:t xml:space="preserve">public </w:t>
      </w:r>
      <w:r w:rsidR="00D002F6">
        <w:t xml:space="preserve">directories of </w:t>
      </w:r>
      <w:r w:rsidR="00D343CF">
        <w:t>their space capabilities, including the number of organisations</w:t>
      </w:r>
      <w:r w:rsidR="00EF4CF3">
        <w:t xml:space="preserve"> in their state</w:t>
      </w:r>
      <w:r w:rsidR="003B731C">
        <w:t xml:space="preserve"> engaging in space-related activities</w:t>
      </w:r>
      <w:r w:rsidR="00EF4CF3">
        <w:t>.</w:t>
      </w:r>
      <w:r w:rsidR="0072368F">
        <w:t xml:space="preserve"> </w:t>
      </w:r>
    </w:p>
    <w:p w14:paraId="11B0B844" w14:textId="46B7D2BE" w:rsidR="00EB1A85" w:rsidRDefault="00655954" w:rsidP="009154D7">
      <w:pPr>
        <w:spacing w:after="120"/>
      </w:pPr>
      <w:r>
        <w:t xml:space="preserve">At the national level, Government can further support the sector by implementing a robust sector measurement program. Existing industries rely on the Australian Bureau of Statistics (ABS) who regularly produce economic data about individual sectors. However, the ABS does not </w:t>
      </w:r>
      <w:r w:rsidR="007A5394">
        <w:t xml:space="preserve">capture </w:t>
      </w:r>
      <w:r>
        <w:t xml:space="preserve">space in its industry and occupation classifications. Currently, the lack of quality data means that it is difficult to regularly measure and understand the size and nature of the Australian space sector. </w:t>
      </w:r>
      <w:r w:rsidR="00472A33">
        <w:t>Moving forward,</w:t>
      </w:r>
      <w:r w:rsidR="00CF2732">
        <w:t xml:space="preserve"> the</w:t>
      </w:r>
      <w:r w:rsidR="00472A33">
        <w:t xml:space="preserve"> Government </w:t>
      </w:r>
      <w:r w:rsidR="00076641">
        <w:t xml:space="preserve">can </w:t>
      </w:r>
      <w:r w:rsidR="00CF2732">
        <w:t>seek to implement a regular and robust measurement program for the sector</w:t>
      </w:r>
      <w:r w:rsidR="00415E6A">
        <w:t>, as it does for</w:t>
      </w:r>
      <w:r>
        <w:t xml:space="preserve"> established industries</w:t>
      </w:r>
      <w:r w:rsidR="00CF2732">
        <w:t xml:space="preserve">. </w:t>
      </w:r>
    </w:p>
    <w:p w14:paraId="6F0207A8" w14:textId="76DD06CA" w:rsidR="0013040C" w:rsidRDefault="004527EB" w:rsidP="007E7A00">
      <w:pPr>
        <w:spacing w:after="120"/>
      </w:pPr>
      <w:r>
        <w:t>Measuring the space sector is a difficult analytical exercise. Like Australia, other governments do not capture space as a distinct sector in their regular industry measurements or in their national accounts data. Studies about other jurisdictions note the challenges faced by this lack of quality data. For example, the UK’s and Canada’s measurement</w:t>
      </w:r>
      <w:r w:rsidR="0013625D">
        <w:t>s</w:t>
      </w:r>
      <w:r>
        <w:t xml:space="preserve"> both note the </w:t>
      </w:r>
      <w:r w:rsidR="0013625D">
        <w:t xml:space="preserve">uncertainty inherent in all space sector economic estimations due to the incomplete coverage from survey responses, firm administrative data, and publicly reported data. To improve the robustness of estimates, the Australian Space Agency have recently released a definition of the Australian space sector in an effort to capture space activity in a systematic and robust manner. This aligns to the definition used by other peer countries as well as the OECD. </w:t>
      </w:r>
      <w:r w:rsidR="005362A0">
        <w:t xml:space="preserve">Appendix 4.2 describes the measurement approach used in this report. </w:t>
      </w:r>
    </w:p>
    <w:p w14:paraId="12AE6AA2" w14:textId="120511A2" w:rsidR="004527EB" w:rsidRDefault="004527EB" w:rsidP="00BE78BF">
      <w:pPr>
        <w:pStyle w:val="Heading2"/>
      </w:pPr>
      <w:bookmarkStart w:id="180" w:name="_Toc49366206"/>
      <w:bookmarkStart w:id="181" w:name="_Toc62719140"/>
      <w:r w:rsidRPr="007D7659">
        <w:t>Conclusion</w:t>
      </w:r>
      <w:bookmarkEnd w:id="180"/>
      <w:bookmarkEnd w:id="181"/>
    </w:p>
    <w:p w14:paraId="7E187C3B" w14:textId="0D8CFBBA" w:rsidR="001862E3" w:rsidRDefault="009C156A" w:rsidP="00C33E68">
      <w:pPr>
        <w:rPr>
          <w:lang w:val="en-US"/>
        </w:rPr>
      </w:pPr>
      <w:r>
        <w:rPr>
          <w:lang w:val="en-US"/>
        </w:rPr>
        <w:t>With the establishment of the Australian Space Agency, t</w:t>
      </w:r>
      <w:r w:rsidR="004527EB">
        <w:rPr>
          <w:lang w:val="en-US"/>
        </w:rPr>
        <w:t xml:space="preserve">he Australian space sector </w:t>
      </w:r>
      <w:r>
        <w:rPr>
          <w:lang w:val="en-US"/>
        </w:rPr>
        <w:t xml:space="preserve">has entered a new phase of development. </w:t>
      </w:r>
      <w:r w:rsidR="00120FA7">
        <w:rPr>
          <w:lang w:val="en-US"/>
        </w:rPr>
        <w:t xml:space="preserve">Currently, the sector stands to benefit </w:t>
      </w:r>
      <w:r w:rsidR="00576ADD">
        <w:rPr>
          <w:lang w:val="en-US"/>
        </w:rPr>
        <w:t xml:space="preserve">from </w:t>
      </w:r>
      <w:r w:rsidR="00120FA7">
        <w:rPr>
          <w:lang w:val="en-US"/>
        </w:rPr>
        <w:t xml:space="preserve">a </w:t>
      </w:r>
      <w:r>
        <w:rPr>
          <w:lang w:val="en-US"/>
        </w:rPr>
        <w:t>suite of ambitious</w:t>
      </w:r>
      <w:r w:rsidR="000610A1">
        <w:rPr>
          <w:lang w:val="en-US"/>
        </w:rPr>
        <w:t xml:space="preserve"> government-supported</w:t>
      </w:r>
      <w:r>
        <w:rPr>
          <w:lang w:val="en-US"/>
        </w:rPr>
        <w:t xml:space="preserve"> satellite</w:t>
      </w:r>
      <w:r w:rsidR="000610A1">
        <w:rPr>
          <w:lang w:val="en-US"/>
        </w:rPr>
        <w:t xml:space="preserve"> and space exploration</w:t>
      </w:r>
      <w:r>
        <w:rPr>
          <w:lang w:val="en-US"/>
        </w:rPr>
        <w:t xml:space="preserve"> </w:t>
      </w:r>
      <w:r w:rsidR="000610A1">
        <w:rPr>
          <w:lang w:val="en-US"/>
        </w:rPr>
        <w:t xml:space="preserve">projects </w:t>
      </w:r>
      <w:r w:rsidR="00120FA7">
        <w:rPr>
          <w:lang w:val="en-US"/>
        </w:rPr>
        <w:t>over the next decade. Increased collaborations with overseas space agencies will further fuel growth.</w:t>
      </w:r>
      <w:r w:rsidR="00814A52">
        <w:rPr>
          <w:lang w:val="en-US"/>
        </w:rPr>
        <w:t xml:space="preserve"> Strong global demand also opens new doors to local firms.</w:t>
      </w:r>
      <w:r w:rsidR="00120FA7">
        <w:rPr>
          <w:lang w:val="en-US"/>
        </w:rPr>
        <w:t xml:space="preserve"> </w:t>
      </w:r>
    </w:p>
    <w:p w14:paraId="16D09126" w14:textId="30E65155" w:rsidR="005E39C0" w:rsidRDefault="00814A52" w:rsidP="004527EB">
      <w:pPr>
        <w:rPr>
          <w:lang w:val="en-US"/>
        </w:rPr>
      </w:pPr>
      <w:r>
        <w:rPr>
          <w:lang w:val="en-US"/>
        </w:rPr>
        <w:t>This new chapter in Australian space is bringing forth fresh challenges. Boosting local capability and encouraging more firms and workers to enter the space workforce will be vital for the sector to make the most of new opportunities. Educators and government have important roles to play to help firms find the skills and other inputs they need. Refining regulatory</w:t>
      </w:r>
      <w:r w:rsidR="00C33E68">
        <w:rPr>
          <w:lang w:val="en-US"/>
        </w:rPr>
        <w:t xml:space="preserve"> frameworks will also support firms to compete globally. </w:t>
      </w:r>
      <w:r w:rsidR="001862E3">
        <w:rPr>
          <w:lang w:val="en-US"/>
        </w:rPr>
        <w:t>Finally,</w:t>
      </w:r>
      <w:r w:rsidR="00036EA4">
        <w:rPr>
          <w:lang w:val="en-US"/>
        </w:rPr>
        <w:t xml:space="preserve"> in a rapidly growing sector like space,</w:t>
      </w:r>
      <w:r w:rsidR="001862E3">
        <w:rPr>
          <w:lang w:val="en-US"/>
        </w:rPr>
        <w:t xml:space="preserve"> policymakers</w:t>
      </w:r>
      <w:r w:rsidR="00036EA4">
        <w:rPr>
          <w:lang w:val="en-US"/>
        </w:rPr>
        <w:t xml:space="preserve"> will have to be alert to how these challenges evolve, so that they can continue to support firms effectively over the coming years.</w:t>
      </w:r>
    </w:p>
    <w:p w14:paraId="3BECBC21" w14:textId="5746348F" w:rsidR="00980936" w:rsidRDefault="00AB3DEA" w:rsidP="00BE78BF">
      <w:pPr>
        <w:pStyle w:val="Heading1"/>
      </w:pPr>
      <w:bookmarkStart w:id="182" w:name="_Toc46321717"/>
      <w:bookmarkStart w:id="183" w:name="_Toc49366207"/>
      <w:bookmarkStart w:id="184" w:name="_Toc62719141"/>
      <w:r w:rsidRPr="007D7659">
        <w:rPr>
          <w:caps w:val="0"/>
        </w:rPr>
        <w:lastRenderedPageBreak/>
        <w:t>Appendices</w:t>
      </w:r>
      <w:bookmarkEnd w:id="182"/>
      <w:bookmarkEnd w:id="183"/>
      <w:bookmarkEnd w:id="184"/>
    </w:p>
    <w:bookmarkStart w:id="185" w:name="_Toc46494122"/>
    <w:bookmarkStart w:id="186" w:name="_Toc46494160"/>
    <w:bookmarkStart w:id="187" w:name="_Toc46494197"/>
    <w:bookmarkStart w:id="188" w:name="_Toc46494234"/>
    <w:bookmarkStart w:id="189" w:name="_Toc46494123"/>
    <w:bookmarkStart w:id="190" w:name="_Toc46494161"/>
    <w:bookmarkStart w:id="191" w:name="_Toc46494198"/>
    <w:bookmarkStart w:id="192" w:name="_Toc46494235"/>
    <w:bookmarkStart w:id="193" w:name="_Toc46494124"/>
    <w:bookmarkStart w:id="194" w:name="_Toc46494162"/>
    <w:bookmarkStart w:id="195" w:name="_Toc46494199"/>
    <w:bookmarkStart w:id="196" w:name="_Toc46494236"/>
    <w:bookmarkStart w:id="197" w:name="_Toc46494125"/>
    <w:bookmarkStart w:id="198" w:name="_Toc46494163"/>
    <w:bookmarkStart w:id="199" w:name="_Toc46494200"/>
    <w:bookmarkStart w:id="200" w:name="_Toc46494237"/>
    <w:bookmarkStart w:id="201" w:name="_Toc46494128"/>
    <w:bookmarkStart w:id="202" w:name="_Toc46494166"/>
    <w:bookmarkStart w:id="203" w:name="_Toc46494203"/>
    <w:bookmarkStart w:id="204" w:name="_Toc46494240"/>
    <w:bookmarkStart w:id="205" w:name="_Toc46494129"/>
    <w:bookmarkStart w:id="206" w:name="_Toc46494167"/>
    <w:bookmarkStart w:id="207" w:name="_Toc46494204"/>
    <w:bookmarkStart w:id="208" w:name="_Toc46494241"/>
    <w:bookmarkStart w:id="209" w:name="_Toc46494130"/>
    <w:bookmarkStart w:id="210" w:name="_Toc46494168"/>
    <w:bookmarkStart w:id="211" w:name="_Toc46494205"/>
    <w:bookmarkStart w:id="212" w:name="_Toc46494242"/>
    <w:bookmarkStart w:id="213" w:name="_Toc46494131"/>
    <w:bookmarkStart w:id="214" w:name="_Toc46494169"/>
    <w:bookmarkStart w:id="215" w:name="_Toc46494206"/>
    <w:bookmarkStart w:id="216" w:name="_Toc46494243"/>
    <w:bookmarkStart w:id="217" w:name="_Toc46761025"/>
    <w:bookmarkStart w:id="218" w:name="_Toc46761026"/>
    <w:bookmarkStart w:id="219" w:name="_Toc46761027"/>
    <w:bookmarkStart w:id="220" w:name="_Toc46761030"/>
    <w:bookmarkStart w:id="221" w:name="_Toc46761031"/>
    <w:bookmarkStart w:id="222" w:name="_Toc46761032"/>
    <w:bookmarkStart w:id="223" w:name="_Ref46415561"/>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14:paraId="03FA20D3" w14:textId="77777777" w:rsidR="006123E0" w:rsidRDefault="000C4DF0" w:rsidP="00BE78BF">
      <w:pPr>
        <w:pStyle w:val="Heading2"/>
      </w:pPr>
      <w:r>
        <w:fldChar w:fldCharType="begin"/>
      </w:r>
      <w:r>
        <w:fldChar w:fldCharType="end"/>
      </w:r>
      <w:bookmarkStart w:id="224" w:name="_Toc46761033"/>
      <w:bookmarkStart w:id="225" w:name="_Toc46761034"/>
      <w:bookmarkStart w:id="226" w:name="_Toc46761036"/>
      <w:bookmarkStart w:id="227" w:name="_Toc49366208"/>
      <w:bookmarkStart w:id="228" w:name="_Toc62719142"/>
      <w:bookmarkStart w:id="229" w:name="_Toc40904682"/>
      <w:bookmarkEnd w:id="223"/>
      <w:bookmarkEnd w:id="224"/>
      <w:bookmarkEnd w:id="225"/>
      <w:bookmarkEnd w:id="226"/>
      <w:r w:rsidR="00C74068">
        <w:t xml:space="preserve">Appendix </w:t>
      </w:r>
      <w:r w:rsidR="00FA2FA6">
        <w:t>A</w:t>
      </w:r>
      <w:r w:rsidR="00C74068">
        <w:t xml:space="preserve">: </w:t>
      </w:r>
      <w:r w:rsidR="006123E0">
        <w:t xml:space="preserve">Australian Space Agency definition of the </w:t>
      </w:r>
      <w:r w:rsidR="00551274">
        <w:t>Australian S</w:t>
      </w:r>
      <w:r w:rsidR="006123E0">
        <w:t xml:space="preserve">pace </w:t>
      </w:r>
      <w:r w:rsidR="00551274">
        <w:t>S</w:t>
      </w:r>
      <w:r w:rsidR="006123E0">
        <w:t>ector</w:t>
      </w:r>
      <w:bookmarkEnd w:id="227"/>
      <w:bookmarkEnd w:id="228"/>
    </w:p>
    <w:p w14:paraId="2DC9E22B" w14:textId="77777777" w:rsidR="0092581C" w:rsidRDefault="0092581C" w:rsidP="00551274">
      <w:pPr>
        <w:rPr>
          <w:lang w:val="en-US"/>
        </w:rPr>
      </w:pPr>
      <w:r>
        <w:rPr>
          <w:lang w:val="en-US"/>
        </w:rPr>
        <w:t>The Australian Space Agency</w:t>
      </w:r>
      <w:r w:rsidR="00090649">
        <w:rPr>
          <w:lang w:val="en-US"/>
        </w:rPr>
        <w:t xml:space="preserve">’s </w:t>
      </w:r>
      <w:r w:rsidR="00AD0E69">
        <w:rPr>
          <w:lang w:val="en-US"/>
        </w:rPr>
        <w:t>d</w:t>
      </w:r>
      <w:r w:rsidR="00090649" w:rsidRPr="00090649">
        <w:rPr>
          <w:lang w:val="en-US"/>
        </w:rPr>
        <w:t xml:space="preserve">efinition of the Australian </w:t>
      </w:r>
      <w:r w:rsidR="00442F94">
        <w:rPr>
          <w:lang w:val="en-US"/>
        </w:rPr>
        <w:t>S</w:t>
      </w:r>
      <w:r w:rsidR="00090649" w:rsidRPr="00090649">
        <w:rPr>
          <w:lang w:val="en-US"/>
        </w:rPr>
        <w:t xml:space="preserve">pace </w:t>
      </w:r>
      <w:r w:rsidR="00442F94">
        <w:rPr>
          <w:lang w:val="en-US"/>
        </w:rPr>
        <w:t>S</w:t>
      </w:r>
      <w:r w:rsidR="00090649" w:rsidRPr="00090649">
        <w:rPr>
          <w:lang w:val="en-US"/>
        </w:rPr>
        <w:t>ector</w:t>
      </w:r>
      <w:r w:rsidR="00090649">
        <w:rPr>
          <w:lang w:val="en-US"/>
        </w:rPr>
        <w:t xml:space="preserve"> </w:t>
      </w:r>
      <w:r w:rsidR="00442F94">
        <w:rPr>
          <w:lang w:val="en-US"/>
        </w:rPr>
        <w:t xml:space="preserve">(2020) </w:t>
      </w:r>
      <w:r w:rsidR="00090649">
        <w:rPr>
          <w:lang w:val="en-US"/>
        </w:rPr>
        <w:t xml:space="preserve">is as follows: </w:t>
      </w:r>
    </w:p>
    <w:p w14:paraId="34F66935" w14:textId="77777777" w:rsidR="00551274" w:rsidRPr="00B95533" w:rsidRDefault="00551274" w:rsidP="009154D7">
      <w:pPr>
        <w:pStyle w:val="Quote"/>
        <w:jc w:val="left"/>
        <w:rPr>
          <w:color w:val="auto"/>
          <w:lang w:val="en-US"/>
        </w:rPr>
      </w:pPr>
      <w:r w:rsidRPr="00B95533">
        <w:rPr>
          <w:color w:val="auto"/>
          <w:lang w:val="en-US"/>
        </w:rPr>
        <w:t>The Australian space sector is defined as a set of space-related activities along the space value chain and is part of the broader space economy.</w:t>
      </w:r>
    </w:p>
    <w:p w14:paraId="6C2EEB12" w14:textId="77777777" w:rsidR="00551274" w:rsidRPr="00B95533" w:rsidRDefault="00551274" w:rsidP="009154D7">
      <w:pPr>
        <w:pStyle w:val="Quote"/>
        <w:jc w:val="left"/>
        <w:rPr>
          <w:color w:val="auto"/>
          <w:lang w:val="en-US"/>
        </w:rPr>
      </w:pPr>
      <w:r w:rsidRPr="00B95533">
        <w:rPr>
          <w:color w:val="auto"/>
          <w:lang w:val="en-US"/>
        </w:rPr>
        <w:t>All actors (private, public and academic) participating in production, operation, supply and enablement activities that form the space value chain are part of the space sector. Space value chain segments broadly include: Manufacturing and core inputs (Ground and Space segment manufacturing and services); space operations; space applications; and enablers (such as regulation and essential service delivery, infrastructure and capabilities, research, development and engineering, and specialised support services).</w:t>
      </w:r>
    </w:p>
    <w:p w14:paraId="5EFD030E" w14:textId="77777777" w:rsidR="00551274" w:rsidRPr="00B95533" w:rsidRDefault="00551274" w:rsidP="00090649">
      <w:pPr>
        <w:pStyle w:val="Quote"/>
        <w:jc w:val="left"/>
        <w:rPr>
          <w:color w:val="auto"/>
          <w:lang w:val="en-US"/>
        </w:rPr>
      </w:pPr>
      <w:r w:rsidRPr="00B95533">
        <w:rPr>
          <w:color w:val="auto"/>
          <w:lang w:val="en-US"/>
        </w:rPr>
        <w:t>While the space sector captures the provision of space related goods, services and applications to broader industries, it does not include subsequent non-space (value adding) activities that are enabled by space activities (such as food grown using precision agriculture techniques). These flow-on activities are captured by the broader space economy.</w:t>
      </w:r>
      <w:r w:rsidR="00BD43D9" w:rsidRPr="00B95533">
        <w:rPr>
          <w:rStyle w:val="FootnoteReference"/>
          <w:color w:val="auto"/>
          <w:lang w:val="en-US"/>
        </w:rPr>
        <w:footnoteReference w:id="52"/>
      </w:r>
    </w:p>
    <w:p w14:paraId="2B6B111F" w14:textId="77777777" w:rsidR="00040A8A" w:rsidRPr="005A5600" w:rsidRDefault="00040A8A" w:rsidP="00BE78BF">
      <w:pPr>
        <w:pStyle w:val="Heading2"/>
      </w:pPr>
      <w:bookmarkStart w:id="230" w:name="_Toc49366209"/>
      <w:bookmarkStart w:id="231" w:name="_Toc62719143"/>
      <w:r w:rsidRPr="005A5600">
        <w:t xml:space="preserve">Appendix </w:t>
      </w:r>
      <w:r w:rsidR="00BE756C">
        <w:t>B</w:t>
      </w:r>
      <w:r w:rsidRPr="005A5600">
        <w:t xml:space="preserve">: </w:t>
      </w:r>
      <w:r w:rsidRPr="007D7659">
        <w:t>Measuring</w:t>
      </w:r>
      <w:r>
        <w:t xml:space="preserve"> the space sector</w:t>
      </w:r>
      <w:bookmarkEnd w:id="230"/>
      <w:bookmarkEnd w:id="231"/>
    </w:p>
    <w:p w14:paraId="457C8E5B" w14:textId="77777777" w:rsidR="00040A8A" w:rsidRDefault="00D173CD" w:rsidP="00040A8A">
      <w:r>
        <w:t>M</w:t>
      </w:r>
      <w:r w:rsidR="00040A8A">
        <w:t xml:space="preserve">easuring the space sector in Australia </w:t>
      </w:r>
      <w:r w:rsidR="00DB446E">
        <w:t>is</w:t>
      </w:r>
      <w:r w:rsidR="00040A8A">
        <w:t xml:space="preserve"> difficult due to</w:t>
      </w:r>
      <w:r w:rsidR="005C2C40">
        <w:t xml:space="preserve"> a lack of reliable </w:t>
      </w:r>
      <w:r w:rsidR="00410179">
        <w:t>and high-quality data as well a</w:t>
      </w:r>
      <w:r w:rsidR="00040A8A">
        <w:t xml:space="preserve"> lack of nationally consistent reporting methods. To address this, and to create robust estimates, this report uses a combination of economic data, government policy, survey data, and insights from researchers and industry leaders.</w:t>
      </w:r>
      <w:r w:rsidR="00410179">
        <w:t xml:space="preserve"> </w:t>
      </w:r>
    </w:p>
    <w:p w14:paraId="7DD91954" w14:textId="77777777" w:rsidR="00E8370D" w:rsidRDefault="00B72553" w:rsidP="00E8370D">
      <w:r>
        <w:t xml:space="preserve">This report created </w:t>
      </w:r>
      <w:r w:rsidR="00DC5D07">
        <w:t>a data set of firms in the Australian space sector</w:t>
      </w:r>
      <w:r w:rsidR="002B4C6C">
        <w:t xml:space="preserve">. </w:t>
      </w:r>
      <w:r w:rsidR="0031460B">
        <w:t xml:space="preserve">We identified a total of </w:t>
      </w:r>
      <w:r w:rsidR="00EC1910">
        <w:t>558</w:t>
      </w:r>
      <w:r w:rsidR="0031460B">
        <w:t xml:space="preserve"> firms and organisations</w:t>
      </w:r>
      <w:r w:rsidR="002D4552">
        <w:t xml:space="preserve"> from the SIAA, government, and industry experts.</w:t>
      </w:r>
      <w:r w:rsidR="002D4552">
        <w:rPr>
          <w:b/>
          <w:bCs/>
        </w:rPr>
        <w:t xml:space="preserve"> </w:t>
      </w:r>
      <w:r w:rsidR="0031460B">
        <w:t xml:space="preserve">The contribution of each firm to the Australian space industry was calculated by </w:t>
      </w:r>
      <w:r w:rsidR="00B141A9">
        <w:t>estimating the contribution of its space operations to its overall</w:t>
      </w:r>
      <w:r w:rsidR="0031460B">
        <w:t xml:space="preserve"> revenu</w:t>
      </w:r>
      <w:r w:rsidR="007E7A00">
        <w:t>e.</w:t>
      </w:r>
      <w:r w:rsidR="00E8370D">
        <w:t xml:space="preserve"> The list was cleaned to remove duplicates and firms that were no longer operating. The website of each firm or organisation in the database was scanned to determine its capabilities. The capabilities were used to classify firms according to our taxonomy. </w:t>
      </w:r>
    </w:p>
    <w:p w14:paraId="09255FC2" w14:textId="1246FB31" w:rsidR="0031460B" w:rsidRDefault="002B4C6C" w:rsidP="0031460B">
      <w:r>
        <w:t xml:space="preserve">This report also sought to </w:t>
      </w:r>
      <w:r w:rsidR="0031460B">
        <w:t>identif</w:t>
      </w:r>
      <w:r>
        <w:t>y</w:t>
      </w:r>
      <w:r w:rsidR="0031460B">
        <w:t xml:space="preserve"> firms in adjacent industries that could enter the space industry.</w:t>
      </w:r>
      <w:r>
        <w:t xml:space="preserve"> </w:t>
      </w:r>
      <w:r w:rsidR="0031460B">
        <w:t xml:space="preserve">We began by identifying subindustries with a high probability of including firms that had space relevant capabilities. Of the 120 ANZSIC codes in the Australian space firm database, 23 were identified as </w:t>
      </w:r>
      <w:r w:rsidR="0031460B">
        <w:lastRenderedPageBreak/>
        <w:t>having high potential to enter the space industry. The industries were rated and ranked based on the following factors:</w:t>
      </w:r>
    </w:p>
    <w:p w14:paraId="79D738FD" w14:textId="77777777" w:rsidR="0031460B" w:rsidRPr="00E56F1B" w:rsidRDefault="0031460B" w:rsidP="0031460B">
      <w:pPr>
        <w:pStyle w:val="ListParagraph"/>
        <w:numPr>
          <w:ilvl w:val="0"/>
          <w:numId w:val="23"/>
        </w:numPr>
        <w:spacing w:before="0" w:after="160"/>
      </w:pPr>
      <w:r w:rsidRPr="00E56F1B">
        <w:rPr>
          <w:b/>
          <w:bCs/>
        </w:rPr>
        <w:t>Relevance to Australian Space Agency Civil Strategy and priority areas:</w:t>
      </w:r>
      <w:r w:rsidRPr="00E56F1B">
        <w:t xml:space="preserve"> Industries with capabilities related to the priority areas were ranked higher</w:t>
      </w:r>
    </w:p>
    <w:p w14:paraId="50B245DC" w14:textId="77777777" w:rsidR="0031460B" w:rsidRPr="00E56F1B" w:rsidRDefault="0031460B" w:rsidP="0031460B">
      <w:pPr>
        <w:pStyle w:val="ListParagraph"/>
        <w:numPr>
          <w:ilvl w:val="0"/>
          <w:numId w:val="23"/>
        </w:numPr>
        <w:spacing w:before="0" w:after="160"/>
      </w:pPr>
      <w:r w:rsidRPr="00E56F1B">
        <w:rPr>
          <w:b/>
          <w:bCs/>
        </w:rPr>
        <w:t>Growth:</w:t>
      </w:r>
      <w:r w:rsidRPr="00E56F1B">
        <w:t xml:space="preserve"> The space industry can leverage the growth of adjacent industries for its own development. Industries were ranked based on ABS industry growth data </w:t>
      </w:r>
    </w:p>
    <w:p w14:paraId="622EDDD0" w14:textId="77777777" w:rsidR="0031460B" w:rsidRDefault="0031460B" w:rsidP="0031460B">
      <w:pPr>
        <w:pStyle w:val="ListParagraph"/>
        <w:numPr>
          <w:ilvl w:val="0"/>
          <w:numId w:val="23"/>
        </w:numPr>
        <w:spacing w:before="0" w:after="160"/>
      </w:pPr>
      <w:r w:rsidRPr="00E56F1B">
        <w:rPr>
          <w:b/>
          <w:bCs/>
        </w:rPr>
        <w:t>Technology:</w:t>
      </w:r>
      <w:r w:rsidRPr="00E56F1B">
        <w:t xml:space="preserve"> This factor is used as a proxy for the high skill requirement of the space industry. Using IP Australia, industries </w:t>
      </w:r>
      <w:r>
        <w:t>were ranked based on the number patents filed and granted for the last five years of available data.</w:t>
      </w:r>
    </w:p>
    <w:p w14:paraId="31259C13" w14:textId="77777777" w:rsidR="00840FFC" w:rsidRDefault="0031460B" w:rsidP="0031460B">
      <w:r>
        <w:t>This adjacent firm database consists of 4,125 firms from the 23 selected ANZSIC codes. The top 200 firms by revenue for each of the 23 ANZSIC codes was requested from illion in order to build up the database. Firms that were already contained within the space Australian firm database were removed the database.</w:t>
      </w:r>
      <w:r w:rsidR="002B4C6C">
        <w:t xml:space="preserve"> </w:t>
      </w:r>
      <w:r>
        <w:t>The firms in the database were assigned a taxonomy segment based on their ANZSIC code. The top 20 from each ANZSIC code that export are Australian owned were filtered to identify a list of 380 firms with the most potential to enter the space industry</w:t>
      </w:r>
      <w:r w:rsidR="001D5900">
        <w:t xml:space="preserve">. </w:t>
      </w:r>
    </w:p>
    <w:p w14:paraId="730F67DE" w14:textId="37D449BA" w:rsidR="0031460B" w:rsidRPr="001227BF" w:rsidRDefault="00840FFC" w:rsidP="0031460B">
      <w:pPr>
        <w:rPr>
          <w:lang w:val="en-US"/>
        </w:rPr>
      </w:pPr>
      <w:r>
        <w:rPr>
          <w:lang w:val="en-US"/>
        </w:rPr>
        <w:t xml:space="preserve">To supplement the data analysis used in this report, we conducted interviews with 15 experts involved in the space industry or who are active in space research to provide insight into this study. </w:t>
      </w:r>
      <w:bookmarkEnd w:id="229"/>
    </w:p>
    <w:sectPr w:rsidR="0031460B" w:rsidRPr="001227BF">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63AD3" w16cex:dateUtc="2020-09-23T11:21:00Z"/>
  <w16cex:commentExtensible w16cex:durableId="23163DBF" w16cex:dateUtc="2020-09-23T11:33:00Z"/>
  <w16cex:commentExtensible w16cex:durableId="23161733" w16cex:dateUtc="2020-09-23T08:49:00Z"/>
  <w16cex:commentExtensible w16cex:durableId="231618AF" w16cex:dateUtc="2020-09-23T08:55:00Z"/>
  <w16cex:commentExtensible w16cex:durableId="23163E28" w16cex:dateUtc="2020-09-23T11:35:00Z"/>
  <w16cex:commentExtensible w16cex:durableId="23162618" w16cex:dateUtc="2020-09-23T09:52:00Z"/>
  <w16cex:commentExtensible w16cex:durableId="2316404E" w16cex:dateUtc="2020-09-23T11:44:00Z"/>
  <w16cex:commentExtensible w16cex:durableId="23163E42" w16cex:dateUtc="2020-09-23T1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E349FC" w16cid:durableId="2309CEE8"/>
  <w16cid:commentId w16cid:paraId="6555AB90" w16cid:durableId="2317670B"/>
  <w16cid:commentId w16cid:paraId="63A4C044" w16cid:durableId="2317671B"/>
  <w16cid:commentId w16cid:paraId="33009BEE" w16cid:durableId="231450EA"/>
  <w16cid:commentId w16cid:paraId="06F8AB52" w16cid:durableId="23130142"/>
  <w16cid:commentId w16cid:paraId="30B4A812" w16cid:durableId="22D3A771"/>
  <w16cid:commentId w16cid:paraId="4D2B65A3" w16cid:durableId="23163AD3"/>
  <w16cid:commentId w16cid:paraId="2656D0DB" w16cid:durableId="23176847"/>
  <w16cid:commentId w16cid:paraId="3C951060" w16cid:durableId="2309CEFA"/>
  <w16cid:commentId w16cid:paraId="3DA21136" w16cid:durableId="2309CEFB"/>
  <w16cid:commentId w16cid:paraId="457D74FF" w16cid:durableId="2309CEFC"/>
  <w16cid:commentId w16cid:paraId="3C7213C0" w16cid:durableId="230F1CCF"/>
  <w16cid:commentId w16cid:paraId="0169E641" w16cid:durableId="22D3A775"/>
  <w16cid:commentId w16cid:paraId="112CAE8F" w16cid:durableId="22DBEE80"/>
  <w16cid:commentId w16cid:paraId="4F232394" w16cid:durableId="230DD82C"/>
  <w16cid:commentId w16cid:paraId="01872BE6" w16cid:durableId="23163E42"/>
  <w16cid:commentId w16cid:paraId="270E3F2B" w16cid:durableId="2309CF3B"/>
  <w16cid:commentId w16cid:paraId="70CF3A9C" w16cid:durableId="23131B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DA501" w14:textId="77777777" w:rsidR="00D37139" w:rsidRDefault="00D37139" w:rsidP="00FD5388">
      <w:pPr>
        <w:spacing w:before="0" w:after="0" w:line="240" w:lineRule="auto"/>
      </w:pPr>
      <w:r>
        <w:separator/>
      </w:r>
    </w:p>
  </w:endnote>
  <w:endnote w:type="continuationSeparator" w:id="0">
    <w:p w14:paraId="55F5CB4D" w14:textId="77777777" w:rsidR="00D37139" w:rsidRDefault="00D37139" w:rsidP="00FD5388">
      <w:pPr>
        <w:spacing w:before="0" w:after="0" w:line="240" w:lineRule="auto"/>
      </w:pPr>
      <w:r>
        <w:continuationSeparator/>
      </w:r>
    </w:p>
  </w:endnote>
  <w:endnote w:type="continuationNotice" w:id="1">
    <w:p w14:paraId="7ABAE10F" w14:textId="77777777" w:rsidR="00D37139" w:rsidRDefault="00D371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awline">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738877"/>
      <w:docPartObj>
        <w:docPartGallery w:val="Page Numbers (Bottom of Page)"/>
        <w:docPartUnique/>
      </w:docPartObj>
    </w:sdtPr>
    <w:sdtEndPr>
      <w:rPr>
        <w:noProof/>
      </w:rPr>
    </w:sdtEndPr>
    <w:sdtContent>
      <w:p w14:paraId="51C05502" w14:textId="77777777" w:rsidR="00D37139" w:rsidRDefault="00D37139" w:rsidP="00002502">
        <w:r w:rsidRPr="00B44074">
          <w:rPr>
            <w:rFonts w:ascii="Garamond" w:hAnsi="Garamond"/>
            <w:noProof/>
            <w:color w:val="222222"/>
            <w:position w:val="-8"/>
            <w:sz w:val="21"/>
            <w:szCs w:val="21"/>
            <w:shd w:val="clear" w:color="auto" w:fill="FFFFFF"/>
            <w:lang w:eastAsia="en-AU"/>
          </w:rPr>
          <w:drawing>
            <wp:inline distT="0" distB="0" distL="0" distR="0" wp14:anchorId="61028824" wp14:editId="392DC138">
              <wp:extent cx="190800" cy="169200"/>
              <wp:effectExtent l="0" t="0" r="0" b="2540"/>
              <wp:docPr id="247" name="Picture 24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mall.jpg"/>
                      <pic:cNvPicPr/>
                    </pic:nvPicPr>
                    <pic:blipFill>
                      <a:blip r:embed="rId1">
                        <a:extLst>
                          <a:ext uri="{28A0092B-C50C-407E-A947-70E740481C1C}">
                            <a14:useLocalDpi xmlns:a14="http://schemas.microsoft.com/office/drawing/2010/main" val="0"/>
                          </a:ext>
                        </a:extLst>
                      </a:blip>
                      <a:stretch>
                        <a:fillRect/>
                      </a:stretch>
                    </pic:blipFill>
                    <pic:spPr>
                      <a:xfrm>
                        <a:off x="0" y="0"/>
                        <a:ext cx="190800" cy="169200"/>
                      </a:xfrm>
                      <a:prstGeom prst="rect">
                        <a:avLst/>
                      </a:prstGeom>
                    </pic:spPr>
                  </pic:pic>
                </a:graphicData>
              </a:graphic>
            </wp:inline>
          </w:drawing>
        </w:r>
        <w:r>
          <w:rPr>
            <w:rStyle w:val="polytonic"/>
            <w:rFonts w:ascii="Garamond" w:hAnsi="Garamond"/>
            <w:color w:val="222222"/>
            <w:sz w:val="21"/>
            <w:szCs w:val="21"/>
            <w:shd w:val="clear" w:color="auto" w:fill="FFFFFF"/>
          </w:rPr>
          <w:t xml:space="preserve">| </w:t>
        </w:r>
        <w:r w:rsidRPr="004620B7">
          <w:fldChar w:fldCharType="begin"/>
        </w:r>
        <w:r w:rsidRPr="004620B7">
          <w:instrText xml:space="preserve"> PAGE   \* MERGEFORMAT </w:instrText>
        </w:r>
        <w:r w:rsidRPr="004620B7">
          <w:fldChar w:fldCharType="separate"/>
        </w:r>
        <w:r>
          <w:rPr>
            <w:noProof/>
          </w:rPr>
          <w:t>10</w:t>
        </w:r>
        <w:r w:rsidRPr="004620B7">
          <w:rPr>
            <w:noProof/>
          </w:rPr>
          <w:fldChar w:fldCharType="end"/>
        </w:r>
      </w:p>
    </w:sdtContent>
  </w:sdt>
  <w:p w14:paraId="5A89FC7A" w14:textId="77777777" w:rsidR="00D37139" w:rsidRDefault="00D37139" w:rsidP="000025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141"/>
      <w:docPartObj>
        <w:docPartGallery w:val="Page Numbers (Bottom of Page)"/>
        <w:docPartUnique/>
      </w:docPartObj>
    </w:sdtPr>
    <w:sdtEndPr>
      <w:rPr>
        <w:noProof/>
      </w:rPr>
    </w:sdtEndPr>
    <w:sdtContent>
      <w:p w14:paraId="0D4452E8" w14:textId="77777777" w:rsidR="00D37139" w:rsidRDefault="00D37139" w:rsidP="00002502"/>
      <w:p w14:paraId="112D4B80" w14:textId="77777777" w:rsidR="00D37139" w:rsidRDefault="00D37139" w:rsidP="00002502">
        <w:pPr>
          <w:jc w:val="right"/>
        </w:pPr>
        <w:r w:rsidRPr="00B44074">
          <w:rPr>
            <w:rFonts w:ascii="Garamond" w:hAnsi="Garamond"/>
            <w:noProof/>
            <w:color w:val="222222"/>
            <w:position w:val="-8"/>
            <w:sz w:val="21"/>
            <w:szCs w:val="21"/>
            <w:shd w:val="clear" w:color="auto" w:fill="FFFFFF"/>
            <w:lang w:eastAsia="en-AU"/>
          </w:rPr>
          <w:drawing>
            <wp:inline distT="0" distB="0" distL="0" distR="0" wp14:anchorId="2B5A49A7" wp14:editId="41C84A02">
              <wp:extent cx="190800" cy="169200"/>
              <wp:effectExtent l="0" t="0" r="0" b="2540"/>
              <wp:docPr id="248" name="Picture 24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mall.jpg"/>
                      <pic:cNvPicPr/>
                    </pic:nvPicPr>
                    <pic:blipFill>
                      <a:blip r:embed="rId1">
                        <a:extLst>
                          <a:ext uri="{28A0092B-C50C-407E-A947-70E740481C1C}">
                            <a14:useLocalDpi xmlns:a14="http://schemas.microsoft.com/office/drawing/2010/main" val="0"/>
                          </a:ext>
                        </a:extLst>
                      </a:blip>
                      <a:stretch>
                        <a:fillRect/>
                      </a:stretch>
                    </pic:blipFill>
                    <pic:spPr>
                      <a:xfrm>
                        <a:off x="0" y="0"/>
                        <a:ext cx="190800" cy="169200"/>
                      </a:xfrm>
                      <a:prstGeom prst="rect">
                        <a:avLst/>
                      </a:prstGeom>
                    </pic:spPr>
                  </pic:pic>
                </a:graphicData>
              </a:graphic>
            </wp:inline>
          </w:drawing>
        </w:r>
        <w:r>
          <w:rPr>
            <w:rStyle w:val="polytonic"/>
            <w:rFonts w:ascii="Garamond" w:hAnsi="Garamond"/>
            <w:color w:val="222222"/>
            <w:sz w:val="21"/>
            <w:szCs w:val="21"/>
            <w:shd w:val="clear" w:color="auto" w:fill="FFFFFF"/>
          </w:rPr>
          <w:t xml:space="preserve">| </w:t>
        </w:r>
        <w:r w:rsidRPr="00F2724C">
          <w:fldChar w:fldCharType="begin"/>
        </w:r>
        <w:r w:rsidRPr="00F2724C">
          <w:instrText xml:space="preserve"> PAGE   \* MERGEFORMAT </w:instrText>
        </w:r>
        <w:r w:rsidRPr="00F2724C">
          <w:fldChar w:fldCharType="separate"/>
        </w:r>
        <w:r w:rsidR="007040B4">
          <w:rPr>
            <w:noProof/>
          </w:rPr>
          <w:t>30</w:t>
        </w:r>
        <w:r w:rsidRPr="00F2724C">
          <w:rPr>
            <w:noProof/>
          </w:rPr>
          <w:fldChar w:fldCharType="end"/>
        </w:r>
      </w:p>
    </w:sdtContent>
  </w:sdt>
  <w:p w14:paraId="11B63057" w14:textId="77777777" w:rsidR="00D37139" w:rsidRDefault="00D37139" w:rsidP="000025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84AB3" w14:textId="4C110B75" w:rsidR="00D37139" w:rsidRDefault="00D37139">
    <w:pPr>
      <w:pStyle w:val="Footer"/>
    </w:pPr>
    <w:r>
      <w:rPr>
        <w:caps/>
        <w:noProof/>
        <w:lang w:eastAsia="en-AU"/>
      </w:rPr>
      <w:drawing>
        <wp:anchor distT="0" distB="0" distL="114300" distR="114300" simplePos="0" relativeHeight="251662336" behindDoc="0" locked="0" layoutInCell="1" allowOverlap="1" wp14:anchorId="25EBE1A1" wp14:editId="18D092A8">
          <wp:simplePos x="0" y="0"/>
          <wp:positionH relativeFrom="column">
            <wp:posOffset>3138863</wp:posOffset>
          </wp:positionH>
          <wp:positionV relativeFrom="paragraph">
            <wp:posOffset>-1207135</wp:posOffset>
          </wp:positionV>
          <wp:extent cx="2936469" cy="1305098"/>
          <wp:effectExtent l="0" t="0" r="0" b="9525"/>
          <wp:wrapNone/>
          <wp:docPr id="1" name="Picture 1" descr="Logo for the AlphaBeta Australia company who are apart of Acc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6469" cy="1305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7EB">
      <w:rPr>
        <w:rFonts w:ascii="Calibri" w:eastAsia="Times New Roman" w:hAnsi="Calibri" w:cs="Calibri"/>
        <w:b/>
        <w:bCs/>
        <w:i/>
        <w:caps/>
        <w:noProof/>
        <w:color w:val="4CB8C1"/>
        <w:sz w:val="60"/>
        <w:szCs w:val="56"/>
        <w:lang w:eastAsia="en-AU"/>
      </w:rPr>
      <mc:AlternateContent>
        <mc:Choice Requires="wps">
          <w:drawing>
            <wp:anchor distT="0" distB="0" distL="114300" distR="114300" simplePos="0" relativeHeight="251661312" behindDoc="0" locked="0" layoutInCell="1" allowOverlap="1" wp14:anchorId="79072386" wp14:editId="44F157AD">
              <wp:simplePos x="0" y="0"/>
              <wp:positionH relativeFrom="margin">
                <wp:posOffset>-1061720</wp:posOffset>
              </wp:positionH>
              <wp:positionV relativeFrom="paragraph">
                <wp:posOffset>-1217237</wp:posOffset>
              </wp:positionV>
              <wp:extent cx="7694295" cy="387350"/>
              <wp:effectExtent l="0" t="0" r="1905" b="0"/>
              <wp:wrapNone/>
              <wp:docPr id="196" name="Rectangle 196" descr="AlphaBeta logo" title="Cover page graphic"/>
              <wp:cNvGraphicFramePr/>
              <a:graphic xmlns:a="http://schemas.openxmlformats.org/drawingml/2006/main">
                <a:graphicData uri="http://schemas.microsoft.com/office/word/2010/wordprocessingShape">
                  <wps:wsp>
                    <wps:cNvSpPr/>
                    <wps:spPr>
                      <a:xfrm>
                        <a:off x="0" y="0"/>
                        <a:ext cx="7694295" cy="387350"/>
                      </a:xfrm>
                      <a:prstGeom prst="rect">
                        <a:avLst/>
                      </a:prstGeom>
                      <a:solidFill>
                        <a:srgbClr val="4CB8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16633" id="Rectangle 196" o:spid="_x0000_s1026" alt="Title: Cover page graphic - Description: AlphaBeta logo" style="position:absolute;margin-left:-83.6pt;margin-top:-95.85pt;width:605.85pt;height:3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" fillcolor="#4cb8c1" stroked="f" strokeweight="1pt">
              <w10:wrap anchorx="margin"/>
            </v:rect>
          </w:pict>
        </mc:Fallback>
      </mc:AlternateContent>
    </w:r>
    <w:r w:rsidRPr="00BF17EB">
      <w:rPr>
        <w:rFonts w:ascii="Calibri" w:eastAsia="Times New Roman" w:hAnsi="Calibri" w:cs="Calibri"/>
        <w:b/>
        <w:bCs/>
        <w:i/>
        <w:caps/>
        <w:noProof/>
        <w:color w:val="002060"/>
        <w:sz w:val="60"/>
        <w:szCs w:val="56"/>
        <w:lang w:eastAsia="en-AU"/>
      </w:rPr>
      <mc:AlternateContent>
        <mc:Choice Requires="wps">
          <w:drawing>
            <wp:anchor distT="0" distB="0" distL="114300" distR="114300" simplePos="0" relativeHeight="251658239" behindDoc="0" locked="0" layoutInCell="1" allowOverlap="1" wp14:anchorId="1C21180B" wp14:editId="7A6C44F1">
              <wp:simplePos x="0" y="0"/>
              <wp:positionH relativeFrom="page">
                <wp:align>right</wp:align>
              </wp:positionH>
              <wp:positionV relativeFrom="paragraph">
                <wp:posOffset>-970338</wp:posOffset>
              </wp:positionV>
              <wp:extent cx="7978967" cy="1476375"/>
              <wp:effectExtent l="0" t="0" r="3175" b="9525"/>
              <wp:wrapNone/>
              <wp:docPr id="197" name="Rectangle 197" descr="AlphaBeta logo" title="Cover page graphic"/>
              <wp:cNvGraphicFramePr/>
              <a:graphic xmlns:a="http://schemas.openxmlformats.org/drawingml/2006/main">
                <a:graphicData uri="http://schemas.microsoft.com/office/word/2010/wordprocessingShape">
                  <wps:wsp>
                    <wps:cNvSpPr/>
                    <wps:spPr>
                      <a:xfrm>
                        <a:off x="0" y="0"/>
                        <a:ext cx="7978967" cy="1476375"/>
                      </a:xfrm>
                      <a:prstGeom prst="rect">
                        <a:avLst/>
                      </a:prstGeom>
                      <a:solidFill>
                        <a:srgbClr val="19295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B6A3F" id="Rectangle 197" o:spid="_x0000_s1026" alt="Title: Cover page graphic - Description: AlphaBeta logo" style="position:absolute;margin-left:577.05pt;margin-top:-76.4pt;width:628.25pt;height:116.2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" fillcolor="#192958"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789891" w14:textId="77777777" w:rsidR="00D37139" w:rsidRDefault="00D37139" w:rsidP="00FD5388">
      <w:pPr>
        <w:spacing w:before="0" w:after="0" w:line="240" w:lineRule="auto"/>
      </w:pPr>
      <w:r>
        <w:separator/>
      </w:r>
    </w:p>
  </w:footnote>
  <w:footnote w:type="continuationSeparator" w:id="0">
    <w:p w14:paraId="4C0669DF" w14:textId="77777777" w:rsidR="00D37139" w:rsidRDefault="00D37139" w:rsidP="00FD5388">
      <w:pPr>
        <w:spacing w:before="0" w:after="0" w:line="240" w:lineRule="auto"/>
      </w:pPr>
      <w:r>
        <w:continuationSeparator/>
      </w:r>
    </w:p>
  </w:footnote>
  <w:footnote w:type="continuationNotice" w:id="1">
    <w:p w14:paraId="1EDAC843" w14:textId="77777777" w:rsidR="00D37139" w:rsidRDefault="00D37139">
      <w:pPr>
        <w:spacing w:before="0" w:after="0" w:line="240" w:lineRule="auto"/>
      </w:pPr>
    </w:p>
  </w:footnote>
  <w:footnote w:id="2">
    <w:p w14:paraId="0EDFAC0A" w14:textId="30431BDE" w:rsidR="00D37139" w:rsidRPr="00B95533" w:rsidRDefault="00D37139">
      <w:pPr>
        <w:pStyle w:val="FootnoteText"/>
        <w:rPr>
          <w:color w:val="auto"/>
        </w:rPr>
      </w:pPr>
      <w:r w:rsidRPr="00B95533">
        <w:rPr>
          <w:rStyle w:val="FootnoteReference"/>
          <w:color w:val="auto"/>
        </w:rPr>
        <w:footnoteRef/>
      </w:r>
      <w:r w:rsidRPr="00B95533">
        <w:rPr>
          <w:color w:val="auto"/>
        </w:rPr>
        <w:t xml:space="preserve"> Nous Group (2020), Australian space sector survey, June 2020.</w:t>
      </w:r>
    </w:p>
  </w:footnote>
  <w:footnote w:id="3">
    <w:p w14:paraId="3482E8E4" w14:textId="7BDCDA2F" w:rsidR="00D37139" w:rsidRPr="00B95533" w:rsidRDefault="00D37139">
      <w:pPr>
        <w:pStyle w:val="FootnoteText"/>
        <w:rPr>
          <w:color w:val="auto"/>
        </w:rPr>
      </w:pPr>
      <w:r w:rsidRPr="00B95533">
        <w:rPr>
          <w:rStyle w:val="FootnoteReference"/>
          <w:color w:val="auto"/>
        </w:rPr>
        <w:footnoteRef/>
      </w:r>
      <w:r w:rsidRPr="00B95533">
        <w:rPr>
          <w:color w:val="auto"/>
        </w:rPr>
        <w:t xml:space="preserve"> Ibid.</w:t>
      </w:r>
    </w:p>
  </w:footnote>
  <w:footnote w:id="4">
    <w:p w14:paraId="23B547A5" w14:textId="1990E0E7" w:rsidR="00D37139" w:rsidRDefault="00D37139" w:rsidP="00FF1D1C">
      <w:pPr>
        <w:pStyle w:val="FootnoteText"/>
      </w:pPr>
      <w:r w:rsidRPr="00B95533">
        <w:rPr>
          <w:rStyle w:val="FootnoteReference"/>
          <w:color w:val="auto"/>
        </w:rPr>
        <w:footnoteRef/>
      </w:r>
      <w:r w:rsidRPr="00B95533">
        <w:rPr>
          <w:color w:val="auto"/>
        </w:rPr>
        <w:t xml:space="preserve"> Space Capital (2020), Space Investment Quarterly: Q2 2020.</w:t>
      </w:r>
    </w:p>
  </w:footnote>
  <w:footnote w:id="5">
    <w:p w14:paraId="0F867E3C" w14:textId="5414D1C5" w:rsidR="00D37139" w:rsidRPr="00B95533" w:rsidRDefault="00D37139">
      <w:pPr>
        <w:pStyle w:val="FootnoteText"/>
        <w:rPr>
          <w:color w:val="auto"/>
        </w:rPr>
      </w:pPr>
      <w:r w:rsidRPr="00B95533">
        <w:rPr>
          <w:rStyle w:val="FootnoteReference"/>
          <w:color w:val="auto"/>
        </w:rPr>
        <w:footnoteRef/>
      </w:r>
      <w:r w:rsidRPr="00B95533">
        <w:rPr>
          <w:color w:val="auto"/>
        </w:rPr>
        <w:t xml:space="preserve"> The Hon. Karen Andrews MP (</w:t>
      </w:r>
      <w:hyperlink r:id="rId1" w:history="1">
        <w:r w:rsidRPr="00B95533">
          <w:rPr>
            <w:rStyle w:val="Hyperlink"/>
            <w:color w:val="auto"/>
          </w:rPr>
          <w:t>2020</w:t>
        </w:r>
      </w:hyperlink>
      <w:r w:rsidRPr="00B95533">
        <w:rPr>
          <w:color w:val="auto"/>
        </w:rPr>
        <w:t>), Media release: $11m space grants to boost businesses and local jobs.</w:t>
      </w:r>
    </w:p>
  </w:footnote>
  <w:footnote w:id="6">
    <w:p w14:paraId="3BCC0D5D" w14:textId="77777777" w:rsidR="00D37139" w:rsidRPr="00B95533" w:rsidRDefault="00D37139">
      <w:pPr>
        <w:pStyle w:val="FootnoteText"/>
        <w:rPr>
          <w:color w:val="auto"/>
          <w:lang w:val="en-GB"/>
        </w:rPr>
      </w:pPr>
      <w:r w:rsidRPr="00B95533">
        <w:rPr>
          <w:rStyle w:val="FootnoteReference"/>
          <w:color w:val="auto"/>
        </w:rPr>
        <w:footnoteRef/>
      </w:r>
      <w:r w:rsidRPr="00B95533">
        <w:rPr>
          <w:color w:val="auto"/>
        </w:rPr>
        <w:t xml:space="preserve"> Australian Space Agency (2019), Advancing Space: Australian Civil Space Strategy 2019 – 2028.</w:t>
      </w:r>
    </w:p>
  </w:footnote>
  <w:footnote w:id="7">
    <w:p w14:paraId="483B5159" w14:textId="3B94E1F4" w:rsidR="00D37139" w:rsidRDefault="00D37139">
      <w:pPr>
        <w:pStyle w:val="FootnoteText"/>
      </w:pPr>
      <w:r w:rsidRPr="00B95533">
        <w:rPr>
          <w:rStyle w:val="FootnoteReference"/>
          <w:color w:val="auto"/>
        </w:rPr>
        <w:footnoteRef/>
      </w:r>
      <w:r w:rsidRPr="00B95533">
        <w:rPr>
          <w:color w:val="auto"/>
        </w:rPr>
        <w:t xml:space="preserve"> Department of Industry, Science, Energy and Resources (2020), </w:t>
      </w:r>
      <w:hyperlink r:id="rId2" w:history="1">
        <w:r w:rsidRPr="00B95533">
          <w:rPr>
            <w:rStyle w:val="Hyperlink"/>
            <w:color w:val="auto"/>
          </w:rPr>
          <w:t>Modern Manufacturing Initiative and National Manufacturing Priorities</w:t>
        </w:r>
      </w:hyperlink>
      <w:r w:rsidRPr="00B95533">
        <w:rPr>
          <w:color w:val="auto"/>
        </w:rPr>
        <w:t>.</w:t>
      </w:r>
    </w:p>
  </w:footnote>
  <w:footnote w:id="8">
    <w:p w14:paraId="2145E39D" w14:textId="4DF9A5B7" w:rsidR="00D37139" w:rsidRDefault="00D37139">
      <w:pPr>
        <w:pStyle w:val="FootnoteText"/>
      </w:pPr>
      <w:r w:rsidRPr="00B95533">
        <w:rPr>
          <w:rStyle w:val="FootnoteReference"/>
          <w:color w:val="auto"/>
        </w:rPr>
        <w:footnoteRef/>
      </w:r>
      <w:r w:rsidRPr="00B95533">
        <w:rPr>
          <w:color w:val="auto"/>
        </w:rPr>
        <w:t xml:space="preserve"> Asia Pacific Aerospace Consultants Pty Ltd (APAC) (2015), A Selective Review of Australian Space Capabilities: Growth Opportunities in Global Supply Chains and Space Enabled Services.</w:t>
      </w:r>
    </w:p>
  </w:footnote>
  <w:footnote w:id="9">
    <w:p w14:paraId="172245F1" w14:textId="0E4930C3" w:rsidR="00D37139" w:rsidRPr="00B95533" w:rsidRDefault="00D37139">
      <w:pPr>
        <w:pStyle w:val="FootnoteText"/>
        <w:rPr>
          <w:color w:val="auto"/>
          <w:lang w:val="en-US"/>
        </w:rPr>
      </w:pPr>
      <w:r w:rsidRPr="00B95533">
        <w:rPr>
          <w:rStyle w:val="FootnoteReference"/>
          <w:color w:val="auto"/>
        </w:rPr>
        <w:footnoteRef/>
      </w:r>
      <w:r w:rsidRPr="00B95533">
        <w:rPr>
          <w:color w:val="auto"/>
        </w:rPr>
        <w:t xml:space="preserve"> Australian Space Agency (2019), Advancing Space: Australian Civil Space Strategy 2019 – 2028.</w:t>
      </w:r>
    </w:p>
  </w:footnote>
  <w:footnote w:id="10">
    <w:p w14:paraId="3623CCBA" w14:textId="1496461D" w:rsidR="00D37139" w:rsidRPr="00B95533" w:rsidRDefault="00D37139">
      <w:pPr>
        <w:pStyle w:val="FootnoteText"/>
        <w:rPr>
          <w:color w:val="auto"/>
          <w:lang w:val="en-GB"/>
        </w:rPr>
      </w:pPr>
      <w:r w:rsidRPr="00B95533">
        <w:rPr>
          <w:rStyle w:val="FootnoteReference"/>
          <w:color w:val="auto"/>
        </w:rPr>
        <w:footnoteRef/>
      </w:r>
      <w:r w:rsidRPr="00B95533">
        <w:rPr>
          <w:color w:val="auto"/>
        </w:rPr>
        <w:t xml:space="preserve"> </w:t>
      </w:r>
      <w:r w:rsidRPr="00B95533">
        <w:rPr>
          <w:color w:val="auto"/>
          <w:lang w:val="en-GB"/>
        </w:rPr>
        <w:t>Australian Space Agency (2020), 2018-19 Economic snapshot report of the Australian civil space sector.</w:t>
      </w:r>
    </w:p>
  </w:footnote>
  <w:footnote w:id="11">
    <w:p w14:paraId="2A719240" w14:textId="77777777" w:rsidR="00D37139" w:rsidRPr="00B95533" w:rsidRDefault="00D37139" w:rsidP="003B5B9F">
      <w:pPr>
        <w:pStyle w:val="FootnoteText"/>
        <w:rPr>
          <w:color w:val="auto"/>
          <w:lang w:val="en-GB"/>
        </w:rPr>
      </w:pPr>
      <w:r w:rsidRPr="00B95533">
        <w:rPr>
          <w:rStyle w:val="FootnoteReference"/>
          <w:color w:val="auto"/>
        </w:rPr>
        <w:footnoteRef/>
      </w:r>
      <w:r w:rsidRPr="00B95533">
        <w:rPr>
          <w:color w:val="auto"/>
        </w:rPr>
        <w:t xml:space="preserve"> Australian Space Agency (2019), Australian Civil Space Strategy 2019 – 2028; Department of Defence (2020), Strategic Update.</w:t>
      </w:r>
    </w:p>
  </w:footnote>
  <w:footnote w:id="12">
    <w:p w14:paraId="661D5A0E" w14:textId="6719A939" w:rsidR="00D37139" w:rsidRPr="00B95533" w:rsidRDefault="00D37139">
      <w:pPr>
        <w:pStyle w:val="FootnoteText"/>
        <w:rPr>
          <w:color w:val="auto"/>
        </w:rPr>
      </w:pPr>
      <w:r w:rsidRPr="00B95533">
        <w:rPr>
          <w:rStyle w:val="FootnoteReference"/>
          <w:color w:val="auto"/>
        </w:rPr>
        <w:footnoteRef/>
      </w:r>
      <w:r w:rsidRPr="00B95533">
        <w:rPr>
          <w:color w:val="auto"/>
        </w:rPr>
        <w:t xml:space="preserve"> Department of Industry, Science, Energy and Resources (2020), </w:t>
      </w:r>
      <w:hyperlink r:id="rId3" w:history="1">
        <w:r w:rsidRPr="0039358D">
          <w:rPr>
            <w:rStyle w:val="Hyperlink"/>
            <w:color w:val="auto"/>
            <w:u w:val="none"/>
          </w:rPr>
          <w:t>Modern Manufacturing Initiative and National Manufacturing Priorities</w:t>
        </w:r>
      </w:hyperlink>
      <w:r w:rsidRPr="0039358D">
        <w:rPr>
          <w:color w:val="auto"/>
        </w:rPr>
        <w:t>.</w:t>
      </w:r>
    </w:p>
  </w:footnote>
  <w:footnote w:id="13">
    <w:p w14:paraId="4362652B" w14:textId="77777777" w:rsidR="00D37139" w:rsidRPr="00B95533" w:rsidRDefault="00D37139" w:rsidP="00572617">
      <w:pPr>
        <w:pStyle w:val="FootnoteText"/>
        <w:rPr>
          <w:color w:val="auto"/>
        </w:rPr>
      </w:pPr>
      <w:r w:rsidRPr="00B95533">
        <w:rPr>
          <w:rStyle w:val="FootnoteReference"/>
          <w:color w:val="auto"/>
        </w:rPr>
        <w:footnoteRef/>
      </w:r>
      <w:r w:rsidRPr="00B95533">
        <w:rPr>
          <w:color w:val="auto"/>
        </w:rPr>
        <w:t xml:space="preserve"> In 2018, 114 satellites were launched, which is more than double the number launched in 2004. As of 2019, the number of active satellites is at an all-time high at over 2,514. In 2009, there were just 986 satellites, less than half as many. See Appendix for details.</w:t>
      </w:r>
    </w:p>
  </w:footnote>
  <w:footnote w:id="14">
    <w:p w14:paraId="294A2C44" w14:textId="5D290599" w:rsidR="00D37139" w:rsidRDefault="00D37139" w:rsidP="0031392A">
      <w:pPr>
        <w:pStyle w:val="FootnoteText"/>
      </w:pPr>
      <w:r w:rsidRPr="00B95533">
        <w:rPr>
          <w:rStyle w:val="FootnoteReference"/>
          <w:color w:val="auto"/>
        </w:rPr>
        <w:footnoteRef/>
      </w:r>
      <w:r w:rsidRPr="00B95533">
        <w:rPr>
          <w:color w:val="auto"/>
        </w:rPr>
        <w:t xml:space="preserve"> OECD (2019), The Space Economy in Figures.</w:t>
      </w:r>
    </w:p>
  </w:footnote>
  <w:footnote w:id="15">
    <w:p w14:paraId="61086F32" w14:textId="5A1737B8" w:rsidR="00D37139" w:rsidRDefault="00D37139">
      <w:pPr>
        <w:pStyle w:val="FootnoteText"/>
      </w:pPr>
      <w:r w:rsidRPr="00B95533">
        <w:rPr>
          <w:rStyle w:val="FootnoteReference"/>
          <w:color w:val="auto"/>
        </w:rPr>
        <w:footnoteRef/>
      </w:r>
      <w:r w:rsidRPr="00B95533">
        <w:rPr>
          <w:color w:val="auto"/>
        </w:rPr>
        <w:t xml:space="preserve"> Australian Space Agency (2019), Australian Civil Space Strategy 2019 – 2028.</w:t>
      </w:r>
    </w:p>
  </w:footnote>
  <w:footnote w:id="16">
    <w:p w14:paraId="7DBCDB60" w14:textId="4097D300" w:rsidR="00D37139" w:rsidRPr="00B95533" w:rsidRDefault="00D37139" w:rsidP="00CB19F5">
      <w:pPr>
        <w:pStyle w:val="FootnoteText"/>
        <w:rPr>
          <w:color w:val="auto"/>
          <w:lang w:val="en-GB"/>
        </w:rPr>
      </w:pPr>
      <w:r w:rsidRPr="00B95533">
        <w:rPr>
          <w:rStyle w:val="FootnoteReference"/>
          <w:color w:val="auto"/>
        </w:rPr>
        <w:footnoteRef/>
      </w:r>
      <w:r w:rsidRPr="00B95533">
        <w:rPr>
          <w:color w:val="auto"/>
        </w:rPr>
        <w:t xml:space="preserve"> Bryce Space and Technology (2017), Global Space Industry Dynamics (Research Paper for Australian Government, Department of Industry, Innovation and Science).</w:t>
      </w:r>
    </w:p>
  </w:footnote>
  <w:footnote w:id="17">
    <w:p w14:paraId="0106A29C" w14:textId="34B9F8A9" w:rsidR="00D37139" w:rsidRPr="00B95533" w:rsidRDefault="00D37139">
      <w:pPr>
        <w:pStyle w:val="FootnoteText"/>
        <w:rPr>
          <w:color w:val="auto"/>
        </w:rPr>
      </w:pPr>
      <w:r w:rsidRPr="00B95533">
        <w:rPr>
          <w:rStyle w:val="FootnoteReference"/>
          <w:color w:val="auto"/>
        </w:rPr>
        <w:footnoteRef/>
      </w:r>
      <w:r w:rsidRPr="00B95533">
        <w:rPr>
          <w:color w:val="auto"/>
        </w:rPr>
        <w:t xml:space="preserve"> Space Capital (2020), Space Investment Quarterly: Q2 2020.</w:t>
      </w:r>
    </w:p>
  </w:footnote>
  <w:footnote w:id="18">
    <w:p w14:paraId="5138F2AD" w14:textId="63663E9C" w:rsidR="00D37139" w:rsidRPr="00B95533" w:rsidRDefault="00D37139">
      <w:pPr>
        <w:pStyle w:val="FootnoteText"/>
        <w:rPr>
          <w:color w:val="auto"/>
          <w:lang w:val="en-GB"/>
        </w:rPr>
      </w:pPr>
      <w:r w:rsidRPr="00B95533">
        <w:rPr>
          <w:rStyle w:val="FootnoteReference"/>
          <w:color w:val="auto"/>
        </w:rPr>
        <w:footnoteRef/>
      </w:r>
      <w:r w:rsidRPr="00B95533">
        <w:rPr>
          <w:color w:val="auto"/>
        </w:rPr>
        <w:t xml:space="preserve"> </w:t>
      </w:r>
      <w:r w:rsidRPr="00B95533">
        <w:rPr>
          <w:color w:val="auto"/>
          <w:lang w:val="en-GB"/>
        </w:rPr>
        <w:t>OECD (2019), The Space Economy in Figures. The 49 countries with the largest space programs were estimated to spend US$1.53 billion in total, based on national budgets.</w:t>
      </w:r>
    </w:p>
  </w:footnote>
  <w:footnote w:id="19">
    <w:p w14:paraId="10C2B9FB" w14:textId="77777777" w:rsidR="00D37139" w:rsidRPr="00B95533" w:rsidRDefault="00D37139" w:rsidP="00AA748C">
      <w:pPr>
        <w:pStyle w:val="FootnoteText"/>
        <w:rPr>
          <w:color w:val="auto"/>
        </w:rPr>
      </w:pPr>
      <w:r w:rsidRPr="00B95533">
        <w:rPr>
          <w:rStyle w:val="FootnoteReference"/>
          <w:color w:val="auto"/>
        </w:rPr>
        <w:footnoteRef/>
      </w:r>
      <w:r w:rsidRPr="00B95533">
        <w:rPr>
          <w:color w:val="auto"/>
        </w:rPr>
        <w:t xml:space="preserve"> ABS (2020) 1345.0 Key Economic Indicators and ABS (2020) 5206.0 Australian National Accounts. Australian GDP was $1.887 trillion in 2018-19. Australian Space Agency (2019), Advancing Space: Australian Civil Space Strategy 2019 – 2028. </w:t>
      </w:r>
    </w:p>
  </w:footnote>
  <w:footnote w:id="20">
    <w:p w14:paraId="0467BAB7" w14:textId="0BFE7FC5" w:rsidR="00D37139" w:rsidRPr="00B95533" w:rsidRDefault="00D37139" w:rsidP="005D5E96">
      <w:pPr>
        <w:pStyle w:val="FootnoteText"/>
        <w:rPr>
          <w:color w:val="auto"/>
        </w:rPr>
      </w:pPr>
      <w:r w:rsidRPr="00B95533">
        <w:rPr>
          <w:rStyle w:val="FootnoteReference"/>
          <w:color w:val="auto"/>
        </w:rPr>
        <w:footnoteRef/>
      </w:r>
      <w:r w:rsidRPr="00B95533">
        <w:rPr>
          <w:color w:val="auto"/>
        </w:rPr>
        <w:t xml:space="preserve"> Bryce Space and Technology (2020), 2019 Global Space Economy at a Glance; Bryce Space and Technology (2017), Global Space Industry Dynamics (Research Paper for Australian Government, Department of Industry, Innovation and Science).</w:t>
      </w:r>
    </w:p>
  </w:footnote>
  <w:footnote w:id="21">
    <w:p w14:paraId="2634652E" w14:textId="5D85308D" w:rsidR="00D37139" w:rsidRPr="00B95533" w:rsidRDefault="00D37139">
      <w:pPr>
        <w:pStyle w:val="FootnoteText"/>
        <w:rPr>
          <w:color w:val="auto"/>
        </w:rPr>
      </w:pPr>
      <w:r w:rsidRPr="00B95533">
        <w:rPr>
          <w:rStyle w:val="FootnoteReference"/>
          <w:color w:val="auto"/>
        </w:rPr>
        <w:footnoteRef/>
      </w:r>
      <w:r w:rsidRPr="00B95533">
        <w:rPr>
          <w:color w:val="auto"/>
        </w:rPr>
        <w:t xml:space="preserve"> OECD (2020) OECD Policy Reponses to Coronavirus (COVID-19): the impacts of COVID-19 on the space industry.</w:t>
      </w:r>
    </w:p>
  </w:footnote>
  <w:footnote w:id="22">
    <w:p w14:paraId="3E0B082E" w14:textId="77777777" w:rsidR="00D37139" w:rsidRPr="00B95533" w:rsidRDefault="00D37139" w:rsidP="00313D81">
      <w:pPr>
        <w:pStyle w:val="FootnoteText"/>
        <w:rPr>
          <w:color w:val="auto"/>
          <w:lang w:val="en-GB"/>
        </w:rPr>
      </w:pPr>
      <w:r w:rsidRPr="00B95533">
        <w:rPr>
          <w:rStyle w:val="FootnoteReference"/>
          <w:color w:val="auto"/>
        </w:rPr>
        <w:footnoteRef/>
      </w:r>
      <w:r w:rsidRPr="00B95533">
        <w:rPr>
          <w:color w:val="auto"/>
        </w:rPr>
        <w:t xml:space="preserve"> </w:t>
      </w:r>
      <w:r w:rsidRPr="00B95533">
        <w:rPr>
          <w:color w:val="auto"/>
          <w:lang w:val="en-GB"/>
        </w:rPr>
        <w:t xml:space="preserve">London Economics for the UK Space Agency (2016), </w:t>
      </w:r>
      <w:r w:rsidRPr="00B95533">
        <w:rPr>
          <w:color w:val="auto"/>
        </w:rPr>
        <w:t>Summary Report: The Size &amp; Health of the UK Space Industry.</w:t>
      </w:r>
    </w:p>
  </w:footnote>
  <w:footnote w:id="23">
    <w:p w14:paraId="4845B024" w14:textId="77777777" w:rsidR="00D37139" w:rsidRPr="00C93591" w:rsidRDefault="00D37139" w:rsidP="00313D81">
      <w:pPr>
        <w:pStyle w:val="FootnoteText"/>
        <w:rPr>
          <w:lang w:val="en-GB"/>
        </w:rPr>
      </w:pPr>
      <w:r w:rsidRPr="00B95533">
        <w:rPr>
          <w:rStyle w:val="FootnoteReference"/>
          <w:color w:val="auto"/>
        </w:rPr>
        <w:footnoteRef/>
      </w:r>
      <w:r w:rsidRPr="00B95533">
        <w:rPr>
          <w:color w:val="auto"/>
        </w:rPr>
        <w:t xml:space="preserve"> Minister of Innovation, Science and Economic Development (2019), Exploration Imagination Innovation: A New Space Strategy for Canada.</w:t>
      </w:r>
    </w:p>
  </w:footnote>
  <w:footnote w:id="24">
    <w:p w14:paraId="34833058" w14:textId="640C798F" w:rsidR="00D37139" w:rsidRPr="00B95533" w:rsidRDefault="00D37139" w:rsidP="00E72241">
      <w:pPr>
        <w:pStyle w:val="FootnoteText"/>
        <w:rPr>
          <w:color w:val="auto"/>
        </w:rPr>
      </w:pPr>
      <w:r w:rsidRPr="00B95533">
        <w:rPr>
          <w:rStyle w:val="FootnoteReference"/>
          <w:color w:val="auto"/>
        </w:rPr>
        <w:footnoteRef/>
      </w:r>
      <w:r w:rsidRPr="00B95533">
        <w:rPr>
          <w:color w:val="auto"/>
        </w:rPr>
        <w:t xml:space="preserve"> There are several ways to define the space economy, but consensus is coalescing around the OECD’s definition that it encompasses the full range of activities and the use of resources that create and provide value and benefits to human beings in the course of exploring, understanding, managing and utilising space, with the Australian, New Zealand, and British governments adopting it. The space sector is a part of the space economy. The firms that serve the sector includes a ‘vertical’ set of firms that focus wholly on space-related activities and also a ‘horizontal’ of firms that performs both space and non-space activities.</w:t>
      </w:r>
    </w:p>
  </w:footnote>
  <w:footnote w:id="25">
    <w:p w14:paraId="21E77A53" w14:textId="1B867E25" w:rsidR="00D37139" w:rsidRPr="00B95533" w:rsidRDefault="00D37139">
      <w:pPr>
        <w:pStyle w:val="FootnoteText"/>
        <w:rPr>
          <w:color w:val="auto"/>
        </w:rPr>
      </w:pPr>
      <w:r w:rsidRPr="00B95533">
        <w:rPr>
          <w:rStyle w:val="FootnoteReference"/>
          <w:color w:val="auto"/>
        </w:rPr>
        <w:footnoteRef/>
      </w:r>
      <w:r w:rsidRPr="00B95533">
        <w:rPr>
          <w:color w:val="auto"/>
        </w:rPr>
        <w:t xml:space="preserve"> Australian Space Agency (</w:t>
      </w:r>
      <w:hyperlink r:id="rId4" w:history="1">
        <w:r w:rsidRPr="00B95533">
          <w:rPr>
            <w:rStyle w:val="Hyperlink"/>
            <w:color w:val="auto"/>
          </w:rPr>
          <w:t>2020</w:t>
        </w:r>
      </w:hyperlink>
      <w:r w:rsidRPr="00B95533">
        <w:rPr>
          <w:color w:val="auto"/>
        </w:rPr>
        <w:t>), Defining the Australian space sector.</w:t>
      </w:r>
    </w:p>
  </w:footnote>
  <w:footnote w:id="26">
    <w:p w14:paraId="27E25C96" w14:textId="77777777" w:rsidR="00D37139" w:rsidRPr="00B95533" w:rsidRDefault="00D37139" w:rsidP="00C425BE">
      <w:pPr>
        <w:pStyle w:val="FootnoteText"/>
        <w:rPr>
          <w:color w:val="auto"/>
          <w:lang w:val="en-GB"/>
        </w:rPr>
      </w:pPr>
      <w:r w:rsidRPr="00B95533">
        <w:rPr>
          <w:rStyle w:val="FootnoteReference"/>
          <w:color w:val="auto"/>
        </w:rPr>
        <w:footnoteRef/>
      </w:r>
      <w:r w:rsidRPr="00B95533">
        <w:rPr>
          <w:color w:val="auto"/>
        </w:rPr>
        <w:t xml:space="preserve"> </w:t>
      </w:r>
      <w:r w:rsidRPr="00B95533">
        <w:rPr>
          <w:color w:val="auto"/>
          <w:lang w:val="en-GB"/>
        </w:rPr>
        <w:t>OECD (2019), The Space Economy In Figures: How Space Contributes To The Global Economy.</w:t>
      </w:r>
    </w:p>
  </w:footnote>
  <w:footnote w:id="27">
    <w:p w14:paraId="3206BE4F" w14:textId="12E84FD6" w:rsidR="00D37139" w:rsidRPr="00B95533" w:rsidRDefault="00D37139">
      <w:pPr>
        <w:pStyle w:val="FootnoteText"/>
        <w:rPr>
          <w:color w:val="auto"/>
        </w:rPr>
      </w:pPr>
      <w:r w:rsidRPr="00B95533">
        <w:rPr>
          <w:rStyle w:val="FootnoteReference"/>
          <w:color w:val="auto"/>
        </w:rPr>
        <w:footnoteRef/>
      </w:r>
      <w:r w:rsidRPr="00B95533">
        <w:rPr>
          <w:color w:val="auto"/>
        </w:rPr>
        <w:t xml:space="preserve"> AlphaBeta 2019 space database.</w:t>
      </w:r>
    </w:p>
  </w:footnote>
  <w:footnote w:id="28">
    <w:p w14:paraId="47BFB20B" w14:textId="411A4F16" w:rsidR="00D37139" w:rsidRPr="00B95533" w:rsidRDefault="00D37139" w:rsidP="000B5AEE">
      <w:pPr>
        <w:pStyle w:val="FootnoteText"/>
        <w:rPr>
          <w:color w:val="auto"/>
        </w:rPr>
      </w:pPr>
      <w:r w:rsidRPr="00B95533">
        <w:rPr>
          <w:rStyle w:val="FootnoteReference"/>
          <w:color w:val="auto"/>
        </w:rPr>
        <w:footnoteRef/>
      </w:r>
      <w:r w:rsidRPr="00B95533">
        <w:rPr>
          <w:color w:val="auto"/>
        </w:rPr>
        <w:t xml:space="preserve"> UK Space Agency and London Economics (2019), Size &amp; Health of the UK Space Industry; Canadian Space Agency (2019) Canada’s Space Strategy.</w:t>
      </w:r>
    </w:p>
  </w:footnote>
  <w:footnote w:id="29">
    <w:p w14:paraId="201E2591" w14:textId="11108C9F" w:rsidR="00D37139" w:rsidRPr="00B95533" w:rsidRDefault="00D37139">
      <w:pPr>
        <w:pStyle w:val="FootnoteText"/>
        <w:rPr>
          <w:color w:val="auto"/>
        </w:rPr>
      </w:pPr>
      <w:r w:rsidRPr="00B95533">
        <w:rPr>
          <w:rStyle w:val="FootnoteReference"/>
          <w:color w:val="auto"/>
        </w:rPr>
        <w:footnoteRef/>
      </w:r>
      <w:r w:rsidRPr="00B95533">
        <w:rPr>
          <w:color w:val="auto"/>
        </w:rPr>
        <w:t xml:space="preserve"> Nous Group (2020), Australian space sector survey, June 2020.</w:t>
      </w:r>
    </w:p>
  </w:footnote>
  <w:footnote w:id="30">
    <w:p w14:paraId="3F93EFC9" w14:textId="1A3FB76B" w:rsidR="00D37139" w:rsidRPr="00B95533" w:rsidRDefault="00D37139" w:rsidP="00D21663">
      <w:pPr>
        <w:pStyle w:val="FootnoteText"/>
        <w:rPr>
          <w:color w:val="auto"/>
        </w:rPr>
      </w:pPr>
      <w:r w:rsidRPr="00B95533">
        <w:rPr>
          <w:rStyle w:val="FootnoteReference"/>
          <w:color w:val="auto"/>
        </w:rPr>
        <w:footnoteRef/>
      </w:r>
      <w:r w:rsidRPr="00B95533">
        <w:rPr>
          <w:color w:val="auto"/>
        </w:rPr>
        <w:t xml:space="preserve"> Australian GDP was $1.887 trillion in 2018-19 and $1.798 trillion in 2016-17, an increase of 4.9%: ABS (2020) 1345.0 Key Economic Indicators and ABS (2020) 5206.0 Australian National Accounts.</w:t>
      </w:r>
    </w:p>
  </w:footnote>
  <w:footnote w:id="31">
    <w:p w14:paraId="0A029362" w14:textId="7355F08C" w:rsidR="00D37139" w:rsidRPr="00B95533" w:rsidRDefault="00D37139">
      <w:pPr>
        <w:pStyle w:val="FootnoteText"/>
        <w:rPr>
          <w:color w:val="auto"/>
        </w:rPr>
      </w:pPr>
      <w:r w:rsidRPr="00B95533">
        <w:rPr>
          <w:rStyle w:val="FootnoteReference"/>
          <w:color w:val="auto"/>
        </w:rPr>
        <w:footnoteRef/>
      </w:r>
      <w:r w:rsidRPr="00B95533">
        <w:rPr>
          <w:color w:val="auto"/>
        </w:rPr>
        <w:t xml:space="preserve"> This report broadly covers the local space sector but does not explicit use the Australian Space Agency’s definition of the space sector.</w:t>
      </w:r>
    </w:p>
  </w:footnote>
  <w:footnote w:id="32">
    <w:p w14:paraId="2962D022" w14:textId="196C47D5" w:rsidR="00D37139" w:rsidRPr="00947A8A" w:rsidRDefault="00D37139">
      <w:pPr>
        <w:pStyle w:val="FootnoteText"/>
        <w:rPr>
          <w:lang w:val="en-GB"/>
        </w:rPr>
      </w:pPr>
      <w:r w:rsidRPr="00B95533">
        <w:rPr>
          <w:rStyle w:val="FootnoteReference"/>
          <w:color w:val="auto"/>
        </w:rPr>
        <w:footnoteRef/>
      </w:r>
      <w:r w:rsidRPr="00B95533">
        <w:rPr>
          <w:color w:val="auto"/>
        </w:rPr>
        <w:t xml:space="preserve"> </w:t>
      </w:r>
      <w:r w:rsidRPr="00B95533">
        <w:rPr>
          <w:color w:val="auto"/>
          <w:lang w:val="en-GB"/>
        </w:rPr>
        <w:t xml:space="preserve">Ibis World (2020), Satellite Communications and Astronautics in Australia OD5545. This report estimates a higher level of sector revenue, at $5.2 billion in 2018-19. </w:t>
      </w:r>
    </w:p>
  </w:footnote>
  <w:footnote w:id="33">
    <w:p w14:paraId="363210B4" w14:textId="0DCB628A" w:rsidR="00D37139" w:rsidRPr="00CF16C7" w:rsidRDefault="00D37139" w:rsidP="005E2C9B">
      <w:pPr>
        <w:pStyle w:val="FootnoteText"/>
        <w:rPr>
          <w:color w:val="auto"/>
          <w:lang w:val="en-GB"/>
        </w:rPr>
      </w:pPr>
      <w:r w:rsidRPr="00CF16C7">
        <w:rPr>
          <w:rStyle w:val="FootnoteReference"/>
          <w:color w:val="auto"/>
        </w:rPr>
        <w:footnoteRef/>
      </w:r>
      <w:r w:rsidRPr="00CF16C7">
        <w:rPr>
          <w:color w:val="auto"/>
        </w:rPr>
        <w:t xml:space="preserve"> </w:t>
      </w:r>
      <w:r w:rsidRPr="00CF16C7">
        <w:rPr>
          <w:color w:val="auto"/>
          <w:lang w:val="en-GB"/>
        </w:rPr>
        <w:t>Ibis World (2020), Biotechnology in Australia and Medical and Surgical Equipment Manufacturing in Australia;</w:t>
      </w:r>
    </w:p>
  </w:footnote>
  <w:footnote w:id="34">
    <w:p w14:paraId="7A7C149A" w14:textId="4FBA3E4F" w:rsidR="00D37139" w:rsidRPr="00B95533" w:rsidRDefault="00D37139" w:rsidP="00B1408D">
      <w:pPr>
        <w:pStyle w:val="FootnoteText"/>
        <w:rPr>
          <w:color w:val="auto"/>
        </w:rPr>
      </w:pPr>
      <w:r w:rsidRPr="00B95533">
        <w:rPr>
          <w:rStyle w:val="FootnoteReference"/>
          <w:color w:val="auto"/>
        </w:rPr>
        <w:footnoteRef/>
      </w:r>
      <w:r w:rsidRPr="00B95533">
        <w:rPr>
          <w:color w:val="auto"/>
        </w:rPr>
        <w:t xml:space="preserve"> Canadian Space Agency (</w:t>
      </w:r>
      <w:hyperlink r:id="rId5" w:history="1">
        <w:r w:rsidRPr="00B95533">
          <w:rPr>
            <w:rStyle w:val="Hyperlink"/>
            <w:color w:val="auto"/>
          </w:rPr>
          <w:t>2020</w:t>
        </w:r>
      </w:hyperlink>
      <w:r w:rsidRPr="00B95533">
        <w:rPr>
          <w:color w:val="auto"/>
        </w:rPr>
        <w:t>), Canadian Space Sector Report 2019</w:t>
      </w:r>
      <w:r w:rsidRPr="00B95533">
        <w:rPr>
          <w:color w:val="auto"/>
          <w:lang w:val="en"/>
        </w:rPr>
        <w:t>.</w:t>
      </w:r>
      <w:r w:rsidRPr="00B95533">
        <w:rPr>
          <w:color w:val="auto"/>
        </w:rPr>
        <w:t xml:space="preserve"> </w:t>
      </w:r>
    </w:p>
  </w:footnote>
  <w:footnote w:id="35">
    <w:p w14:paraId="1BD2FC30" w14:textId="67B6DC6B" w:rsidR="00D37139" w:rsidRPr="00B95533" w:rsidRDefault="00D37139">
      <w:pPr>
        <w:pStyle w:val="FootnoteText"/>
        <w:rPr>
          <w:color w:val="auto"/>
        </w:rPr>
      </w:pPr>
      <w:r w:rsidRPr="00B95533">
        <w:rPr>
          <w:rStyle w:val="FootnoteReference"/>
          <w:color w:val="auto"/>
        </w:rPr>
        <w:footnoteRef/>
      </w:r>
      <w:r w:rsidRPr="00B95533">
        <w:rPr>
          <w:color w:val="auto"/>
        </w:rPr>
        <w:t xml:space="preserve"> Department of Industry, ACIL Allen (</w:t>
      </w:r>
      <w:hyperlink r:id="rId6" w:history="1">
        <w:r w:rsidRPr="00B95533">
          <w:rPr>
            <w:rStyle w:val="Hyperlink"/>
            <w:color w:val="auto"/>
          </w:rPr>
          <w:t>2018</w:t>
        </w:r>
      </w:hyperlink>
      <w:r w:rsidRPr="00B95533">
        <w:rPr>
          <w:color w:val="auto"/>
        </w:rPr>
        <w:t>), Review of Australia’s Space Industry Capability</w:t>
      </w:r>
      <w:r w:rsidRPr="00B95533">
        <w:rPr>
          <w:color w:val="auto"/>
          <w:lang w:val="en"/>
        </w:rPr>
        <w:t xml:space="preserve">; </w:t>
      </w:r>
      <w:r w:rsidRPr="00B95533">
        <w:rPr>
          <w:color w:val="auto"/>
        </w:rPr>
        <w:t xml:space="preserve">Ibis World (2019), </w:t>
      </w:r>
      <w:r w:rsidRPr="00B95533">
        <w:rPr>
          <w:color w:val="auto"/>
          <w:lang w:val="en-GB"/>
        </w:rPr>
        <w:t>Satellite Communications and Astronautics in Australia OD5545.</w:t>
      </w:r>
    </w:p>
  </w:footnote>
  <w:footnote w:id="36">
    <w:p w14:paraId="08218094" w14:textId="4FAE37CB" w:rsidR="00D37139" w:rsidRPr="00B95533" w:rsidRDefault="00D37139" w:rsidP="00BB74E6">
      <w:pPr>
        <w:pStyle w:val="FootnoteText"/>
        <w:rPr>
          <w:color w:val="auto"/>
        </w:rPr>
      </w:pPr>
      <w:r w:rsidRPr="00B95533">
        <w:rPr>
          <w:rStyle w:val="FootnoteReference"/>
          <w:color w:val="auto"/>
        </w:rPr>
        <w:footnoteRef/>
      </w:r>
      <w:r w:rsidRPr="00B95533">
        <w:rPr>
          <w:color w:val="auto"/>
        </w:rPr>
        <w:t xml:space="preserve"> Business Insider (</w:t>
      </w:r>
      <w:hyperlink r:id="rId7" w:history="1">
        <w:r w:rsidRPr="00B95533">
          <w:rPr>
            <w:rStyle w:val="Hyperlink"/>
            <w:color w:val="auto"/>
          </w:rPr>
          <w:t>2017</w:t>
        </w:r>
      </w:hyperlink>
      <w:r w:rsidRPr="00B95533">
        <w:rPr>
          <w:color w:val="auto"/>
        </w:rPr>
        <w:t>), Telstra is cutting 2,800 staff; The Guardian (</w:t>
      </w:r>
      <w:hyperlink r:id="rId8" w:history="1">
        <w:r w:rsidRPr="00B95533">
          <w:rPr>
            <w:rStyle w:val="Hyperlink"/>
            <w:color w:val="auto"/>
          </w:rPr>
          <w:t>2018</w:t>
        </w:r>
      </w:hyperlink>
      <w:r w:rsidRPr="00B95533">
        <w:rPr>
          <w:color w:val="auto"/>
        </w:rPr>
        <w:t>), Telstra to cut 8,000 jobs in major restructure; ABC News (</w:t>
      </w:r>
      <w:hyperlink r:id="rId9" w:anchor=":~:text=Optus%20has%20confirmed%20it%20will,%22%2C%20a%20company%20spokesperson%20said." w:history="1">
        <w:r w:rsidRPr="00B95533">
          <w:rPr>
            <w:rStyle w:val="Hyperlink"/>
            <w:color w:val="auto"/>
          </w:rPr>
          <w:t>2018</w:t>
        </w:r>
      </w:hyperlink>
      <w:r w:rsidRPr="00B95533">
        <w:rPr>
          <w:color w:val="auto"/>
        </w:rPr>
        <w:t>), Optus to sack 400 workers</w:t>
      </w:r>
      <w:r w:rsidRPr="00B95533">
        <w:rPr>
          <w:color w:val="auto"/>
          <w:lang w:val="en"/>
        </w:rPr>
        <w:t>.</w:t>
      </w:r>
    </w:p>
  </w:footnote>
  <w:footnote w:id="37">
    <w:p w14:paraId="084E57A7" w14:textId="699F41EE" w:rsidR="00D37139" w:rsidRDefault="00D37139" w:rsidP="00BB74E6">
      <w:pPr>
        <w:pStyle w:val="FootnoteText"/>
      </w:pPr>
      <w:r w:rsidRPr="00B95533">
        <w:rPr>
          <w:rStyle w:val="FootnoteReference"/>
          <w:color w:val="auto"/>
        </w:rPr>
        <w:footnoteRef/>
      </w:r>
      <w:r w:rsidRPr="00B95533">
        <w:rPr>
          <w:color w:val="auto"/>
        </w:rPr>
        <w:t xml:space="preserve"> AFR (</w:t>
      </w:r>
      <w:hyperlink r:id="rId10" w:history="1">
        <w:r w:rsidRPr="00B95533">
          <w:rPr>
            <w:rStyle w:val="Hyperlink"/>
            <w:color w:val="auto"/>
          </w:rPr>
          <w:t>2020</w:t>
        </w:r>
      </w:hyperlink>
      <w:r w:rsidRPr="00B95533">
        <w:rPr>
          <w:color w:val="auto"/>
        </w:rPr>
        <w:t>), Foxtel cuts 200 jobs, stands down 140 more</w:t>
      </w:r>
      <w:r w:rsidRPr="00B95533">
        <w:rPr>
          <w:color w:val="auto"/>
          <w:lang w:val="en"/>
        </w:rPr>
        <w:t>.</w:t>
      </w:r>
    </w:p>
  </w:footnote>
  <w:footnote w:id="38">
    <w:p w14:paraId="408569C0" w14:textId="1DB149D7" w:rsidR="00D37139" w:rsidRPr="00B95533" w:rsidRDefault="00D37139" w:rsidP="00BB74E6">
      <w:pPr>
        <w:pStyle w:val="FootnoteText"/>
        <w:rPr>
          <w:color w:val="auto"/>
        </w:rPr>
      </w:pPr>
      <w:r w:rsidRPr="00B95533">
        <w:rPr>
          <w:rStyle w:val="FootnoteReference"/>
          <w:color w:val="auto"/>
        </w:rPr>
        <w:footnoteRef/>
      </w:r>
      <w:r w:rsidRPr="00B95533">
        <w:rPr>
          <w:color w:val="auto"/>
        </w:rPr>
        <w:t xml:space="preserve"> Nous Group (2020), Australian space sector survey, June 2020.</w:t>
      </w:r>
    </w:p>
  </w:footnote>
  <w:footnote w:id="39">
    <w:p w14:paraId="37B99C60" w14:textId="77777777" w:rsidR="00D37139" w:rsidRPr="00B95533" w:rsidRDefault="00D37139" w:rsidP="001561F7">
      <w:pPr>
        <w:pStyle w:val="FootnoteText"/>
        <w:rPr>
          <w:color w:val="auto"/>
          <w:lang w:val="en-GB"/>
        </w:rPr>
      </w:pPr>
      <w:r w:rsidRPr="00B95533">
        <w:rPr>
          <w:rStyle w:val="FootnoteReference"/>
          <w:color w:val="auto"/>
        </w:rPr>
        <w:footnoteRef/>
      </w:r>
      <w:r w:rsidRPr="00B95533">
        <w:rPr>
          <w:color w:val="auto"/>
        </w:rPr>
        <w:t xml:space="preserve"> Annual p</w:t>
      </w:r>
      <w:r w:rsidRPr="00B95533">
        <w:rPr>
          <w:color w:val="auto"/>
          <w:lang w:val="en-GB"/>
        </w:rPr>
        <w:t>rofit margin growth 2015-2025 of 0.2%: Ibis World (2020), Satellite Communications and Astronautics in Australia OD5545.</w:t>
      </w:r>
    </w:p>
  </w:footnote>
  <w:footnote w:id="40">
    <w:p w14:paraId="66B0F274" w14:textId="77777777" w:rsidR="00D37139" w:rsidRPr="00B95533" w:rsidRDefault="00D37139">
      <w:pPr>
        <w:pStyle w:val="FootnoteText"/>
        <w:rPr>
          <w:color w:val="auto"/>
          <w:lang w:val="en-GB"/>
        </w:rPr>
      </w:pPr>
      <w:r w:rsidRPr="00B95533">
        <w:rPr>
          <w:rStyle w:val="FootnoteReference"/>
          <w:color w:val="auto"/>
        </w:rPr>
        <w:footnoteRef/>
      </w:r>
      <w:r w:rsidRPr="00B95533">
        <w:rPr>
          <w:color w:val="auto"/>
        </w:rPr>
        <w:t xml:space="preserve"> </w:t>
      </w:r>
      <w:r w:rsidRPr="00B95533">
        <w:rPr>
          <w:rFonts w:ascii="Calibri" w:hAnsi="Calibri" w:cs="Calibri"/>
          <w:color w:val="auto"/>
        </w:rPr>
        <w:t>OECD (2019), The Space Economy in Figures.</w:t>
      </w:r>
    </w:p>
  </w:footnote>
  <w:footnote w:id="41">
    <w:p w14:paraId="2D523557" w14:textId="5ED5EAE8" w:rsidR="00D37139" w:rsidRPr="00B95533" w:rsidRDefault="00D37139">
      <w:pPr>
        <w:pStyle w:val="FootnoteText"/>
        <w:rPr>
          <w:color w:val="auto"/>
          <w:lang w:val="en-GB"/>
        </w:rPr>
      </w:pPr>
      <w:r w:rsidRPr="00B95533">
        <w:rPr>
          <w:rStyle w:val="FootnoteReference"/>
          <w:color w:val="auto"/>
        </w:rPr>
        <w:footnoteRef/>
      </w:r>
      <w:r w:rsidRPr="00B95533">
        <w:rPr>
          <w:color w:val="auto"/>
        </w:rPr>
        <w:t xml:space="preserve"> Bryce Space and Technology (2019), Global Space Industry Dynamics: Research Paper for Australian Government, Department of Industry, Innovation and Science.</w:t>
      </w:r>
    </w:p>
  </w:footnote>
  <w:footnote w:id="42">
    <w:p w14:paraId="45D52558" w14:textId="4FA1BE04" w:rsidR="00D37139" w:rsidRPr="00AE3F04" w:rsidRDefault="00D37139" w:rsidP="00283B3B">
      <w:pPr>
        <w:pStyle w:val="FootnoteText"/>
        <w:rPr>
          <w:lang w:val="en-GB"/>
        </w:rPr>
      </w:pPr>
      <w:r w:rsidRPr="00B95533">
        <w:rPr>
          <w:rStyle w:val="FootnoteReference"/>
          <w:color w:val="auto"/>
        </w:rPr>
        <w:footnoteRef/>
      </w:r>
      <w:r w:rsidRPr="00B95533">
        <w:rPr>
          <w:color w:val="auto"/>
        </w:rPr>
        <w:t xml:space="preserve"> Bryce Space and Technology (2019), Global Space Industry Dynamics: Research Paper for Australian Government, Department of Industry, Innovation and Science.</w:t>
      </w:r>
    </w:p>
  </w:footnote>
  <w:footnote w:id="43">
    <w:p w14:paraId="52124815" w14:textId="21B0F20E" w:rsidR="00D37139" w:rsidRPr="00B95533" w:rsidRDefault="00D37139">
      <w:pPr>
        <w:pStyle w:val="FootnoteText"/>
        <w:rPr>
          <w:color w:val="auto"/>
        </w:rPr>
      </w:pPr>
      <w:r w:rsidRPr="00B95533">
        <w:rPr>
          <w:rStyle w:val="FootnoteReference"/>
          <w:color w:val="auto"/>
        </w:rPr>
        <w:footnoteRef/>
      </w:r>
      <w:r w:rsidRPr="00B95533">
        <w:rPr>
          <w:color w:val="auto"/>
        </w:rPr>
        <w:t xml:space="preserve"> See Appendix 4.2 for methodology.</w:t>
      </w:r>
    </w:p>
  </w:footnote>
  <w:footnote w:id="44">
    <w:p w14:paraId="1D067989" w14:textId="77777777" w:rsidR="00D37139" w:rsidRPr="00B95533" w:rsidRDefault="00D37139">
      <w:pPr>
        <w:pStyle w:val="FootnoteText"/>
        <w:rPr>
          <w:color w:val="auto"/>
          <w:lang w:val="en-GB"/>
        </w:rPr>
      </w:pPr>
      <w:r w:rsidRPr="00B95533">
        <w:rPr>
          <w:rStyle w:val="FootnoteReference"/>
          <w:color w:val="auto"/>
        </w:rPr>
        <w:footnoteRef/>
      </w:r>
      <w:r w:rsidRPr="00B95533">
        <w:rPr>
          <w:color w:val="auto"/>
        </w:rPr>
        <w:t xml:space="preserve"> </w:t>
      </w:r>
      <w:hyperlink r:id="rId11" w:history="1">
        <w:r w:rsidRPr="00B95533">
          <w:rPr>
            <w:rStyle w:val="Hyperlink"/>
            <w:color w:val="auto"/>
            <w:lang w:val="en-GB"/>
          </w:rPr>
          <w:t>XTEK</w:t>
        </w:r>
      </w:hyperlink>
      <w:r w:rsidRPr="00B95533">
        <w:rPr>
          <w:color w:val="auto"/>
          <w:lang w:val="en-GB"/>
        </w:rPr>
        <w:t xml:space="preserve"> and </w:t>
      </w:r>
      <w:hyperlink r:id="rId12" w:history="1">
        <w:r w:rsidRPr="00B95533">
          <w:rPr>
            <w:rStyle w:val="Hyperlink"/>
            <w:color w:val="auto"/>
            <w:lang w:val="en-GB"/>
          </w:rPr>
          <w:t>HTA</w:t>
        </w:r>
      </w:hyperlink>
      <w:r w:rsidRPr="00B95533">
        <w:rPr>
          <w:color w:val="auto"/>
          <w:lang w:val="en-GB"/>
        </w:rPr>
        <w:t xml:space="preserve"> company websites.</w:t>
      </w:r>
    </w:p>
  </w:footnote>
  <w:footnote w:id="45">
    <w:p w14:paraId="72CF0F49" w14:textId="77777777" w:rsidR="00D37139" w:rsidRDefault="00D37139" w:rsidP="005D4DAF">
      <w:pPr>
        <w:pStyle w:val="FootnoteText"/>
      </w:pPr>
      <w:r w:rsidRPr="00B95533">
        <w:rPr>
          <w:rStyle w:val="FootnoteReference"/>
          <w:color w:val="auto"/>
        </w:rPr>
        <w:footnoteRef/>
      </w:r>
      <w:r w:rsidRPr="00B95533">
        <w:rPr>
          <w:color w:val="auto"/>
        </w:rPr>
        <w:t xml:space="preserve"> In September 2019, Australia announced its support for NASA and their international partners on the Artemis program and other landmark exploration missions to the Moon and Mars. As at October 2020, Statements of Intent have also been signed with the European Space Agency, the German Aerospace Centre, and the New Zealand Ministry of Business, Innovation, and Employment. The Agency has further signed memorandums of understanding (MOUs) with the national space agencies of France, Canada, the UK, the UAE, Italy and Japan.</w:t>
      </w:r>
    </w:p>
  </w:footnote>
  <w:footnote w:id="46">
    <w:p w14:paraId="3DED6AD3" w14:textId="27DCD1B8" w:rsidR="00D37139" w:rsidRPr="00B95533" w:rsidRDefault="00D37139">
      <w:pPr>
        <w:pStyle w:val="FootnoteText"/>
        <w:rPr>
          <w:color w:val="auto"/>
        </w:rPr>
      </w:pPr>
      <w:r w:rsidRPr="00B95533">
        <w:rPr>
          <w:rStyle w:val="FootnoteReference"/>
          <w:color w:val="auto"/>
        </w:rPr>
        <w:footnoteRef/>
      </w:r>
      <w:r w:rsidRPr="00B95533">
        <w:rPr>
          <w:color w:val="auto"/>
        </w:rPr>
        <w:t xml:space="preserve"> The Hon. Christopher Pyne MP (</w:t>
      </w:r>
      <w:hyperlink r:id="rId13" w:history="1">
        <w:r w:rsidRPr="00B95533">
          <w:rPr>
            <w:rStyle w:val="Hyperlink"/>
            <w:color w:val="auto"/>
          </w:rPr>
          <w:t>2015</w:t>
        </w:r>
      </w:hyperlink>
      <w:r w:rsidRPr="00B95533">
        <w:rPr>
          <w:color w:val="auto"/>
        </w:rPr>
        <w:t>), Media release: Agenda to transform the Australian economy. The Australian Government announced $294 million for the Square Kilometre Array as part of the National Innovation and Science Agenda in December 2015.</w:t>
      </w:r>
    </w:p>
  </w:footnote>
  <w:footnote w:id="47">
    <w:p w14:paraId="61D5069B" w14:textId="476CBDBD" w:rsidR="00D37139" w:rsidRPr="00B95533" w:rsidRDefault="00D37139">
      <w:pPr>
        <w:pStyle w:val="FootnoteText"/>
        <w:rPr>
          <w:color w:val="auto"/>
        </w:rPr>
      </w:pPr>
      <w:r w:rsidRPr="00B95533">
        <w:rPr>
          <w:rStyle w:val="FootnoteReference"/>
          <w:color w:val="auto"/>
        </w:rPr>
        <w:footnoteRef/>
      </w:r>
      <w:r w:rsidRPr="00B95533">
        <w:rPr>
          <w:color w:val="auto"/>
        </w:rPr>
        <w:t xml:space="preserve"> Reserve Bank of Australia (2018), Access to Small Business Finance.</w:t>
      </w:r>
    </w:p>
  </w:footnote>
  <w:footnote w:id="48">
    <w:p w14:paraId="454331CC" w14:textId="236BC050" w:rsidR="00D37139" w:rsidRPr="00B95533" w:rsidRDefault="00D37139">
      <w:pPr>
        <w:pStyle w:val="FootnoteText"/>
        <w:rPr>
          <w:color w:val="auto"/>
        </w:rPr>
      </w:pPr>
      <w:r w:rsidRPr="00B95533">
        <w:rPr>
          <w:rStyle w:val="FootnoteReference"/>
          <w:color w:val="auto"/>
        </w:rPr>
        <w:footnoteRef/>
      </w:r>
      <w:r w:rsidRPr="00B95533">
        <w:rPr>
          <w:color w:val="auto"/>
        </w:rPr>
        <w:t xml:space="preserve"> OECD (2019), Venture Capital Investments 2018.</w:t>
      </w:r>
    </w:p>
  </w:footnote>
  <w:footnote w:id="49">
    <w:p w14:paraId="1475217A" w14:textId="5926153F" w:rsidR="00D37139" w:rsidRPr="00B95533" w:rsidRDefault="00D37139" w:rsidP="002A3947">
      <w:pPr>
        <w:pStyle w:val="FootnoteText"/>
        <w:rPr>
          <w:color w:val="auto"/>
        </w:rPr>
      </w:pPr>
      <w:r w:rsidRPr="00B95533">
        <w:rPr>
          <w:rStyle w:val="FootnoteReference"/>
          <w:color w:val="auto"/>
        </w:rPr>
        <w:footnoteRef/>
      </w:r>
      <w:r w:rsidRPr="00B95533">
        <w:rPr>
          <w:color w:val="auto"/>
        </w:rPr>
        <w:t xml:space="preserve"> Department of Industry, Science, Energy and Resources (2018), Better GPS and satellite imagery to support a smarter economy.</w:t>
      </w:r>
    </w:p>
  </w:footnote>
  <w:footnote w:id="50">
    <w:p w14:paraId="64543C8D" w14:textId="779CD42D" w:rsidR="00D37139" w:rsidRDefault="00D37139" w:rsidP="00581542">
      <w:pPr>
        <w:pStyle w:val="FootnoteText"/>
      </w:pPr>
      <w:r w:rsidRPr="00B95533">
        <w:rPr>
          <w:rStyle w:val="FootnoteReference"/>
          <w:color w:val="auto"/>
        </w:rPr>
        <w:footnoteRef/>
      </w:r>
      <w:r w:rsidRPr="00B95533">
        <w:rPr>
          <w:color w:val="auto"/>
        </w:rPr>
        <w:t xml:space="preserve"> Department of Defence (2020), Media release: Morrison government invests in new sovereign controlled satellite capability.</w:t>
      </w:r>
    </w:p>
  </w:footnote>
  <w:footnote w:id="51">
    <w:p w14:paraId="1C714B12" w14:textId="0F2EB9EB" w:rsidR="00D37139" w:rsidRPr="00B95533" w:rsidRDefault="00D37139">
      <w:pPr>
        <w:pStyle w:val="FootnoteText"/>
        <w:rPr>
          <w:color w:val="auto"/>
          <w:lang w:val="en-GB"/>
        </w:rPr>
      </w:pPr>
      <w:r w:rsidRPr="00B95533">
        <w:rPr>
          <w:rStyle w:val="FootnoteReference"/>
          <w:color w:val="auto"/>
        </w:rPr>
        <w:footnoteRef/>
      </w:r>
      <w:r w:rsidRPr="00B95533">
        <w:rPr>
          <w:color w:val="auto"/>
        </w:rPr>
        <w:t xml:space="preserve"> Queensland Government (2020), Queensland Space Industry Strategy 2020-2025. The Queensland Government invested over $526,000 in 2018-19 for 168 apprentices and trainees across aviation and aerospace.</w:t>
      </w:r>
    </w:p>
  </w:footnote>
  <w:footnote w:id="52">
    <w:p w14:paraId="4159C443" w14:textId="356A72AE" w:rsidR="00D37139" w:rsidRDefault="00D37139">
      <w:pPr>
        <w:pStyle w:val="FootnoteText"/>
      </w:pPr>
      <w:r>
        <w:rPr>
          <w:rStyle w:val="FootnoteReference"/>
        </w:rPr>
        <w:footnoteRef/>
      </w:r>
      <w:r>
        <w:t xml:space="preserve"> The Australian Space Agency (</w:t>
      </w:r>
      <w:hyperlink r:id="rId14" w:history="1">
        <w:r w:rsidRPr="009364D2">
          <w:rPr>
            <w:rStyle w:val="Hyperlink"/>
          </w:rPr>
          <w:t>2020</w:t>
        </w:r>
      </w:hyperlink>
      <w:r>
        <w:t xml:space="preserve">), </w:t>
      </w:r>
      <w:r w:rsidRPr="00332308">
        <w:t>Defining the Australian space sector</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CC9A3" w14:textId="77777777" w:rsidR="007A12C3" w:rsidRDefault="007A12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DCE4D" w14:textId="008948F8" w:rsidR="00D37139" w:rsidRPr="006C6AF3" w:rsidRDefault="00D37139" w:rsidP="00002502">
    <w:pPr>
      <w:pStyle w:val="Header"/>
      <w:jc w:val="right"/>
      <w:rPr>
        <w:cap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A4D82" w14:textId="18051B40" w:rsidR="00D37139" w:rsidRDefault="00D37139">
    <w:pPr>
      <w:pStyle w:val="Header"/>
    </w:pPr>
    <w:r>
      <w:rPr>
        <w:rFonts w:ascii="Calibri" w:eastAsia="Times New Roman" w:hAnsi="Calibri" w:cs="Calibri"/>
        <w:b/>
        <w:bCs/>
        <w:i/>
        <w:caps/>
        <w:noProof/>
        <w:color w:val="4CB8C1"/>
        <w:sz w:val="60"/>
        <w:szCs w:val="56"/>
        <w:lang w:eastAsia="en-AU"/>
      </w:rPr>
      <w:drawing>
        <wp:anchor distT="0" distB="0" distL="114300" distR="114300" simplePos="0" relativeHeight="251659264" behindDoc="1" locked="0" layoutInCell="1" allowOverlap="1" wp14:anchorId="1B9A7F7C" wp14:editId="2EA7E796">
          <wp:simplePos x="0" y="0"/>
          <wp:positionH relativeFrom="page">
            <wp:align>left</wp:align>
          </wp:positionH>
          <wp:positionV relativeFrom="paragraph">
            <wp:posOffset>-923232</wp:posOffset>
          </wp:positionV>
          <wp:extent cx="7670800" cy="10854690"/>
          <wp:effectExtent l="0" t="0" r="6350" b="3810"/>
          <wp:wrapNone/>
          <wp:docPr id="12" name="Picture 12" descr="A connected world" title="Cover picture">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xels-pixabay-87080.jpg"/>
                  <pic:cNvPicPr/>
                </pic:nvPicPr>
                <pic:blipFill>
                  <a:blip r:embed="rId1">
                    <a:extLst>
                      <a:ext uri="{28A0092B-C50C-407E-A947-70E740481C1C}">
                        <a14:useLocalDpi xmlns:a14="http://schemas.microsoft.com/office/drawing/2010/main" val="0"/>
                      </a:ext>
                    </a:extLst>
                  </a:blip>
                  <a:stretch>
                    <a:fillRect/>
                  </a:stretch>
                </pic:blipFill>
                <pic:spPr>
                  <a:xfrm>
                    <a:off x="0" y="0"/>
                    <a:ext cx="7670800" cy="1085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0pt;height:243.75pt" o:bullet="t">
        <v:imagedata r:id="rId1" o:title="HTA-LOGO"/>
      </v:shape>
    </w:pict>
  </w:numPicBullet>
  <w:abstractNum w:abstractNumId="0" w15:restartNumberingAfterBreak="0">
    <w:nsid w:val="FFFFFF7C"/>
    <w:multiLevelType w:val="singleLevel"/>
    <w:tmpl w:val="925417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622489FE"/>
    <w:lvl w:ilvl="0" w:tplc="A2B6A578">
      <w:start w:val="1"/>
      <w:numFmt w:val="decimal"/>
      <w:lvlText w:val="%1."/>
      <w:lvlJc w:val="left"/>
      <w:pPr>
        <w:tabs>
          <w:tab w:val="num" w:pos="1209"/>
        </w:tabs>
        <w:ind w:left="1209" w:hanging="360"/>
      </w:pPr>
    </w:lvl>
    <w:lvl w:ilvl="1" w:tplc="79B46A3A">
      <w:numFmt w:val="decimal"/>
      <w:lvlText w:val=""/>
      <w:lvlJc w:val="left"/>
    </w:lvl>
    <w:lvl w:ilvl="2" w:tplc="B698728A">
      <w:numFmt w:val="decimal"/>
      <w:lvlText w:val=""/>
      <w:lvlJc w:val="left"/>
    </w:lvl>
    <w:lvl w:ilvl="3" w:tplc="A7641E4A">
      <w:numFmt w:val="decimal"/>
      <w:lvlText w:val=""/>
      <w:lvlJc w:val="left"/>
    </w:lvl>
    <w:lvl w:ilvl="4" w:tplc="7D6AB940">
      <w:numFmt w:val="decimal"/>
      <w:lvlText w:val=""/>
      <w:lvlJc w:val="left"/>
    </w:lvl>
    <w:lvl w:ilvl="5" w:tplc="6FF481F8">
      <w:numFmt w:val="decimal"/>
      <w:lvlText w:val=""/>
      <w:lvlJc w:val="left"/>
    </w:lvl>
    <w:lvl w:ilvl="6" w:tplc="6F70768A">
      <w:numFmt w:val="decimal"/>
      <w:lvlText w:val=""/>
      <w:lvlJc w:val="left"/>
    </w:lvl>
    <w:lvl w:ilvl="7" w:tplc="11A68FB0">
      <w:numFmt w:val="decimal"/>
      <w:lvlText w:val=""/>
      <w:lvlJc w:val="left"/>
    </w:lvl>
    <w:lvl w:ilvl="8" w:tplc="D8025846">
      <w:numFmt w:val="decimal"/>
      <w:lvlText w:val=""/>
      <w:lvlJc w:val="left"/>
    </w:lvl>
  </w:abstractNum>
  <w:abstractNum w:abstractNumId="2" w15:restartNumberingAfterBreak="0">
    <w:nsid w:val="FFFFFF7E"/>
    <w:multiLevelType w:val="hybridMultilevel"/>
    <w:tmpl w:val="67A6DAAA"/>
    <w:lvl w:ilvl="0" w:tplc="E6FCF2B6">
      <w:start w:val="1"/>
      <w:numFmt w:val="decimal"/>
      <w:lvlText w:val="%1."/>
      <w:lvlJc w:val="left"/>
      <w:pPr>
        <w:tabs>
          <w:tab w:val="num" w:pos="926"/>
        </w:tabs>
        <w:ind w:left="926" w:hanging="360"/>
      </w:pPr>
    </w:lvl>
    <w:lvl w:ilvl="1" w:tplc="E3420E86">
      <w:numFmt w:val="decimal"/>
      <w:lvlText w:val=""/>
      <w:lvlJc w:val="left"/>
    </w:lvl>
    <w:lvl w:ilvl="2" w:tplc="72E43640">
      <w:numFmt w:val="decimal"/>
      <w:lvlText w:val=""/>
      <w:lvlJc w:val="left"/>
    </w:lvl>
    <w:lvl w:ilvl="3" w:tplc="858CB3E4">
      <w:numFmt w:val="decimal"/>
      <w:lvlText w:val=""/>
      <w:lvlJc w:val="left"/>
    </w:lvl>
    <w:lvl w:ilvl="4" w:tplc="B2E6C810">
      <w:numFmt w:val="decimal"/>
      <w:lvlText w:val=""/>
      <w:lvlJc w:val="left"/>
    </w:lvl>
    <w:lvl w:ilvl="5" w:tplc="8B7E0A7C">
      <w:numFmt w:val="decimal"/>
      <w:lvlText w:val=""/>
      <w:lvlJc w:val="left"/>
    </w:lvl>
    <w:lvl w:ilvl="6" w:tplc="A2505AE4">
      <w:numFmt w:val="decimal"/>
      <w:lvlText w:val=""/>
      <w:lvlJc w:val="left"/>
    </w:lvl>
    <w:lvl w:ilvl="7" w:tplc="36B2A792">
      <w:numFmt w:val="decimal"/>
      <w:lvlText w:val=""/>
      <w:lvlJc w:val="left"/>
    </w:lvl>
    <w:lvl w:ilvl="8" w:tplc="05E8ED7E">
      <w:numFmt w:val="decimal"/>
      <w:lvlText w:val=""/>
      <w:lvlJc w:val="left"/>
    </w:lvl>
  </w:abstractNum>
  <w:abstractNum w:abstractNumId="3" w15:restartNumberingAfterBreak="0">
    <w:nsid w:val="FFFFFF7F"/>
    <w:multiLevelType w:val="hybridMultilevel"/>
    <w:tmpl w:val="19981D4C"/>
    <w:lvl w:ilvl="0" w:tplc="825A4994">
      <w:start w:val="1"/>
      <w:numFmt w:val="decimal"/>
      <w:lvlText w:val="%1."/>
      <w:lvlJc w:val="left"/>
      <w:pPr>
        <w:tabs>
          <w:tab w:val="num" w:pos="643"/>
        </w:tabs>
        <w:ind w:left="643" w:hanging="360"/>
      </w:pPr>
    </w:lvl>
    <w:lvl w:ilvl="1" w:tplc="0C30E20E">
      <w:numFmt w:val="decimal"/>
      <w:lvlText w:val=""/>
      <w:lvlJc w:val="left"/>
    </w:lvl>
    <w:lvl w:ilvl="2" w:tplc="F54E3216">
      <w:numFmt w:val="decimal"/>
      <w:lvlText w:val=""/>
      <w:lvlJc w:val="left"/>
    </w:lvl>
    <w:lvl w:ilvl="3" w:tplc="FF228020">
      <w:numFmt w:val="decimal"/>
      <w:lvlText w:val=""/>
      <w:lvlJc w:val="left"/>
    </w:lvl>
    <w:lvl w:ilvl="4" w:tplc="E5627FCE">
      <w:numFmt w:val="decimal"/>
      <w:lvlText w:val=""/>
      <w:lvlJc w:val="left"/>
    </w:lvl>
    <w:lvl w:ilvl="5" w:tplc="A7585770">
      <w:numFmt w:val="decimal"/>
      <w:lvlText w:val=""/>
      <w:lvlJc w:val="left"/>
    </w:lvl>
    <w:lvl w:ilvl="6" w:tplc="D9F8956A">
      <w:numFmt w:val="decimal"/>
      <w:lvlText w:val=""/>
      <w:lvlJc w:val="left"/>
    </w:lvl>
    <w:lvl w:ilvl="7" w:tplc="6B3A13E8">
      <w:numFmt w:val="decimal"/>
      <w:lvlText w:val=""/>
      <w:lvlJc w:val="left"/>
    </w:lvl>
    <w:lvl w:ilvl="8" w:tplc="334EA652">
      <w:numFmt w:val="decimal"/>
      <w:lvlText w:val=""/>
      <w:lvlJc w:val="left"/>
    </w:lvl>
  </w:abstractNum>
  <w:abstractNum w:abstractNumId="4" w15:restartNumberingAfterBreak="0">
    <w:nsid w:val="FFFFFF80"/>
    <w:multiLevelType w:val="hybridMultilevel"/>
    <w:tmpl w:val="E2184D68"/>
    <w:lvl w:ilvl="0" w:tplc="31562218">
      <w:start w:val="1"/>
      <w:numFmt w:val="bullet"/>
      <w:lvlText w:val=""/>
      <w:lvlJc w:val="left"/>
      <w:pPr>
        <w:tabs>
          <w:tab w:val="num" w:pos="1492"/>
        </w:tabs>
        <w:ind w:left="1492" w:hanging="360"/>
      </w:pPr>
      <w:rPr>
        <w:rFonts w:ascii="Symbol" w:hAnsi="Symbol" w:hint="default"/>
      </w:rPr>
    </w:lvl>
    <w:lvl w:ilvl="1" w:tplc="54E2B1DA">
      <w:numFmt w:val="decimal"/>
      <w:lvlText w:val=""/>
      <w:lvlJc w:val="left"/>
    </w:lvl>
    <w:lvl w:ilvl="2" w:tplc="AE94F2CE">
      <w:numFmt w:val="decimal"/>
      <w:lvlText w:val=""/>
      <w:lvlJc w:val="left"/>
    </w:lvl>
    <w:lvl w:ilvl="3" w:tplc="86A4E740">
      <w:numFmt w:val="decimal"/>
      <w:lvlText w:val=""/>
      <w:lvlJc w:val="left"/>
    </w:lvl>
    <w:lvl w:ilvl="4" w:tplc="1D34BC3C">
      <w:numFmt w:val="decimal"/>
      <w:lvlText w:val=""/>
      <w:lvlJc w:val="left"/>
    </w:lvl>
    <w:lvl w:ilvl="5" w:tplc="F1BE9656">
      <w:numFmt w:val="decimal"/>
      <w:lvlText w:val=""/>
      <w:lvlJc w:val="left"/>
    </w:lvl>
    <w:lvl w:ilvl="6" w:tplc="E46A6464">
      <w:numFmt w:val="decimal"/>
      <w:lvlText w:val=""/>
      <w:lvlJc w:val="left"/>
    </w:lvl>
    <w:lvl w:ilvl="7" w:tplc="E45C400C">
      <w:numFmt w:val="decimal"/>
      <w:lvlText w:val=""/>
      <w:lvlJc w:val="left"/>
    </w:lvl>
    <w:lvl w:ilvl="8" w:tplc="6B1C6F66">
      <w:numFmt w:val="decimal"/>
      <w:lvlText w:val=""/>
      <w:lvlJc w:val="left"/>
    </w:lvl>
  </w:abstractNum>
  <w:abstractNum w:abstractNumId="5" w15:restartNumberingAfterBreak="0">
    <w:nsid w:val="FFFFFF81"/>
    <w:multiLevelType w:val="hybridMultilevel"/>
    <w:tmpl w:val="FA90331A"/>
    <w:lvl w:ilvl="0" w:tplc="13DE8BC4">
      <w:start w:val="1"/>
      <w:numFmt w:val="bullet"/>
      <w:lvlText w:val=""/>
      <w:lvlJc w:val="left"/>
      <w:pPr>
        <w:tabs>
          <w:tab w:val="num" w:pos="1209"/>
        </w:tabs>
        <w:ind w:left="1209" w:hanging="360"/>
      </w:pPr>
      <w:rPr>
        <w:rFonts w:ascii="Symbol" w:hAnsi="Symbol" w:hint="default"/>
      </w:rPr>
    </w:lvl>
    <w:lvl w:ilvl="1" w:tplc="401CFCA0">
      <w:numFmt w:val="decimal"/>
      <w:lvlText w:val=""/>
      <w:lvlJc w:val="left"/>
    </w:lvl>
    <w:lvl w:ilvl="2" w:tplc="0D82AA9A">
      <w:numFmt w:val="decimal"/>
      <w:lvlText w:val=""/>
      <w:lvlJc w:val="left"/>
    </w:lvl>
    <w:lvl w:ilvl="3" w:tplc="8B8AC1B2">
      <w:numFmt w:val="decimal"/>
      <w:lvlText w:val=""/>
      <w:lvlJc w:val="left"/>
    </w:lvl>
    <w:lvl w:ilvl="4" w:tplc="409C2E98">
      <w:numFmt w:val="decimal"/>
      <w:lvlText w:val=""/>
      <w:lvlJc w:val="left"/>
    </w:lvl>
    <w:lvl w:ilvl="5" w:tplc="D9C29726">
      <w:numFmt w:val="decimal"/>
      <w:lvlText w:val=""/>
      <w:lvlJc w:val="left"/>
    </w:lvl>
    <w:lvl w:ilvl="6" w:tplc="2AF09A3A">
      <w:numFmt w:val="decimal"/>
      <w:lvlText w:val=""/>
      <w:lvlJc w:val="left"/>
    </w:lvl>
    <w:lvl w:ilvl="7" w:tplc="3C62F97C">
      <w:numFmt w:val="decimal"/>
      <w:lvlText w:val=""/>
      <w:lvlJc w:val="left"/>
    </w:lvl>
    <w:lvl w:ilvl="8" w:tplc="A672F8C2">
      <w:numFmt w:val="decimal"/>
      <w:lvlText w:val=""/>
      <w:lvlJc w:val="left"/>
    </w:lvl>
  </w:abstractNum>
  <w:abstractNum w:abstractNumId="6" w15:restartNumberingAfterBreak="0">
    <w:nsid w:val="FFFFFF82"/>
    <w:multiLevelType w:val="hybridMultilevel"/>
    <w:tmpl w:val="E91C5994"/>
    <w:lvl w:ilvl="0" w:tplc="E9BC4DDC">
      <w:start w:val="1"/>
      <w:numFmt w:val="bullet"/>
      <w:lvlText w:val=""/>
      <w:lvlJc w:val="left"/>
      <w:pPr>
        <w:tabs>
          <w:tab w:val="num" w:pos="926"/>
        </w:tabs>
        <w:ind w:left="926" w:hanging="360"/>
      </w:pPr>
      <w:rPr>
        <w:rFonts w:ascii="Symbol" w:hAnsi="Symbol" w:hint="default"/>
      </w:rPr>
    </w:lvl>
    <w:lvl w:ilvl="1" w:tplc="79D8AFCA">
      <w:numFmt w:val="decimal"/>
      <w:lvlText w:val=""/>
      <w:lvlJc w:val="left"/>
    </w:lvl>
    <w:lvl w:ilvl="2" w:tplc="7FC40E42">
      <w:numFmt w:val="decimal"/>
      <w:lvlText w:val=""/>
      <w:lvlJc w:val="left"/>
    </w:lvl>
    <w:lvl w:ilvl="3" w:tplc="56381066">
      <w:numFmt w:val="decimal"/>
      <w:lvlText w:val=""/>
      <w:lvlJc w:val="left"/>
    </w:lvl>
    <w:lvl w:ilvl="4" w:tplc="78F608FA">
      <w:numFmt w:val="decimal"/>
      <w:lvlText w:val=""/>
      <w:lvlJc w:val="left"/>
    </w:lvl>
    <w:lvl w:ilvl="5" w:tplc="DE700FE4">
      <w:numFmt w:val="decimal"/>
      <w:lvlText w:val=""/>
      <w:lvlJc w:val="left"/>
    </w:lvl>
    <w:lvl w:ilvl="6" w:tplc="01020A60">
      <w:numFmt w:val="decimal"/>
      <w:lvlText w:val=""/>
      <w:lvlJc w:val="left"/>
    </w:lvl>
    <w:lvl w:ilvl="7" w:tplc="4776E4A0">
      <w:numFmt w:val="decimal"/>
      <w:lvlText w:val=""/>
      <w:lvlJc w:val="left"/>
    </w:lvl>
    <w:lvl w:ilvl="8" w:tplc="7DA466EA">
      <w:numFmt w:val="decimal"/>
      <w:lvlText w:val=""/>
      <w:lvlJc w:val="left"/>
    </w:lvl>
  </w:abstractNum>
  <w:abstractNum w:abstractNumId="7" w15:restartNumberingAfterBreak="0">
    <w:nsid w:val="FFFFFF83"/>
    <w:multiLevelType w:val="hybridMultilevel"/>
    <w:tmpl w:val="E9E20764"/>
    <w:lvl w:ilvl="0" w:tplc="7FE04266">
      <w:start w:val="1"/>
      <w:numFmt w:val="bullet"/>
      <w:lvlText w:val=""/>
      <w:lvlJc w:val="left"/>
      <w:pPr>
        <w:tabs>
          <w:tab w:val="num" w:pos="643"/>
        </w:tabs>
        <w:ind w:left="643" w:hanging="360"/>
      </w:pPr>
      <w:rPr>
        <w:rFonts w:ascii="Symbol" w:hAnsi="Symbol" w:hint="default"/>
      </w:rPr>
    </w:lvl>
    <w:lvl w:ilvl="1" w:tplc="ABE88278">
      <w:numFmt w:val="decimal"/>
      <w:lvlText w:val=""/>
      <w:lvlJc w:val="left"/>
    </w:lvl>
    <w:lvl w:ilvl="2" w:tplc="BCE080B0">
      <w:numFmt w:val="decimal"/>
      <w:lvlText w:val=""/>
      <w:lvlJc w:val="left"/>
    </w:lvl>
    <w:lvl w:ilvl="3" w:tplc="5FF830C4">
      <w:numFmt w:val="decimal"/>
      <w:lvlText w:val=""/>
      <w:lvlJc w:val="left"/>
    </w:lvl>
    <w:lvl w:ilvl="4" w:tplc="5D76E55E">
      <w:numFmt w:val="decimal"/>
      <w:lvlText w:val=""/>
      <w:lvlJc w:val="left"/>
    </w:lvl>
    <w:lvl w:ilvl="5" w:tplc="E59C397E">
      <w:numFmt w:val="decimal"/>
      <w:lvlText w:val=""/>
      <w:lvlJc w:val="left"/>
    </w:lvl>
    <w:lvl w:ilvl="6" w:tplc="200EFB02">
      <w:numFmt w:val="decimal"/>
      <w:lvlText w:val=""/>
      <w:lvlJc w:val="left"/>
    </w:lvl>
    <w:lvl w:ilvl="7" w:tplc="0BF4DB2E">
      <w:numFmt w:val="decimal"/>
      <w:lvlText w:val=""/>
      <w:lvlJc w:val="left"/>
    </w:lvl>
    <w:lvl w:ilvl="8" w:tplc="0D749D34">
      <w:numFmt w:val="decimal"/>
      <w:lvlText w:val=""/>
      <w:lvlJc w:val="left"/>
    </w:lvl>
  </w:abstractNum>
  <w:abstractNum w:abstractNumId="8" w15:restartNumberingAfterBreak="0">
    <w:nsid w:val="FFFFFF88"/>
    <w:multiLevelType w:val="hybridMultilevel"/>
    <w:tmpl w:val="DC4CFC1E"/>
    <w:lvl w:ilvl="0" w:tplc="51B4CE22">
      <w:start w:val="1"/>
      <w:numFmt w:val="decimal"/>
      <w:pStyle w:val="ListNumber"/>
      <w:lvlText w:val="%1."/>
      <w:lvlJc w:val="left"/>
      <w:pPr>
        <w:tabs>
          <w:tab w:val="num" w:pos="360"/>
        </w:tabs>
        <w:ind w:left="360" w:hanging="360"/>
      </w:pPr>
    </w:lvl>
    <w:lvl w:ilvl="1" w:tplc="A7A4BC98">
      <w:numFmt w:val="decimal"/>
      <w:lvlText w:val=""/>
      <w:lvlJc w:val="left"/>
    </w:lvl>
    <w:lvl w:ilvl="2" w:tplc="92B6E05A">
      <w:numFmt w:val="decimal"/>
      <w:lvlText w:val=""/>
      <w:lvlJc w:val="left"/>
    </w:lvl>
    <w:lvl w:ilvl="3" w:tplc="6FA44074">
      <w:numFmt w:val="decimal"/>
      <w:lvlText w:val=""/>
      <w:lvlJc w:val="left"/>
    </w:lvl>
    <w:lvl w:ilvl="4" w:tplc="FB207D18">
      <w:numFmt w:val="decimal"/>
      <w:lvlText w:val=""/>
      <w:lvlJc w:val="left"/>
    </w:lvl>
    <w:lvl w:ilvl="5" w:tplc="A71E99EE">
      <w:numFmt w:val="decimal"/>
      <w:lvlText w:val=""/>
      <w:lvlJc w:val="left"/>
    </w:lvl>
    <w:lvl w:ilvl="6" w:tplc="EAF66936">
      <w:numFmt w:val="decimal"/>
      <w:lvlText w:val=""/>
      <w:lvlJc w:val="left"/>
    </w:lvl>
    <w:lvl w:ilvl="7" w:tplc="A836CFCA">
      <w:numFmt w:val="decimal"/>
      <w:lvlText w:val=""/>
      <w:lvlJc w:val="left"/>
    </w:lvl>
    <w:lvl w:ilvl="8" w:tplc="F96A1D7A">
      <w:numFmt w:val="decimal"/>
      <w:lvlText w:val=""/>
      <w:lvlJc w:val="left"/>
    </w:lvl>
  </w:abstractNum>
  <w:abstractNum w:abstractNumId="9" w15:restartNumberingAfterBreak="0">
    <w:nsid w:val="FFFFFF89"/>
    <w:multiLevelType w:val="hybridMultilevel"/>
    <w:tmpl w:val="14A42982"/>
    <w:lvl w:ilvl="0" w:tplc="5C3849B0">
      <w:start w:val="1"/>
      <w:numFmt w:val="bullet"/>
      <w:pStyle w:val="ListBullet"/>
      <w:lvlText w:val=""/>
      <w:lvlJc w:val="left"/>
      <w:pPr>
        <w:tabs>
          <w:tab w:val="num" w:pos="360"/>
        </w:tabs>
        <w:ind w:left="360" w:hanging="360"/>
      </w:pPr>
      <w:rPr>
        <w:rFonts w:ascii="Symbol" w:hAnsi="Symbol" w:hint="default"/>
      </w:rPr>
    </w:lvl>
    <w:lvl w:ilvl="1" w:tplc="4CACE3BC">
      <w:numFmt w:val="decimal"/>
      <w:lvlText w:val=""/>
      <w:lvlJc w:val="left"/>
    </w:lvl>
    <w:lvl w:ilvl="2" w:tplc="204A16BA">
      <w:numFmt w:val="decimal"/>
      <w:lvlText w:val=""/>
      <w:lvlJc w:val="left"/>
    </w:lvl>
    <w:lvl w:ilvl="3" w:tplc="5FD2509A">
      <w:numFmt w:val="decimal"/>
      <w:lvlText w:val=""/>
      <w:lvlJc w:val="left"/>
    </w:lvl>
    <w:lvl w:ilvl="4" w:tplc="944CB9DA">
      <w:numFmt w:val="decimal"/>
      <w:lvlText w:val=""/>
      <w:lvlJc w:val="left"/>
    </w:lvl>
    <w:lvl w:ilvl="5" w:tplc="813C4FB0">
      <w:numFmt w:val="decimal"/>
      <w:lvlText w:val=""/>
      <w:lvlJc w:val="left"/>
    </w:lvl>
    <w:lvl w:ilvl="6" w:tplc="67D6F3B6">
      <w:numFmt w:val="decimal"/>
      <w:lvlText w:val=""/>
      <w:lvlJc w:val="left"/>
    </w:lvl>
    <w:lvl w:ilvl="7" w:tplc="423079E4">
      <w:numFmt w:val="decimal"/>
      <w:lvlText w:val=""/>
      <w:lvlJc w:val="left"/>
    </w:lvl>
    <w:lvl w:ilvl="8" w:tplc="BAC82D70">
      <w:numFmt w:val="decimal"/>
      <w:lvlText w:val=""/>
      <w:lvlJc w:val="left"/>
    </w:lvl>
  </w:abstractNum>
  <w:abstractNum w:abstractNumId="10" w15:restartNumberingAfterBreak="0">
    <w:nsid w:val="03434A4E"/>
    <w:multiLevelType w:val="hybridMultilevel"/>
    <w:tmpl w:val="C332D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D07BE4"/>
    <w:multiLevelType w:val="multilevel"/>
    <w:tmpl w:val="72349C4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9C16E8B"/>
    <w:multiLevelType w:val="hybridMultilevel"/>
    <w:tmpl w:val="628E3582"/>
    <w:lvl w:ilvl="0" w:tplc="87B6CD4C">
      <w:start w:val="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B613C6"/>
    <w:multiLevelType w:val="hybridMultilevel"/>
    <w:tmpl w:val="D6C49D4E"/>
    <w:lvl w:ilvl="0" w:tplc="C03C4B3E">
      <w:start w:val="1"/>
      <w:numFmt w:val="bullet"/>
      <w:lvlText w:val=""/>
      <w:lvlJc w:val="left"/>
      <w:pPr>
        <w:ind w:left="720" w:hanging="360"/>
      </w:pPr>
      <w:rPr>
        <w:rFonts w:ascii="Wingdings" w:hAnsi="Wingdings" w:hint="default"/>
        <w:color w:val="002060" w:themeColor="text2"/>
        <w:u w:color="002060"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AD663F"/>
    <w:multiLevelType w:val="hybridMultilevel"/>
    <w:tmpl w:val="73D6322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6B26F21"/>
    <w:multiLevelType w:val="hybridMultilevel"/>
    <w:tmpl w:val="8F981D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B4305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02C6328"/>
    <w:multiLevelType w:val="hybridMultilevel"/>
    <w:tmpl w:val="1732552C"/>
    <w:lvl w:ilvl="0" w:tplc="48126946">
      <w:start w:val="1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B27BFD"/>
    <w:multiLevelType w:val="hybridMultilevel"/>
    <w:tmpl w:val="CF9C119A"/>
    <w:lvl w:ilvl="0" w:tplc="B40831E4">
      <w:start w:val="1"/>
      <w:numFmt w:val="bullet"/>
      <w:pStyle w:val="Bullet-square"/>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A104AA6">
      <w:start w:val="1"/>
      <w:numFmt w:val="bullet"/>
      <w:lvlText w:val="–"/>
      <w:lvlJc w:val="left"/>
      <w:pPr>
        <w:tabs>
          <w:tab w:val="num" w:pos="646"/>
        </w:tabs>
        <w:ind w:left="644" w:hanging="284"/>
      </w:pPr>
      <w:rPr>
        <w:rFonts w:ascii="Arial" w:hAnsi="Arial" w:hint="default"/>
        <w:color w:val="auto"/>
        <w:sz w:val="24"/>
      </w:rPr>
    </w:lvl>
    <w:lvl w:ilvl="2" w:tplc="2B24895A">
      <w:start w:val="1"/>
      <w:numFmt w:val="bullet"/>
      <w:lvlText w:val="□"/>
      <w:lvlJc w:val="left"/>
      <w:pPr>
        <w:tabs>
          <w:tab w:val="num" w:pos="924"/>
        </w:tabs>
        <w:ind w:left="927" w:hanging="283"/>
      </w:pPr>
      <w:rPr>
        <w:rFonts w:ascii="Times New Roman" w:hAnsi="Times New Roman" w:cs="Times New Roman" w:hint="default"/>
        <w:color w:val="auto"/>
        <w:sz w:val="20"/>
      </w:rPr>
    </w:lvl>
    <w:lvl w:ilvl="3" w:tplc="E86C311C">
      <w:start w:val="1"/>
      <w:numFmt w:val="bullet"/>
      <w:lvlText w:val="-"/>
      <w:lvlJc w:val="left"/>
      <w:pPr>
        <w:tabs>
          <w:tab w:val="num" w:pos="1213"/>
        </w:tabs>
        <w:ind w:left="1211" w:hanging="284"/>
      </w:pPr>
      <w:rPr>
        <w:rFonts w:ascii="Times New Roman" w:hAnsi="Times New Roman" w:cs="Times New Roman" w:hint="default"/>
        <w:color w:val="002960"/>
        <w:sz w:val="24"/>
      </w:rPr>
    </w:lvl>
    <w:lvl w:ilvl="4" w:tplc="6AFA621E">
      <w:start w:val="1"/>
      <w:numFmt w:val="lowerLetter"/>
      <w:lvlText w:val="(%5)"/>
      <w:lvlJc w:val="left"/>
      <w:pPr>
        <w:tabs>
          <w:tab w:val="num" w:pos="1877"/>
        </w:tabs>
        <w:ind w:left="1877" w:hanging="360"/>
      </w:pPr>
      <w:rPr>
        <w:rFonts w:hint="default"/>
      </w:rPr>
    </w:lvl>
    <w:lvl w:ilvl="5" w:tplc="73026EB0">
      <w:start w:val="1"/>
      <w:numFmt w:val="lowerRoman"/>
      <w:lvlText w:val="(%6)"/>
      <w:lvlJc w:val="left"/>
      <w:pPr>
        <w:tabs>
          <w:tab w:val="num" w:pos="2237"/>
        </w:tabs>
        <w:ind w:left="2237" w:hanging="360"/>
      </w:pPr>
      <w:rPr>
        <w:rFonts w:hint="default"/>
      </w:rPr>
    </w:lvl>
    <w:lvl w:ilvl="6" w:tplc="D2B4F83E">
      <w:start w:val="1"/>
      <w:numFmt w:val="decimal"/>
      <w:lvlText w:val="%7."/>
      <w:lvlJc w:val="left"/>
      <w:pPr>
        <w:tabs>
          <w:tab w:val="num" w:pos="2597"/>
        </w:tabs>
        <w:ind w:left="2597" w:hanging="360"/>
      </w:pPr>
      <w:rPr>
        <w:rFonts w:hint="default"/>
      </w:rPr>
    </w:lvl>
    <w:lvl w:ilvl="7" w:tplc="EF9AA202">
      <w:start w:val="1"/>
      <w:numFmt w:val="lowerLetter"/>
      <w:lvlText w:val="%8."/>
      <w:lvlJc w:val="left"/>
      <w:pPr>
        <w:tabs>
          <w:tab w:val="num" w:pos="2957"/>
        </w:tabs>
        <w:ind w:left="2957" w:hanging="360"/>
      </w:pPr>
      <w:rPr>
        <w:rFonts w:hint="default"/>
      </w:rPr>
    </w:lvl>
    <w:lvl w:ilvl="8" w:tplc="9F48F56A">
      <w:start w:val="1"/>
      <w:numFmt w:val="lowerRoman"/>
      <w:lvlText w:val="%9."/>
      <w:lvlJc w:val="left"/>
      <w:pPr>
        <w:tabs>
          <w:tab w:val="num" w:pos="3317"/>
        </w:tabs>
        <w:ind w:left="3317" w:hanging="360"/>
      </w:pPr>
      <w:rPr>
        <w:rFonts w:hint="default"/>
      </w:rPr>
    </w:lvl>
  </w:abstractNum>
  <w:abstractNum w:abstractNumId="19" w15:restartNumberingAfterBreak="0">
    <w:nsid w:val="21EF0462"/>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20964A3"/>
    <w:multiLevelType w:val="hybridMultilevel"/>
    <w:tmpl w:val="6506141E"/>
    <w:lvl w:ilvl="0" w:tplc="05CA63E6">
      <w:start w:val="1"/>
      <w:numFmt w:val="bullet"/>
      <w:lvlText w:val=""/>
      <w:lvlJc w:val="left"/>
      <w:pPr>
        <w:ind w:left="720" w:hanging="360"/>
      </w:pPr>
      <w:rPr>
        <w:rFonts w:ascii="Symbol" w:hAnsi="Symbol" w:cs="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6F423C"/>
    <w:multiLevelType w:val="multilevel"/>
    <w:tmpl w:val="679899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9705774"/>
    <w:multiLevelType w:val="hybridMultilevel"/>
    <w:tmpl w:val="92AC5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9D686D"/>
    <w:multiLevelType w:val="hybridMultilevel"/>
    <w:tmpl w:val="49B296B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FF86BEB"/>
    <w:multiLevelType w:val="hybridMultilevel"/>
    <w:tmpl w:val="C1AA2282"/>
    <w:lvl w:ilvl="0" w:tplc="35929D86">
      <w:start w:val="1"/>
      <w:numFmt w:val="bullet"/>
      <w:lvlText w:val=""/>
      <w:lvlJc w:val="left"/>
      <w:pPr>
        <w:tabs>
          <w:tab w:val="num" w:pos="720"/>
        </w:tabs>
        <w:ind w:left="720" w:hanging="360"/>
      </w:pPr>
      <w:rPr>
        <w:rFonts w:ascii="Symbol" w:hAnsi="Symbol" w:hint="default"/>
        <w:sz w:val="20"/>
      </w:rPr>
    </w:lvl>
    <w:lvl w:ilvl="1" w:tplc="8C6236B4" w:tentative="1">
      <w:start w:val="1"/>
      <w:numFmt w:val="bullet"/>
      <w:lvlText w:val=""/>
      <w:lvlJc w:val="left"/>
      <w:pPr>
        <w:tabs>
          <w:tab w:val="num" w:pos="1440"/>
        </w:tabs>
        <w:ind w:left="1440" w:hanging="360"/>
      </w:pPr>
      <w:rPr>
        <w:rFonts w:ascii="Symbol" w:hAnsi="Symbol" w:hint="default"/>
        <w:sz w:val="20"/>
      </w:rPr>
    </w:lvl>
    <w:lvl w:ilvl="2" w:tplc="F55C83B6" w:tentative="1">
      <w:start w:val="1"/>
      <w:numFmt w:val="bullet"/>
      <w:lvlText w:val=""/>
      <w:lvlJc w:val="left"/>
      <w:pPr>
        <w:tabs>
          <w:tab w:val="num" w:pos="2160"/>
        </w:tabs>
        <w:ind w:left="2160" w:hanging="360"/>
      </w:pPr>
      <w:rPr>
        <w:rFonts w:ascii="Symbol" w:hAnsi="Symbol" w:hint="default"/>
        <w:sz w:val="20"/>
      </w:rPr>
    </w:lvl>
    <w:lvl w:ilvl="3" w:tplc="626EA5A6" w:tentative="1">
      <w:start w:val="1"/>
      <w:numFmt w:val="bullet"/>
      <w:lvlText w:val=""/>
      <w:lvlJc w:val="left"/>
      <w:pPr>
        <w:tabs>
          <w:tab w:val="num" w:pos="2880"/>
        </w:tabs>
        <w:ind w:left="2880" w:hanging="360"/>
      </w:pPr>
      <w:rPr>
        <w:rFonts w:ascii="Symbol" w:hAnsi="Symbol" w:hint="default"/>
        <w:sz w:val="20"/>
      </w:rPr>
    </w:lvl>
    <w:lvl w:ilvl="4" w:tplc="79043350" w:tentative="1">
      <w:start w:val="1"/>
      <w:numFmt w:val="bullet"/>
      <w:lvlText w:val=""/>
      <w:lvlJc w:val="left"/>
      <w:pPr>
        <w:tabs>
          <w:tab w:val="num" w:pos="3600"/>
        </w:tabs>
        <w:ind w:left="3600" w:hanging="360"/>
      </w:pPr>
      <w:rPr>
        <w:rFonts w:ascii="Symbol" w:hAnsi="Symbol" w:hint="default"/>
        <w:sz w:val="20"/>
      </w:rPr>
    </w:lvl>
    <w:lvl w:ilvl="5" w:tplc="16062C60" w:tentative="1">
      <w:start w:val="1"/>
      <w:numFmt w:val="bullet"/>
      <w:lvlText w:val=""/>
      <w:lvlJc w:val="left"/>
      <w:pPr>
        <w:tabs>
          <w:tab w:val="num" w:pos="4320"/>
        </w:tabs>
        <w:ind w:left="4320" w:hanging="360"/>
      </w:pPr>
      <w:rPr>
        <w:rFonts w:ascii="Symbol" w:hAnsi="Symbol" w:hint="default"/>
        <w:sz w:val="20"/>
      </w:rPr>
    </w:lvl>
    <w:lvl w:ilvl="6" w:tplc="A48AB06E" w:tentative="1">
      <w:start w:val="1"/>
      <w:numFmt w:val="bullet"/>
      <w:lvlText w:val=""/>
      <w:lvlJc w:val="left"/>
      <w:pPr>
        <w:tabs>
          <w:tab w:val="num" w:pos="5040"/>
        </w:tabs>
        <w:ind w:left="5040" w:hanging="360"/>
      </w:pPr>
      <w:rPr>
        <w:rFonts w:ascii="Symbol" w:hAnsi="Symbol" w:hint="default"/>
        <w:sz w:val="20"/>
      </w:rPr>
    </w:lvl>
    <w:lvl w:ilvl="7" w:tplc="FB8237E4" w:tentative="1">
      <w:start w:val="1"/>
      <w:numFmt w:val="bullet"/>
      <w:lvlText w:val=""/>
      <w:lvlJc w:val="left"/>
      <w:pPr>
        <w:tabs>
          <w:tab w:val="num" w:pos="5760"/>
        </w:tabs>
        <w:ind w:left="5760" w:hanging="360"/>
      </w:pPr>
      <w:rPr>
        <w:rFonts w:ascii="Symbol" w:hAnsi="Symbol" w:hint="default"/>
        <w:sz w:val="20"/>
      </w:rPr>
    </w:lvl>
    <w:lvl w:ilvl="8" w:tplc="803044E0"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865305"/>
    <w:multiLevelType w:val="hybridMultilevel"/>
    <w:tmpl w:val="1396C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D8F5D2A"/>
    <w:multiLevelType w:val="hybridMultilevel"/>
    <w:tmpl w:val="6A6A0206"/>
    <w:lvl w:ilvl="0" w:tplc="3D3A24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587D84"/>
    <w:multiLevelType w:val="multilevel"/>
    <w:tmpl w:val="275EC9B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FDF108D"/>
    <w:multiLevelType w:val="hybridMultilevel"/>
    <w:tmpl w:val="8AC4FA4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23E0FE0"/>
    <w:multiLevelType w:val="hybridMultilevel"/>
    <w:tmpl w:val="72768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AB4E15"/>
    <w:multiLevelType w:val="hybridMultilevel"/>
    <w:tmpl w:val="5D980642"/>
    <w:lvl w:ilvl="0" w:tplc="9C4482AA">
      <w:start w:val="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AE50CC"/>
    <w:multiLevelType w:val="multilevel"/>
    <w:tmpl w:val="D0667350"/>
    <w:lvl w:ilvl="0">
      <w:start w:val="1"/>
      <w:numFmt w:val="decimal"/>
      <w:lvlText w:val="%1."/>
      <w:lvlJc w:val="left"/>
      <w:pPr>
        <w:ind w:left="720" w:hanging="360"/>
      </w:pPr>
      <w:rPr>
        <w:rFonts w:hint="default"/>
        <w:bCs w:val="0"/>
        <w:i w:val="0"/>
        <w:iCs w:val="0"/>
        <w:smallCaps w:val="0"/>
        <w:strike w:val="0"/>
        <w:dstrike w:val="0"/>
        <w:vanish w:val="0"/>
        <w:color w:val="4CB8C1" w:themeColor="accent5"/>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504"/>
      </w:pPr>
      <w:rPr>
        <w:rFonts w:hint="default"/>
        <w:color w:val="4CB8C1" w:themeColor="accent5"/>
        <w:sz w:val="26"/>
        <w:szCs w:val="26"/>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2" w15:restartNumberingAfterBreak="0">
    <w:nsid w:val="474A287E"/>
    <w:multiLevelType w:val="hybridMultilevel"/>
    <w:tmpl w:val="C6A42E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D7F3647"/>
    <w:multiLevelType w:val="hybridMultilevel"/>
    <w:tmpl w:val="E71C99B8"/>
    <w:lvl w:ilvl="0" w:tplc="A8126EE6">
      <w:start w:val="1"/>
      <w:numFmt w:val="decimal"/>
      <w:lvlText w:val="%1."/>
      <w:lvlJc w:val="left"/>
      <w:pPr>
        <w:tabs>
          <w:tab w:val="num" w:pos="720"/>
        </w:tabs>
        <w:ind w:left="720" w:hanging="360"/>
      </w:pPr>
    </w:lvl>
    <w:lvl w:ilvl="1" w:tplc="F2983FAE" w:tentative="1">
      <w:start w:val="1"/>
      <w:numFmt w:val="decimal"/>
      <w:lvlText w:val="%2."/>
      <w:lvlJc w:val="left"/>
      <w:pPr>
        <w:tabs>
          <w:tab w:val="num" w:pos="1440"/>
        </w:tabs>
        <w:ind w:left="1440" w:hanging="360"/>
      </w:pPr>
    </w:lvl>
    <w:lvl w:ilvl="2" w:tplc="4C6AEECE" w:tentative="1">
      <w:start w:val="1"/>
      <w:numFmt w:val="decimal"/>
      <w:lvlText w:val="%3."/>
      <w:lvlJc w:val="left"/>
      <w:pPr>
        <w:tabs>
          <w:tab w:val="num" w:pos="2160"/>
        </w:tabs>
        <w:ind w:left="2160" w:hanging="360"/>
      </w:pPr>
    </w:lvl>
    <w:lvl w:ilvl="3" w:tplc="E62488D8" w:tentative="1">
      <w:start w:val="1"/>
      <w:numFmt w:val="decimal"/>
      <w:lvlText w:val="%4."/>
      <w:lvlJc w:val="left"/>
      <w:pPr>
        <w:tabs>
          <w:tab w:val="num" w:pos="2880"/>
        </w:tabs>
        <w:ind w:left="2880" w:hanging="360"/>
      </w:pPr>
    </w:lvl>
    <w:lvl w:ilvl="4" w:tplc="44D28302" w:tentative="1">
      <w:start w:val="1"/>
      <w:numFmt w:val="decimal"/>
      <w:lvlText w:val="%5."/>
      <w:lvlJc w:val="left"/>
      <w:pPr>
        <w:tabs>
          <w:tab w:val="num" w:pos="3600"/>
        </w:tabs>
        <w:ind w:left="3600" w:hanging="360"/>
      </w:pPr>
    </w:lvl>
    <w:lvl w:ilvl="5" w:tplc="49BADE2A" w:tentative="1">
      <w:start w:val="1"/>
      <w:numFmt w:val="decimal"/>
      <w:lvlText w:val="%6."/>
      <w:lvlJc w:val="left"/>
      <w:pPr>
        <w:tabs>
          <w:tab w:val="num" w:pos="4320"/>
        </w:tabs>
        <w:ind w:left="4320" w:hanging="360"/>
      </w:pPr>
    </w:lvl>
    <w:lvl w:ilvl="6" w:tplc="9BC0AA70" w:tentative="1">
      <w:start w:val="1"/>
      <w:numFmt w:val="decimal"/>
      <w:lvlText w:val="%7."/>
      <w:lvlJc w:val="left"/>
      <w:pPr>
        <w:tabs>
          <w:tab w:val="num" w:pos="5040"/>
        </w:tabs>
        <w:ind w:left="5040" w:hanging="360"/>
      </w:pPr>
    </w:lvl>
    <w:lvl w:ilvl="7" w:tplc="00D2CAC0" w:tentative="1">
      <w:start w:val="1"/>
      <w:numFmt w:val="decimal"/>
      <w:lvlText w:val="%8."/>
      <w:lvlJc w:val="left"/>
      <w:pPr>
        <w:tabs>
          <w:tab w:val="num" w:pos="5760"/>
        </w:tabs>
        <w:ind w:left="5760" w:hanging="360"/>
      </w:pPr>
    </w:lvl>
    <w:lvl w:ilvl="8" w:tplc="B1A45908" w:tentative="1">
      <w:start w:val="1"/>
      <w:numFmt w:val="decimal"/>
      <w:lvlText w:val="%9."/>
      <w:lvlJc w:val="left"/>
      <w:pPr>
        <w:tabs>
          <w:tab w:val="num" w:pos="6480"/>
        </w:tabs>
        <w:ind w:left="6480" w:hanging="360"/>
      </w:pPr>
    </w:lvl>
  </w:abstractNum>
  <w:abstractNum w:abstractNumId="34" w15:restartNumberingAfterBreak="0">
    <w:nsid w:val="4ECB028A"/>
    <w:multiLevelType w:val="hybridMultilevel"/>
    <w:tmpl w:val="E7E49DA2"/>
    <w:lvl w:ilvl="0" w:tplc="449440E4">
      <w:start w:val="1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B80EC2"/>
    <w:multiLevelType w:val="hybridMultilevel"/>
    <w:tmpl w:val="CF569B1C"/>
    <w:lvl w:ilvl="0" w:tplc="C1F2E7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4F745D"/>
    <w:multiLevelType w:val="hybridMultilevel"/>
    <w:tmpl w:val="87A8CF3C"/>
    <w:lvl w:ilvl="0" w:tplc="5B4E3BB8">
      <w:start w:val="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697582"/>
    <w:multiLevelType w:val="hybridMultilevel"/>
    <w:tmpl w:val="C0D2D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3BE2D28"/>
    <w:multiLevelType w:val="hybridMultilevel"/>
    <w:tmpl w:val="1D70C0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46F4C1A"/>
    <w:multiLevelType w:val="hybridMultilevel"/>
    <w:tmpl w:val="22B4C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4FE3CAD"/>
    <w:multiLevelType w:val="hybridMultilevel"/>
    <w:tmpl w:val="10027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D3F6A37"/>
    <w:multiLevelType w:val="hybridMultilevel"/>
    <w:tmpl w:val="1E0C0506"/>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FB8309D"/>
    <w:multiLevelType w:val="hybridMultilevel"/>
    <w:tmpl w:val="72CEC898"/>
    <w:lvl w:ilvl="0" w:tplc="C03C4B3E">
      <w:start w:val="1"/>
      <w:numFmt w:val="bullet"/>
      <w:lvlText w:val=""/>
      <w:lvlJc w:val="left"/>
      <w:pPr>
        <w:ind w:left="720" w:hanging="360"/>
      </w:pPr>
      <w:rPr>
        <w:rFonts w:ascii="Wingdings" w:hAnsi="Wingdings" w:hint="default"/>
        <w:color w:val="002060" w:themeColor="text2"/>
        <w:u w:color="002060"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F37A1B"/>
    <w:multiLevelType w:val="hybridMultilevel"/>
    <w:tmpl w:val="52B0B3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FA756D"/>
    <w:multiLevelType w:val="hybridMultilevel"/>
    <w:tmpl w:val="385CAF0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F90F23"/>
    <w:multiLevelType w:val="hybridMultilevel"/>
    <w:tmpl w:val="DF626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28"/>
  </w:num>
  <w:num w:numId="3">
    <w:abstractNumId w:val="14"/>
  </w:num>
  <w:num w:numId="4">
    <w:abstractNumId w:val="40"/>
  </w:num>
  <w:num w:numId="5">
    <w:abstractNumId w:val="37"/>
  </w:num>
  <w:num w:numId="6">
    <w:abstractNumId w:val="41"/>
  </w:num>
  <w:num w:numId="7">
    <w:abstractNumId w:val="17"/>
  </w:num>
  <w:num w:numId="8">
    <w:abstractNumId w:val="43"/>
  </w:num>
  <w:num w:numId="9">
    <w:abstractNumId w:val="45"/>
  </w:num>
  <w:num w:numId="10">
    <w:abstractNumId w:val="19"/>
  </w:num>
  <w:num w:numId="11">
    <w:abstractNumId w:val="11"/>
  </w:num>
  <w:num w:numId="12">
    <w:abstractNumId w:val="31"/>
  </w:num>
  <w:num w:numId="13">
    <w:abstractNumId w:val="9"/>
  </w:num>
  <w:num w:numId="14">
    <w:abstractNumId w:val="8"/>
  </w:num>
  <w:num w:numId="15">
    <w:abstractNumId w:val="0"/>
  </w:num>
  <w:num w:numId="16">
    <w:abstractNumId w:val="18"/>
  </w:num>
  <w:num w:numId="17">
    <w:abstractNumId w:val="34"/>
  </w:num>
  <w:num w:numId="18">
    <w:abstractNumId w:val="22"/>
  </w:num>
  <w:num w:numId="19">
    <w:abstractNumId w:val="21"/>
  </w:num>
  <w:num w:numId="20">
    <w:abstractNumId w:val="24"/>
  </w:num>
  <w:num w:numId="21">
    <w:abstractNumId w:val="32"/>
  </w:num>
  <w:num w:numId="22">
    <w:abstractNumId w:val="20"/>
  </w:num>
  <w:num w:numId="23">
    <w:abstractNumId w:val="44"/>
  </w:num>
  <w:num w:numId="24">
    <w:abstractNumId w:val="39"/>
  </w:num>
  <w:num w:numId="25">
    <w:abstractNumId w:val="23"/>
  </w:num>
  <w:num w:numId="26">
    <w:abstractNumId w:val="15"/>
  </w:num>
  <w:num w:numId="27">
    <w:abstractNumId w:val="29"/>
  </w:num>
  <w:num w:numId="28">
    <w:abstractNumId w:val="12"/>
  </w:num>
  <w:num w:numId="29">
    <w:abstractNumId w:val="36"/>
  </w:num>
  <w:num w:numId="30">
    <w:abstractNumId w:val="28"/>
  </w:num>
  <w:num w:numId="31">
    <w:abstractNumId w:val="26"/>
  </w:num>
  <w:num w:numId="32">
    <w:abstractNumId w:val="35"/>
  </w:num>
  <w:num w:numId="33">
    <w:abstractNumId w:val="30"/>
  </w:num>
  <w:num w:numId="34">
    <w:abstractNumId w:val="25"/>
  </w:num>
  <w:num w:numId="35">
    <w:abstractNumId w:val="16"/>
  </w:num>
  <w:num w:numId="36">
    <w:abstractNumId w:val="33"/>
  </w:num>
  <w:num w:numId="37">
    <w:abstractNumId w:val="27"/>
  </w:num>
  <w:num w:numId="38">
    <w:abstractNumId w:val="10"/>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13"/>
  </w:num>
  <w:num w:numId="47">
    <w:abstractNumId w:val="18"/>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removePersonalInformation/>
  <w:removeDateAndTime/>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8CA"/>
    <w:rsid w:val="000005F6"/>
    <w:rsid w:val="0000096D"/>
    <w:rsid w:val="00000F29"/>
    <w:rsid w:val="00001098"/>
    <w:rsid w:val="00001A05"/>
    <w:rsid w:val="00001DC7"/>
    <w:rsid w:val="00002502"/>
    <w:rsid w:val="00003522"/>
    <w:rsid w:val="00004EC8"/>
    <w:rsid w:val="00004F06"/>
    <w:rsid w:val="00005160"/>
    <w:rsid w:val="00006074"/>
    <w:rsid w:val="000064A1"/>
    <w:rsid w:val="00007DA8"/>
    <w:rsid w:val="0001023A"/>
    <w:rsid w:val="00010B9B"/>
    <w:rsid w:val="00011E7C"/>
    <w:rsid w:val="0001220E"/>
    <w:rsid w:val="000124BF"/>
    <w:rsid w:val="00012591"/>
    <w:rsid w:val="00013E71"/>
    <w:rsid w:val="000148DD"/>
    <w:rsid w:val="00014AEF"/>
    <w:rsid w:val="00014CB7"/>
    <w:rsid w:val="000154CD"/>
    <w:rsid w:val="00015F33"/>
    <w:rsid w:val="000164FB"/>
    <w:rsid w:val="00016BAE"/>
    <w:rsid w:val="00016D49"/>
    <w:rsid w:val="0001780F"/>
    <w:rsid w:val="000178CA"/>
    <w:rsid w:val="00017F17"/>
    <w:rsid w:val="0002061A"/>
    <w:rsid w:val="00020E5D"/>
    <w:rsid w:val="000211F2"/>
    <w:rsid w:val="00021A36"/>
    <w:rsid w:val="0002208C"/>
    <w:rsid w:val="00022A90"/>
    <w:rsid w:val="00023422"/>
    <w:rsid w:val="000236FB"/>
    <w:rsid w:val="00023A95"/>
    <w:rsid w:val="0002426E"/>
    <w:rsid w:val="0002450B"/>
    <w:rsid w:val="00024F30"/>
    <w:rsid w:val="0002573C"/>
    <w:rsid w:val="00026A1D"/>
    <w:rsid w:val="00026A9A"/>
    <w:rsid w:val="00026ABA"/>
    <w:rsid w:val="00026C49"/>
    <w:rsid w:val="00026F64"/>
    <w:rsid w:val="00027B38"/>
    <w:rsid w:val="00027C4D"/>
    <w:rsid w:val="00031287"/>
    <w:rsid w:val="000314BF"/>
    <w:rsid w:val="000317D2"/>
    <w:rsid w:val="00031A1B"/>
    <w:rsid w:val="00031AE5"/>
    <w:rsid w:val="00031E39"/>
    <w:rsid w:val="00031E4E"/>
    <w:rsid w:val="000326EA"/>
    <w:rsid w:val="00032D62"/>
    <w:rsid w:val="00033599"/>
    <w:rsid w:val="0003430C"/>
    <w:rsid w:val="00034E02"/>
    <w:rsid w:val="000358EC"/>
    <w:rsid w:val="00035C08"/>
    <w:rsid w:val="000364A9"/>
    <w:rsid w:val="000364C0"/>
    <w:rsid w:val="00036720"/>
    <w:rsid w:val="00036EA4"/>
    <w:rsid w:val="000405B8"/>
    <w:rsid w:val="00040A8A"/>
    <w:rsid w:val="00040F5A"/>
    <w:rsid w:val="000412EC"/>
    <w:rsid w:val="0004173E"/>
    <w:rsid w:val="00041875"/>
    <w:rsid w:val="00041EED"/>
    <w:rsid w:val="00043B53"/>
    <w:rsid w:val="00043C26"/>
    <w:rsid w:val="00044E6D"/>
    <w:rsid w:val="00045560"/>
    <w:rsid w:val="0004583C"/>
    <w:rsid w:val="00045F2D"/>
    <w:rsid w:val="00047E12"/>
    <w:rsid w:val="00047E3A"/>
    <w:rsid w:val="00050301"/>
    <w:rsid w:val="0005060A"/>
    <w:rsid w:val="00050C91"/>
    <w:rsid w:val="00050E43"/>
    <w:rsid w:val="000526E6"/>
    <w:rsid w:val="00052F43"/>
    <w:rsid w:val="00053861"/>
    <w:rsid w:val="00053B2D"/>
    <w:rsid w:val="00053ED5"/>
    <w:rsid w:val="0005574E"/>
    <w:rsid w:val="00056A7E"/>
    <w:rsid w:val="00056CE6"/>
    <w:rsid w:val="00056D77"/>
    <w:rsid w:val="0005718E"/>
    <w:rsid w:val="00057A6E"/>
    <w:rsid w:val="00060EBC"/>
    <w:rsid w:val="0006103B"/>
    <w:rsid w:val="000610A1"/>
    <w:rsid w:val="000613A4"/>
    <w:rsid w:val="000613B2"/>
    <w:rsid w:val="000613BB"/>
    <w:rsid w:val="00061E3B"/>
    <w:rsid w:val="000629C5"/>
    <w:rsid w:val="00063D36"/>
    <w:rsid w:val="0006497B"/>
    <w:rsid w:val="00064BF5"/>
    <w:rsid w:val="00065934"/>
    <w:rsid w:val="00066A6F"/>
    <w:rsid w:val="00066B8B"/>
    <w:rsid w:val="00070333"/>
    <w:rsid w:val="00070A0D"/>
    <w:rsid w:val="00071053"/>
    <w:rsid w:val="000729FE"/>
    <w:rsid w:val="00072BBF"/>
    <w:rsid w:val="00072BE8"/>
    <w:rsid w:val="00073169"/>
    <w:rsid w:val="00073441"/>
    <w:rsid w:val="0007361B"/>
    <w:rsid w:val="00073893"/>
    <w:rsid w:val="00073EA6"/>
    <w:rsid w:val="00074057"/>
    <w:rsid w:val="000745E1"/>
    <w:rsid w:val="0007464F"/>
    <w:rsid w:val="0007554C"/>
    <w:rsid w:val="00075674"/>
    <w:rsid w:val="00075EC0"/>
    <w:rsid w:val="000760B3"/>
    <w:rsid w:val="00076641"/>
    <w:rsid w:val="000768DD"/>
    <w:rsid w:val="00077899"/>
    <w:rsid w:val="00077A26"/>
    <w:rsid w:val="00080360"/>
    <w:rsid w:val="000811E1"/>
    <w:rsid w:val="000812CA"/>
    <w:rsid w:val="0008198D"/>
    <w:rsid w:val="00081D9A"/>
    <w:rsid w:val="00082323"/>
    <w:rsid w:val="0008268E"/>
    <w:rsid w:val="00083206"/>
    <w:rsid w:val="00084469"/>
    <w:rsid w:val="0008498C"/>
    <w:rsid w:val="00084E0F"/>
    <w:rsid w:val="00084EA9"/>
    <w:rsid w:val="0008525D"/>
    <w:rsid w:val="000854A6"/>
    <w:rsid w:val="00085E7B"/>
    <w:rsid w:val="00086125"/>
    <w:rsid w:val="00086877"/>
    <w:rsid w:val="0008731F"/>
    <w:rsid w:val="000904BF"/>
    <w:rsid w:val="000905F2"/>
    <w:rsid w:val="00090649"/>
    <w:rsid w:val="00090C07"/>
    <w:rsid w:val="00090E65"/>
    <w:rsid w:val="0009174A"/>
    <w:rsid w:val="0009354B"/>
    <w:rsid w:val="000938A6"/>
    <w:rsid w:val="0009424B"/>
    <w:rsid w:val="000952DC"/>
    <w:rsid w:val="000953B4"/>
    <w:rsid w:val="000957B6"/>
    <w:rsid w:val="00095855"/>
    <w:rsid w:val="00096040"/>
    <w:rsid w:val="000960D9"/>
    <w:rsid w:val="0009651C"/>
    <w:rsid w:val="00097589"/>
    <w:rsid w:val="00097BA5"/>
    <w:rsid w:val="00097C77"/>
    <w:rsid w:val="000A05CD"/>
    <w:rsid w:val="000A1081"/>
    <w:rsid w:val="000A12C6"/>
    <w:rsid w:val="000A17FE"/>
    <w:rsid w:val="000A180C"/>
    <w:rsid w:val="000A1F6E"/>
    <w:rsid w:val="000A22D4"/>
    <w:rsid w:val="000A2948"/>
    <w:rsid w:val="000A2ADD"/>
    <w:rsid w:val="000A3032"/>
    <w:rsid w:val="000A494D"/>
    <w:rsid w:val="000A4FAF"/>
    <w:rsid w:val="000A50A9"/>
    <w:rsid w:val="000A57DB"/>
    <w:rsid w:val="000A5AFA"/>
    <w:rsid w:val="000A6078"/>
    <w:rsid w:val="000A670E"/>
    <w:rsid w:val="000A696B"/>
    <w:rsid w:val="000A6C51"/>
    <w:rsid w:val="000A734C"/>
    <w:rsid w:val="000A78D3"/>
    <w:rsid w:val="000B03D8"/>
    <w:rsid w:val="000B180D"/>
    <w:rsid w:val="000B1D2D"/>
    <w:rsid w:val="000B2C14"/>
    <w:rsid w:val="000B38A1"/>
    <w:rsid w:val="000B38D9"/>
    <w:rsid w:val="000B3FC5"/>
    <w:rsid w:val="000B48AC"/>
    <w:rsid w:val="000B4AC5"/>
    <w:rsid w:val="000B4DA0"/>
    <w:rsid w:val="000B580C"/>
    <w:rsid w:val="000B5AEE"/>
    <w:rsid w:val="000B61B3"/>
    <w:rsid w:val="000B7C27"/>
    <w:rsid w:val="000B7D80"/>
    <w:rsid w:val="000C07EC"/>
    <w:rsid w:val="000C0AE6"/>
    <w:rsid w:val="000C0D2C"/>
    <w:rsid w:val="000C196E"/>
    <w:rsid w:val="000C1BEE"/>
    <w:rsid w:val="000C1CE8"/>
    <w:rsid w:val="000C3352"/>
    <w:rsid w:val="000C3806"/>
    <w:rsid w:val="000C42A2"/>
    <w:rsid w:val="000C488F"/>
    <w:rsid w:val="000C48C2"/>
    <w:rsid w:val="000C4DF0"/>
    <w:rsid w:val="000C4EA8"/>
    <w:rsid w:val="000C549D"/>
    <w:rsid w:val="000C5D6B"/>
    <w:rsid w:val="000C64E7"/>
    <w:rsid w:val="000C6BEB"/>
    <w:rsid w:val="000C764E"/>
    <w:rsid w:val="000D0404"/>
    <w:rsid w:val="000D06B9"/>
    <w:rsid w:val="000D0D25"/>
    <w:rsid w:val="000D179F"/>
    <w:rsid w:val="000D229F"/>
    <w:rsid w:val="000D2848"/>
    <w:rsid w:val="000D2C44"/>
    <w:rsid w:val="000D31EF"/>
    <w:rsid w:val="000D3CB7"/>
    <w:rsid w:val="000D3EF8"/>
    <w:rsid w:val="000D42E0"/>
    <w:rsid w:val="000D4E79"/>
    <w:rsid w:val="000D4FAF"/>
    <w:rsid w:val="000D4FDA"/>
    <w:rsid w:val="000D559A"/>
    <w:rsid w:val="000D778D"/>
    <w:rsid w:val="000D7BB3"/>
    <w:rsid w:val="000D7ED1"/>
    <w:rsid w:val="000E07F0"/>
    <w:rsid w:val="000E0F6E"/>
    <w:rsid w:val="000E1225"/>
    <w:rsid w:val="000E1656"/>
    <w:rsid w:val="000E2D79"/>
    <w:rsid w:val="000E2EF7"/>
    <w:rsid w:val="000E3F83"/>
    <w:rsid w:val="000E3F84"/>
    <w:rsid w:val="000E5866"/>
    <w:rsid w:val="000E59C9"/>
    <w:rsid w:val="000E61E3"/>
    <w:rsid w:val="000E6CE1"/>
    <w:rsid w:val="000E6D37"/>
    <w:rsid w:val="000E7BB2"/>
    <w:rsid w:val="000F0201"/>
    <w:rsid w:val="000F0B5C"/>
    <w:rsid w:val="000F13E8"/>
    <w:rsid w:val="000F2CA3"/>
    <w:rsid w:val="000F2CB3"/>
    <w:rsid w:val="000F3110"/>
    <w:rsid w:val="000F35BD"/>
    <w:rsid w:val="000F379D"/>
    <w:rsid w:val="000F37E4"/>
    <w:rsid w:val="000F388D"/>
    <w:rsid w:val="000F43E0"/>
    <w:rsid w:val="000F4F00"/>
    <w:rsid w:val="000F56B8"/>
    <w:rsid w:val="000F6E9E"/>
    <w:rsid w:val="000F7C4E"/>
    <w:rsid w:val="000F7E32"/>
    <w:rsid w:val="00100876"/>
    <w:rsid w:val="00100AC2"/>
    <w:rsid w:val="00101046"/>
    <w:rsid w:val="0010282A"/>
    <w:rsid w:val="00102CD1"/>
    <w:rsid w:val="00103147"/>
    <w:rsid w:val="00103154"/>
    <w:rsid w:val="00104F87"/>
    <w:rsid w:val="00106898"/>
    <w:rsid w:val="00106934"/>
    <w:rsid w:val="00106FE6"/>
    <w:rsid w:val="0010758D"/>
    <w:rsid w:val="00107A7D"/>
    <w:rsid w:val="00110274"/>
    <w:rsid w:val="0011091F"/>
    <w:rsid w:val="00110AEE"/>
    <w:rsid w:val="0011252C"/>
    <w:rsid w:val="00112586"/>
    <w:rsid w:val="0011380E"/>
    <w:rsid w:val="001139A5"/>
    <w:rsid w:val="00114E7A"/>
    <w:rsid w:val="00115276"/>
    <w:rsid w:val="00115841"/>
    <w:rsid w:val="00115A0B"/>
    <w:rsid w:val="00115ACF"/>
    <w:rsid w:val="00117085"/>
    <w:rsid w:val="0011763C"/>
    <w:rsid w:val="00117873"/>
    <w:rsid w:val="00120BEF"/>
    <w:rsid w:val="00120FA7"/>
    <w:rsid w:val="00120FB0"/>
    <w:rsid w:val="00121129"/>
    <w:rsid w:val="0012162F"/>
    <w:rsid w:val="001216AF"/>
    <w:rsid w:val="0012175C"/>
    <w:rsid w:val="00121E30"/>
    <w:rsid w:val="0012223E"/>
    <w:rsid w:val="001227BF"/>
    <w:rsid w:val="00122C69"/>
    <w:rsid w:val="00122EFA"/>
    <w:rsid w:val="001233AB"/>
    <w:rsid w:val="00123913"/>
    <w:rsid w:val="00124884"/>
    <w:rsid w:val="00125380"/>
    <w:rsid w:val="001258D2"/>
    <w:rsid w:val="00125F43"/>
    <w:rsid w:val="0012651F"/>
    <w:rsid w:val="00126812"/>
    <w:rsid w:val="001268F0"/>
    <w:rsid w:val="001271C8"/>
    <w:rsid w:val="001302A5"/>
    <w:rsid w:val="0013040C"/>
    <w:rsid w:val="001308B7"/>
    <w:rsid w:val="00130D7B"/>
    <w:rsid w:val="00131C0E"/>
    <w:rsid w:val="00131D0A"/>
    <w:rsid w:val="001322E0"/>
    <w:rsid w:val="00132767"/>
    <w:rsid w:val="001329DB"/>
    <w:rsid w:val="0013364D"/>
    <w:rsid w:val="00133709"/>
    <w:rsid w:val="00133A75"/>
    <w:rsid w:val="00133CEA"/>
    <w:rsid w:val="00134539"/>
    <w:rsid w:val="001356EE"/>
    <w:rsid w:val="0013625D"/>
    <w:rsid w:val="00136553"/>
    <w:rsid w:val="00136A5C"/>
    <w:rsid w:val="00137DD7"/>
    <w:rsid w:val="0014044E"/>
    <w:rsid w:val="00141CA6"/>
    <w:rsid w:val="0014249F"/>
    <w:rsid w:val="00142A07"/>
    <w:rsid w:val="00143C20"/>
    <w:rsid w:val="00143F41"/>
    <w:rsid w:val="001443F3"/>
    <w:rsid w:val="00144736"/>
    <w:rsid w:val="001451FC"/>
    <w:rsid w:val="00146099"/>
    <w:rsid w:val="00146121"/>
    <w:rsid w:val="001461C5"/>
    <w:rsid w:val="00146847"/>
    <w:rsid w:val="00146B28"/>
    <w:rsid w:val="001472AC"/>
    <w:rsid w:val="001479E3"/>
    <w:rsid w:val="001500C0"/>
    <w:rsid w:val="0015031F"/>
    <w:rsid w:val="0015062E"/>
    <w:rsid w:val="001509A4"/>
    <w:rsid w:val="00150A33"/>
    <w:rsid w:val="00150AB0"/>
    <w:rsid w:val="0015161D"/>
    <w:rsid w:val="0015192A"/>
    <w:rsid w:val="00152305"/>
    <w:rsid w:val="001529AA"/>
    <w:rsid w:val="00153127"/>
    <w:rsid w:val="001531B5"/>
    <w:rsid w:val="00153366"/>
    <w:rsid w:val="0015392D"/>
    <w:rsid w:val="00153EA8"/>
    <w:rsid w:val="001544AC"/>
    <w:rsid w:val="00154C6B"/>
    <w:rsid w:val="00155289"/>
    <w:rsid w:val="0015600E"/>
    <w:rsid w:val="001561F7"/>
    <w:rsid w:val="001564A4"/>
    <w:rsid w:val="00156A06"/>
    <w:rsid w:val="00156C48"/>
    <w:rsid w:val="0015708D"/>
    <w:rsid w:val="001576EE"/>
    <w:rsid w:val="001602E9"/>
    <w:rsid w:val="00160BAE"/>
    <w:rsid w:val="00161248"/>
    <w:rsid w:val="00161CEE"/>
    <w:rsid w:val="00162541"/>
    <w:rsid w:val="0016279E"/>
    <w:rsid w:val="00162823"/>
    <w:rsid w:val="00163473"/>
    <w:rsid w:val="00163ED2"/>
    <w:rsid w:val="0016409E"/>
    <w:rsid w:val="001647B0"/>
    <w:rsid w:val="00165555"/>
    <w:rsid w:val="001658AF"/>
    <w:rsid w:val="0016599A"/>
    <w:rsid w:val="00165D93"/>
    <w:rsid w:val="00165ECE"/>
    <w:rsid w:val="001667C5"/>
    <w:rsid w:val="00167E4E"/>
    <w:rsid w:val="0017069A"/>
    <w:rsid w:val="001713BC"/>
    <w:rsid w:val="001716D1"/>
    <w:rsid w:val="001719B9"/>
    <w:rsid w:val="00171F0A"/>
    <w:rsid w:val="001724A5"/>
    <w:rsid w:val="00172A7E"/>
    <w:rsid w:val="0017311D"/>
    <w:rsid w:val="001750A3"/>
    <w:rsid w:val="00175136"/>
    <w:rsid w:val="00175C7A"/>
    <w:rsid w:val="00175D3A"/>
    <w:rsid w:val="00175F1C"/>
    <w:rsid w:val="0017691A"/>
    <w:rsid w:val="00176DA5"/>
    <w:rsid w:val="00176E8B"/>
    <w:rsid w:val="0018019F"/>
    <w:rsid w:val="00180EFA"/>
    <w:rsid w:val="0018227B"/>
    <w:rsid w:val="001822B4"/>
    <w:rsid w:val="00182420"/>
    <w:rsid w:val="00182638"/>
    <w:rsid w:val="001827C4"/>
    <w:rsid w:val="00182D8F"/>
    <w:rsid w:val="00182EC3"/>
    <w:rsid w:val="001837C4"/>
    <w:rsid w:val="00184143"/>
    <w:rsid w:val="00185FC0"/>
    <w:rsid w:val="001860F3"/>
    <w:rsid w:val="0018623C"/>
    <w:rsid w:val="001862E3"/>
    <w:rsid w:val="001868C2"/>
    <w:rsid w:val="00186EBC"/>
    <w:rsid w:val="0018732C"/>
    <w:rsid w:val="001906EA"/>
    <w:rsid w:val="00190B44"/>
    <w:rsid w:val="00190D97"/>
    <w:rsid w:val="00191B11"/>
    <w:rsid w:val="00191E8A"/>
    <w:rsid w:val="001921F4"/>
    <w:rsid w:val="00192435"/>
    <w:rsid w:val="00192EE8"/>
    <w:rsid w:val="00194856"/>
    <w:rsid w:val="001950AF"/>
    <w:rsid w:val="001959AD"/>
    <w:rsid w:val="0019607C"/>
    <w:rsid w:val="00196680"/>
    <w:rsid w:val="00196C01"/>
    <w:rsid w:val="001971C2"/>
    <w:rsid w:val="001972F5"/>
    <w:rsid w:val="00197832"/>
    <w:rsid w:val="001A00CF"/>
    <w:rsid w:val="001A0C20"/>
    <w:rsid w:val="001A102C"/>
    <w:rsid w:val="001A14DE"/>
    <w:rsid w:val="001A1DD4"/>
    <w:rsid w:val="001A21F5"/>
    <w:rsid w:val="001A255A"/>
    <w:rsid w:val="001A2A0C"/>
    <w:rsid w:val="001A37AE"/>
    <w:rsid w:val="001A42D6"/>
    <w:rsid w:val="001A463A"/>
    <w:rsid w:val="001A46F2"/>
    <w:rsid w:val="001A4795"/>
    <w:rsid w:val="001A53C1"/>
    <w:rsid w:val="001A55CC"/>
    <w:rsid w:val="001A55E2"/>
    <w:rsid w:val="001A5C1B"/>
    <w:rsid w:val="001A750D"/>
    <w:rsid w:val="001A7CEF"/>
    <w:rsid w:val="001A7FA4"/>
    <w:rsid w:val="001B00E7"/>
    <w:rsid w:val="001B0426"/>
    <w:rsid w:val="001B0E9A"/>
    <w:rsid w:val="001B1297"/>
    <w:rsid w:val="001B149C"/>
    <w:rsid w:val="001B2A10"/>
    <w:rsid w:val="001B2FC5"/>
    <w:rsid w:val="001B3B88"/>
    <w:rsid w:val="001B3D63"/>
    <w:rsid w:val="001B4138"/>
    <w:rsid w:val="001B4315"/>
    <w:rsid w:val="001B4592"/>
    <w:rsid w:val="001B5199"/>
    <w:rsid w:val="001B5870"/>
    <w:rsid w:val="001B596D"/>
    <w:rsid w:val="001B647C"/>
    <w:rsid w:val="001B66CC"/>
    <w:rsid w:val="001B6977"/>
    <w:rsid w:val="001B6FFB"/>
    <w:rsid w:val="001B77FC"/>
    <w:rsid w:val="001C07A3"/>
    <w:rsid w:val="001C198E"/>
    <w:rsid w:val="001C2317"/>
    <w:rsid w:val="001C247E"/>
    <w:rsid w:val="001C293A"/>
    <w:rsid w:val="001C2DE8"/>
    <w:rsid w:val="001C2EC1"/>
    <w:rsid w:val="001C3659"/>
    <w:rsid w:val="001C3AB9"/>
    <w:rsid w:val="001C49CC"/>
    <w:rsid w:val="001C4ADB"/>
    <w:rsid w:val="001C4CA8"/>
    <w:rsid w:val="001C4FD8"/>
    <w:rsid w:val="001C5139"/>
    <w:rsid w:val="001C5A60"/>
    <w:rsid w:val="001C5C5D"/>
    <w:rsid w:val="001C64BA"/>
    <w:rsid w:val="001C67CB"/>
    <w:rsid w:val="001C68A4"/>
    <w:rsid w:val="001C68D4"/>
    <w:rsid w:val="001C7034"/>
    <w:rsid w:val="001C7464"/>
    <w:rsid w:val="001D00FD"/>
    <w:rsid w:val="001D0248"/>
    <w:rsid w:val="001D026B"/>
    <w:rsid w:val="001D0727"/>
    <w:rsid w:val="001D0805"/>
    <w:rsid w:val="001D1BD2"/>
    <w:rsid w:val="001D2471"/>
    <w:rsid w:val="001D2D6E"/>
    <w:rsid w:val="001D3C8F"/>
    <w:rsid w:val="001D3CC1"/>
    <w:rsid w:val="001D3E1F"/>
    <w:rsid w:val="001D4A29"/>
    <w:rsid w:val="001D4D74"/>
    <w:rsid w:val="001D58FD"/>
    <w:rsid w:val="001D5900"/>
    <w:rsid w:val="001D5C6D"/>
    <w:rsid w:val="001D5D85"/>
    <w:rsid w:val="001D6A31"/>
    <w:rsid w:val="001D7A89"/>
    <w:rsid w:val="001E0140"/>
    <w:rsid w:val="001E04C1"/>
    <w:rsid w:val="001E1F26"/>
    <w:rsid w:val="001E2B40"/>
    <w:rsid w:val="001E2DCB"/>
    <w:rsid w:val="001E2FEE"/>
    <w:rsid w:val="001E2FF7"/>
    <w:rsid w:val="001E317E"/>
    <w:rsid w:val="001E3303"/>
    <w:rsid w:val="001E34D1"/>
    <w:rsid w:val="001E3CF2"/>
    <w:rsid w:val="001E406E"/>
    <w:rsid w:val="001E4482"/>
    <w:rsid w:val="001E470E"/>
    <w:rsid w:val="001E49BD"/>
    <w:rsid w:val="001E4F81"/>
    <w:rsid w:val="001E76EF"/>
    <w:rsid w:val="001E7872"/>
    <w:rsid w:val="001E7995"/>
    <w:rsid w:val="001F0216"/>
    <w:rsid w:val="001F0A4C"/>
    <w:rsid w:val="001F0C27"/>
    <w:rsid w:val="001F15DE"/>
    <w:rsid w:val="001F1C82"/>
    <w:rsid w:val="001F4565"/>
    <w:rsid w:val="001F4932"/>
    <w:rsid w:val="001F4E85"/>
    <w:rsid w:val="001F59C3"/>
    <w:rsid w:val="001F5B87"/>
    <w:rsid w:val="001F5E50"/>
    <w:rsid w:val="001F5F6B"/>
    <w:rsid w:val="001F6774"/>
    <w:rsid w:val="001F6D09"/>
    <w:rsid w:val="001F75FE"/>
    <w:rsid w:val="001F7EC8"/>
    <w:rsid w:val="002001A9"/>
    <w:rsid w:val="0020032F"/>
    <w:rsid w:val="002009BF"/>
    <w:rsid w:val="0020195C"/>
    <w:rsid w:val="00202B79"/>
    <w:rsid w:val="00202DFC"/>
    <w:rsid w:val="00203879"/>
    <w:rsid w:val="00203AA7"/>
    <w:rsid w:val="00203B81"/>
    <w:rsid w:val="002048B1"/>
    <w:rsid w:val="00206092"/>
    <w:rsid w:val="002065AB"/>
    <w:rsid w:val="00210A44"/>
    <w:rsid w:val="00210AB7"/>
    <w:rsid w:val="00210DC5"/>
    <w:rsid w:val="002113AF"/>
    <w:rsid w:val="0021177C"/>
    <w:rsid w:val="0021285B"/>
    <w:rsid w:val="00212E27"/>
    <w:rsid w:val="00212F6F"/>
    <w:rsid w:val="0021376F"/>
    <w:rsid w:val="00213C90"/>
    <w:rsid w:val="00214BD5"/>
    <w:rsid w:val="00214DC3"/>
    <w:rsid w:val="00215FDC"/>
    <w:rsid w:val="002162C1"/>
    <w:rsid w:val="00216739"/>
    <w:rsid w:val="002168A8"/>
    <w:rsid w:val="002170B2"/>
    <w:rsid w:val="00217102"/>
    <w:rsid w:val="00217662"/>
    <w:rsid w:val="00217BE3"/>
    <w:rsid w:val="00220168"/>
    <w:rsid w:val="002201EC"/>
    <w:rsid w:val="0022098C"/>
    <w:rsid w:val="002209E6"/>
    <w:rsid w:val="0022197D"/>
    <w:rsid w:val="00221CD4"/>
    <w:rsid w:val="00221D5E"/>
    <w:rsid w:val="00222215"/>
    <w:rsid w:val="00223134"/>
    <w:rsid w:val="002234AC"/>
    <w:rsid w:val="0022474E"/>
    <w:rsid w:val="002256FB"/>
    <w:rsid w:val="00225B74"/>
    <w:rsid w:val="00226B41"/>
    <w:rsid w:val="00226B85"/>
    <w:rsid w:val="00227715"/>
    <w:rsid w:val="002304B2"/>
    <w:rsid w:val="00230B73"/>
    <w:rsid w:val="00230D09"/>
    <w:rsid w:val="002312D1"/>
    <w:rsid w:val="002315E4"/>
    <w:rsid w:val="00232C2C"/>
    <w:rsid w:val="00234742"/>
    <w:rsid w:val="002362AF"/>
    <w:rsid w:val="00236772"/>
    <w:rsid w:val="00237F4F"/>
    <w:rsid w:val="0024028F"/>
    <w:rsid w:val="002405FE"/>
    <w:rsid w:val="002409FA"/>
    <w:rsid w:val="00241102"/>
    <w:rsid w:val="00241A62"/>
    <w:rsid w:val="00241CBC"/>
    <w:rsid w:val="00242288"/>
    <w:rsid w:val="00242B63"/>
    <w:rsid w:val="0024349E"/>
    <w:rsid w:val="00244704"/>
    <w:rsid w:val="00244B80"/>
    <w:rsid w:val="00245E83"/>
    <w:rsid w:val="0024727A"/>
    <w:rsid w:val="00247540"/>
    <w:rsid w:val="002476E2"/>
    <w:rsid w:val="002477F1"/>
    <w:rsid w:val="002478E4"/>
    <w:rsid w:val="00247CBE"/>
    <w:rsid w:val="00250316"/>
    <w:rsid w:val="00250731"/>
    <w:rsid w:val="002508DE"/>
    <w:rsid w:val="002515BF"/>
    <w:rsid w:val="0025163D"/>
    <w:rsid w:val="00251B3F"/>
    <w:rsid w:val="00251B42"/>
    <w:rsid w:val="00251D9A"/>
    <w:rsid w:val="002525D9"/>
    <w:rsid w:val="002528BC"/>
    <w:rsid w:val="002528CC"/>
    <w:rsid w:val="00252B3F"/>
    <w:rsid w:val="002538FB"/>
    <w:rsid w:val="002542F2"/>
    <w:rsid w:val="00254D91"/>
    <w:rsid w:val="00254FA9"/>
    <w:rsid w:val="0025594D"/>
    <w:rsid w:val="00255EAD"/>
    <w:rsid w:val="002573E9"/>
    <w:rsid w:val="00257E10"/>
    <w:rsid w:val="00260337"/>
    <w:rsid w:val="00260984"/>
    <w:rsid w:val="00260D49"/>
    <w:rsid w:val="00261502"/>
    <w:rsid w:val="00262CDD"/>
    <w:rsid w:val="0026382C"/>
    <w:rsid w:val="002638A3"/>
    <w:rsid w:val="00263D29"/>
    <w:rsid w:val="002647B9"/>
    <w:rsid w:val="00264F26"/>
    <w:rsid w:val="0026576E"/>
    <w:rsid w:val="00265775"/>
    <w:rsid w:val="00266660"/>
    <w:rsid w:val="00266F4F"/>
    <w:rsid w:val="00267D38"/>
    <w:rsid w:val="00270FB8"/>
    <w:rsid w:val="00272076"/>
    <w:rsid w:val="00272A28"/>
    <w:rsid w:val="00272D59"/>
    <w:rsid w:val="00273200"/>
    <w:rsid w:val="0027332E"/>
    <w:rsid w:val="00273BFE"/>
    <w:rsid w:val="00274B75"/>
    <w:rsid w:val="00274F7C"/>
    <w:rsid w:val="0027762E"/>
    <w:rsid w:val="002801CA"/>
    <w:rsid w:val="00281B2B"/>
    <w:rsid w:val="002828EF"/>
    <w:rsid w:val="00282C76"/>
    <w:rsid w:val="00283B3B"/>
    <w:rsid w:val="00283D9F"/>
    <w:rsid w:val="00283E88"/>
    <w:rsid w:val="00284423"/>
    <w:rsid w:val="00284AB0"/>
    <w:rsid w:val="002852C8"/>
    <w:rsid w:val="002865E0"/>
    <w:rsid w:val="00286956"/>
    <w:rsid w:val="002878F5"/>
    <w:rsid w:val="00290B84"/>
    <w:rsid w:val="00290CC4"/>
    <w:rsid w:val="00290F65"/>
    <w:rsid w:val="00291775"/>
    <w:rsid w:val="00291984"/>
    <w:rsid w:val="002931BD"/>
    <w:rsid w:val="00293721"/>
    <w:rsid w:val="00293C67"/>
    <w:rsid w:val="00295AA7"/>
    <w:rsid w:val="002962ED"/>
    <w:rsid w:val="002968F2"/>
    <w:rsid w:val="00297733"/>
    <w:rsid w:val="002977BB"/>
    <w:rsid w:val="002979BF"/>
    <w:rsid w:val="00297FA3"/>
    <w:rsid w:val="002A03B7"/>
    <w:rsid w:val="002A04A3"/>
    <w:rsid w:val="002A0772"/>
    <w:rsid w:val="002A0A3A"/>
    <w:rsid w:val="002A0E51"/>
    <w:rsid w:val="002A17C4"/>
    <w:rsid w:val="002A1A23"/>
    <w:rsid w:val="002A259E"/>
    <w:rsid w:val="002A31E9"/>
    <w:rsid w:val="002A3399"/>
    <w:rsid w:val="002A33C5"/>
    <w:rsid w:val="002A378C"/>
    <w:rsid w:val="002A3947"/>
    <w:rsid w:val="002A448F"/>
    <w:rsid w:val="002A44D5"/>
    <w:rsid w:val="002A54BE"/>
    <w:rsid w:val="002A632B"/>
    <w:rsid w:val="002A6391"/>
    <w:rsid w:val="002A67F8"/>
    <w:rsid w:val="002A69F1"/>
    <w:rsid w:val="002A6D42"/>
    <w:rsid w:val="002B0913"/>
    <w:rsid w:val="002B1AD5"/>
    <w:rsid w:val="002B1FFF"/>
    <w:rsid w:val="002B2165"/>
    <w:rsid w:val="002B37A9"/>
    <w:rsid w:val="002B38AB"/>
    <w:rsid w:val="002B4C6C"/>
    <w:rsid w:val="002B526A"/>
    <w:rsid w:val="002B587B"/>
    <w:rsid w:val="002B61A9"/>
    <w:rsid w:val="002B75F0"/>
    <w:rsid w:val="002B762E"/>
    <w:rsid w:val="002B7750"/>
    <w:rsid w:val="002B7BA5"/>
    <w:rsid w:val="002C0B4D"/>
    <w:rsid w:val="002C0B73"/>
    <w:rsid w:val="002C1138"/>
    <w:rsid w:val="002C1DCD"/>
    <w:rsid w:val="002C2476"/>
    <w:rsid w:val="002C248F"/>
    <w:rsid w:val="002C3146"/>
    <w:rsid w:val="002C3380"/>
    <w:rsid w:val="002C4159"/>
    <w:rsid w:val="002C4C37"/>
    <w:rsid w:val="002C6E61"/>
    <w:rsid w:val="002C73F4"/>
    <w:rsid w:val="002C774C"/>
    <w:rsid w:val="002C7D50"/>
    <w:rsid w:val="002D0194"/>
    <w:rsid w:val="002D0E49"/>
    <w:rsid w:val="002D108B"/>
    <w:rsid w:val="002D13B6"/>
    <w:rsid w:val="002D19C4"/>
    <w:rsid w:val="002D1AC1"/>
    <w:rsid w:val="002D2E66"/>
    <w:rsid w:val="002D3644"/>
    <w:rsid w:val="002D4208"/>
    <w:rsid w:val="002D4552"/>
    <w:rsid w:val="002D4C04"/>
    <w:rsid w:val="002D5430"/>
    <w:rsid w:val="002D5AA6"/>
    <w:rsid w:val="002D5C1E"/>
    <w:rsid w:val="002D5E12"/>
    <w:rsid w:val="002D6969"/>
    <w:rsid w:val="002D69F3"/>
    <w:rsid w:val="002D6F1E"/>
    <w:rsid w:val="002D7A82"/>
    <w:rsid w:val="002E1A1C"/>
    <w:rsid w:val="002E1B2A"/>
    <w:rsid w:val="002E2F34"/>
    <w:rsid w:val="002E3413"/>
    <w:rsid w:val="002E37CA"/>
    <w:rsid w:val="002E3EA7"/>
    <w:rsid w:val="002E48F6"/>
    <w:rsid w:val="002E4C21"/>
    <w:rsid w:val="002E5824"/>
    <w:rsid w:val="002E5B03"/>
    <w:rsid w:val="002E5E0A"/>
    <w:rsid w:val="002E602C"/>
    <w:rsid w:val="002E7B2D"/>
    <w:rsid w:val="002E7F6B"/>
    <w:rsid w:val="002E7F99"/>
    <w:rsid w:val="002F0B88"/>
    <w:rsid w:val="002F0BD4"/>
    <w:rsid w:val="002F1C00"/>
    <w:rsid w:val="002F1FC0"/>
    <w:rsid w:val="002F22B7"/>
    <w:rsid w:val="002F25A8"/>
    <w:rsid w:val="002F3054"/>
    <w:rsid w:val="002F3F46"/>
    <w:rsid w:val="002F428C"/>
    <w:rsid w:val="002F4499"/>
    <w:rsid w:val="002F56B7"/>
    <w:rsid w:val="002F5A18"/>
    <w:rsid w:val="002F5A19"/>
    <w:rsid w:val="002F78F3"/>
    <w:rsid w:val="002F7D8B"/>
    <w:rsid w:val="003000EB"/>
    <w:rsid w:val="00301435"/>
    <w:rsid w:val="00301659"/>
    <w:rsid w:val="0030194C"/>
    <w:rsid w:val="003019F7"/>
    <w:rsid w:val="00301E50"/>
    <w:rsid w:val="0030224F"/>
    <w:rsid w:val="00302FF8"/>
    <w:rsid w:val="00303B06"/>
    <w:rsid w:val="00303D25"/>
    <w:rsid w:val="00305812"/>
    <w:rsid w:val="003058C6"/>
    <w:rsid w:val="00305BE1"/>
    <w:rsid w:val="00305EF3"/>
    <w:rsid w:val="0030612F"/>
    <w:rsid w:val="00306158"/>
    <w:rsid w:val="003062BA"/>
    <w:rsid w:val="00306D4E"/>
    <w:rsid w:val="003073F9"/>
    <w:rsid w:val="003079C0"/>
    <w:rsid w:val="00307E71"/>
    <w:rsid w:val="00310BE0"/>
    <w:rsid w:val="003115EB"/>
    <w:rsid w:val="00311B20"/>
    <w:rsid w:val="00311D99"/>
    <w:rsid w:val="0031211A"/>
    <w:rsid w:val="00312606"/>
    <w:rsid w:val="00312636"/>
    <w:rsid w:val="00312970"/>
    <w:rsid w:val="00312A64"/>
    <w:rsid w:val="00313311"/>
    <w:rsid w:val="0031392A"/>
    <w:rsid w:val="00313A8D"/>
    <w:rsid w:val="00313D81"/>
    <w:rsid w:val="0031460B"/>
    <w:rsid w:val="00315C29"/>
    <w:rsid w:val="0031601F"/>
    <w:rsid w:val="00316328"/>
    <w:rsid w:val="00316501"/>
    <w:rsid w:val="00317055"/>
    <w:rsid w:val="0031768F"/>
    <w:rsid w:val="00317729"/>
    <w:rsid w:val="00317E43"/>
    <w:rsid w:val="00317EA3"/>
    <w:rsid w:val="00317F8D"/>
    <w:rsid w:val="00320351"/>
    <w:rsid w:val="0032147F"/>
    <w:rsid w:val="00321EE0"/>
    <w:rsid w:val="00322B27"/>
    <w:rsid w:val="00323A44"/>
    <w:rsid w:val="00323C32"/>
    <w:rsid w:val="00323E3A"/>
    <w:rsid w:val="00324246"/>
    <w:rsid w:val="00324348"/>
    <w:rsid w:val="00325B52"/>
    <w:rsid w:val="00325D41"/>
    <w:rsid w:val="003260FD"/>
    <w:rsid w:val="00326D67"/>
    <w:rsid w:val="00327664"/>
    <w:rsid w:val="003277AC"/>
    <w:rsid w:val="00327B70"/>
    <w:rsid w:val="00327D11"/>
    <w:rsid w:val="003313AF"/>
    <w:rsid w:val="003317C2"/>
    <w:rsid w:val="003319AD"/>
    <w:rsid w:val="00331AC5"/>
    <w:rsid w:val="00331B6C"/>
    <w:rsid w:val="00331BA8"/>
    <w:rsid w:val="00332308"/>
    <w:rsid w:val="00332D41"/>
    <w:rsid w:val="003359AF"/>
    <w:rsid w:val="00336271"/>
    <w:rsid w:val="003362DB"/>
    <w:rsid w:val="003364EA"/>
    <w:rsid w:val="00336E39"/>
    <w:rsid w:val="00337D05"/>
    <w:rsid w:val="00337EE1"/>
    <w:rsid w:val="00340D7F"/>
    <w:rsid w:val="003410AD"/>
    <w:rsid w:val="003412DB"/>
    <w:rsid w:val="00342413"/>
    <w:rsid w:val="00342678"/>
    <w:rsid w:val="003432DE"/>
    <w:rsid w:val="0034394A"/>
    <w:rsid w:val="00343F17"/>
    <w:rsid w:val="0034457E"/>
    <w:rsid w:val="0034495D"/>
    <w:rsid w:val="0034501A"/>
    <w:rsid w:val="00345232"/>
    <w:rsid w:val="003455E4"/>
    <w:rsid w:val="003472A4"/>
    <w:rsid w:val="00347DD8"/>
    <w:rsid w:val="00347F64"/>
    <w:rsid w:val="003500C0"/>
    <w:rsid w:val="003504BB"/>
    <w:rsid w:val="003514E5"/>
    <w:rsid w:val="003515EE"/>
    <w:rsid w:val="00351A87"/>
    <w:rsid w:val="00351D3C"/>
    <w:rsid w:val="00352437"/>
    <w:rsid w:val="00353983"/>
    <w:rsid w:val="003553A7"/>
    <w:rsid w:val="00355DF0"/>
    <w:rsid w:val="00355E26"/>
    <w:rsid w:val="00356658"/>
    <w:rsid w:val="003579A5"/>
    <w:rsid w:val="00357D01"/>
    <w:rsid w:val="00357DEC"/>
    <w:rsid w:val="0036039E"/>
    <w:rsid w:val="00360AE6"/>
    <w:rsid w:val="00361853"/>
    <w:rsid w:val="00361973"/>
    <w:rsid w:val="003620F1"/>
    <w:rsid w:val="0036319C"/>
    <w:rsid w:val="00363BF2"/>
    <w:rsid w:val="00363FCD"/>
    <w:rsid w:val="003647BE"/>
    <w:rsid w:val="00364950"/>
    <w:rsid w:val="00365084"/>
    <w:rsid w:val="0036595A"/>
    <w:rsid w:val="00365F3C"/>
    <w:rsid w:val="003662E5"/>
    <w:rsid w:val="0036649F"/>
    <w:rsid w:val="0036716D"/>
    <w:rsid w:val="00367DD7"/>
    <w:rsid w:val="00370932"/>
    <w:rsid w:val="00370A79"/>
    <w:rsid w:val="00370D6F"/>
    <w:rsid w:val="00371410"/>
    <w:rsid w:val="003714CC"/>
    <w:rsid w:val="00371F2C"/>
    <w:rsid w:val="00372326"/>
    <w:rsid w:val="003727A4"/>
    <w:rsid w:val="00372A86"/>
    <w:rsid w:val="00372B4A"/>
    <w:rsid w:val="003735E3"/>
    <w:rsid w:val="00373689"/>
    <w:rsid w:val="00373795"/>
    <w:rsid w:val="00373A72"/>
    <w:rsid w:val="00374107"/>
    <w:rsid w:val="0037414D"/>
    <w:rsid w:val="00374A9D"/>
    <w:rsid w:val="00375629"/>
    <w:rsid w:val="00375670"/>
    <w:rsid w:val="003758F3"/>
    <w:rsid w:val="00375F4E"/>
    <w:rsid w:val="003761D8"/>
    <w:rsid w:val="00376E41"/>
    <w:rsid w:val="003827F5"/>
    <w:rsid w:val="00384258"/>
    <w:rsid w:val="003848F6"/>
    <w:rsid w:val="003849DE"/>
    <w:rsid w:val="00385A0D"/>
    <w:rsid w:val="003862A3"/>
    <w:rsid w:val="00386843"/>
    <w:rsid w:val="00386D32"/>
    <w:rsid w:val="00386DEF"/>
    <w:rsid w:val="00386EA4"/>
    <w:rsid w:val="00387545"/>
    <w:rsid w:val="00387699"/>
    <w:rsid w:val="00391269"/>
    <w:rsid w:val="00391E65"/>
    <w:rsid w:val="003921A1"/>
    <w:rsid w:val="0039297C"/>
    <w:rsid w:val="00392F57"/>
    <w:rsid w:val="0039358D"/>
    <w:rsid w:val="003941E1"/>
    <w:rsid w:val="003945AA"/>
    <w:rsid w:val="0039613E"/>
    <w:rsid w:val="00396194"/>
    <w:rsid w:val="00396785"/>
    <w:rsid w:val="003975B7"/>
    <w:rsid w:val="003978B2"/>
    <w:rsid w:val="00397E09"/>
    <w:rsid w:val="003A0993"/>
    <w:rsid w:val="003A1613"/>
    <w:rsid w:val="003A16A9"/>
    <w:rsid w:val="003A26E0"/>
    <w:rsid w:val="003A3518"/>
    <w:rsid w:val="003A3E05"/>
    <w:rsid w:val="003A410D"/>
    <w:rsid w:val="003A44FB"/>
    <w:rsid w:val="003A4E23"/>
    <w:rsid w:val="003A50C4"/>
    <w:rsid w:val="003A5A58"/>
    <w:rsid w:val="003A6092"/>
    <w:rsid w:val="003A6CE6"/>
    <w:rsid w:val="003A73CF"/>
    <w:rsid w:val="003B0321"/>
    <w:rsid w:val="003B0A0A"/>
    <w:rsid w:val="003B24DC"/>
    <w:rsid w:val="003B4473"/>
    <w:rsid w:val="003B474B"/>
    <w:rsid w:val="003B5141"/>
    <w:rsid w:val="003B536A"/>
    <w:rsid w:val="003B549B"/>
    <w:rsid w:val="003B55BF"/>
    <w:rsid w:val="003B5B9F"/>
    <w:rsid w:val="003B5F02"/>
    <w:rsid w:val="003B6C1D"/>
    <w:rsid w:val="003B6C88"/>
    <w:rsid w:val="003B731C"/>
    <w:rsid w:val="003B768C"/>
    <w:rsid w:val="003C0388"/>
    <w:rsid w:val="003C0CAA"/>
    <w:rsid w:val="003C1456"/>
    <w:rsid w:val="003C2615"/>
    <w:rsid w:val="003C2A3E"/>
    <w:rsid w:val="003C33F0"/>
    <w:rsid w:val="003C4B07"/>
    <w:rsid w:val="003C680F"/>
    <w:rsid w:val="003C6995"/>
    <w:rsid w:val="003C7095"/>
    <w:rsid w:val="003C7DA1"/>
    <w:rsid w:val="003D053F"/>
    <w:rsid w:val="003D05DC"/>
    <w:rsid w:val="003D09BE"/>
    <w:rsid w:val="003D1B35"/>
    <w:rsid w:val="003D23D6"/>
    <w:rsid w:val="003D31D0"/>
    <w:rsid w:val="003D3A47"/>
    <w:rsid w:val="003D3D1F"/>
    <w:rsid w:val="003D4A20"/>
    <w:rsid w:val="003D527C"/>
    <w:rsid w:val="003D584C"/>
    <w:rsid w:val="003D615A"/>
    <w:rsid w:val="003D623B"/>
    <w:rsid w:val="003D6415"/>
    <w:rsid w:val="003D6F06"/>
    <w:rsid w:val="003D71DD"/>
    <w:rsid w:val="003D78CF"/>
    <w:rsid w:val="003D7D83"/>
    <w:rsid w:val="003E099B"/>
    <w:rsid w:val="003E0FA7"/>
    <w:rsid w:val="003E1FCA"/>
    <w:rsid w:val="003E33DA"/>
    <w:rsid w:val="003E470D"/>
    <w:rsid w:val="003E4E5B"/>
    <w:rsid w:val="003E516D"/>
    <w:rsid w:val="003E5ADE"/>
    <w:rsid w:val="003E6616"/>
    <w:rsid w:val="003E6A67"/>
    <w:rsid w:val="003E6C13"/>
    <w:rsid w:val="003E6C5F"/>
    <w:rsid w:val="003E6FCA"/>
    <w:rsid w:val="003E79A2"/>
    <w:rsid w:val="003E7ADD"/>
    <w:rsid w:val="003F0F86"/>
    <w:rsid w:val="003F2088"/>
    <w:rsid w:val="003F3029"/>
    <w:rsid w:val="003F32A6"/>
    <w:rsid w:val="003F38E2"/>
    <w:rsid w:val="003F3AC6"/>
    <w:rsid w:val="003F428F"/>
    <w:rsid w:val="003F46CB"/>
    <w:rsid w:val="003F4C25"/>
    <w:rsid w:val="003F4EE9"/>
    <w:rsid w:val="003F4FE6"/>
    <w:rsid w:val="003F6146"/>
    <w:rsid w:val="003F62EB"/>
    <w:rsid w:val="003F6D3D"/>
    <w:rsid w:val="003F78FA"/>
    <w:rsid w:val="003F7CD2"/>
    <w:rsid w:val="00400923"/>
    <w:rsid w:val="0040093E"/>
    <w:rsid w:val="00402266"/>
    <w:rsid w:val="0040260D"/>
    <w:rsid w:val="004028E5"/>
    <w:rsid w:val="004029DD"/>
    <w:rsid w:val="00402B39"/>
    <w:rsid w:val="00402E05"/>
    <w:rsid w:val="00402EAB"/>
    <w:rsid w:val="00403514"/>
    <w:rsid w:val="00403A50"/>
    <w:rsid w:val="00403A5C"/>
    <w:rsid w:val="00403AFA"/>
    <w:rsid w:val="00403C06"/>
    <w:rsid w:val="00403FDA"/>
    <w:rsid w:val="00404655"/>
    <w:rsid w:val="0040471F"/>
    <w:rsid w:val="0040486D"/>
    <w:rsid w:val="0040505C"/>
    <w:rsid w:val="00405216"/>
    <w:rsid w:val="004055D5"/>
    <w:rsid w:val="00405641"/>
    <w:rsid w:val="00405FF2"/>
    <w:rsid w:val="004060E0"/>
    <w:rsid w:val="0040633C"/>
    <w:rsid w:val="004065AB"/>
    <w:rsid w:val="00406645"/>
    <w:rsid w:val="004066DD"/>
    <w:rsid w:val="00407167"/>
    <w:rsid w:val="004072A1"/>
    <w:rsid w:val="00410179"/>
    <w:rsid w:val="0041032E"/>
    <w:rsid w:val="00410697"/>
    <w:rsid w:val="0041129F"/>
    <w:rsid w:val="00411644"/>
    <w:rsid w:val="00411738"/>
    <w:rsid w:val="00412246"/>
    <w:rsid w:val="0041264B"/>
    <w:rsid w:val="00412C72"/>
    <w:rsid w:val="00412DF5"/>
    <w:rsid w:val="00413010"/>
    <w:rsid w:val="0041383B"/>
    <w:rsid w:val="00415C0C"/>
    <w:rsid w:val="00415C51"/>
    <w:rsid w:val="00415E6A"/>
    <w:rsid w:val="00417675"/>
    <w:rsid w:val="00417D8E"/>
    <w:rsid w:val="00421B44"/>
    <w:rsid w:val="0042352F"/>
    <w:rsid w:val="00424580"/>
    <w:rsid w:val="0042484A"/>
    <w:rsid w:val="00425551"/>
    <w:rsid w:val="004257D2"/>
    <w:rsid w:val="00426A2E"/>
    <w:rsid w:val="00426B46"/>
    <w:rsid w:val="00427F9F"/>
    <w:rsid w:val="00430BAF"/>
    <w:rsid w:val="00430D07"/>
    <w:rsid w:val="004313BE"/>
    <w:rsid w:val="004317A0"/>
    <w:rsid w:val="00431C68"/>
    <w:rsid w:val="004327CD"/>
    <w:rsid w:val="00432C23"/>
    <w:rsid w:val="00432C49"/>
    <w:rsid w:val="00432E2A"/>
    <w:rsid w:val="00433467"/>
    <w:rsid w:val="00433AED"/>
    <w:rsid w:val="00434537"/>
    <w:rsid w:val="0043466A"/>
    <w:rsid w:val="00434EEB"/>
    <w:rsid w:val="00435A54"/>
    <w:rsid w:val="004362F3"/>
    <w:rsid w:val="00436C71"/>
    <w:rsid w:val="00436CF8"/>
    <w:rsid w:val="00437020"/>
    <w:rsid w:val="0043728D"/>
    <w:rsid w:val="00440FAB"/>
    <w:rsid w:val="00441026"/>
    <w:rsid w:val="00441313"/>
    <w:rsid w:val="004421AF"/>
    <w:rsid w:val="00442F94"/>
    <w:rsid w:val="00443D22"/>
    <w:rsid w:val="00444119"/>
    <w:rsid w:val="00445300"/>
    <w:rsid w:val="00445B45"/>
    <w:rsid w:val="00445E4F"/>
    <w:rsid w:val="00446A4C"/>
    <w:rsid w:val="00447694"/>
    <w:rsid w:val="00447955"/>
    <w:rsid w:val="00447A16"/>
    <w:rsid w:val="00447C64"/>
    <w:rsid w:val="004503AD"/>
    <w:rsid w:val="004504BE"/>
    <w:rsid w:val="00450C9E"/>
    <w:rsid w:val="00451278"/>
    <w:rsid w:val="0045191E"/>
    <w:rsid w:val="004527EB"/>
    <w:rsid w:val="00452A78"/>
    <w:rsid w:val="00452EC6"/>
    <w:rsid w:val="00453536"/>
    <w:rsid w:val="00453C77"/>
    <w:rsid w:val="004555DB"/>
    <w:rsid w:val="00455D86"/>
    <w:rsid w:val="004566D1"/>
    <w:rsid w:val="00456924"/>
    <w:rsid w:val="004573ED"/>
    <w:rsid w:val="00457706"/>
    <w:rsid w:val="004603BC"/>
    <w:rsid w:val="00461373"/>
    <w:rsid w:val="00461F29"/>
    <w:rsid w:val="00462E83"/>
    <w:rsid w:val="00463D56"/>
    <w:rsid w:val="0046439F"/>
    <w:rsid w:val="00464E73"/>
    <w:rsid w:val="004673C2"/>
    <w:rsid w:val="00467884"/>
    <w:rsid w:val="004678A7"/>
    <w:rsid w:val="00467E10"/>
    <w:rsid w:val="00470B46"/>
    <w:rsid w:val="00470D27"/>
    <w:rsid w:val="00471B84"/>
    <w:rsid w:val="004721A6"/>
    <w:rsid w:val="004728FB"/>
    <w:rsid w:val="00472A33"/>
    <w:rsid w:val="00472A98"/>
    <w:rsid w:val="00472F82"/>
    <w:rsid w:val="0047363C"/>
    <w:rsid w:val="004738F1"/>
    <w:rsid w:val="004739E7"/>
    <w:rsid w:val="00473EDD"/>
    <w:rsid w:val="00474866"/>
    <w:rsid w:val="004752D4"/>
    <w:rsid w:val="00475625"/>
    <w:rsid w:val="00475915"/>
    <w:rsid w:val="00475F6F"/>
    <w:rsid w:val="0047607C"/>
    <w:rsid w:val="004766C6"/>
    <w:rsid w:val="00477F45"/>
    <w:rsid w:val="00480366"/>
    <w:rsid w:val="004805EB"/>
    <w:rsid w:val="00480A44"/>
    <w:rsid w:val="004813B8"/>
    <w:rsid w:val="004815CD"/>
    <w:rsid w:val="00481819"/>
    <w:rsid w:val="00481EB6"/>
    <w:rsid w:val="004822D4"/>
    <w:rsid w:val="00482E1D"/>
    <w:rsid w:val="004831AC"/>
    <w:rsid w:val="004833CC"/>
    <w:rsid w:val="00484764"/>
    <w:rsid w:val="00485065"/>
    <w:rsid w:val="004850F9"/>
    <w:rsid w:val="004852E6"/>
    <w:rsid w:val="004865B9"/>
    <w:rsid w:val="004865DB"/>
    <w:rsid w:val="00486A14"/>
    <w:rsid w:val="00487B7A"/>
    <w:rsid w:val="00487C57"/>
    <w:rsid w:val="004908A4"/>
    <w:rsid w:val="00491BF0"/>
    <w:rsid w:val="00491F10"/>
    <w:rsid w:val="0049253D"/>
    <w:rsid w:val="00492D2D"/>
    <w:rsid w:val="00494C01"/>
    <w:rsid w:val="004960BA"/>
    <w:rsid w:val="00496520"/>
    <w:rsid w:val="00496794"/>
    <w:rsid w:val="00496899"/>
    <w:rsid w:val="00496951"/>
    <w:rsid w:val="00496BC1"/>
    <w:rsid w:val="004970D4"/>
    <w:rsid w:val="0049772D"/>
    <w:rsid w:val="004A1343"/>
    <w:rsid w:val="004A13AD"/>
    <w:rsid w:val="004A1B96"/>
    <w:rsid w:val="004A1DD0"/>
    <w:rsid w:val="004A2116"/>
    <w:rsid w:val="004A2850"/>
    <w:rsid w:val="004A3502"/>
    <w:rsid w:val="004A3CD5"/>
    <w:rsid w:val="004A3D4E"/>
    <w:rsid w:val="004A4578"/>
    <w:rsid w:val="004A4631"/>
    <w:rsid w:val="004A49BB"/>
    <w:rsid w:val="004A4B97"/>
    <w:rsid w:val="004A4D41"/>
    <w:rsid w:val="004A5545"/>
    <w:rsid w:val="004A59C3"/>
    <w:rsid w:val="004A661E"/>
    <w:rsid w:val="004A7425"/>
    <w:rsid w:val="004A750D"/>
    <w:rsid w:val="004A7DCC"/>
    <w:rsid w:val="004B0433"/>
    <w:rsid w:val="004B05AC"/>
    <w:rsid w:val="004B06A3"/>
    <w:rsid w:val="004B1687"/>
    <w:rsid w:val="004B2308"/>
    <w:rsid w:val="004B2F4D"/>
    <w:rsid w:val="004B3139"/>
    <w:rsid w:val="004B3AF4"/>
    <w:rsid w:val="004B3E29"/>
    <w:rsid w:val="004B4BA3"/>
    <w:rsid w:val="004B5205"/>
    <w:rsid w:val="004B5CD6"/>
    <w:rsid w:val="004B624F"/>
    <w:rsid w:val="004B63CE"/>
    <w:rsid w:val="004B7330"/>
    <w:rsid w:val="004B7E01"/>
    <w:rsid w:val="004C0553"/>
    <w:rsid w:val="004C0FE3"/>
    <w:rsid w:val="004C2382"/>
    <w:rsid w:val="004C4CFF"/>
    <w:rsid w:val="004C512D"/>
    <w:rsid w:val="004C5744"/>
    <w:rsid w:val="004C5B99"/>
    <w:rsid w:val="004C5F8D"/>
    <w:rsid w:val="004C5FCB"/>
    <w:rsid w:val="004C6861"/>
    <w:rsid w:val="004C6AEB"/>
    <w:rsid w:val="004C7096"/>
    <w:rsid w:val="004C74B6"/>
    <w:rsid w:val="004C7FD7"/>
    <w:rsid w:val="004D0906"/>
    <w:rsid w:val="004D0C98"/>
    <w:rsid w:val="004D1693"/>
    <w:rsid w:val="004D19DD"/>
    <w:rsid w:val="004D1C29"/>
    <w:rsid w:val="004D2036"/>
    <w:rsid w:val="004D2452"/>
    <w:rsid w:val="004D27A9"/>
    <w:rsid w:val="004D336F"/>
    <w:rsid w:val="004D41CE"/>
    <w:rsid w:val="004D44DD"/>
    <w:rsid w:val="004D4C3E"/>
    <w:rsid w:val="004D67A2"/>
    <w:rsid w:val="004D6D0C"/>
    <w:rsid w:val="004D70B6"/>
    <w:rsid w:val="004D733B"/>
    <w:rsid w:val="004D73A5"/>
    <w:rsid w:val="004E0EF2"/>
    <w:rsid w:val="004E1419"/>
    <w:rsid w:val="004E1917"/>
    <w:rsid w:val="004E1F26"/>
    <w:rsid w:val="004E296D"/>
    <w:rsid w:val="004E371F"/>
    <w:rsid w:val="004E506E"/>
    <w:rsid w:val="004E5A7A"/>
    <w:rsid w:val="004E7F19"/>
    <w:rsid w:val="004F0DDD"/>
    <w:rsid w:val="004F160A"/>
    <w:rsid w:val="004F1EC9"/>
    <w:rsid w:val="004F2C71"/>
    <w:rsid w:val="004F38D5"/>
    <w:rsid w:val="004F3F47"/>
    <w:rsid w:val="004F4A65"/>
    <w:rsid w:val="004F5607"/>
    <w:rsid w:val="004F5628"/>
    <w:rsid w:val="004F59E2"/>
    <w:rsid w:val="004F6E5A"/>
    <w:rsid w:val="004F73BD"/>
    <w:rsid w:val="00500034"/>
    <w:rsid w:val="0050058C"/>
    <w:rsid w:val="00500BAE"/>
    <w:rsid w:val="0050205F"/>
    <w:rsid w:val="00502D9F"/>
    <w:rsid w:val="00503ABD"/>
    <w:rsid w:val="00503D6E"/>
    <w:rsid w:val="00504370"/>
    <w:rsid w:val="005044B9"/>
    <w:rsid w:val="00504875"/>
    <w:rsid w:val="00504CBA"/>
    <w:rsid w:val="00504F82"/>
    <w:rsid w:val="00505836"/>
    <w:rsid w:val="00506639"/>
    <w:rsid w:val="00506E8A"/>
    <w:rsid w:val="005072BD"/>
    <w:rsid w:val="00507693"/>
    <w:rsid w:val="0051021C"/>
    <w:rsid w:val="00511167"/>
    <w:rsid w:val="00511920"/>
    <w:rsid w:val="00511A75"/>
    <w:rsid w:val="00511C23"/>
    <w:rsid w:val="00512416"/>
    <w:rsid w:val="0051256A"/>
    <w:rsid w:val="0051278D"/>
    <w:rsid w:val="00512B2F"/>
    <w:rsid w:val="00512E79"/>
    <w:rsid w:val="00513482"/>
    <w:rsid w:val="00513CAB"/>
    <w:rsid w:val="00514037"/>
    <w:rsid w:val="005147BC"/>
    <w:rsid w:val="00514FA4"/>
    <w:rsid w:val="00515053"/>
    <w:rsid w:val="00515877"/>
    <w:rsid w:val="00516F4C"/>
    <w:rsid w:val="00517302"/>
    <w:rsid w:val="00517494"/>
    <w:rsid w:val="00517747"/>
    <w:rsid w:val="00517DCD"/>
    <w:rsid w:val="0052000D"/>
    <w:rsid w:val="0052062A"/>
    <w:rsid w:val="00520C61"/>
    <w:rsid w:val="00520CA1"/>
    <w:rsid w:val="0052189C"/>
    <w:rsid w:val="00522235"/>
    <w:rsid w:val="00522575"/>
    <w:rsid w:val="00522E13"/>
    <w:rsid w:val="00522FC0"/>
    <w:rsid w:val="00523172"/>
    <w:rsid w:val="00523DA4"/>
    <w:rsid w:val="00524782"/>
    <w:rsid w:val="00524B98"/>
    <w:rsid w:val="00524CD1"/>
    <w:rsid w:val="005259BA"/>
    <w:rsid w:val="00525CFD"/>
    <w:rsid w:val="005261FE"/>
    <w:rsid w:val="005269DF"/>
    <w:rsid w:val="0052769C"/>
    <w:rsid w:val="00527808"/>
    <w:rsid w:val="00527A56"/>
    <w:rsid w:val="00530576"/>
    <w:rsid w:val="005307B7"/>
    <w:rsid w:val="005308F5"/>
    <w:rsid w:val="00530E94"/>
    <w:rsid w:val="00530FE5"/>
    <w:rsid w:val="005310F7"/>
    <w:rsid w:val="00531497"/>
    <w:rsid w:val="005315AA"/>
    <w:rsid w:val="00531C7F"/>
    <w:rsid w:val="00532A58"/>
    <w:rsid w:val="00532BE2"/>
    <w:rsid w:val="00532BE4"/>
    <w:rsid w:val="00532F61"/>
    <w:rsid w:val="00533A8E"/>
    <w:rsid w:val="00533FD1"/>
    <w:rsid w:val="00535BF4"/>
    <w:rsid w:val="00535CFA"/>
    <w:rsid w:val="00535D24"/>
    <w:rsid w:val="00535D71"/>
    <w:rsid w:val="005362A0"/>
    <w:rsid w:val="00536B8A"/>
    <w:rsid w:val="00536DAA"/>
    <w:rsid w:val="00537505"/>
    <w:rsid w:val="005377E5"/>
    <w:rsid w:val="00537D22"/>
    <w:rsid w:val="00540456"/>
    <w:rsid w:val="00540D37"/>
    <w:rsid w:val="00540EBF"/>
    <w:rsid w:val="00540F92"/>
    <w:rsid w:val="00540FC0"/>
    <w:rsid w:val="0054118D"/>
    <w:rsid w:val="00541358"/>
    <w:rsid w:val="00541C60"/>
    <w:rsid w:val="00541DD4"/>
    <w:rsid w:val="00541E3E"/>
    <w:rsid w:val="00542B89"/>
    <w:rsid w:val="00543402"/>
    <w:rsid w:val="00543544"/>
    <w:rsid w:val="00543F0A"/>
    <w:rsid w:val="00544A64"/>
    <w:rsid w:val="00545E81"/>
    <w:rsid w:val="00547073"/>
    <w:rsid w:val="00547A4B"/>
    <w:rsid w:val="00547A68"/>
    <w:rsid w:val="00547F8C"/>
    <w:rsid w:val="00547F9B"/>
    <w:rsid w:val="005501D1"/>
    <w:rsid w:val="00550D4D"/>
    <w:rsid w:val="00551274"/>
    <w:rsid w:val="005515DA"/>
    <w:rsid w:val="00551777"/>
    <w:rsid w:val="0055381C"/>
    <w:rsid w:val="00553B4C"/>
    <w:rsid w:val="005545AE"/>
    <w:rsid w:val="0055515B"/>
    <w:rsid w:val="0055534A"/>
    <w:rsid w:val="005569CE"/>
    <w:rsid w:val="00556AA9"/>
    <w:rsid w:val="00557904"/>
    <w:rsid w:val="00557CFB"/>
    <w:rsid w:val="00560329"/>
    <w:rsid w:val="00561087"/>
    <w:rsid w:val="0056297F"/>
    <w:rsid w:val="005635C6"/>
    <w:rsid w:val="00563C6D"/>
    <w:rsid w:val="00564481"/>
    <w:rsid w:val="0056450D"/>
    <w:rsid w:val="00564F54"/>
    <w:rsid w:val="00565028"/>
    <w:rsid w:val="00565764"/>
    <w:rsid w:val="00565C79"/>
    <w:rsid w:val="00566667"/>
    <w:rsid w:val="005675A2"/>
    <w:rsid w:val="00567B28"/>
    <w:rsid w:val="00567BA6"/>
    <w:rsid w:val="00567DDB"/>
    <w:rsid w:val="00567E7D"/>
    <w:rsid w:val="005706CE"/>
    <w:rsid w:val="005715B3"/>
    <w:rsid w:val="00572617"/>
    <w:rsid w:val="0057285A"/>
    <w:rsid w:val="00572A5A"/>
    <w:rsid w:val="00572FCB"/>
    <w:rsid w:val="005739D6"/>
    <w:rsid w:val="00573FA5"/>
    <w:rsid w:val="005747E1"/>
    <w:rsid w:val="00574B42"/>
    <w:rsid w:val="00576ADD"/>
    <w:rsid w:val="00577180"/>
    <w:rsid w:val="005771A1"/>
    <w:rsid w:val="005771A6"/>
    <w:rsid w:val="005771BC"/>
    <w:rsid w:val="00577BA9"/>
    <w:rsid w:val="00580224"/>
    <w:rsid w:val="00581542"/>
    <w:rsid w:val="005818E4"/>
    <w:rsid w:val="00581F9B"/>
    <w:rsid w:val="00582025"/>
    <w:rsid w:val="0058259F"/>
    <w:rsid w:val="00582746"/>
    <w:rsid w:val="00582F15"/>
    <w:rsid w:val="00583395"/>
    <w:rsid w:val="00583F96"/>
    <w:rsid w:val="00584961"/>
    <w:rsid w:val="00584FAC"/>
    <w:rsid w:val="00585763"/>
    <w:rsid w:val="00585EC2"/>
    <w:rsid w:val="005869AC"/>
    <w:rsid w:val="00586A64"/>
    <w:rsid w:val="00590640"/>
    <w:rsid w:val="00590BCB"/>
    <w:rsid w:val="00590C52"/>
    <w:rsid w:val="00591D7B"/>
    <w:rsid w:val="00592307"/>
    <w:rsid w:val="00592633"/>
    <w:rsid w:val="00592E6B"/>
    <w:rsid w:val="005931E2"/>
    <w:rsid w:val="00593898"/>
    <w:rsid w:val="00596AC6"/>
    <w:rsid w:val="00596E7E"/>
    <w:rsid w:val="00597420"/>
    <w:rsid w:val="005A049C"/>
    <w:rsid w:val="005A0A69"/>
    <w:rsid w:val="005A1276"/>
    <w:rsid w:val="005A15A8"/>
    <w:rsid w:val="005A17B9"/>
    <w:rsid w:val="005A18D1"/>
    <w:rsid w:val="005A1C31"/>
    <w:rsid w:val="005A2741"/>
    <w:rsid w:val="005A3537"/>
    <w:rsid w:val="005A3B61"/>
    <w:rsid w:val="005A3B9F"/>
    <w:rsid w:val="005A3C07"/>
    <w:rsid w:val="005A5B55"/>
    <w:rsid w:val="005A6890"/>
    <w:rsid w:val="005A6C78"/>
    <w:rsid w:val="005A7A4F"/>
    <w:rsid w:val="005B198D"/>
    <w:rsid w:val="005B1A67"/>
    <w:rsid w:val="005B1BA1"/>
    <w:rsid w:val="005B21D0"/>
    <w:rsid w:val="005B2B4C"/>
    <w:rsid w:val="005B353E"/>
    <w:rsid w:val="005B3885"/>
    <w:rsid w:val="005B3E80"/>
    <w:rsid w:val="005B4118"/>
    <w:rsid w:val="005B4AB1"/>
    <w:rsid w:val="005B4FED"/>
    <w:rsid w:val="005B53D9"/>
    <w:rsid w:val="005B540E"/>
    <w:rsid w:val="005B5744"/>
    <w:rsid w:val="005B6333"/>
    <w:rsid w:val="005B686B"/>
    <w:rsid w:val="005B75B1"/>
    <w:rsid w:val="005B7D45"/>
    <w:rsid w:val="005C0311"/>
    <w:rsid w:val="005C09D2"/>
    <w:rsid w:val="005C0BD2"/>
    <w:rsid w:val="005C15C5"/>
    <w:rsid w:val="005C2C40"/>
    <w:rsid w:val="005C2D69"/>
    <w:rsid w:val="005C3323"/>
    <w:rsid w:val="005C36CF"/>
    <w:rsid w:val="005C4023"/>
    <w:rsid w:val="005C4BF7"/>
    <w:rsid w:val="005C56DC"/>
    <w:rsid w:val="005C5EC1"/>
    <w:rsid w:val="005C5F27"/>
    <w:rsid w:val="005C6BAE"/>
    <w:rsid w:val="005C7BB5"/>
    <w:rsid w:val="005D0814"/>
    <w:rsid w:val="005D091B"/>
    <w:rsid w:val="005D0BC5"/>
    <w:rsid w:val="005D1BB7"/>
    <w:rsid w:val="005D3155"/>
    <w:rsid w:val="005D3E79"/>
    <w:rsid w:val="005D44D1"/>
    <w:rsid w:val="005D4DAF"/>
    <w:rsid w:val="005D5088"/>
    <w:rsid w:val="005D578F"/>
    <w:rsid w:val="005D5E35"/>
    <w:rsid w:val="005D5E96"/>
    <w:rsid w:val="005D6070"/>
    <w:rsid w:val="005D66FE"/>
    <w:rsid w:val="005D6BEF"/>
    <w:rsid w:val="005D6C89"/>
    <w:rsid w:val="005D76C7"/>
    <w:rsid w:val="005D78CB"/>
    <w:rsid w:val="005D7BA5"/>
    <w:rsid w:val="005E051B"/>
    <w:rsid w:val="005E0FFB"/>
    <w:rsid w:val="005E1408"/>
    <w:rsid w:val="005E1465"/>
    <w:rsid w:val="005E1B44"/>
    <w:rsid w:val="005E22E8"/>
    <w:rsid w:val="005E26EC"/>
    <w:rsid w:val="005E2A1B"/>
    <w:rsid w:val="005E2C9B"/>
    <w:rsid w:val="005E2CB9"/>
    <w:rsid w:val="005E32B6"/>
    <w:rsid w:val="005E395F"/>
    <w:rsid w:val="005E39C0"/>
    <w:rsid w:val="005E5C48"/>
    <w:rsid w:val="005E69F1"/>
    <w:rsid w:val="005E7BDB"/>
    <w:rsid w:val="005F32B5"/>
    <w:rsid w:val="005F3D7C"/>
    <w:rsid w:val="005F4720"/>
    <w:rsid w:val="005F4F1D"/>
    <w:rsid w:val="005F524D"/>
    <w:rsid w:val="005F534D"/>
    <w:rsid w:val="005F5FCC"/>
    <w:rsid w:val="005F663A"/>
    <w:rsid w:val="005F6812"/>
    <w:rsid w:val="005F6B04"/>
    <w:rsid w:val="005F73B0"/>
    <w:rsid w:val="005F743C"/>
    <w:rsid w:val="005F7990"/>
    <w:rsid w:val="0060047E"/>
    <w:rsid w:val="006011C4"/>
    <w:rsid w:val="00601DA4"/>
    <w:rsid w:val="006021B8"/>
    <w:rsid w:val="006023EF"/>
    <w:rsid w:val="006026CD"/>
    <w:rsid w:val="006027C4"/>
    <w:rsid w:val="00602D41"/>
    <w:rsid w:val="0060385B"/>
    <w:rsid w:val="00603C3E"/>
    <w:rsid w:val="00604265"/>
    <w:rsid w:val="00604D4C"/>
    <w:rsid w:val="006056EA"/>
    <w:rsid w:val="006061AF"/>
    <w:rsid w:val="00606FC7"/>
    <w:rsid w:val="006070B9"/>
    <w:rsid w:val="006104AD"/>
    <w:rsid w:val="00611DEF"/>
    <w:rsid w:val="00611E51"/>
    <w:rsid w:val="006123C0"/>
    <w:rsid w:val="006123E0"/>
    <w:rsid w:val="0061298D"/>
    <w:rsid w:val="00613671"/>
    <w:rsid w:val="00613BE3"/>
    <w:rsid w:val="00614159"/>
    <w:rsid w:val="00614395"/>
    <w:rsid w:val="0061524A"/>
    <w:rsid w:val="006157EE"/>
    <w:rsid w:val="00615E7D"/>
    <w:rsid w:val="00616771"/>
    <w:rsid w:val="00620195"/>
    <w:rsid w:val="00620516"/>
    <w:rsid w:val="00621297"/>
    <w:rsid w:val="00621675"/>
    <w:rsid w:val="00621721"/>
    <w:rsid w:val="00621DE8"/>
    <w:rsid w:val="00622773"/>
    <w:rsid w:val="006228CD"/>
    <w:rsid w:val="006234D3"/>
    <w:rsid w:val="0062367F"/>
    <w:rsid w:val="00623C03"/>
    <w:rsid w:val="006245E6"/>
    <w:rsid w:val="00624682"/>
    <w:rsid w:val="006248AF"/>
    <w:rsid w:val="00624915"/>
    <w:rsid w:val="00624A79"/>
    <w:rsid w:val="0062512D"/>
    <w:rsid w:val="00625457"/>
    <w:rsid w:val="006256A8"/>
    <w:rsid w:val="006257C4"/>
    <w:rsid w:val="0062799E"/>
    <w:rsid w:val="00632A94"/>
    <w:rsid w:val="00632C2E"/>
    <w:rsid w:val="00632D01"/>
    <w:rsid w:val="006342C2"/>
    <w:rsid w:val="006345B4"/>
    <w:rsid w:val="00634A96"/>
    <w:rsid w:val="00634B05"/>
    <w:rsid w:val="006356B9"/>
    <w:rsid w:val="00635832"/>
    <w:rsid w:val="0063596C"/>
    <w:rsid w:val="00635E35"/>
    <w:rsid w:val="00635FBF"/>
    <w:rsid w:val="00636887"/>
    <w:rsid w:val="006408DE"/>
    <w:rsid w:val="00640AC4"/>
    <w:rsid w:val="00641321"/>
    <w:rsid w:val="00641EBF"/>
    <w:rsid w:val="00641FE5"/>
    <w:rsid w:val="006427B6"/>
    <w:rsid w:val="006441B5"/>
    <w:rsid w:val="00645367"/>
    <w:rsid w:val="00645967"/>
    <w:rsid w:val="00645977"/>
    <w:rsid w:val="00646BE4"/>
    <w:rsid w:val="0064720F"/>
    <w:rsid w:val="006476A6"/>
    <w:rsid w:val="006478BF"/>
    <w:rsid w:val="006479A4"/>
    <w:rsid w:val="00650201"/>
    <w:rsid w:val="00650753"/>
    <w:rsid w:val="00651EFC"/>
    <w:rsid w:val="00651F1D"/>
    <w:rsid w:val="00652C1B"/>
    <w:rsid w:val="00653E2A"/>
    <w:rsid w:val="00654094"/>
    <w:rsid w:val="00654333"/>
    <w:rsid w:val="006557FC"/>
    <w:rsid w:val="00655954"/>
    <w:rsid w:val="00656915"/>
    <w:rsid w:val="006575B5"/>
    <w:rsid w:val="00657687"/>
    <w:rsid w:val="00660751"/>
    <w:rsid w:val="006614F8"/>
    <w:rsid w:val="00661E2B"/>
    <w:rsid w:val="00661FC1"/>
    <w:rsid w:val="00662A8E"/>
    <w:rsid w:val="00662FEB"/>
    <w:rsid w:val="006652B6"/>
    <w:rsid w:val="00666144"/>
    <w:rsid w:val="00666510"/>
    <w:rsid w:val="00666EB2"/>
    <w:rsid w:val="0066781C"/>
    <w:rsid w:val="0067020D"/>
    <w:rsid w:val="006704AA"/>
    <w:rsid w:val="00670626"/>
    <w:rsid w:val="00671492"/>
    <w:rsid w:val="00671569"/>
    <w:rsid w:val="00671CCC"/>
    <w:rsid w:val="00671EBB"/>
    <w:rsid w:val="0067204B"/>
    <w:rsid w:val="006722FE"/>
    <w:rsid w:val="006727FC"/>
    <w:rsid w:val="00672D71"/>
    <w:rsid w:val="006735DD"/>
    <w:rsid w:val="00673D91"/>
    <w:rsid w:val="00673F57"/>
    <w:rsid w:val="00674313"/>
    <w:rsid w:val="00676220"/>
    <w:rsid w:val="0067638C"/>
    <w:rsid w:val="00677054"/>
    <w:rsid w:val="006772FD"/>
    <w:rsid w:val="00677F14"/>
    <w:rsid w:val="00680445"/>
    <w:rsid w:val="0068165C"/>
    <w:rsid w:val="00681CA6"/>
    <w:rsid w:val="00681E8A"/>
    <w:rsid w:val="00682262"/>
    <w:rsid w:val="00682691"/>
    <w:rsid w:val="00682904"/>
    <w:rsid w:val="00682DBB"/>
    <w:rsid w:val="00682DD5"/>
    <w:rsid w:val="006836EC"/>
    <w:rsid w:val="00683A83"/>
    <w:rsid w:val="00683C59"/>
    <w:rsid w:val="00683FCF"/>
    <w:rsid w:val="0068414C"/>
    <w:rsid w:val="00684C29"/>
    <w:rsid w:val="00684F8D"/>
    <w:rsid w:val="006858C6"/>
    <w:rsid w:val="006867E2"/>
    <w:rsid w:val="0068778D"/>
    <w:rsid w:val="006903A6"/>
    <w:rsid w:val="0069053C"/>
    <w:rsid w:val="00690EED"/>
    <w:rsid w:val="00690F7C"/>
    <w:rsid w:val="006923D9"/>
    <w:rsid w:val="0069247B"/>
    <w:rsid w:val="0069291F"/>
    <w:rsid w:val="00692979"/>
    <w:rsid w:val="006929FA"/>
    <w:rsid w:val="00692E21"/>
    <w:rsid w:val="00692F8D"/>
    <w:rsid w:val="00693820"/>
    <w:rsid w:val="00693964"/>
    <w:rsid w:val="006939B6"/>
    <w:rsid w:val="00693A17"/>
    <w:rsid w:val="00693E1E"/>
    <w:rsid w:val="0069415B"/>
    <w:rsid w:val="006945EA"/>
    <w:rsid w:val="0069548A"/>
    <w:rsid w:val="00695979"/>
    <w:rsid w:val="00695993"/>
    <w:rsid w:val="00695C64"/>
    <w:rsid w:val="00696D1D"/>
    <w:rsid w:val="006970FA"/>
    <w:rsid w:val="006975A1"/>
    <w:rsid w:val="00697FBA"/>
    <w:rsid w:val="006A10B3"/>
    <w:rsid w:val="006A160F"/>
    <w:rsid w:val="006A16BE"/>
    <w:rsid w:val="006A18EA"/>
    <w:rsid w:val="006A25BD"/>
    <w:rsid w:val="006A26FD"/>
    <w:rsid w:val="006A3789"/>
    <w:rsid w:val="006A3D53"/>
    <w:rsid w:val="006A3FEF"/>
    <w:rsid w:val="006A436F"/>
    <w:rsid w:val="006A44CF"/>
    <w:rsid w:val="006A52BB"/>
    <w:rsid w:val="006A530F"/>
    <w:rsid w:val="006A5D12"/>
    <w:rsid w:val="006A5DC7"/>
    <w:rsid w:val="006A65DA"/>
    <w:rsid w:val="006A6DD6"/>
    <w:rsid w:val="006A7260"/>
    <w:rsid w:val="006A7B7A"/>
    <w:rsid w:val="006B02C7"/>
    <w:rsid w:val="006B0542"/>
    <w:rsid w:val="006B1301"/>
    <w:rsid w:val="006B19E7"/>
    <w:rsid w:val="006B1A74"/>
    <w:rsid w:val="006B1FF8"/>
    <w:rsid w:val="006B266F"/>
    <w:rsid w:val="006B28A1"/>
    <w:rsid w:val="006B28B2"/>
    <w:rsid w:val="006B3708"/>
    <w:rsid w:val="006B4701"/>
    <w:rsid w:val="006B4C74"/>
    <w:rsid w:val="006B4CC0"/>
    <w:rsid w:val="006B4EDB"/>
    <w:rsid w:val="006B55A0"/>
    <w:rsid w:val="006B65FB"/>
    <w:rsid w:val="006B6815"/>
    <w:rsid w:val="006B6875"/>
    <w:rsid w:val="006B7068"/>
    <w:rsid w:val="006B7641"/>
    <w:rsid w:val="006B78BE"/>
    <w:rsid w:val="006B7E08"/>
    <w:rsid w:val="006B7E8B"/>
    <w:rsid w:val="006C0568"/>
    <w:rsid w:val="006C0E0B"/>
    <w:rsid w:val="006C1101"/>
    <w:rsid w:val="006C1488"/>
    <w:rsid w:val="006C1724"/>
    <w:rsid w:val="006C1835"/>
    <w:rsid w:val="006C2189"/>
    <w:rsid w:val="006C312D"/>
    <w:rsid w:val="006C4023"/>
    <w:rsid w:val="006C42BB"/>
    <w:rsid w:val="006C5515"/>
    <w:rsid w:val="006C5991"/>
    <w:rsid w:val="006C619D"/>
    <w:rsid w:val="006C67C7"/>
    <w:rsid w:val="006D0AA9"/>
    <w:rsid w:val="006D108D"/>
    <w:rsid w:val="006D3871"/>
    <w:rsid w:val="006D5349"/>
    <w:rsid w:val="006D69AB"/>
    <w:rsid w:val="006D6DD8"/>
    <w:rsid w:val="006E05A6"/>
    <w:rsid w:val="006E07C2"/>
    <w:rsid w:val="006E0896"/>
    <w:rsid w:val="006E0F41"/>
    <w:rsid w:val="006E112A"/>
    <w:rsid w:val="006E1243"/>
    <w:rsid w:val="006E31C0"/>
    <w:rsid w:val="006E4239"/>
    <w:rsid w:val="006E4485"/>
    <w:rsid w:val="006E4956"/>
    <w:rsid w:val="006E5053"/>
    <w:rsid w:val="006E51EE"/>
    <w:rsid w:val="006E6055"/>
    <w:rsid w:val="006E6059"/>
    <w:rsid w:val="006E684F"/>
    <w:rsid w:val="006E6C78"/>
    <w:rsid w:val="006F0119"/>
    <w:rsid w:val="006F051E"/>
    <w:rsid w:val="006F0A0D"/>
    <w:rsid w:val="006F0C3C"/>
    <w:rsid w:val="006F0E19"/>
    <w:rsid w:val="006F1436"/>
    <w:rsid w:val="006F2EDE"/>
    <w:rsid w:val="006F381C"/>
    <w:rsid w:val="006F3CF6"/>
    <w:rsid w:val="006F4202"/>
    <w:rsid w:val="006F4EFB"/>
    <w:rsid w:val="006F5E32"/>
    <w:rsid w:val="006F5ED4"/>
    <w:rsid w:val="006F6EF2"/>
    <w:rsid w:val="006F71EF"/>
    <w:rsid w:val="006F7B9F"/>
    <w:rsid w:val="006F7F16"/>
    <w:rsid w:val="0070068A"/>
    <w:rsid w:val="00700C5A"/>
    <w:rsid w:val="00700F41"/>
    <w:rsid w:val="00701213"/>
    <w:rsid w:val="00701318"/>
    <w:rsid w:val="007013C6"/>
    <w:rsid w:val="00701992"/>
    <w:rsid w:val="0070276E"/>
    <w:rsid w:val="0070314F"/>
    <w:rsid w:val="00703A14"/>
    <w:rsid w:val="007040B4"/>
    <w:rsid w:val="007043A6"/>
    <w:rsid w:val="00704473"/>
    <w:rsid w:val="00705F97"/>
    <w:rsid w:val="0070626F"/>
    <w:rsid w:val="007064E6"/>
    <w:rsid w:val="0070695B"/>
    <w:rsid w:val="0070799A"/>
    <w:rsid w:val="00707B35"/>
    <w:rsid w:val="0071009D"/>
    <w:rsid w:val="0071086C"/>
    <w:rsid w:val="00711027"/>
    <w:rsid w:val="00712534"/>
    <w:rsid w:val="0071295C"/>
    <w:rsid w:val="0071302C"/>
    <w:rsid w:val="00713E4C"/>
    <w:rsid w:val="00714E00"/>
    <w:rsid w:val="00714F8A"/>
    <w:rsid w:val="00715302"/>
    <w:rsid w:val="0071567A"/>
    <w:rsid w:val="00715CAA"/>
    <w:rsid w:val="0071689D"/>
    <w:rsid w:val="007169E1"/>
    <w:rsid w:val="00716D8A"/>
    <w:rsid w:val="00717313"/>
    <w:rsid w:val="00717388"/>
    <w:rsid w:val="007201F0"/>
    <w:rsid w:val="00720C3B"/>
    <w:rsid w:val="00720D4D"/>
    <w:rsid w:val="00720F73"/>
    <w:rsid w:val="0072167B"/>
    <w:rsid w:val="00722128"/>
    <w:rsid w:val="007224CF"/>
    <w:rsid w:val="0072368F"/>
    <w:rsid w:val="00723F50"/>
    <w:rsid w:val="007246AA"/>
    <w:rsid w:val="007249A8"/>
    <w:rsid w:val="007251BD"/>
    <w:rsid w:val="007252C6"/>
    <w:rsid w:val="00725390"/>
    <w:rsid w:val="0072568F"/>
    <w:rsid w:val="00725B8E"/>
    <w:rsid w:val="00726DE2"/>
    <w:rsid w:val="007277F8"/>
    <w:rsid w:val="00727A8C"/>
    <w:rsid w:val="00730365"/>
    <w:rsid w:val="00730529"/>
    <w:rsid w:val="00730A02"/>
    <w:rsid w:val="00730C4A"/>
    <w:rsid w:val="00730DA0"/>
    <w:rsid w:val="0073162F"/>
    <w:rsid w:val="00732336"/>
    <w:rsid w:val="007323C2"/>
    <w:rsid w:val="00732CB5"/>
    <w:rsid w:val="00733A16"/>
    <w:rsid w:val="00733FB3"/>
    <w:rsid w:val="007340FF"/>
    <w:rsid w:val="00734351"/>
    <w:rsid w:val="0073436C"/>
    <w:rsid w:val="00734894"/>
    <w:rsid w:val="00734C9B"/>
    <w:rsid w:val="00736C47"/>
    <w:rsid w:val="007371AB"/>
    <w:rsid w:val="007378B5"/>
    <w:rsid w:val="007378EC"/>
    <w:rsid w:val="007401AA"/>
    <w:rsid w:val="007401FE"/>
    <w:rsid w:val="00740E7C"/>
    <w:rsid w:val="007417DE"/>
    <w:rsid w:val="00741E6E"/>
    <w:rsid w:val="00742476"/>
    <w:rsid w:val="00742768"/>
    <w:rsid w:val="00742948"/>
    <w:rsid w:val="00742986"/>
    <w:rsid w:val="00743039"/>
    <w:rsid w:val="00744A82"/>
    <w:rsid w:val="00745EF9"/>
    <w:rsid w:val="0074678C"/>
    <w:rsid w:val="00747C7F"/>
    <w:rsid w:val="00747E91"/>
    <w:rsid w:val="00750E8D"/>
    <w:rsid w:val="007511AD"/>
    <w:rsid w:val="007516FB"/>
    <w:rsid w:val="00751A25"/>
    <w:rsid w:val="007523A6"/>
    <w:rsid w:val="007528D1"/>
    <w:rsid w:val="00752C5C"/>
    <w:rsid w:val="007543EC"/>
    <w:rsid w:val="00754601"/>
    <w:rsid w:val="007554D7"/>
    <w:rsid w:val="00755F3F"/>
    <w:rsid w:val="00756E6A"/>
    <w:rsid w:val="0075751D"/>
    <w:rsid w:val="007578F4"/>
    <w:rsid w:val="00760AAE"/>
    <w:rsid w:val="00760B33"/>
    <w:rsid w:val="007612E9"/>
    <w:rsid w:val="007613F7"/>
    <w:rsid w:val="0076156A"/>
    <w:rsid w:val="007623AD"/>
    <w:rsid w:val="00762C1E"/>
    <w:rsid w:val="00762D41"/>
    <w:rsid w:val="00763679"/>
    <w:rsid w:val="00763E5F"/>
    <w:rsid w:val="00764575"/>
    <w:rsid w:val="007650E8"/>
    <w:rsid w:val="00765407"/>
    <w:rsid w:val="0076604D"/>
    <w:rsid w:val="007700CC"/>
    <w:rsid w:val="00770180"/>
    <w:rsid w:val="00770436"/>
    <w:rsid w:val="0077069E"/>
    <w:rsid w:val="00770B6A"/>
    <w:rsid w:val="00771021"/>
    <w:rsid w:val="007715B3"/>
    <w:rsid w:val="0077222E"/>
    <w:rsid w:val="007727BB"/>
    <w:rsid w:val="00772D00"/>
    <w:rsid w:val="00773027"/>
    <w:rsid w:val="0077399D"/>
    <w:rsid w:val="0077466B"/>
    <w:rsid w:val="007757F1"/>
    <w:rsid w:val="00775B22"/>
    <w:rsid w:val="007763C0"/>
    <w:rsid w:val="007763DC"/>
    <w:rsid w:val="0077673E"/>
    <w:rsid w:val="00776B73"/>
    <w:rsid w:val="00777F21"/>
    <w:rsid w:val="007817E1"/>
    <w:rsid w:val="00781FFB"/>
    <w:rsid w:val="007820C4"/>
    <w:rsid w:val="0078306C"/>
    <w:rsid w:val="00783920"/>
    <w:rsid w:val="00783CC4"/>
    <w:rsid w:val="00783CC9"/>
    <w:rsid w:val="00784418"/>
    <w:rsid w:val="007853C7"/>
    <w:rsid w:val="0078545B"/>
    <w:rsid w:val="00785D92"/>
    <w:rsid w:val="007864AA"/>
    <w:rsid w:val="00786F11"/>
    <w:rsid w:val="007874B4"/>
    <w:rsid w:val="007874C2"/>
    <w:rsid w:val="00787D1E"/>
    <w:rsid w:val="00790367"/>
    <w:rsid w:val="00790C0B"/>
    <w:rsid w:val="00791592"/>
    <w:rsid w:val="00791737"/>
    <w:rsid w:val="00791CEC"/>
    <w:rsid w:val="00791F25"/>
    <w:rsid w:val="0079211F"/>
    <w:rsid w:val="00792A05"/>
    <w:rsid w:val="007939FC"/>
    <w:rsid w:val="00794817"/>
    <w:rsid w:val="00794897"/>
    <w:rsid w:val="00795068"/>
    <w:rsid w:val="00795223"/>
    <w:rsid w:val="00795620"/>
    <w:rsid w:val="00795846"/>
    <w:rsid w:val="00796A2F"/>
    <w:rsid w:val="007A12C3"/>
    <w:rsid w:val="007A1E51"/>
    <w:rsid w:val="007A205A"/>
    <w:rsid w:val="007A2874"/>
    <w:rsid w:val="007A4493"/>
    <w:rsid w:val="007A4600"/>
    <w:rsid w:val="007A4B53"/>
    <w:rsid w:val="007A5394"/>
    <w:rsid w:val="007A58CE"/>
    <w:rsid w:val="007A62F5"/>
    <w:rsid w:val="007A6AF3"/>
    <w:rsid w:val="007A7F63"/>
    <w:rsid w:val="007B05BA"/>
    <w:rsid w:val="007B05D4"/>
    <w:rsid w:val="007B07C2"/>
    <w:rsid w:val="007B0918"/>
    <w:rsid w:val="007B15B3"/>
    <w:rsid w:val="007B1B80"/>
    <w:rsid w:val="007B1F70"/>
    <w:rsid w:val="007B2837"/>
    <w:rsid w:val="007B28FC"/>
    <w:rsid w:val="007B2AF5"/>
    <w:rsid w:val="007B2FEB"/>
    <w:rsid w:val="007B308D"/>
    <w:rsid w:val="007B3242"/>
    <w:rsid w:val="007B335C"/>
    <w:rsid w:val="007B4124"/>
    <w:rsid w:val="007B4AC2"/>
    <w:rsid w:val="007B53D1"/>
    <w:rsid w:val="007B57A4"/>
    <w:rsid w:val="007B57C2"/>
    <w:rsid w:val="007B6036"/>
    <w:rsid w:val="007B6270"/>
    <w:rsid w:val="007B62B8"/>
    <w:rsid w:val="007B63E7"/>
    <w:rsid w:val="007B67BC"/>
    <w:rsid w:val="007B714E"/>
    <w:rsid w:val="007B7464"/>
    <w:rsid w:val="007C0D30"/>
    <w:rsid w:val="007C0DA9"/>
    <w:rsid w:val="007C2541"/>
    <w:rsid w:val="007C2D45"/>
    <w:rsid w:val="007C5670"/>
    <w:rsid w:val="007C757B"/>
    <w:rsid w:val="007C7781"/>
    <w:rsid w:val="007C79EB"/>
    <w:rsid w:val="007D01B6"/>
    <w:rsid w:val="007D0403"/>
    <w:rsid w:val="007D0E11"/>
    <w:rsid w:val="007D10D9"/>
    <w:rsid w:val="007D1AB8"/>
    <w:rsid w:val="007D2514"/>
    <w:rsid w:val="007D2537"/>
    <w:rsid w:val="007D2F15"/>
    <w:rsid w:val="007D340E"/>
    <w:rsid w:val="007D46AE"/>
    <w:rsid w:val="007D46B6"/>
    <w:rsid w:val="007D4A60"/>
    <w:rsid w:val="007D4C17"/>
    <w:rsid w:val="007D4F1B"/>
    <w:rsid w:val="007D5293"/>
    <w:rsid w:val="007D5C3C"/>
    <w:rsid w:val="007D5C77"/>
    <w:rsid w:val="007D6E79"/>
    <w:rsid w:val="007D700B"/>
    <w:rsid w:val="007D70EF"/>
    <w:rsid w:val="007D7659"/>
    <w:rsid w:val="007D76DF"/>
    <w:rsid w:val="007D7819"/>
    <w:rsid w:val="007D7AEE"/>
    <w:rsid w:val="007E00A3"/>
    <w:rsid w:val="007E00F4"/>
    <w:rsid w:val="007E036D"/>
    <w:rsid w:val="007E142D"/>
    <w:rsid w:val="007E1508"/>
    <w:rsid w:val="007E1B73"/>
    <w:rsid w:val="007E1B75"/>
    <w:rsid w:val="007E284F"/>
    <w:rsid w:val="007E28A2"/>
    <w:rsid w:val="007E2C5B"/>
    <w:rsid w:val="007E30D9"/>
    <w:rsid w:val="007E32E4"/>
    <w:rsid w:val="007E3DC3"/>
    <w:rsid w:val="007E4EC4"/>
    <w:rsid w:val="007E5224"/>
    <w:rsid w:val="007E5D8C"/>
    <w:rsid w:val="007E5EAA"/>
    <w:rsid w:val="007E7050"/>
    <w:rsid w:val="007E7839"/>
    <w:rsid w:val="007E7A00"/>
    <w:rsid w:val="007E7EF8"/>
    <w:rsid w:val="007F0446"/>
    <w:rsid w:val="007F056C"/>
    <w:rsid w:val="007F07ED"/>
    <w:rsid w:val="007F257D"/>
    <w:rsid w:val="007F28D3"/>
    <w:rsid w:val="007F311A"/>
    <w:rsid w:val="007F31E9"/>
    <w:rsid w:val="007F3819"/>
    <w:rsid w:val="007F3A47"/>
    <w:rsid w:val="007F4F77"/>
    <w:rsid w:val="007F5358"/>
    <w:rsid w:val="007F5F9D"/>
    <w:rsid w:val="007F6B13"/>
    <w:rsid w:val="00801429"/>
    <w:rsid w:val="00801DA1"/>
    <w:rsid w:val="0080327D"/>
    <w:rsid w:val="00803400"/>
    <w:rsid w:val="008037FB"/>
    <w:rsid w:val="00803B48"/>
    <w:rsid w:val="008040AE"/>
    <w:rsid w:val="00804177"/>
    <w:rsid w:val="008042B8"/>
    <w:rsid w:val="0080563F"/>
    <w:rsid w:val="00805A39"/>
    <w:rsid w:val="008061CA"/>
    <w:rsid w:val="00806653"/>
    <w:rsid w:val="00806FE4"/>
    <w:rsid w:val="00807474"/>
    <w:rsid w:val="00807D90"/>
    <w:rsid w:val="00811576"/>
    <w:rsid w:val="00811A07"/>
    <w:rsid w:val="00812A4A"/>
    <w:rsid w:val="00813E0B"/>
    <w:rsid w:val="00814A52"/>
    <w:rsid w:val="00814F89"/>
    <w:rsid w:val="00815404"/>
    <w:rsid w:val="00816190"/>
    <w:rsid w:val="00816215"/>
    <w:rsid w:val="00817D15"/>
    <w:rsid w:val="008203FC"/>
    <w:rsid w:val="00821B70"/>
    <w:rsid w:val="00822289"/>
    <w:rsid w:val="0082315C"/>
    <w:rsid w:val="008232BF"/>
    <w:rsid w:val="00823B2C"/>
    <w:rsid w:val="00823F48"/>
    <w:rsid w:val="0082400C"/>
    <w:rsid w:val="0082410C"/>
    <w:rsid w:val="0082435F"/>
    <w:rsid w:val="008245A8"/>
    <w:rsid w:val="0082502C"/>
    <w:rsid w:val="008279EC"/>
    <w:rsid w:val="00827D76"/>
    <w:rsid w:val="00830075"/>
    <w:rsid w:val="0083036B"/>
    <w:rsid w:val="008305A7"/>
    <w:rsid w:val="00830967"/>
    <w:rsid w:val="00830B49"/>
    <w:rsid w:val="00830B56"/>
    <w:rsid w:val="00831206"/>
    <w:rsid w:val="0083166E"/>
    <w:rsid w:val="008321D5"/>
    <w:rsid w:val="00832428"/>
    <w:rsid w:val="008326B1"/>
    <w:rsid w:val="00832C6C"/>
    <w:rsid w:val="00832E68"/>
    <w:rsid w:val="008338A6"/>
    <w:rsid w:val="00833C4F"/>
    <w:rsid w:val="008342D4"/>
    <w:rsid w:val="00834870"/>
    <w:rsid w:val="00834E41"/>
    <w:rsid w:val="00834E48"/>
    <w:rsid w:val="00835090"/>
    <w:rsid w:val="0083517C"/>
    <w:rsid w:val="0083559C"/>
    <w:rsid w:val="00835709"/>
    <w:rsid w:val="00835780"/>
    <w:rsid w:val="0083600E"/>
    <w:rsid w:val="00836CC1"/>
    <w:rsid w:val="0084007C"/>
    <w:rsid w:val="0084062E"/>
    <w:rsid w:val="00840AED"/>
    <w:rsid w:val="00840FFC"/>
    <w:rsid w:val="008414C0"/>
    <w:rsid w:val="00841558"/>
    <w:rsid w:val="00841C33"/>
    <w:rsid w:val="00842F56"/>
    <w:rsid w:val="008431BA"/>
    <w:rsid w:val="008435EF"/>
    <w:rsid w:val="0084406E"/>
    <w:rsid w:val="008457AE"/>
    <w:rsid w:val="0084628E"/>
    <w:rsid w:val="00846531"/>
    <w:rsid w:val="00846A51"/>
    <w:rsid w:val="00847112"/>
    <w:rsid w:val="00847417"/>
    <w:rsid w:val="00847448"/>
    <w:rsid w:val="00847F0C"/>
    <w:rsid w:val="00847F9A"/>
    <w:rsid w:val="00850410"/>
    <w:rsid w:val="00852036"/>
    <w:rsid w:val="008525E7"/>
    <w:rsid w:val="00852F9E"/>
    <w:rsid w:val="008530E5"/>
    <w:rsid w:val="008538ED"/>
    <w:rsid w:val="00854344"/>
    <w:rsid w:val="00854D6D"/>
    <w:rsid w:val="00855A8F"/>
    <w:rsid w:val="008568A6"/>
    <w:rsid w:val="00857832"/>
    <w:rsid w:val="00860123"/>
    <w:rsid w:val="00860204"/>
    <w:rsid w:val="008606FF"/>
    <w:rsid w:val="008624F4"/>
    <w:rsid w:val="00863161"/>
    <w:rsid w:val="0086316C"/>
    <w:rsid w:val="008644E7"/>
    <w:rsid w:val="00865B6F"/>
    <w:rsid w:val="00865C43"/>
    <w:rsid w:val="008665E8"/>
    <w:rsid w:val="008668BF"/>
    <w:rsid w:val="00870395"/>
    <w:rsid w:val="00870B08"/>
    <w:rsid w:val="0087116A"/>
    <w:rsid w:val="008711AE"/>
    <w:rsid w:val="00871607"/>
    <w:rsid w:val="008725F4"/>
    <w:rsid w:val="00872AFC"/>
    <w:rsid w:val="008730C6"/>
    <w:rsid w:val="008739B8"/>
    <w:rsid w:val="00873BC9"/>
    <w:rsid w:val="00873C5D"/>
    <w:rsid w:val="00873F55"/>
    <w:rsid w:val="008748F8"/>
    <w:rsid w:val="00874DFA"/>
    <w:rsid w:val="00875BBD"/>
    <w:rsid w:val="00875E5E"/>
    <w:rsid w:val="008766F0"/>
    <w:rsid w:val="00876E88"/>
    <w:rsid w:val="00877147"/>
    <w:rsid w:val="0087786A"/>
    <w:rsid w:val="00880439"/>
    <w:rsid w:val="0088086A"/>
    <w:rsid w:val="00880B47"/>
    <w:rsid w:val="008812B7"/>
    <w:rsid w:val="00881ABA"/>
    <w:rsid w:val="008820DC"/>
    <w:rsid w:val="008827EB"/>
    <w:rsid w:val="00882CC6"/>
    <w:rsid w:val="008831EF"/>
    <w:rsid w:val="00883A97"/>
    <w:rsid w:val="00884277"/>
    <w:rsid w:val="00884C38"/>
    <w:rsid w:val="00884F56"/>
    <w:rsid w:val="00884F87"/>
    <w:rsid w:val="00884FB1"/>
    <w:rsid w:val="00885EAB"/>
    <w:rsid w:val="008868BD"/>
    <w:rsid w:val="00886B20"/>
    <w:rsid w:val="00887359"/>
    <w:rsid w:val="00887A2F"/>
    <w:rsid w:val="00890175"/>
    <w:rsid w:val="0089083B"/>
    <w:rsid w:val="00890B91"/>
    <w:rsid w:val="00891CD6"/>
    <w:rsid w:val="00892C9F"/>
    <w:rsid w:val="0089340C"/>
    <w:rsid w:val="00894183"/>
    <w:rsid w:val="00894879"/>
    <w:rsid w:val="00894AB4"/>
    <w:rsid w:val="008951D7"/>
    <w:rsid w:val="0089667B"/>
    <w:rsid w:val="00896E9C"/>
    <w:rsid w:val="008979E3"/>
    <w:rsid w:val="00897B20"/>
    <w:rsid w:val="008A0C00"/>
    <w:rsid w:val="008A2C7F"/>
    <w:rsid w:val="008A2EE1"/>
    <w:rsid w:val="008A335C"/>
    <w:rsid w:val="008A3F58"/>
    <w:rsid w:val="008A40C8"/>
    <w:rsid w:val="008A4F94"/>
    <w:rsid w:val="008A6175"/>
    <w:rsid w:val="008A6B61"/>
    <w:rsid w:val="008A6BB7"/>
    <w:rsid w:val="008A6BCA"/>
    <w:rsid w:val="008A7FA1"/>
    <w:rsid w:val="008B0D5D"/>
    <w:rsid w:val="008B1A75"/>
    <w:rsid w:val="008B20F8"/>
    <w:rsid w:val="008B2993"/>
    <w:rsid w:val="008B2B3E"/>
    <w:rsid w:val="008B2B41"/>
    <w:rsid w:val="008B36BD"/>
    <w:rsid w:val="008B3905"/>
    <w:rsid w:val="008B45C7"/>
    <w:rsid w:val="008B4AC9"/>
    <w:rsid w:val="008B4B41"/>
    <w:rsid w:val="008B4F06"/>
    <w:rsid w:val="008B64A5"/>
    <w:rsid w:val="008B6540"/>
    <w:rsid w:val="008B66D2"/>
    <w:rsid w:val="008B7BFB"/>
    <w:rsid w:val="008B7D1B"/>
    <w:rsid w:val="008C0737"/>
    <w:rsid w:val="008C07DA"/>
    <w:rsid w:val="008C0965"/>
    <w:rsid w:val="008C0FD7"/>
    <w:rsid w:val="008C118D"/>
    <w:rsid w:val="008C1A6C"/>
    <w:rsid w:val="008C1E72"/>
    <w:rsid w:val="008C3099"/>
    <w:rsid w:val="008C3170"/>
    <w:rsid w:val="008C34A1"/>
    <w:rsid w:val="008C40E4"/>
    <w:rsid w:val="008C45B3"/>
    <w:rsid w:val="008C4734"/>
    <w:rsid w:val="008C4A5D"/>
    <w:rsid w:val="008C4B4C"/>
    <w:rsid w:val="008C4EF1"/>
    <w:rsid w:val="008C5859"/>
    <w:rsid w:val="008C7251"/>
    <w:rsid w:val="008C76AC"/>
    <w:rsid w:val="008C7D75"/>
    <w:rsid w:val="008D0380"/>
    <w:rsid w:val="008D044C"/>
    <w:rsid w:val="008D073C"/>
    <w:rsid w:val="008D1161"/>
    <w:rsid w:val="008D17F1"/>
    <w:rsid w:val="008D1B7F"/>
    <w:rsid w:val="008D1CB7"/>
    <w:rsid w:val="008D1E16"/>
    <w:rsid w:val="008D1EDB"/>
    <w:rsid w:val="008D26F3"/>
    <w:rsid w:val="008D27BE"/>
    <w:rsid w:val="008D44FE"/>
    <w:rsid w:val="008D46A5"/>
    <w:rsid w:val="008D4771"/>
    <w:rsid w:val="008D4D6A"/>
    <w:rsid w:val="008D58AD"/>
    <w:rsid w:val="008D5C69"/>
    <w:rsid w:val="008D65BA"/>
    <w:rsid w:val="008D65E8"/>
    <w:rsid w:val="008D6BD4"/>
    <w:rsid w:val="008D7347"/>
    <w:rsid w:val="008D7A58"/>
    <w:rsid w:val="008E0014"/>
    <w:rsid w:val="008E01A4"/>
    <w:rsid w:val="008E047F"/>
    <w:rsid w:val="008E0EC6"/>
    <w:rsid w:val="008E1DB2"/>
    <w:rsid w:val="008E44AF"/>
    <w:rsid w:val="008E467B"/>
    <w:rsid w:val="008E47EE"/>
    <w:rsid w:val="008E5003"/>
    <w:rsid w:val="008E6CF2"/>
    <w:rsid w:val="008E6E12"/>
    <w:rsid w:val="008E7040"/>
    <w:rsid w:val="008E7438"/>
    <w:rsid w:val="008F01D9"/>
    <w:rsid w:val="008F0346"/>
    <w:rsid w:val="008F0380"/>
    <w:rsid w:val="008F065C"/>
    <w:rsid w:val="008F2372"/>
    <w:rsid w:val="008F31B9"/>
    <w:rsid w:val="008F3814"/>
    <w:rsid w:val="008F390D"/>
    <w:rsid w:val="008F4064"/>
    <w:rsid w:val="008F42DC"/>
    <w:rsid w:val="008F4334"/>
    <w:rsid w:val="008F4AC0"/>
    <w:rsid w:val="008F4ADC"/>
    <w:rsid w:val="008F560B"/>
    <w:rsid w:val="008F5EF3"/>
    <w:rsid w:val="008F6073"/>
    <w:rsid w:val="008F640C"/>
    <w:rsid w:val="008F64AD"/>
    <w:rsid w:val="008F6CBB"/>
    <w:rsid w:val="008F7322"/>
    <w:rsid w:val="008F7485"/>
    <w:rsid w:val="008F774D"/>
    <w:rsid w:val="008F7DC6"/>
    <w:rsid w:val="009009AA"/>
    <w:rsid w:val="009009B0"/>
    <w:rsid w:val="00900C2A"/>
    <w:rsid w:val="009013ED"/>
    <w:rsid w:val="00901D1A"/>
    <w:rsid w:val="00901E1C"/>
    <w:rsid w:val="00901E1D"/>
    <w:rsid w:val="00902D4E"/>
    <w:rsid w:val="00902E89"/>
    <w:rsid w:val="0090351D"/>
    <w:rsid w:val="0090372E"/>
    <w:rsid w:val="00903B90"/>
    <w:rsid w:val="00903D37"/>
    <w:rsid w:val="00903D65"/>
    <w:rsid w:val="00903DDF"/>
    <w:rsid w:val="00904BE7"/>
    <w:rsid w:val="009052BB"/>
    <w:rsid w:val="00905686"/>
    <w:rsid w:val="00905C0F"/>
    <w:rsid w:val="00906626"/>
    <w:rsid w:val="00906973"/>
    <w:rsid w:val="00906CCC"/>
    <w:rsid w:val="00907D8C"/>
    <w:rsid w:val="009100D7"/>
    <w:rsid w:val="0091034D"/>
    <w:rsid w:val="00910D41"/>
    <w:rsid w:val="00911039"/>
    <w:rsid w:val="00911312"/>
    <w:rsid w:val="0091143E"/>
    <w:rsid w:val="00911CDD"/>
    <w:rsid w:val="00911DFF"/>
    <w:rsid w:val="009128F9"/>
    <w:rsid w:val="0091294D"/>
    <w:rsid w:val="009129A5"/>
    <w:rsid w:val="00912C5B"/>
    <w:rsid w:val="00912CA6"/>
    <w:rsid w:val="00912ED6"/>
    <w:rsid w:val="00913B2F"/>
    <w:rsid w:val="00913C8F"/>
    <w:rsid w:val="009152A3"/>
    <w:rsid w:val="009154D7"/>
    <w:rsid w:val="009161E3"/>
    <w:rsid w:val="00916A39"/>
    <w:rsid w:val="00916BD8"/>
    <w:rsid w:val="00917420"/>
    <w:rsid w:val="0091781E"/>
    <w:rsid w:val="00917E30"/>
    <w:rsid w:val="00920373"/>
    <w:rsid w:val="00920CFE"/>
    <w:rsid w:val="00921281"/>
    <w:rsid w:val="009212AE"/>
    <w:rsid w:val="009219B6"/>
    <w:rsid w:val="00921D70"/>
    <w:rsid w:val="00921EDB"/>
    <w:rsid w:val="009220E5"/>
    <w:rsid w:val="009222AE"/>
    <w:rsid w:val="009229A6"/>
    <w:rsid w:val="00922B65"/>
    <w:rsid w:val="00922B9A"/>
    <w:rsid w:val="00922C15"/>
    <w:rsid w:val="00922F98"/>
    <w:rsid w:val="009233AC"/>
    <w:rsid w:val="00924095"/>
    <w:rsid w:val="0092420D"/>
    <w:rsid w:val="00924934"/>
    <w:rsid w:val="0092559A"/>
    <w:rsid w:val="0092581C"/>
    <w:rsid w:val="0092637D"/>
    <w:rsid w:val="00926697"/>
    <w:rsid w:val="009266FD"/>
    <w:rsid w:val="009269EC"/>
    <w:rsid w:val="00926B8B"/>
    <w:rsid w:val="00926EA5"/>
    <w:rsid w:val="0092709E"/>
    <w:rsid w:val="0092729F"/>
    <w:rsid w:val="009275DA"/>
    <w:rsid w:val="0092779F"/>
    <w:rsid w:val="00931985"/>
    <w:rsid w:val="00931E60"/>
    <w:rsid w:val="0093232C"/>
    <w:rsid w:val="009326D1"/>
    <w:rsid w:val="00932FFF"/>
    <w:rsid w:val="00933995"/>
    <w:rsid w:val="00933B9A"/>
    <w:rsid w:val="009342F0"/>
    <w:rsid w:val="00934416"/>
    <w:rsid w:val="009345F0"/>
    <w:rsid w:val="00934C28"/>
    <w:rsid w:val="00934DD3"/>
    <w:rsid w:val="009352FD"/>
    <w:rsid w:val="009357F1"/>
    <w:rsid w:val="00935A4B"/>
    <w:rsid w:val="00935B4F"/>
    <w:rsid w:val="00936210"/>
    <w:rsid w:val="009364D2"/>
    <w:rsid w:val="00936C60"/>
    <w:rsid w:val="0094006C"/>
    <w:rsid w:val="009409F4"/>
    <w:rsid w:val="00940F5B"/>
    <w:rsid w:val="00941595"/>
    <w:rsid w:val="00941EFB"/>
    <w:rsid w:val="00942B10"/>
    <w:rsid w:val="00943B43"/>
    <w:rsid w:val="00943B9E"/>
    <w:rsid w:val="00943BA9"/>
    <w:rsid w:val="00944E5D"/>
    <w:rsid w:val="009457D7"/>
    <w:rsid w:val="00945A14"/>
    <w:rsid w:val="009460C2"/>
    <w:rsid w:val="00947870"/>
    <w:rsid w:val="00947A8A"/>
    <w:rsid w:val="00947BB7"/>
    <w:rsid w:val="00947FC6"/>
    <w:rsid w:val="00950154"/>
    <w:rsid w:val="00950226"/>
    <w:rsid w:val="0095037E"/>
    <w:rsid w:val="009507A0"/>
    <w:rsid w:val="00950E38"/>
    <w:rsid w:val="00951083"/>
    <w:rsid w:val="009510B6"/>
    <w:rsid w:val="00951257"/>
    <w:rsid w:val="009519F4"/>
    <w:rsid w:val="00952C99"/>
    <w:rsid w:val="0095311E"/>
    <w:rsid w:val="00953360"/>
    <w:rsid w:val="00953988"/>
    <w:rsid w:val="0095589B"/>
    <w:rsid w:val="00955D82"/>
    <w:rsid w:val="00955DC9"/>
    <w:rsid w:val="00956412"/>
    <w:rsid w:val="009565F8"/>
    <w:rsid w:val="00956A85"/>
    <w:rsid w:val="009573EA"/>
    <w:rsid w:val="00957502"/>
    <w:rsid w:val="00960330"/>
    <w:rsid w:val="0096042D"/>
    <w:rsid w:val="00960AAA"/>
    <w:rsid w:val="00960ABA"/>
    <w:rsid w:val="00961578"/>
    <w:rsid w:val="009617DB"/>
    <w:rsid w:val="00963546"/>
    <w:rsid w:val="00964597"/>
    <w:rsid w:val="0096512D"/>
    <w:rsid w:val="00965162"/>
    <w:rsid w:val="0096550D"/>
    <w:rsid w:val="00965C3E"/>
    <w:rsid w:val="009660B7"/>
    <w:rsid w:val="00966C61"/>
    <w:rsid w:val="00967F64"/>
    <w:rsid w:val="009701CC"/>
    <w:rsid w:val="00971CBB"/>
    <w:rsid w:val="00972689"/>
    <w:rsid w:val="00973325"/>
    <w:rsid w:val="00973712"/>
    <w:rsid w:val="009737B5"/>
    <w:rsid w:val="00973F04"/>
    <w:rsid w:val="0097433B"/>
    <w:rsid w:val="0097464B"/>
    <w:rsid w:val="00974F80"/>
    <w:rsid w:val="0097707A"/>
    <w:rsid w:val="00977760"/>
    <w:rsid w:val="00977D19"/>
    <w:rsid w:val="009807EE"/>
    <w:rsid w:val="00980936"/>
    <w:rsid w:val="009813BF"/>
    <w:rsid w:val="0098274C"/>
    <w:rsid w:val="0098295C"/>
    <w:rsid w:val="00982A05"/>
    <w:rsid w:val="00983D25"/>
    <w:rsid w:val="009845D3"/>
    <w:rsid w:val="00984A04"/>
    <w:rsid w:val="009850B7"/>
    <w:rsid w:val="00985A7D"/>
    <w:rsid w:val="009860E0"/>
    <w:rsid w:val="009863DC"/>
    <w:rsid w:val="00986C68"/>
    <w:rsid w:val="00986FFD"/>
    <w:rsid w:val="009873B5"/>
    <w:rsid w:val="00987B36"/>
    <w:rsid w:val="00987DF0"/>
    <w:rsid w:val="00990128"/>
    <w:rsid w:val="00990437"/>
    <w:rsid w:val="00991041"/>
    <w:rsid w:val="00991336"/>
    <w:rsid w:val="00992DF5"/>
    <w:rsid w:val="00992EDF"/>
    <w:rsid w:val="00993E8F"/>
    <w:rsid w:val="009942CF"/>
    <w:rsid w:val="009945F7"/>
    <w:rsid w:val="00994A50"/>
    <w:rsid w:val="00994E97"/>
    <w:rsid w:val="0099517D"/>
    <w:rsid w:val="0099569B"/>
    <w:rsid w:val="00995750"/>
    <w:rsid w:val="009971FC"/>
    <w:rsid w:val="009978B9"/>
    <w:rsid w:val="00997B45"/>
    <w:rsid w:val="009A00F7"/>
    <w:rsid w:val="009A1AD3"/>
    <w:rsid w:val="009A1D82"/>
    <w:rsid w:val="009A2148"/>
    <w:rsid w:val="009A2286"/>
    <w:rsid w:val="009A2C40"/>
    <w:rsid w:val="009A2CAD"/>
    <w:rsid w:val="009A3D32"/>
    <w:rsid w:val="009A4243"/>
    <w:rsid w:val="009A47B1"/>
    <w:rsid w:val="009A5061"/>
    <w:rsid w:val="009A535E"/>
    <w:rsid w:val="009A5D2B"/>
    <w:rsid w:val="009A67AD"/>
    <w:rsid w:val="009B0EA7"/>
    <w:rsid w:val="009B1B62"/>
    <w:rsid w:val="009B1D70"/>
    <w:rsid w:val="009B2331"/>
    <w:rsid w:val="009B2BD8"/>
    <w:rsid w:val="009B359B"/>
    <w:rsid w:val="009B4821"/>
    <w:rsid w:val="009B5293"/>
    <w:rsid w:val="009B5A4B"/>
    <w:rsid w:val="009B5DEC"/>
    <w:rsid w:val="009B722C"/>
    <w:rsid w:val="009B74AC"/>
    <w:rsid w:val="009B7666"/>
    <w:rsid w:val="009B78C3"/>
    <w:rsid w:val="009C042E"/>
    <w:rsid w:val="009C04F5"/>
    <w:rsid w:val="009C0533"/>
    <w:rsid w:val="009C0DDF"/>
    <w:rsid w:val="009C1092"/>
    <w:rsid w:val="009C156A"/>
    <w:rsid w:val="009C16EE"/>
    <w:rsid w:val="009C1CF6"/>
    <w:rsid w:val="009C21B2"/>
    <w:rsid w:val="009C21EF"/>
    <w:rsid w:val="009C22C3"/>
    <w:rsid w:val="009C288B"/>
    <w:rsid w:val="009C4100"/>
    <w:rsid w:val="009C4B82"/>
    <w:rsid w:val="009C4BAF"/>
    <w:rsid w:val="009C4C7F"/>
    <w:rsid w:val="009C584B"/>
    <w:rsid w:val="009C6E41"/>
    <w:rsid w:val="009C6E69"/>
    <w:rsid w:val="009C6ED5"/>
    <w:rsid w:val="009C6F36"/>
    <w:rsid w:val="009C70BE"/>
    <w:rsid w:val="009C77B3"/>
    <w:rsid w:val="009C79FB"/>
    <w:rsid w:val="009C7C96"/>
    <w:rsid w:val="009D03AD"/>
    <w:rsid w:val="009D0E97"/>
    <w:rsid w:val="009D1CBA"/>
    <w:rsid w:val="009D24CA"/>
    <w:rsid w:val="009D2E56"/>
    <w:rsid w:val="009D3C2B"/>
    <w:rsid w:val="009D492D"/>
    <w:rsid w:val="009D4AED"/>
    <w:rsid w:val="009D4B2D"/>
    <w:rsid w:val="009D5D50"/>
    <w:rsid w:val="009D5D62"/>
    <w:rsid w:val="009D6216"/>
    <w:rsid w:val="009D7CE0"/>
    <w:rsid w:val="009E0489"/>
    <w:rsid w:val="009E0EC7"/>
    <w:rsid w:val="009E1332"/>
    <w:rsid w:val="009E21DA"/>
    <w:rsid w:val="009E2F8A"/>
    <w:rsid w:val="009E4FE1"/>
    <w:rsid w:val="009E7132"/>
    <w:rsid w:val="009E7416"/>
    <w:rsid w:val="009E76DA"/>
    <w:rsid w:val="009F0338"/>
    <w:rsid w:val="009F0790"/>
    <w:rsid w:val="009F124E"/>
    <w:rsid w:val="009F13CB"/>
    <w:rsid w:val="009F1DC7"/>
    <w:rsid w:val="009F284F"/>
    <w:rsid w:val="009F32E3"/>
    <w:rsid w:val="009F3408"/>
    <w:rsid w:val="009F446C"/>
    <w:rsid w:val="009F44E9"/>
    <w:rsid w:val="009F47E9"/>
    <w:rsid w:val="009F4924"/>
    <w:rsid w:val="009F4AE2"/>
    <w:rsid w:val="009F5967"/>
    <w:rsid w:val="009F5B3B"/>
    <w:rsid w:val="009F64D1"/>
    <w:rsid w:val="009F67A7"/>
    <w:rsid w:val="009F71DF"/>
    <w:rsid w:val="009F74AC"/>
    <w:rsid w:val="00A005DD"/>
    <w:rsid w:val="00A00D23"/>
    <w:rsid w:val="00A00FA2"/>
    <w:rsid w:val="00A0115C"/>
    <w:rsid w:val="00A01A85"/>
    <w:rsid w:val="00A02867"/>
    <w:rsid w:val="00A02AA6"/>
    <w:rsid w:val="00A03641"/>
    <w:rsid w:val="00A04132"/>
    <w:rsid w:val="00A049EA"/>
    <w:rsid w:val="00A04E95"/>
    <w:rsid w:val="00A04FA2"/>
    <w:rsid w:val="00A051C9"/>
    <w:rsid w:val="00A05325"/>
    <w:rsid w:val="00A06606"/>
    <w:rsid w:val="00A069F7"/>
    <w:rsid w:val="00A06A1D"/>
    <w:rsid w:val="00A06B4F"/>
    <w:rsid w:val="00A0709D"/>
    <w:rsid w:val="00A100C9"/>
    <w:rsid w:val="00A10640"/>
    <w:rsid w:val="00A109E2"/>
    <w:rsid w:val="00A10B33"/>
    <w:rsid w:val="00A10C91"/>
    <w:rsid w:val="00A10FEE"/>
    <w:rsid w:val="00A1119D"/>
    <w:rsid w:val="00A112C9"/>
    <w:rsid w:val="00A118B5"/>
    <w:rsid w:val="00A11987"/>
    <w:rsid w:val="00A12320"/>
    <w:rsid w:val="00A125D1"/>
    <w:rsid w:val="00A12900"/>
    <w:rsid w:val="00A12D89"/>
    <w:rsid w:val="00A14509"/>
    <w:rsid w:val="00A1488D"/>
    <w:rsid w:val="00A15033"/>
    <w:rsid w:val="00A15787"/>
    <w:rsid w:val="00A15D59"/>
    <w:rsid w:val="00A15FAB"/>
    <w:rsid w:val="00A16435"/>
    <w:rsid w:val="00A1682D"/>
    <w:rsid w:val="00A16EAC"/>
    <w:rsid w:val="00A170B3"/>
    <w:rsid w:val="00A1759B"/>
    <w:rsid w:val="00A17B1E"/>
    <w:rsid w:val="00A17B53"/>
    <w:rsid w:val="00A202D1"/>
    <w:rsid w:val="00A204A1"/>
    <w:rsid w:val="00A20B7A"/>
    <w:rsid w:val="00A20D51"/>
    <w:rsid w:val="00A20EC7"/>
    <w:rsid w:val="00A2108D"/>
    <w:rsid w:val="00A210F9"/>
    <w:rsid w:val="00A21443"/>
    <w:rsid w:val="00A21BA8"/>
    <w:rsid w:val="00A21E1A"/>
    <w:rsid w:val="00A22B5C"/>
    <w:rsid w:val="00A2373F"/>
    <w:rsid w:val="00A239E1"/>
    <w:rsid w:val="00A24D4D"/>
    <w:rsid w:val="00A2658C"/>
    <w:rsid w:val="00A274DF"/>
    <w:rsid w:val="00A304E1"/>
    <w:rsid w:val="00A30905"/>
    <w:rsid w:val="00A30E29"/>
    <w:rsid w:val="00A31808"/>
    <w:rsid w:val="00A31A15"/>
    <w:rsid w:val="00A31B55"/>
    <w:rsid w:val="00A32BF1"/>
    <w:rsid w:val="00A32E66"/>
    <w:rsid w:val="00A33A7A"/>
    <w:rsid w:val="00A34187"/>
    <w:rsid w:val="00A34E94"/>
    <w:rsid w:val="00A35059"/>
    <w:rsid w:val="00A355C4"/>
    <w:rsid w:val="00A35B33"/>
    <w:rsid w:val="00A36B29"/>
    <w:rsid w:val="00A36B50"/>
    <w:rsid w:val="00A3768C"/>
    <w:rsid w:val="00A37943"/>
    <w:rsid w:val="00A37BA2"/>
    <w:rsid w:val="00A37CBE"/>
    <w:rsid w:val="00A400D0"/>
    <w:rsid w:val="00A4099E"/>
    <w:rsid w:val="00A426B2"/>
    <w:rsid w:val="00A44AB6"/>
    <w:rsid w:val="00A44B72"/>
    <w:rsid w:val="00A453CB"/>
    <w:rsid w:val="00A45B8E"/>
    <w:rsid w:val="00A50839"/>
    <w:rsid w:val="00A509D1"/>
    <w:rsid w:val="00A50AB3"/>
    <w:rsid w:val="00A51B3A"/>
    <w:rsid w:val="00A52259"/>
    <w:rsid w:val="00A532DE"/>
    <w:rsid w:val="00A538CA"/>
    <w:rsid w:val="00A552BA"/>
    <w:rsid w:val="00A5565E"/>
    <w:rsid w:val="00A557B2"/>
    <w:rsid w:val="00A55E80"/>
    <w:rsid w:val="00A56887"/>
    <w:rsid w:val="00A6028D"/>
    <w:rsid w:val="00A60696"/>
    <w:rsid w:val="00A613B9"/>
    <w:rsid w:val="00A6158A"/>
    <w:rsid w:val="00A616FC"/>
    <w:rsid w:val="00A61D8A"/>
    <w:rsid w:val="00A61EEC"/>
    <w:rsid w:val="00A61FA5"/>
    <w:rsid w:val="00A6286F"/>
    <w:rsid w:val="00A62F05"/>
    <w:rsid w:val="00A6347E"/>
    <w:rsid w:val="00A63574"/>
    <w:rsid w:val="00A63E01"/>
    <w:rsid w:val="00A64F6A"/>
    <w:rsid w:val="00A65377"/>
    <w:rsid w:val="00A6546C"/>
    <w:rsid w:val="00A654B9"/>
    <w:rsid w:val="00A6553E"/>
    <w:rsid w:val="00A65D39"/>
    <w:rsid w:val="00A6605F"/>
    <w:rsid w:val="00A666D0"/>
    <w:rsid w:val="00A6728B"/>
    <w:rsid w:val="00A674F5"/>
    <w:rsid w:val="00A6751C"/>
    <w:rsid w:val="00A67E84"/>
    <w:rsid w:val="00A712F8"/>
    <w:rsid w:val="00A71892"/>
    <w:rsid w:val="00A7191E"/>
    <w:rsid w:val="00A71B0F"/>
    <w:rsid w:val="00A71E23"/>
    <w:rsid w:val="00A72616"/>
    <w:rsid w:val="00A72A80"/>
    <w:rsid w:val="00A7331A"/>
    <w:rsid w:val="00A7356A"/>
    <w:rsid w:val="00A73A4A"/>
    <w:rsid w:val="00A73ABD"/>
    <w:rsid w:val="00A74014"/>
    <w:rsid w:val="00A7457A"/>
    <w:rsid w:val="00A74D26"/>
    <w:rsid w:val="00A74D5A"/>
    <w:rsid w:val="00A74DC7"/>
    <w:rsid w:val="00A74E39"/>
    <w:rsid w:val="00A75468"/>
    <w:rsid w:val="00A75B10"/>
    <w:rsid w:val="00A75DCA"/>
    <w:rsid w:val="00A76326"/>
    <w:rsid w:val="00A76B62"/>
    <w:rsid w:val="00A77594"/>
    <w:rsid w:val="00A77F82"/>
    <w:rsid w:val="00A8019F"/>
    <w:rsid w:val="00A80241"/>
    <w:rsid w:val="00A81E75"/>
    <w:rsid w:val="00A82735"/>
    <w:rsid w:val="00A82EFD"/>
    <w:rsid w:val="00A830AD"/>
    <w:rsid w:val="00A830ED"/>
    <w:rsid w:val="00A8355B"/>
    <w:rsid w:val="00A84ABB"/>
    <w:rsid w:val="00A85085"/>
    <w:rsid w:val="00A850BE"/>
    <w:rsid w:val="00A86431"/>
    <w:rsid w:val="00A870ED"/>
    <w:rsid w:val="00A87425"/>
    <w:rsid w:val="00A90299"/>
    <w:rsid w:val="00A90814"/>
    <w:rsid w:val="00A90F60"/>
    <w:rsid w:val="00A91553"/>
    <w:rsid w:val="00A91A76"/>
    <w:rsid w:val="00A91B80"/>
    <w:rsid w:val="00A9349D"/>
    <w:rsid w:val="00A93C83"/>
    <w:rsid w:val="00A949D1"/>
    <w:rsid w:val="00A94CFC"/>
    <w:rsid w:val="00A95097"/>
    <w:rsid w:val="00A9539F"/>
    <w:rsid w:val="00A96326"/>
    <w:rsid w:val="00A97C1B"/>
    <w:rsid w:val="00AA005D"/>
    <w:rsid w:val="00AA0D44"/>
    <w:rsid w:val="00AA10BB"/>
    <w:rsid w:val="00AA2BFD"/>
    <w:rsid w:val="00AA3015"/>
    <w:rsid w:val="00AA3989"/>
    <w:rsid w:val="00AA3B9F"/>
    <w:rsid w:val="00AA4563"/>
    <w:rsid w:val="00AA4788"/>
    <w:rsid w:val="00AA4A58"/>
    <w:rsid w:val="00AA4ACC"/>
    <w:rsid w:val="00AA4CED"/>
    <w:rsid w:val="00AA5590"/>
    <w:rsid w:val="00AA58FF"/>
    <w:rsid w:val="00AA5EC4"/>
    <w:rsid w:val="00AA6B0C"/>
    <w:rsid w:val="00AA6BAB"/>
    <w:rsid w:val="00AA6F86"/>
    <w:rsid w:val="00AA701D"/>
    <w:rsid w:val="00AA7299"/>
    <w:rsid w:val="00AA748C"/>
    <w:rsid w:val="00AB0309"/>
    <w:rsid w:val="00AB0D55"/>
    <w:rsid w:val="00AB20A2"/>
    <w:rsid w:val="00AB218F"/>
    <w:rsid w:val="00AB3934"/>
    <w:rsid w:val="00AB3DEA"/>
    <w:rsid w:val="00AB3E1E"/>
    <w:rsid w:val="00AB41DF"/>
    <w:rsid w:val="00AB4E18"/>
    <w:rsid w:val="00AB5653"/>
    <w:rsid w:val="00AB579D"/>
    <w:rsid w:val="00AB6686"/>
    <w:rsid w:val="00AC029C"/>
    <w:rsid w:val="00AC06DC"/>
    <w:rsid w:val="00AC17AD"/>
    <w:rsid w:val="00AC1AD6"/>
    <w:rsid w:val="00AC1EF3"/>
    <w:rsid w:val="00AC40F5"/>
    <w:rsid w:val="00AC4327"/>
    <w:rsid w:val="00AC447C"/>
    <w:rsid w:val="00AC4976"/>
    <w:rsid w:val="00AC5F58"/>
    <w:rsid w:val="00AC62D3"/>
    <w:rsid w:val="00AC6BAB"/>
    <w:rsid w:val="00AC749B"/>
    <w:rsid w:val="00AC758B"/>
    <w:rsid w:val="00AC76DC"/>
    <w:rsid w:val="00AC7B4F"/>
    <w:rsid w:val="00AD0573"/>
    <w:rsid w:val="00AD0E69"/>
    <w:rsid w:val="00AD10B4"/>
    <w:rsid w:val="00AD1156"/>
    <w:rsid w:val="00AD1A7D"/>
    <w:rsid w:val="00AD1F84"/>
    <w:rsid w:val="00AD20FB"/>
    <w:rsid w:val="00AD245D"/>
    <w:rsid w:val="00AD35A9"/>
    <w:rsid w:val="00AD35D4"/>
    <w:rsid w:val="00AD48F6"/>
    <w:rsid w:val="00AD4F95"/>
    <w:rsid w:val="00AD5960"/>
    <w:rsid w:val="00AD5A34"/>
    <w:rsid w:val="00AD5B83"/>
    <w:rsid w:val="00AD707E"/>
    <w:rsid w:val="00AE043C"/>
    <w:rsid w:val="00AE0B36"/>
    <w:rsid w:val="00AE11E8"/>
    <w:rsid w:val="00AE1A21"/>
    <w:rsid w:val="00AE22BD"/>
    <w:rsid w:val="00AE2B85"/>
    <w:rsid w:val="00AE318F"/>
    <w:rsid w:val="00AE352B"/>
    <w:rsid w:val="00AE4B91"/>
    <w:rsid w:val="00AE51C3"/>
    <w:rsid w:val="00AE5651"/>
    <w:rsid w:val="00AE5862"/>
    <w:rsid w:val="00AE5915"/>
    <w:rsid w:val="00AE5EB8"/>
    <w:rsid w:val="00AE67D1"/>
    <w:rsid w:val="00AE6D48"/>
    <w:rsid w:val="00AE7243"/>
    <w:rsid w:val="00AE786A"/>
    <w:rsid w:val="00AF102F"/>
    <w:rsid w:val="00AF1F23"/>
    <w:rsid w:val="00AF2843"/>
    <w:rsid w:val="00AF28B7"/>
    <w:rsid w:val="00AF2A66"/>
    <w:rsid w:val="00AF2B0E"/>
    <w:rsid w:val="00AF2BE3"/>
    <w:rsid w:val="00AF3172"/>
    <w:rsid w:val="00AF3709"/>
    <w:rsid w:val="00AF4D46"/>
    <w:rsid w:val="00AF508C"/>
    <w:rsid w:val="00AF5D07"/>
    <w:rsid w:val="00AF6C98"/>
    <w:rsid w:val="00AF70DD"/>
    <w:rsid w:val="00B00DE2"/>
    <w:rsid w:val="00B00ECC"/>
    <w:rsid w:val="00B016B4"/>
    <w:rsid w:val="00B016DC"/>
    <w:rsid w:val="00B01ED5"/>
    <w:rsid w:val="00B040EC"/>
    <w:rsid w:val="00B04A38"/>
    <w:rsid w:val="00B05544"/>
    <w:rsid w:val="00B05E2A"/>
    <w:rsid w:val="00B06097"/>
    <w:rsid w:val="00B063F3"/>
    <w:rsid w:val="00B066C4"/>
    <w:rsid w:val="00B07AC8"/>
    <w:rsid w:val="00B101A7"/>
    <w:rsid w:val="00B10325"/>
    <w:rsid w:val="00B10533"/>
    <w:rsid w:val="00B11AA6"/>
    <w:rsid w:val="00B11AF3"/>
    <w:rsid w:val="00B123CF"/>
    <w:rsid w:val="00B12D65"/>
    <w:rsid w:val="00B1384B"/>
    <w:rsid w:val="00B13E8E"/>
    <w:rsid w:val="00B13F80"/>
    <w:rsid w:val="00B1408D"/>
    <w:rsid w:val="00B141A9"/>
    <w:rsid w:val="00B1454A"/>
    <w:rsid w:val="00B15559"/>
    <w:rsid w:val="00B15AEE"/>
    <w:rsid w:val="00B1687E"/>
    <w:rsid w:val="00B16955"/>
    <w:rsid w:val="00B16993"/>
    <w:rsid w:val="00B17053"/>
    <w:rsid w:val="00B17207"/>
    <w:rsid w:val="00B17676"/>
    <w:rsid w:val="00B17BB6"/>
    <w:rsid w:val="00B17C21"/>
    <w:rsid w:val="00B17EF1"/>
    <w:rsid w:val="00B2026C"/>
    <w:rsid w:val="00B20673"/>
    <w:rsid w:val="00B20DC6"/>
    <w:rsid w:val="00B20EB1"/>
    <w:rsid w:val="00B20ED0"/>
    <w:rsid w:val="00B210FE"/>
    <w:rsid w:val="00B21432"/>
    <w:rsid w:val="00B21FE3"/>
    <w:rsid w:val="00B2262B"/>
    <w:rsid w:val="00B226AF"/>
    <w:rsid w:val="00B2295D"/>
    <w:rsid w:val="00B2333D"/>
    <w:rsid w:val="00B25399"/>
    <w:rsid w:val="00B26E06"/>
    <w:rsid w:val="00B3065D"/>
    <w:rsid w:val="00B31024"/>
    <w:rsid w:val="00B31320"/>
    <w:rsid w:val="00B323EE"/>
    <w:rsid w:val="00B33213"/>
    <w:rsid w:val="00B335F6"/>
    <w:rsid w:val="00B3415E"/>
    <w:rsid w:val="00B34F7C"/>
    <w:rsid w:val="00B35097"/>
    <w:rsid w:val="00B3529D"/>
    <w:rsid w:val="00B35585"/>
    <w:rsid w:val="00B356B0"/>
    <w:rsid w:val="00B35AEC"/>
    <w:rsid w:val="00B36066"/>
    <w:rsid w:val="00B36115"/>
    <w:rsid w:val="00B3679E"/>
    <w:rsid w:val="00B4090D"/>
    <w:rsid w:val="00B40997"/>
    <w:rsid w:val="00B41D6D"/>
    <w:rsid w:val="00B42DDE"/>
    <w:rsid w:val="00B432A2"/>
    <w:rsid w:val="00B43F93"/>
    <w:rsid w:val="00B442BF"/>
    <w:rsid w:val="00B44483"/>
    <w:rsid w:val="00B44C75"/>
    <w:rsid w:val="00B45252"/>
    <w:rsid w:val="00B4549C"/>
    <w:rsid w:val="00B4571D"/>
    <w:rsid w:val="00B45A6A"/>
    <w:rsid w:val="00B462EE"/>
    <w:rsid w:val="00B470B6"/>
    <w:rsid w:val="00B4730D"/>
    <w:rsid w:val="00B4762A"/>
    <w:rsid w:val="00B50CC4"/>
    <w:rsid w:val="00B50DFB"/>
    <w:rsid w:val="00B50E73"/>
    <w:rsid w:val="00B51288"/>
    <w:rsid w:val="00B512CC"/>
    <w:rsid w:val="00B5350D"/>
    <w:rsid w:val="00B54A59"/>
    <w:rsid w:val="00B56673"/>
    <w:rsid w:val="00B566C8"/>
    <w:rsid w:val="00B56DA9"/>
    <w:rsid w:val="00B60008"/>
    <w:rsid w:val="00B60B87"/>
    <w:rsid w:val="00B60EA1"/>
    <w:rsid w:val="00B61840"/>
    <w:rsid w:val="00B633FA"/>
    <w:rsid w:val="00B639C6"/>
    <w:rsid w:val="00B63D23"/>
    <w:rsid w:val="00B6444E"/>
    <w:rsid w:val="00B6458E"/>
    <w:rsid w:val="00B645A5"/>
    <w:rsid w:val="00B64D03"/>
    <w:rsid w:val="00B64D2B"/>
    <w:rsid w:val="00B64F3A"/>
    <w:rsid w:val="00B6509C"/>
    <w:rsid w:val="00B65123"/>
    <w:rsid w:val="00B700B7"/>
    <w:rsid w:val="00B72553"/>
    <w:rsid w:val="00B72D1B"/>
    <w:rsid w:val="00B73243"/>
    <w:rsid w:val="00B73587"/>
    <w:rsid w:val="00B741F8"/>
    <w:rsid w:val="00B74A14"/>
    <w:rsid w:val="00B74A54"/>
    <w:rsid w:val="00B75200"/>
    <w:rsid w:val="00B75F1E"/>
    <w:rsid w:val="00B75FE0"/>
    <w:rsid w:val="00B76721"/>
    <w:rsid w:val="00B77E27"/>
    <w:rsid w:val="00B809A8"/>
    <w:rsid w:val="00B817F7"/>
    <w:rsid w:val="00B81CAA"/>
    <w:rsid w:val="00B821B9"/>
    <w:rsid w:val="00B840F8"/>
    <w:rsid w:val="00B85427"/>
    <w:rsid w:val="00B867BD"/>
    <w:rsid w:val="00B86F4D"/>
    <w:rsid w:val="00B8786D"/>
    <w:rsid w:val="00B901BB"/>
    <w:rsid w:val="00B90357"/>
    <w:rsid w:val="00B90797"/>
    <w:rsid w:val="00B91AD1"/>
    <w:rsid w:val="00B9238F"/>
    <w:rsid w:val="00B928FF"/>
    <w:rsid w:val="00B9387B"/>
    <w:rsid w:val="00B93908"/>
    <w:rsid w:val="00B93A85"/>
    <w:rsid w:val="00B93ED8"/>
    <w:rsid w:val="00B93F1C"/>
    <w:rsid w:val="00B944AE"/>
    <w:rsid w:val="00B95121"/>
    <w:rsid w:val="00B95533"/>
    <w:rsid w:val="00B96A2C"/>
    <w:rsid w:val="00B96BC1"/>
    <w:rsid w:val="00B9732A"/>
    <w:rsid w:val="00B97DBA"/>
    <w:rsid w:val="00BA0D57"/>
    <w:rsid w:val="00BA1ADC"/>
    <w:rsid w:val="00BA20A5"/>
    <w:rsid w:val="00BA2517"/>
    <w:rsid w:val="00BA2A31"/>
    <w:rsid w:val="00BA3F4A"/>
    <w:rsid w:val="00BA3FE4"/>
    <w:rsid w:val="00BA565E"/>
    <w:rsid w:val="00BA5681"/>
    <w:rsid w:val="00BA57A5"/>
    <w:rsid w:val="00BA6166"/>
    <w:rsid w:val="00BA6397"/>
    <w:rsid w:val="00BA6659"/>
    <w:rsid w:val="00BA6B63"/>
    <w:rsid w:val="00BA70EA"/>
    <w:rsid w:val="00BA783A"/>
    <w:rsid w:val="00BA7C59"/>
    <w:rsid w:val="00BA7D6E"/>
    <w:rsid w:val="00BB025D"/>
    <w:rsid w:val="00BB06D9"/>
    <w:rsid w:val="00BB078E"/>
    <w:rsid w:val="00BB0A9A"/>
    <w:rsid w:val="00BB19E4"/>
    <w:rsid w:val="00BB1C24"/>
    <w:rsid w:val="00BB225E"/>
    <w:rsid w:val="00BB2685"/>
    <w:rsid w:val="00BB2857"/>
    <w:rsid w:val="00BB29B9"/>
    <w:rsid w:val="00BB29D5"/>
    <w:rsid w:val="00BB2A96"/>
    <w:rsid w:val="00BB3BFD"/>
    <w:rsid w:val="00BB3F11"/>
    <w:rsid w:val="00BB4493"/>
    <w:rsid w:val="00BB4971"/>
    <w:rsid w:val="00BB49DD"/>
    <w:rsid w:val="00BB4EDA"/>
    <w:rsid w:val="00BB5C67"/>
    <w:rsid w:val="00BB6758"/>
    <w:rsid w:val="00BB69D7"/>
    <w:rsid w:val="00BB6A5E"/>
    <w:rsid w:val="00BB6AEB"/>
    <w:rsid w:val="00BB736B"/>
    <w:rsid w:val="00BB7481"/>
    <w:rsid w:val="00BB74E6"/>
    <w:rsid w:val="00BB7613"/>
    <w:rsid w:val="00BB7956"/>
    <w:rsid w:val="00BB7E1D"/>
    <w:rsid w:val="00BC0EF7"/>
    <w:rsid w:val="00BC1E38"/>
    <w:rsid w:val="00BC20E7"/>
    <w:rsid w:val="00BC22BE"/>
    <w:rsid w:val="00BC2EC4"/>
    <w:rsid w:val="00BC3147"/>
    <w:rsid w:val="00BC3627"/>
    <w:rsid w:val="00BC45D2"/>
    <w:rsid w:val="00BC525A"/>
    <w:rsid w:val="00BC555C"/>
    <w:rsid w:val="00BC5DF5"/>
    <w:rsid w:val="00BC62B4"/>
    <w:rsid w:val="00BC6B06"/>
    <w:rsid w:val="00BC6DB1"/>
    <w:rsid w:val="00BC73EF"/>
    <w:rsid w:val="00BC7971"/>
    <w:rsid w:val="00BD08DB"/>
    <w:rsid w:val="00BD1271"/>
    <w:rsid w:val="00BD1447"/>
    <w:rsid w:val="00BD1C6F"/>
    <w:rsid w:val="00BD29BD"/>
    <w:rsid w:val="00BD2B33"/>
    <w:rsid w:val="00BD3F17"/>
    <w:rsid w:val="00BD43D9"/>
    <w:rsid w:val="00BD44FE"/>
    <w:rsid w:val="00BD4755"/>
    <w:rsid w:val="00BD4A75"/>
    <w:rsid w:val="00BD4FCA"/>
    <w:rsid w:val="00BD5756"/>
    <w:rsid w:val="00BD5930"/>
    <w:rsid w:val="00BD6B8D"/>
    <w:rsid w:val="00BE04EC"/>
    <w:rsid w:val="00BE0795"/>
    <w:rsid w:val="00BE07A1"/>
    <w:rsid w:val="00BE0A25"/>
    <w:rsid w:val="00BE0BEC"/>
    <w:rsid w:val="00BE1291"/>
    <w:rsid w:val="00BE1418"/>
    <w:rsid w:val="00BE16E6"/>
    <w:rsid w:val="00BE1B55"/>
    <w:rsid w:val="00BE2862"/>
    <w:rsid w:val="00BE2905"/>
    <w:rsid w:val="00BE2972"/>
    <w:rsid w:val="00BE4437"/>
    <w:rsid w:val="00BE4726"/>
    <w:rsid w:val="00BE4E62"/>
    <w:rsid w:val="00BE5ADA"/>
    <w:rsid w:val="00BE5B85"/>
    <w:rsid w:val="00BE6147"/>
    <w:rsid w:val="00BE62BB"/>
    <w:rsid w:val="00BE69BC"/>
    <w:rsid w:val="00BE6C1D"/>
    <w:rsid w:val="00BE6EE2"/>
    <w:rsid w:val="00BE756C"/>
    <w:rsid w:val="00BE7719"/>
    <w:rsid w:val="00BE78B0"/>
    <w:rsid w:val="00BE78BF"/>
    <w:rsid w:val="00BE7C29"/>
    <w:rsid w:val="00BE7F29"/>
    <w:rsid w:val="00BF02AC"/>
    <w:rsid w:val="00BF04BD"/>
    <w:rsid w:val="00BF0A83"/>
    <w:rsid w:val="00BF10B5"/>
    <w:rsid w:val="00BF10E6"/>
    <w:rsid w:val="00BF1178"/>
    <w:rsid w:val="00BF17EB"/>
    <w:rsid w:val="00BF21CB"/>
    <w:rsid w:val="00BF25FA"/>
    <w:rsid w:val="00BF2FF3"/>
    <w:rsid w:val="00BF3602"/>
    <w:rsid w:val="00BF3672"/>
    <w:rsid w:val="00BF3717"/>
    <w:rsid w:val="00BF3A7B"/>
    <w:rsid w:val="00BF457F"/>
    <w:rsid w:val="00BF4BD6"/>
    <w:rsid w:val="00BF526F"/>
    <w:rsid w:val="00BF586D"/>
    <w:rsid w:val="00BF7B69"/>
    <w:rsid w:val="00BF7FC8"/>
    <w:rsid w:val="00BF7FCC"/>
    <w:rsid w:val="00C00FF8"/>
    <w:rsid w:val="00C0111B"/>
    <w:rsid w:val="00C01294"/>
    <w:rsid w:val="00C01536"/>
    <w:rsid w:val="00C016A7"/>
    <w:rsid w:val="00C01C86"/>
    <w:rsid w:val="00C0337F"/>
    <w:rsid w:val="00C038A9"/>
    <w:rsid w:val="00C04B72"/>
    <w:rsid w:val="00C04F29"/>
    <w:rsid w:val="00C0516C"/>
    <w:rsid w:val="00C056FC"/>
    <w:rsid w:val="00C06291"/>
    <w:rsid w:val="00C0688B"/>
    <w:rsid w:val="00C06968"/>
    <w:rsid w:val="00C076C3"/>
    <w:rsid w:val="00C079B8"/>
    <w:rsid w:val="00C07E4D"/>
    <w:rsid w:val="00C11027"/>
    <w:rsid w:val="00C11117"/>
    <w:rsid w:val="00C1148F"/>
    <w:rsid w:val="00C11C17"/>
    <w:rsid w:val="00C11FE6"/>
    <w:rsid w:val="00C1249E"/>
    <w:rsid w:val="00C1256C"/>
    <w:rsid w:val="00C128C1"/>
    <w:rsid w:val="00C12D17"/>
    <w:rsid w:val="00C13481"/>
    <w:rsid w:val="00C1388D"/>
    <w:rsid w:val="00C14BCB"/>
    <w:rsid w:val="00C151BD"/>
    <w:rsid w:val="00C15B48"/>
    <w:rsid w:val="00C17053"/>
    <w:rsid w:val="00C1749C"/>
    <w:rsid w:val="00C2013A"/>
    <w:rsid w:val="00C2082D"/>
    <w:rsid w:val="00C20DF7"/>
    <w:rsid w:val="00C20F6B"/>
    <w:rsid w:val="00C211A0"/>
    <w:rsid w:val="00C213A1"/>
    <w:rsid w:val="00C2187E"/>
    <w:rsid w:val="00C219F3"/>
    <w:rsid w:val="00C21E80"/>
    <w:rsid w:val="00C2209E"/>
    <w:rsid w:val="00C22583"/>
    <w:rsid w:val="00C225A2"/>
    <w:rsid w:val="00C2268A"/>
    <w:rsid w:val="00C22808"/>
    <w:rsid w:val="00C22C44"/>
    <w:rsid w:val="00C22F91"/>
    <w:rsid w:val="00C23E6F"/>
    <w:rsid w:val="00C24348"/>
    <w:rsid w:val="00C24584"/>
    <w:rsid w:val="00C246A3"/>
    <w:rsid w:val="00C24C25"/>
    <w:rsid w:val="00C25234"/>
    <w:rsid w:val="00C2585A"/>
    <w:rsid w:val="00C25997"/>
    <w:rsid w:val="00C25D2D"/>
    <w:rsid w:val="00C25FC8"/>
    <w:rsid w:val="00C2615A"/>
    <w:rsid w:val="00C262DE"/>
    <w:rsid w:val="00C263E5"/>
    <w:rsid w:val="00C26511"/>
    <w:rsid w:val="00C26788"/>
    <w:rsid w:val="00C26B12"/>
    <w:rsid w:val="00C2780B"/>
    <w:rsid w:val="00C302AA"/>
    <w:rsid w:val="00C304D8"/>
    <w:rsid w:val="00C308D0"/>
    <w:rsid w:val="00C30BD3"/>
    <w:rsid w:val="00C31935"/>
    <w:rsid w:val="00C32C08"/>
    <w:rsid w:val="00C3306A"/>
    <w:rsid w:val="00C330BF"/>
    <w:rsid w:val="00C33780"/>
    <w:rsid w:val="00C33E68"/>
    <w:rsid w:val="00C33F4E"/>
    <w:rsid w:val="00C34B36"/>
    <w:rsid w:val="00C350B9"/>
    <w:rsid w:val="00C36838"/>
    <w:rsid w:val="00C3789D"/>
    <w:rsid w:val="00C402FC"/>
    <w:rsid w:val="00C40548"/>
    <w:rsid w:val="00C40B99"/>
    <w:rsid w:val="00C4128D"/>
    <w:rsid w:val="00C417EE"/>
    <w:rsid w:val="00C41B00"/>
    <w:rsid w:val="00C423A4"/>
    <w:rsid w:val="00C425BE"/>
    <w:rsid w:val="00C43100"/>
    <w:rsid w:val="00C436BB"/>
    <w:rsid w:val="00C43B85"/>
    <w:rsid w:val="00C44821"/>
    <w:rsid w:val="00C4483D"/>
    <w:rsid w:val="00C448F3"/>
    <w:rsid w:val="00C450B1"/>
    <w:rsid w:val="00C45188"/>
    <w:rsid w:val="00C4553C"/>
    <w:rsid w:val="00C458E3"/>
    <w:rsid w:val="00C45B1E"/>
    <w:rsid w:val="00C45E43"/>
    <w:rsid w:val="00C471F0"/>
    <w:rsid w:val="00C4784F"/>
    <w:rsid w:val="00C5094D"/>
    <w:rsid w:val="00C50E99"/>
    <w:rsid w:val="00C5153C"/>
    <w:rsid w:val="00C51AC3"/>
    <w:rsid w:val="00C53BF7"/>
    <w:rsid w:val="00C53E7B"/>
    <w:rsid w:val="00C54B42"/>
    <w:rsid w:val="00C558E3"/>
    <w:rsid w:val="00C55EED"/>
    <w:rsid w:val="00C5618B"/>
    <w:rsid w:val="00C57283"/>
    <w:rsid w:val="00C57911"/>
    <w:rsid w:val="00C57D62"/>
    <w:rsid w:val="00C60141"/>
    <w:rsid w:val="00C604A3"/>
    <w:rsid w:val="00C60EBD"/>
    <w:rsid w:val="00C61EC2"/>
    <w:rsid w:val="00C64E54"/>
    <w:rsid w:val="00C65679"/>
    <w:rsid w:val="00C65C24"/>
    <w:rsid w:val="00C66034"/>
    <w:rsid w:val="00C66267"/>
    <w:rsid w:val="00C662CE"/>
    <w:rsid w:val="00C6648B"/>
    <w:rsid w:val="00C665E2"/>
    <w:rsid w:val="00C66D84"/>
    <w:rsid w:val="00C67B3A"/>
    <w:rsid w:val="00C701AA"/>
    <w:rsid w:val="00C70710"/>
    <w:rsid w:val="00C70FBB"/>
    <w:rsid w:val="00C7125F"/>
    <w:rsid w:val="00C71F57"/>
    <w:rsid w:val="00C722F2"/>
    <w:rsid w:val="00C7237A"/>
    <w:rsid w:val="00C72574"/>
    <w:rsid w:val="00C72999"/>
    <w:rsid w:val="00C72C23"/>
    <w:rsid w:val="00C73282"/>
    <w:rsid w:val="00C737B0"/>
    <w:rsid w:val="00C74068"/>
    <w:rsid w:val="00C757DA"/>
    <w:rsid w:val="00C7605A"/>
    <w:rsid w:val="00C767C1"/>
    <w:rsid w:val="00C7681A"/>
    <w:rsid w:val="00C80FB1"/>
    <w:rsid w:val="00C82D26"/>
    <w:rsid w:val="00C82EB7"/>
    <w:rsid w:val="00C8332C"/>
    <w:rsid w:val="00C8333E"/>
    <w:rsid w:val="00C84040"/>
    <w:rsid w:val="00C847C2"/>
    <w:rsid w:val="00C8498B"/>
    <w:rsid w:val="00C849CE"/>
    <w:rsid w:val="00C84C13"/>
    <w:rsid w:val="00C84F43"/>
    <w:rsid w:val="00C868D4"/>
    <w:rsid w:val="00C86B6C"/>
    <w:rsid w:val="00C90847"/>
    <w:rsid w:val="00C90B21"/>
    <w:rsid w:val="00C90D9B"/>
    <w:rsid w:val="00C90E35"/>
    <w:rsid w:val="00C91158"/>
    <w:rsid w:val="00C912B6"/>
    <w:rsid w:val="00C91380"/>
    <w:rsid w:val="00C91A14"/>
    <w:rsid w:val="00C91A2D"/>
    <w:rsid w:val="00C91B6D"/>
    <w:rsid w:val="00C91B90"/>
    <w:rsid w:val="00C924BB"/>
    <w:rsid w:val="00C924D6"/>
    <w:rsid w:val="00C92B85"/>
    <w:rsid w:val="00C93053"/>
    <w:rsid w:val="00C93591"/>
    <w:rsid w:val="00C94814"/>
    <w:rsid w:val="00C948A2"/>
    <w:rsid w:val="00C94F55"/>
    <w:rsid w:val="00C95D79"/>
    <w:rsid w:val="00C9616F"/>
    <w:rsid w:val="00C96CB9"/>
    <w:rsid w:val="00C97009"/>
    <w:rsid w:val="00C97F83"/>
    <w:rsid w:val="00CA0453"/>
    <w:rsid w:val="00CA0F85"/>
    <w:rsid w:val="00CA121D"/>
    <w:rsid w:val="00CA1A71"/>
    <w:rsid w:val="00CA1B4D"/>
    <w:rsid w:val="00CA28BB"/>
    <w:rsid w:val="00CA2B22"/>
    <w:rsid w:val="00CA37FD"/>
    <w:rsid w:val="00CA41BF"/>
    <w:rsid w:val="00CA4489"/>
    <w:rsid w:val="00CA4FB4"/>
    <w:rsid w:val="00CA5D93"/>
    <w:rsid w:val="00CA5DA7"/>
    <w:rsid w:val="00CA6A49"/>
    <w:rsid w:val="00CA76C3"/>
    <w:rsid w:val="00CB009C"/>
    <w:rsid w:val="00CB19F5"/>
    <w:rsid w:val="00CB21DD"/>
    <w:rsid w:val="00CB2216"/>
    <w:rsid w:val="00CB390C"/>
    <w:rsid w:val="00CB4B00"/>
    <w:rsid w:val="00CB56F4"/>
    <w:rsid w:val="00CB6FC8"/>
    <w:rsid w:val="00CB76B3"/>
    <w:rsid w:val="00CB7EB4"/>
    <w:rsid w:val="00CB7F32"/>
    <w:rsid w:val="00CC1174"/>
    <w:rsid w:val="00CC15E7"/>
    <w:rsid w:val="00CC20A7"/>
    <w:rsid w:val="00CC26D1"/>
    <w:rsid w:val="00CC4758"/>
    <w:rsid w:val="00CC4FEE"/>
    <w:rsid w:val="00CC5D83"/>
    <w:rsid w:val="00CC5F4D"/>
    <w:rsid w:val="00CC658A"/>
    <w:rsid w:val="00CC6B47"/>
    <w:rsid w:val="00CC7001"/>
    <w:rsid w:val="00CC7ADA"/>
    <w:rsid w:val="00CD0763"/>
    <w:rsid w:val="00CD0F84"/>
    <w:rsid w:val="00CD164E"/>
    <w:rsid w:val="00CD21C0"/>
    <w:rsid w:val="00CD282F"/>
    <w:rsid w:val="00CD2C55"/>
    <w:rsid w:val="00CD3540"/>
    <w:rsid w:val="00CD4230"/>
    <w:rsid w:val="00CD47CD"/>
    <w:rsid w:val="00CD50AF"/>
    <w:rsid w:val="00CD5AB9"/>
    <w:rsid w:val="00CD6339"/>
    <w:rsid w:val="00CD6CDA"/>
    <w:rsid w:val="00CD6D35"/>
    <w:rsid w:val="00CD6E1D"/>
    <w:rsid w:val="00CD6F37"/>
    <w:rsid w:val="00CD6FC5"/>
    <w:rsid w:val="00CD7D62"/>
    <w:rsid w:val="00CE0525"/>
    <w:rsid w:val="00CE2152"/>
    <w:rsid w:val="00CE25E6"/>
    <w:rsid w:val="00CE2654"/>
    <w:rsid w:val="00CE280F"/>
    <w:rsid w:val="00CE2B4A"/>
    <w:rsid w:val="00CE3477"/>
    <w:rsid w:val="00CE3BCF"/>
    <w:rsid w:val="00CE42C4"/>
    <w:rsid w:val="00CE436D"/>
    <w:rsid w:val="00CE477D"/>
    <w:rsid w:val="00CE47AC"/>
    <w:rsid w:val="00CE47CE"/>
    <w:rsid w:val="00CE5881"/>
    <w:rsid w:val="00CE67AC"/>
    <w:rsid w:val="00CE76E1"/>
    <w:rsid w:val="00CE7900"/>
    <w:rsid w:val="00CF015A"/>
    <w:rsid w:val="00CF0211"/>
    <w:rsid w:val="00CF09B8"/>
    <w:rsid w:val="00CF0D5E"/>
    <w:rsid w:val="00CF16C7"/>
    <w:rsid w:val="00CF1C0B"/>
    <w:rsid w:val="00CF24B1"/>
    <w:rsid w:val="00CF2732"/>
    <w:rsid w:val="00CF31BB"/>
    <w:rsid w:val="00CF34D1"/>
    <w:rsid w:val="00CF3BF8"/>
    <w:rsid w:val="00CF3FA3"/>
    <w:rsid w:val="00CF4116"/>
    <w:rsid w:val="00CF4CA6"/>
    <w:rsid w:val="00CF52AB"/>
    <w:rsid w:val="00CF54BF"/>
    <w:rsid w:val="00CF5666"/>
    <w:rsid w:val="00CF6335"/>
    <w:rsid w:val="00CF660F"/>
    <w:rsid w:val="00CF6C1E"/>
    <w:rsid w:val="00CF77A5"/>
    <w:rsid w:val="00CF7E97"/>
    <w:rsid w:val="00D002F6"/>
    <w:rsid w:val="00D003A5"/>
    <w:rsid w:val="00D00D48"/>
    <w:rsid w:val="00D00EAC"/>
    <w:rsid w:val="00D01192"/>
    <w:rsid w:val="00D013D4"/>
    <w:rsid w:val="00D01631"/>
    <w:rsid w:val="00D018AB"/>
    <w:rsid w:val="00D0227A"/>
    <w:rsid w:val="00D026DA"/>
    <w:rsid w:val="00D03351"/>
    <w:rsid w:val="00D03E81"/>
    <w:rsid w:val="00D03ECF"/>
    <w:rsid w:val="00D05C3C"/>
    <w:rsid w:val="00D05F7D"/>
    <w:rsid w:val="00D06480"/>
    <w:rsid w:val="00D06777"/>
    <w:rsid w:val="00D06DB1"/>
    <w:rsid w:val="00D10C5D"/>
    <w:rsid w:val="00D10D8D"/>
    <w:rsid w:val="00D11BBA"/>
    <w:rsid w:val="00D120DD"/>
    <w:rsid w:val="00D123EB"/>
    <w:rsid w:val="00D13353"/>
    <w:rsid w:val="00D136F2"/>
    <w:rsid w:val="00D13BCD"/>
    <w:rsid w:val="00D14AA8"/>
    <w:rsid w:val="00D14E3D"/>
    <w:rsid w:val="00D157E5"/>
    <w:rsid w:val="00D15970"/>
    <w:rsid w:val="00D164A7"/>
    <w:rsid w:val="00D1702C"/>
    <w:rsid w:val="00D17046"/>
    <w:rsid w:val="00D173CD"/>
    <w:rsid w:val="00D17FEE"/>
    <w:rsid w:val="00D20BBD"/>
    <w:rsid w:val="00D2154F"/>
    <w:rsid w:val="00D21581"/>
    <w:rsid w:val="00D21663"/>
    <w:rsid w:val="00D21788"/>
    <w:rsid w:val="00D2183B"/>
    <w:rsid w:val="00D2370B"/>
    <w:rsid w:val="00D237B1"/>
    <w:rsid w:val="00D2389C"/>
    <w:rsid w:val="00D23FE5"/>
    <w:rsid w:val="00D2428C"/>
    <w:rsid w:val="00D24A60"/>
    <w:rsid w:val="00D24AC2"/>
    <w:rsid w:val="00D24E37"/>
    <w:rsid w:val="00D2569A"/>
    <w:rsid w:val="00D25C42"/>
    <w:rsid w:val="00D25E84"/>
    <w:rsid w:val="00D26AA4"/>
    <w:rsid w:val="00D2779C"/>
    <w:rsid w:val="00D277D9"/>
    <w:rsid w:val="00D30327"/>
    <w:rsid w:val="00D3047E"/>
    <w:rsid w:val="00D30D0A"/>
    <w:rsid w:val="00D315D1"/>
    <w:rsid w:val="00D31897"/>
    <w:rsid w:val="00D31ABF"/>
    <w:rsid w:val="00D3237D"/>
    <w:rsid w:val="00D32F3A"/>
    <w:rsid w:val="00D33728"/>
    <w:rsid w:val="00D337E9"/>
    <w:rsid w:val="00D342F8"/>
    <w:rsid w:val="00D343CF"/>
    <w:rsid w:val="00D3498B"/>
    <w:rsid w:val="00D35467"/>
    <w:rsid w:val="00D3570B"/>
    <w:rsid w:val="00D35FB9"/>
    <w:rsid w:val="00D36148"/>
    <w:rsid w:val="00D365FA"/>
    <w:rsid w:val="00D367BF"/>
    <w:rsid w:val="00D36E40"/>
    <w:rsid w:val="00D37139"/>
    <w:rsid w:val="00D4037F"/>
    <w:rsid w:val="00D408FF"/>
    <w:rsid w:val="00D40E4E"/>
    <w:rsid w:val="00D41164"/>
    <w:rsid w:val="00D4171D"/>
    <w:rsid w:val="00D418B4"/>
    <w:rsid w:val="00D41AB8"/>
    <w:rsid w:val="00D41AC7"/>
    <w:rsid w:val="00D4224B"/>
    <w:rsid w:val="00D424FB"/>
    <w:rsid w:val="00D4295A"/>
    <w:rsid w:val="00D42A23"/>
    <w:rsid w:val="00D42E57"/>
    <w:rsid w:val="00D43627"/>
    <w:rsid w:val="00D43F4F"/>
    <w:rsid w:val="00D4449D"/>
    <w:rsid w:val="00D44C04"/>
    <w:rsid w:val="00D450C3"/>
    <w:rsid w:val="00D45AA7"/>
    <w:rsid w:val="00D4645A"/>
    <w:rsid w:val="00D464A6"/>
    <w:rsid w:val="00D469E7"/>
    <w:rsid w:val="00D4747B"/>
    <w:rsid w:val="00D477C2"/>
    <w:rsid w:val="00D47A6E"/>
    <w:rsid w:val="00D47FF7"/>
    <w:rsid w:val="00D50137"/>
    <w:rsid w:val="00D5024A"/>
    <w:rsid w:val="00D50252"/>
    <w:rsid w:val="00D5051C"/>
    <w:rsid w:val="00D50CF2"/>
    <w:rsid w:val="00D5213D"/>
    <w:rsid w:val="00D527DC"/>
    <w:rsid w:val="00D53178"/>
    <w:rsid w:val="00D539D8"/>
    <w:rsid w:val="00D546F4"/>
    <w:rsid w:val="00D5660D"/>
    <w:rsid w:val="00D56C99"/>
    <w:rsid w:val="00D577BF"/>
    <w:rsid w:val="00D60748"/>
    <w:rsid w:val="00D61BDC"/>
    <w:rsid w:val="00D61E1A"/>
    <w:rsid w:val="00D625D4"/>
    <w:rsid w:val="00D627FA"/>
    <w:rsid w:val="00D634AB"/>
    <w:rsid w:val="00D6383C"/>
    <w:rsid w:val="00D63CF8"/>
    <w:rsid w:val="00D63F28"/>
    <w:rsid w:val="00D64889"/>
    <w:rsid w:val="00D6553C"/>
    <w:rsid w:val="00D65C0C"/>
    <w:rsid w:val="00D65F40"/>
    <w:rsid w:val="00D66028"/>
    <w:rsid w:val="00D66C57"/>
    <w:rsid w:val="00D70808"/>
    <w:rsid w:val="00D70F74"/>
    <w:rsid w:val="00D71C92"/>
    <w:rsid w:val="00D72131"/>
    <w:rsid w:val="00D724FD"/>
    <w:rsid w:val="00D72AA6"/>
    <w:rsid w:val="00D73639"/>
    <w:rsid w:val="00D7463D"/>
    <w:rsid w:val="00D7513E"/>
    <w:rsid w:val="00D75E55"/>
    <w:rsid w:val="00D75EAA"/>
    <w:rsid w:val="00D769A4"/>
    <w:rsid w:val="00D76B98"/>
    <w:rsid w:val="00D76F2A"/>
    <w:rsid w:val="00D80532"/>
    <w:rsid w:val="00D813C5"/>
    <w:rsid w:val="00D8149B"/>
    <w:rsid w:val="00D8234C"/>
    <w:rsid w:val="00D824A3"/>
    <w:rsid w:val="00D83278"/>
    <w:rsid w:val="00D83919"/>
    <w:rsid w:val="00D83C30"/>
    <w:rsid w:val="00D84100"/>
    <w:rsid w:val="00D841AA"/>
    <w:rsid w:val="00D842F7"/>
    <w:rsid w:val="00D84380"/>
    <w:rsid w:val="00D862C1"/>
    <w:rsid w:val="00D862F0"/>
    <w:rsid w:val="00D863D0"/>
    <w:rsid w:val="00D8674D"/>
    <w:rsid w:val="00D877DF"/>
    <w:rsid w:val="00D87965"/>
    <w:rsid w:val="00D87C20"/>
    <w:rsid w:val="00D9003C"/>
    <w:rsid w:val="00D90608"/>
    <w:rsid w:val="00D9084F"/>
    <w:rsid w:val="00D91C75"/>
    <w:rsid w:val="00D920C2"/>
    <w:rsid w:val="00D92578"/>
    <w:rsid w:val="00D92D1C"/>
    <w:rsid w:val="00D931FF"/>
    <w:rsid w:val="00D93472"/>
    <w:rsid w:val="00D938D0"/>
    <w:rsid w:val="00D95F76"/>
    <w:rsid w:val="00D96248"/>
    <w:rsid w:val="00D9666A"/>
    <w:rsid w:val="00D975E2"/>
    <w:rsid w:val="00D977D2"/>
    <w:rsid w:val="00D97879"/>
    <w:rsid w:val="00D97AE0"/>
    <w:rsid w:val="00DA040E"/>
    <w:rsid w:val="00DA0A59"/>
    <w:rsid w:val="00DA12F3"/>
    <w:rsid w:val="00DA1703"/>
    <w:rsid w:val="00DA2C92"/>
    <w:rsid w:val="00DA3594"/>
    <w:rsid w:val="00DA36E7"/>
    <w:rsid w:val="00DA3758"/>
    <w:rsid w:val="00DA4A90"/>
    <w:rsid w:val="00DA5394"/>
    <w:rsid w:val="00DA5671"/>
    <w:rsid w:val="00DA7732"/>
    <w:rsid w:val="00DA7A0F"/>
    <w:rsid w:val="00DB0679"/>
    <w:rsid w:val="00DB17F7"/>
    <w:rsid w:val="00DB1948"/>
    <w:rsid w:val="00DB1CB7"/>
    <w:rsid w:val="00DB248E"/>
    <w:rsid w:val="00DB333F"/>
    <w:rsid w:val="00DB34A6"/>
    <w:rsid w:val="00DB446E"/>
    <w:rsid w:val="00DB4F03"/>
    <w:rsid w:val="00DB5932"/>
    <w:rsid w:val="00DB5F48"/>
    <w:rsid w:val="00DB69AC"/>
    <w:rsid w:val="00DB69F7"/>
    <w:rsid w:val="00DB78E0"/>
    <w:rsid w:val="00DC115C"/>
    <w:rsid w:val="00DC1D25"/>
    <w:rsid w:val="00DC2061"/>
    <w:rsid w:val="00DC25D6"/>
    <w:rsid w:val="00DC26CE"/>
    <w:rsid w:val="00DC295A"/>
    <w:rsid w:val="00DC2B8C"/>
    <w:rsid w:val="00DC385E"/>
    <w:rsid w:val="00DC3987"/>
    <w:rsid w:val="00DC4B5C"/>
    <w:rsid w:val="00DC57EF"/>
    <w:rsid w:val="00DC57F3"/>
    <w:rsid w:val="00DC5D07"/>
    <w:rsid w:val="00DC6311"/>
    <w:rsid w:val="00DC6603"/>
    <w:rsid w:val="00DC661E"/>
    <w:rsid w:val="00DC7428"/>
    <w:rsid w:val="00DC7708"/>
    <w:rsid w:val="00DC7D43"/>
    <w:rsid w:val="00DD0396"/>
    <w:rsid w:val="00DD0560"/>
    <w:rsid w:val="00DD0921"/>
    <w:rsid w:val="00DD0D20"/>
    <w:rsid w:val="00DD11B8"/>
    <w:rsid w:val="00DD1E12"/>
    <w:rsid w:val="00DD240E"/>
    <w:rsid w:val="00DD379D"/>
    <w:rsid w:val="00DD3BF9"/>
    <w:rsid w:val="00DD3CC1"/>
    <w:rsid w:val="00DD4244"/>
    <w:rsid w:val="00DD4E31"/>
    <w:rsid w:val="00DD5123"/>
    <w:rsid w:val="00DD5602"/>
    <w:rsid w:val="00DD6871"/>
    <w:rsid w:val="00DD6926"/>
    <w:rsid w:val="00DD6B47"/>
    <w:rsid w:val="00DD6C50"/>
    <w:rsid w:val="00DD6FB6"/>
    <w:rsid w:val="00DD7673"/>
    <w:rsid w:val="00DD76A5"/>
    <w:rsid w:val="00DD797C"/>
    <w:rsid w:val="00DE047C"/>
    <w:rsid w:val="00DE09D4"/>
    <w:rsid w:val="00DE1CD8"/>
    <w:rsid w:val="00DE1DB4"/>
    <w:rsid w:val="00DE298E"/>
    <w:rsid w:val="00DE3232"/>
    <w:rsid w:val="00DE3264"/>
    <w:rsid w:val="00DE433E"/>
    <w:rsid w:val="00DE4FB2"/>
    <w:rsid w:val="00DE55BB"/>
    <w:rsid w:val="00DE582F"/>
    <w:rsid w:val="00DE6371"/>
    <w:rsid w:val="00DE652E"/>
    <w:rsid w:val="00DE68AC"/>
    <w:rsid w:val="00DE6B82"/>
    <w:rsid w:val="00DE6EB6"/>
    <w:rsid w:val="00DE7D75"/>
    <w:rsid w:val="00DE7F05"/>
    <w:rsid w:val="00DF0190"/>
    <w:rsid w:val="00DF1318"/>
    <w:rsid w:val="00DF1A3E"/>
    <w:rsid w:val="00DF1AC6"/>
    <w:rsid w:val="00DF1CDB"/>
    <w:rsid w:val="00DF2966"/>
    <w:rsid w:val="00DF2D7C"/>
    <w:rsid w:val="00DF2EB3"/>
    <w:rsid w:val="00DF603F"/>
    <w:rsid w:val="00DF650C"/>
    <w:rsid w:val="00DF68A9"/>
    <w:rsid w:val="00DF719B"/>
    <w:rsid w:val="00DF763A"/>
    <w:rsid w:val="00E00A92"/>
    <w:rsid w:val="00E01685"/>
    <w:rsid w:val="00E017FA"/>
    <w:rsid w:val="00E03CE3"/>
    <w:rsid w:val="00E0414D"/>
    <w:rsid w:val="00E04456"/>
    <w:rsid w:val="00E05089"/>
    <w:rsid w:val="00E05576"/>
    <w:rsid w:val="00E05B41"/>
    <w:rsid w:val="00E05F59"/>
    <w:rsid w:val="00E0680F"/>
    <w:rsid w:val="00E076AA"/>
    <w:rsid w:val="00E07C62"/>
    <w:rsid w:val="00E10267"/>
    <w:rsid w:val="00E1084D"/>
    <w:rsid w:val="00E10CF2"/>
    <w:rsid w:val="00E10DEC"/>
    <w:rsid w:val="00E1116B"/>
    <w:rsid w:val="00E11A1D"/>
    <w:rsid w:val="00E121B0"/>
    <w:rsid w:val="00E124EC"/>
    <w:rsid w:val="00E1257F"/>
    <w:rsid w:val="00E12DD2"/>
    <w:rsid w:val="00E13507"/>
    <w:rsid w:val="00E13933"/>
    <w:rsid w:val="00E139AB"/>
    <w:rsid w:val="00E13BD4"/>
    <w:rsid w:val="00E13DF0"/>
    <w:rsid w:val="00E13F5B"/>
    <w:rsid w:val="00E148D7"/>
    <w:rsid w:val="00E15164"/>
    <w:rsid w:val="00E161D4"/>
    <w:rsid w:val="00E1638D"/>
    <w:rsid w:val="00E167C8"/>
    <w:rsid w:val="00E168CD"/>
    <w:rsid w:val="00E16B26"/>
    <w:rsid w:val="00E17FAD"/>
    <w:rsid w:val="00E20A35"/>
    <w:rsid w:val="00E214DB"/>
    <w:rsid w:val="00E215CE"/>
    <w:rsid w:val="00E21634"/>
    <w:rsid w:val="00E2167B"/>
    <w:rsid w:val="00E21803"/>
    <w:rsid w:val="00E21D30"/>
    <w:rsid w:val="00E21DED"/>
    <w:rsid w:val="00E2411B"/>
    <w:rsid w:val="00E2480B"/>
    <w:rsid w:val="00E25BBB"/>
    <w:rsid w:val="00E25E77"/>
    <w:rsid w:val="00E26704"/>
    <w:rsid w:val="00E26C6D"/>
    <w:rsid w:val="00E27347"/>
    <w:rsid w:val="00E2764E"/>
    <w:rsid w:val="00E27818"/>
    <w:rsid w:val="00E30823"/>
    <w:rsid w:val="00E31098"/>
    <w:rsid w:val="00E33803"/>
    <w:rsid w:val="00E343E3"/>
    <w:rsid w:val="00E347EF"/>
    <w:rsid w:val="00E34B3B"/>
    <w:rsid w:val="00E34C3B"/>
    <w:rsid w:val="00E3530E"/>
    <w:rsid w:val="00E358FF"/>
    <w:rsid w:val="00E35B82"/>
    <w:rsid w:val="00E35CF8"/>
    <w:rsid w:val="00E36336"/>
    <w:rsid w:val="00E3708E"/>
    <w:rsid w:val="00E3741E"/>
    <w:rsid w:val="00E37456"/>
    <w:rsid w:val="00E401DF"/>
    <w:rsid w:val="00E4021E"/>
    <w:rsid w:val="00E40B14"/>
    <w:rsid w:val="00E40B38"/>
    <w:rsid w:val="00E40D76"/>
    <w:rsid w:val="00E41912"/>
    <w:rsid w:val="00E436CC"/>
    <w:rsid w:val="00E43821"/>
    <w:rsid w:val="00E43986"/>
    <w:rsid w:val="00E449DD"/>
    <w:rsid w:val="00E45E8D"/>
    <w:rsid w:val="00E462D0"/>
    <w:rsid w:val="00E46C1E"/>
    <w:rsid w:val="00E46E0F"/>
    <w:rsid w:val="00E47C35"/>
    <w:rsid w:val="00E5099E"/>
    <w:rsid w:val="00E50FDE"/>
    <w:rsid w:val="00E5132F"/>
    <w:rsid w:val="00E517DD"/>
    <w:rsid w:val="00E520FA"/>
    <w:rsid w:val="00E52103"/>
    <w:rsid w:val="00E5213A"/>
    <w:rsid w:val="00E52B1E"/>
    <w:rsid w:val="00E5390A"/>
    <w:rsid w:val="00E54E33"/>
    <w:rsid w:val="00E550CC"/>
    <w:rsid w:val="00E55204"/>
    <w:rsid w:val="00E55637"/>
    <w:rsid w:val="00E558B9"/>
    <w:rsid w:val="00E55905"/>
    <w:rsid w:val="00E55CBA"/>
    <w:rsid w:val="00E56D24"/>
    <w:rsid w:val="00E56F1B"/>
    <w:rsid w:val="00E571AD"/>
    <w:rsid w:val="00E57461"/>
    <w:rsid w:val="00E579DF"/>
    <w:rsid w:val="00E60CF1"/>
    <w:rsid w:val="00E616A5"/>
    <w:rsid w:val="00E6194F"/>
    <w:rsid w:val="00E61E43"/>
    <w:rsid w:val="00E6211B"/>
    <w:rsid w:val="00E63C97"/>
    <w:rsid w:val="00E64221"/>
    <w:rsid w:val="00E64258"/>
    <w:rsid w:val="00E643FA"/>
    <w:rsid w:val="00E64E0E"/>
    <w:rsid w:val="00E6506A"/>
    <w:rsid w:val="00E65251"/>
    <w:rsid w:val="00E6557E"/>
    <w:rsid w:val="00E65587"/>
    <w:rsid w:val="00E65CE1"/>
    <w:rsid w:val="00E67F2D"/>
    <w:rsid w:val="00E700AF"/>
    <w:rsid w:val="00E708DA"/>
    <w:rsid w:val="00E70FB2"/>
    <w:rsid w:val="00E710BA"/>
    <w:rsid w:val="00E715E6"/>
    <w:rsid w:val="00E72233"/>
    <w:rsid w:val="00E72241"/>
    <w:rsid w:val="00E726BA"/>
    <w:rsid w:val="00E726DF"/>
    <w:rsid w:val="00E72EFD"/>
    <w:rsid w:val="00E7318C"/>
    <w:rsid w:val="00E7396B"/>
    <w:rsid w:val="00E739FE"/>
    <w:rsid w:val="00E73C7C"/>
    <w:rsid w:val="00E73CFC"/>
    <w:rsid w:val="00E745E0"/>
    <w:rsid w:val="00E74932"/>
    <w:rsid w:val="00E74F48"/>
    <w:rsid w:val="00E761ED"/>
    <w:rsid w:val="00E76222"/>
    <w:rsid w:val="00E762F5"/>
    <w:rsid w:val="00E7635B"/>
    <w:rsid w:val="00E771DA"/>
    <w:rsid w:val="00E772E6"/>
    <w:rsid w:val="00E82EF0"/>
    <w:rsid w:val="00E8370D"/>
    <w:rsid w:val="00E83716"/>
    <w:rsid w:val="00E837D8"/>
    <w:rsid w:val="00E83B55"/>
    <w:rsid w:val="00E8421D"/>
    <w:rsid w:val="00E851A7"/>
    <w:rsid w:val="00E86261"/>
    <w:rsid w:val="00E86625"/>
    <w:rsid w:val="00E868D5"/>
    <w:rsid w:val="00E86959"/>
    <w:rsid w:val="00E86BD6"/>
    <w:rsid w:val="00E86C62"/>
    <w:rsid w:val="00E87C41"/>
    <w:rsid w:val="00E9005F"/>
    <w:rsid w:val="00E9057E"/>
    <w:rsid w:val="00E90815"/>
    <w:rsid w:val="00E90A7F"/>
    <w:rsid w:val="00E90F73"/>
    <w:rsid w:val="00E915EA"/>
    <w:rsid w:val="00E918A2"/>
    <w:rsid w:val="00E91987"/>
    <w:rsid w:val="00E91F40"/>
    <w:rsid w:val="00E9204A"/>
    <w:rsid w:val="00E92344"/>
    <w:rsid w:val="00E92365"/>
    <w:rsid w:val="00E92471"/>
    <w:rsid w:val="00E928D2"/>
    <w:rsid w:val="00E931C7"/>
    <w:rsid w:val="00E93EFB"/>
    <w:rsid w:val="00E94FE2"/>
    <w:rsid w:val="00E94FF6"/>
    <w:rsid w:val="00E95177"/>
    <w:rsid w:val="00E969FD"/>
    <w:rsid w:val="00E96E3D"/>
    <w:rsid w:val="00EA00E1"/>
    <w:rsid w:val="00EA1315"/>
    <w:rsid w:val="00EA14CF"/>
    <w:rsid w:val="00EA152B"/>
    <w:rsid w:val="00EA1B5E"/>
    <w:rsid w:val="00EA2001"/>
    <w:rsid w:val="00EA2B3D"/>
    <w:rsid w:val="00EA335C"/>
    <w:rsid w:val="00EA3DE5"/>
    <w:rsid w:val="00EA3F04"/>
    <w:rsid w:val="00EA3F18"/>
    <w:rsid w:val="00EA49E7"/>
    <w:rsid w:val="00EA586D"/>
    <w:rsid w:val="00EA5CC4"/>
    <w:rsid w:val="00EA5E08"/>
    <w:rsid w:val="00EA66D3"/>
    <w:rsid w:val="00EA6DD5"/>
    <w:rsid w:val="00EA7381"/>
    <w:rsid w:val="00EA74CA"/>
    <w:rsid w:val="00EA767A"/>
    <w:rsid w:val="00EA7E4F"/>
    <w:rsid w:val="00EB0640"/>
    <w:rsid w:val="00EB0C1F"/>
    <w:rsid w:val="00EB1621"/>
    <w:rsid w:val="00EB1A85"/>
    <w:rsid w:val="00EB1D0D"/>
    <w:rsid w:val="00EB1D5B"/>
    <w:rsid w:val="00EB21E1"/>
    <w:rsid w:val="00EB3294"/>
    <w:rsid w:val="00EB44B5"/>
    <w:rsid w:val="00EB51EA"/>
    <w:rsid w:val="00EB5495"/>
    <w:rsid w:val="00EB55A8"/>
    <w:rsid w:val="00EB662B"/>
    <w:rsid w:val="00EB669A"/>
    <w:rsid w:val="00EB669F"/>
    <w:rsid w:val="00EB7763"/>
    <w:rsid w:val="00EB7DCE"/>
    <w:rsid w:val="00EC01C5"/>
    <w:rsid w:val="00EC0ABF"/>
    <w:rsid w:val="00EC1910"/>
    <w:rsid w:val="00EC23F0"/>
    <w:rsid w:val="00EC248C"/>
    <w:rsid w:val="00EC24E1"/>
    <w:rsid w:val="00EC38A0"/>
    <w:rsid w:val="00EC39EF"/>
    <w:rsid w:val="00EC39FD"/>
    <w:rsid w:val="00EC3E1C"/>
    <w:rsid w:val="00EC5481"/>
    <w:rsid w:val="00EC593E"/>
    <w:rsid w:val="00EC674A"/>
    <w:rsid w:val="00EC6F51"/>
    <w:rsid w:val="00EC7060"/>
    <w:rsid w:val="00EC7467"/>
    <w:rsid w:val="00EC79C3"/>
    <w:rsid w:val="00EC7F01"/>
    <w:rsid w:val="00ED00B5"/>
    <w:rsid w:val="00ED12BC"/>
    <w:rsid w:val="00ED17C4"/>
    <w:rsid w:val="00ED1D52"/>
    <w:rsid w:val="00ED1E51"/>
    <w:rsid w:val="00ED2F85"/>
    <w:rsid w:val="00ED3E46"/>
    <w:rsid w:val="00ED43C1"/>
    <w:rsid w:val="00ED4435"/>
    <w:rsid w:val="00ED4955"/>
    <w:rsid w:val="00ED4BCF"/>
    <w:rsid w:val="00ED4D0D"/>
    <w:rsid w:val="00ED4E1E"/>
    <w:rsid w:val="00ED56C9"/>
    <w:rsid w:val="00ED70C8"/>
    <w:rsid w:val="00ED7A2B"/>
    <w:rsid w:val="00ED7ED2"/>
    <w:rsid w:val="00ED7EED"/>
    <w:rsid w:val="00EE0CE9"/>
    <w:rsid w:val="00EE0EFC"/>
    <w:rsid w:val="00EE0F4D"/>
    <w:rsid w:val="00EE110E"/>
    <w:rsid w:val="00EE1F3A"/>
    <w:rsid w:val="00EE3CD1"/>
    <w:rsid w:val="00EE40AF"/>
    <w:rsid w:val="00EE42EB"/>
    <w:rsid w:val="00EE48E7"/>
    <w:rsid w:val="00EE4AEE"/>
    <w:rsid w:val="00EE505B"/>
    <w:rsid w:val="00EE51CC"/>
    <w:rsid w:val="00EE51E2"/>
    <w:rsid w:val="00EE6274"/>
    <w:rsid w:val="00EE6704"/>
    <w:rsid w:val="00EE6EF0"/>
    <w:rsid w:val="00EE7440"/>
    <w:rsid w:val="00EE7690"/>
    <w:rsid w:val="00EE77F1"/>
    <w:rsid w:val="00EE7C65"/>
    <w:rsid w:val="00EF0ABC"/>
    <w:rsid w:val="00EF0C56"/>
    <w:rsid w:val="00EF16AF"/>
    <w:rsid w:val="00EF1EE0"/>
    <w:rsid w:val="00EF2B78"/>
    <w:rsid w:val="00EF2DAA"/>
    <w:rsid w:val="00EF31F9"/>
    <w:rsid w:val="00EF4036"/>
    <w:rsid w:val="00EF43CE"/>
    <w:rsid w:val="00EF4618"/>
    <w:rsid w:val="00EF4A10"/>
    <w:rsid w:val="00EF4CF3"/>
    <w:rsid w:val="00EF543B"/>
    <w:rsid w:val="00EF554C"/>
    <w:rsid w:val="00EF568A"/>
    <w:rsid w:val="00EF6143"/>
    <w:rsid w:val="00EF6454"/>
    <w:rsid w:val="00EF6824"/>
    <w:rsid w:val="00EF69E7"/>
    <w:rsid w:val="00EF7304"/>
    <w:rsid w:val="00EF7463"/>
    <w:rsid w:val="00EF7E7F"/>
    <w:rsid w:val="00EF7F82"/>
    <w:rsid w:val="00F00043"/>
    <w:rsid w:val="00F003D4"/>
    <w:rsid w:val="00F0061F"/>
    <w:rsid w:val="00F00D00"/>
    <w:rsid w:val="00F00F3A"/>
    <w:rsid w:val="00F01C6D"/>
    <w:rsid w:val="00F02033"/>
    <w:rsid w:val="00F02669"/>
    <w:rsid w:val="00F02B74"/>
    <w:rsid w:val="00F02C48"/>
    <w:rsid w:val="00F02E4D"/>
    <w:rsid w:val="00F03546"/>
    <w:rsid w:val="00F039EA"/>
    <w:rsid w:val="00F0452B"/>
    <w:rsid w:val="00F052E0"/>
    <w:rsid w:val="00F060C1"/>
    <w:rsid w:val="00F0618C"/>
    <w:rsid w:val="00F06793"/>
    <w:rsid w:val="00F06ADB"/>
    <w:rsid w:val="00F06B43"/>
    <w:rsid w:val="00F07133"/>
    <w:rsid w:val="00F0720F"/>
    <w:rsid w:val="00F07C5A"/>
    <w:rsid w:val="00F07F7F"/>
    <w:rsid w:val="00F103B3"/>
    <w:rsid w:val="00F11883"/>
    <w:rsid w:val="00F122BD"/>
    <w:rsid w:val="00F125BD"/>
    <w:rsid w:val="00F13199"/>
    <w:rsid w:val="00F133D1"/>
    <w:rsid w:val="00F13D92"/>
    <w:rsid w:val="00F140D6"/>
    <w:rsid w:val="00F14247"/>
    <w:rsid w:val="00F14255"/>
    <w:rsid w:val="00F14965"/>
    <w:rsid w:val="00F14B6D"/>
    <w:rsid w:val="00F14BAB"/>
    <w:rsid w:val="00F15528"/>
    <w:rsid w:val="00F16573"/>
    <w:rsid w:val="00F16D6E"/>
    <w:rsid w:val="00F17DA3"/>
    <w:rsid w:val="00F21036"/>
    <w:rsid w:val="00F2140A"/>
    <w:rsid w:val="00F22102"/>
    <w:rsid w:val="00F22B79"/>
    <w:rsid w:val="00F22FEF"/>
    <w:rsid w:val="00F235EB"/>
    <w:rsid w:val="00F24183"/>
    <w:rsid w:val="00F24ED7"/>
    <w:rsid w:val="00F24F47"/>
    <w:rsid w:val="00F257E4"/>
    <w:rsid w:val="00F27203"/>
    <w:rsid w:val="00F2757E"/>
    <w:rsid w:val="00F27B6E"/>
    <w:rsid w:val="00F27C2F"/>
    <w:rsid w:val="00F27E83"/>
    <w:rsid w:val="00F303AB"/>
    <w:rsid w:val="00F31586"/>
    <w:rsid w:val="00F3229F"/>
    <w:rsid w:val="00F3234D"/>
    <w:rsid w:val="00F32937"/>
    <w:rsid w:val="00F33A4B"/>
    <w:rsid w:val="00F343CD"/>
    <w:rsid w:val="00F359E5"/>
    <w:rsid w:val="00F37521"/>
    <w:rsid w:val="00F377EA"/>
    <w:rsid w:val="00F404A2"/>
    <w:rsid w:val="00F406E3"/>
    <w:rsid w:val="00F40870"/>
    <w:rsid w:val="00F40AF5"/>
    <w:rsid w:val="00F40BFC"/>
    <w:rsid w:val="00F41964"/>
    <w:rsid w:val="00F41A5A"/>
    <w:rsid w:val="00F41AA3"/>
    <w:rsid w:val="00F41CA3"/>
    <w:rsid w:val="00F41E44"/>
    <w:rsid w:val="00F425C6"/>
    <w:rsid w:val="00F426B4"/>
    <w:rsid w:val="00F42A7D"/>
    <w:rsid w:val="00F438AC"/>
    <w:rsid w:val="00F44B99"/>
    <w:rsid w:val="00F46560"/>
    <w:rsid w:val="00F465D5"/>
    <w:rsid w:val="00F507EE"/>
    <w:rsid w:val="00F5085C"/>
    <w:rsid w:val="00F50A97"/>
    <w:rsid w:val="00F51557"/>
    <w:rsid w:val="00F51684"/>
    <w:rsid w:val="00F51BBC"/>
    <w:rsid w:val="00F5241B"/>
    <w:rsid w:val="00F525E6"/>
    <w:rsid w:val="00F5333B"/>
    <w:rsid w:val="00F53879"/>
    <w:rsid w:val="00F53A2C"/>
    <w:rsid w:val="00F54798"/>
    <w:rsid w:val="00F5515C"/>
    <w:rsid w:val="00F55E59"/>
    <w:rsid w:val="00F57DC6"/>
    <w:rsid w:val="00F57ED0"/>
    <w:rsid w:val="00F6019A"/>
    <w:rsid w:val="00F6069F"/>
    <w:rsid w:val="00F6093B"/>
    <w:rsid w:val="00F61D10"/>
    <w:rsid w:val="00F6224F"/>
    <w:rsid w:val="00F6235D"/>
    <w:rsid w:val="00F641BA"/>
    <w:rsid w:val="00F648BD"/>
    <w:rsid w:val="00F65179"/>
    <w:rsid w:val="00F655F5"/>
    <w:rsid w:val="00F65A8D"/>
    <w:rsid w:val="00F65F03"/>
    <w:rsid w:val="00F665BC"/>
    <w:rsid w:val="00F66B5B"/>
    <w:rsid w:val="00F66DE7"/>
    <w:rsid w:val="00F6755D"/>
    <w:rsid w:val="00F675DA"/>
    <w:rsid w:val="00F677BE"/>
    <w:rsid w:val="00F67D72"/>
    <w:rsid w:val="00F70EEB"/>
    <w:rsid w:val="00F7142F"/>
    <w:rsid w:val="00F71564"/>
    <w:rsid w:val="00F715B1"/>
    <w:rsid w:val="00F71886"/>
    <w:rsid w:val="00F71FDD"/>
    <w:rsid w:val="00F724A1"/>
    <w:rsid w:val="00F72AA0"/>
    <w:rsid w:val="00F72DC7"/>
    <w:rsid w:val="00F74683"/>
    <w:rsid w:val="00F74AD8"/>
    <w:rsid w:val="00F75439"/>
    <w:rsid w:val="00F75860"/>
    <w:rsid w:val="00F75AB1"/>
    <w:rsid w:val="00F7697B"/>
    <w:rsid w:val="00F76FEE"/>
    <w:rsid w:val="00F774EE"/>
    <w:rsid w:val="00F77CAD"/>
    <w:rsid w:val="00F81347"/>
    <w:rsid w:val="00F8175E"/>
    <w:rsid w:val="00F82F1C"/>
    <w:rsid w:val="00F83F60"/>
    <w:rsid w:val="00F841D7"/>
    <w:rsid w:val="00F84E22"/>
    <w:rsid w:val="00F84EBE"/>
    <w:rsid w:val="00F84F27"/>
    <w:rsid w:val="00F854FE"/>
    <w:rsid w:val="00F86C59"/>
    <w:rsid w:val="00F86C83"/>
    <w:rsid w:val="00F8746A"/>
    <w:rsid w:val="00F90026"/>
    <w:rsid w:val="00F901AD"/>
    <w:rsid w:val="00F9082E"/>
    <w:rsid w:val="00F91152"/>
    <w:rsid w:val="00F9139A"/>
    <w:rsid w:val="00F9211B"/>
    <w:rsid w:val="00F9347E"/>
    <w:rsid w:val="00F935B5"/>
    <w:rsid w:val="00F93D04"/>
    <w:rsid w:val="00F9490D"/>
    <w:rsid w:val="00F95049"/>
    <w:rsid w:val="00F951F8"/>
    <w:rsid w:val="00F955A3"/>
    <w:rsid w:val="00F95ACB"/>
    <w:rsid w:val="00F9617B"/>
    <w:rsid w:val="00F97C64"/>
    <w:rsid w:val="00FA04BC"/>
    <w:rsid w:val="00FA052B"/>
    <w:rsid w:val="00FA110A"/>
    <w:rsid w:val="00FA2654"/>
    <w:rsid w:val="00FA2A66"/>
    <w:rsid w:val="00FA2FA6"/>
    <w:rsid w:val="00FA31F8"/>
    <w:rsid w:val="00FA3375"/>
    <w:rsid w:val="00FA3790"/>
    <w:rsid w:val="00FA384E"/>
    <w:rsid w:val="00FA3887"/>
    <w:rsid w:val="00FA38C9"/>
    <w:rsid w:val="00FA38E7"/>
    <w:rsid w:val="00FA3989"/>
    <w:rsid w:val="00FA3993"/>
    <w:rsid w:val="00FA39BB"/>
    <w:rsid w:val="00FA4BE4"/>
    <w:rsid w:val="00FA4C4F"/>
    <w:rsid w:val="00FA518F"/>
    <w:rsid w:val="00FA52B3"/>
    <w:rsid w:val="00FA52DF"/>
    <w:rsid w:val="00FA5ECB"/>
    <w:rsid w:val="00FA62A9"/>
    <w:rsid w:val="00FA6415"/>
    <w:rsid w:val="00FA6FBB"/>
    <w:rsid w:val="00FA6FDB"/>
    <w:rsid w:val="00FA7307"/>
    <w:rsid w:val="00FA7AB9"/>
    <w:rsid w:val="00FA7F35"/>
    <w:rsid w:val="00FB06E2"/>
    <w:rsid w:val="00FB0747"/>
    <w:rsid w:val="00FB0942"/>
    <w:rsid w:val="00FB1375"/>
    <w:rsid w:val="00FB1660"/>
    <w:rsid w:val="00FB1B0F"/>
    <w:rsid w:val="00FB1DD0"/>
    <w:rsid w:val="00FB21F9"/>
    <w:rsid w:val="00FB2680"/>
    <w:rsid w:val="00FB2EEE"/>
    <w:rsid w:val="00FB411C"/>
    <w:rsid w:val="00FB4209"/>
    <w:rsid w:val="00FB44E3"/>
    <w:rsid w:val="00FB457F"/>
    <w:rsid w:val="00FB6C6A"/>
    <w:rsid w:val="00FB6ED6"/>
    <w:rsid w:val="00FB741E"/>
    <w:rsid w:val="00FB7695"/>
    <w:rsid w:val="00FC0F56"/>
    <w:rsid w:val="00FC16AD"/>
    <w:rsid w:val="00FC2711"/>
    <w:rsid w:val="00FC27C4"/>
    <w:rsid w:val="00FC3687"/>
    <w:rsid w:val="00FC3B25"/>
    <w:rsid w:val="00FC46CD"/>
    <w:rsid w:val="00FC56B7"/>
    <w:rsid w:val="00FC577A"/>
    <w:rsid w:val="00FC5801"/>
    <w:rsid w:val="00FC64C8"/>
    <w:rsid w:val="00FC6D39"/>
    <w:rsid w:val="00FD0071"/>
    <w:rsid w:val="00FD028F"/>
    <w:rsid w:val="00FD0994"/>
    <w:rsid w:val="00FD0A73"/>
    <w:rsid w:val="00FD27B2"/>
    <w:rsid w:val="00FD33CA"/>
    <w:rsid w:val="00FD3679"/>
    <w:rsid w:val="00FD3D44"/>
    <w:rsid w:val="00FD40D8"/>
    <w:rsid w:val="00FD4CB1"/>
    <w:rsid w:val="00FD507C"/>
    <w:rsid w:val="00FD50A8"/>
    <w:rsid w:val="00FD5388"/>
    <w:rsid w:val="00FD55D7"/>
    <w:rsid w:val="00FD573C"/>
    <w:rsid w:val="00FD5D16"/>
    <w:rsid w:val="00FD66E5"/>
    <w:rsid w:val="00FD6706"/>
    <w:rsid w:val="00FD70D9"/>
    <w:rsid w:val="00FD792F"/>
    <w:rsid w:val="00FD7DF9"/>
    <w:rsid w:val="00FE0B6E"/>
    <w:rsid w:val="00FE0BAC"/>
    <w:rsid w:val="00FE1B40"/>
    <w:rsid w:val="00FE275B"/>
    <w:rsid w:val="00FE3195"/>
    <w:rsid w:val="00FE3616"/>
    <w:rsid w:val="00FE36A7"/>
    <w:rsid w:val="00FE4061"/>
    <w:rsid w:val="00FE44B4"/>
    <w:rsid w:val="00FE4533"/>
    <w:rsid w:val="00FE4C39"/>
    <w:rsid w:val="00FE4E4F"/>
    <w:rsid w:val="00FE4E70"/>
    <w:rsid w:val="00FE712F"/>
    <w:rsid w:val="00FE7E5A"/>
    <w:rsid w:val="00FF04B2"/>
    <w:rsid w:val="00FF0AA2"/>
    <w:rsid w:val="00FF0B52"/>
    <w:rsid w:val="00FF18BB"/>
    <w:rsid w:val="00FF1D1C"/>
    <w:rsid w:val="00FF2D74"/>
    <w:rsid w:val="00FF2F33"/>
    <w:rsid w:val="00FF4236"/>
    <w:rsid w:val="00FF470F"/>
    <w:rsid w:val="00FF4B1B"/>
    <w:rsid w:val="00FF539B"/>
    <w:rsid w:val="00FF58D2"/>
    <w:rsid w:val="00FF5AD8"/>
    <w:rsid w:val="00FF5AF0"/>
    <w:rsid w:val="00FF5DB1"/>
    <w:rsid w:val="00FF5E1C"/>
    <w:rsid w:val="00FF5FCE"/>
    <w:rsid w:val="00FF6C76"/>
    <w:rsid w:val="00FF6CE2"/>
    <w:rsid w:val="00FF6FB3"/>
    <w:rsid w:val="00FF7F3D"/>
    <w:rsid w:val="0E3A9AA5"/>
    <w:rsid w:val="52B65C42"/>
    <w:rsid w:val="5A3164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435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12"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8A6"/>
    <w:pPr>
      <w:spacing w:before="120" w:after="240"/>
      <w:jc w:val="both"/>
    </w:pPr>
    <w:rPr>
      <w:rFonts w:cstheme="minorHAnsi"/>
    </w:rPr>
  </w:style>
  <w:style w:type="paragraph" w:styleId="Heading1">
    <w:name w:val="heading 1"/>
    <w:basedOn w:val="Normal"/>
    <w:next w:val="Normal"/>
    <w:link w:val="Heading1Char"/>
    <w:uiPriority w:val="6"/>
    <w:qFormat/>
    <w:rsid w:val="00BE78BF"/>
    <w:pPr>
      <w:keepNext/>
      <w:keepLines/>
      <w:numPr>
        <w:numId w:val="10"/>
      </w:numPr>
      <w:spacing w:before="240"/>
      <w:outlineLvl w:val="0"/>
    </w:pPr>
    <w:rPr>
      <w:rFonts w:asciiTheme="majorHAnsi" w:eastAsiaTheme="majorEastAsia" w:hAnsiTheme="majorHAnsi" w:cstheme="majorHAnsi"/>
      <w:b/>
      <w:caps/>
      <w:color w:val="002060"/>
      <w:sz w:val="40"/>
      <w:szCs w:val="44"/>
      <w:lang w:val="en-US"/>
    </w:rPr>
  </w:style>
  <w:style w:type="paragraph" w:styleId="Heading2">
    <w:name w:val="heading 2"/>
    <w:basedOn w:val="Heading1"/>
    <w:next w:val="Normal"/>
    <w:link w:val="Heading2Char"/>
    <w:uiPriority w:val="6"/>
    <w:qFormat/>
    <w:rsid w:val="00EA767A"/>
    <w:pPr>
      <w:numPr>
        <w:ilvl w:val="1"/>
      </w:numPr>
      <w:spacing w:before="360" w:after="120"/>
      <w:outlineLvl w:val="1"/>
    </w:pPr>
    <w:rPr>
      <w:caps w:val="0"/>
      <w:sz w:val="32"/>
      <w:szCs w:val="36"/>
    </w:rPr>
  </w:style>
  <w:style w:type="paragraph" w:styleId="Heading3">
    <w:name w:val="heading 3"/>
    <w:basedOn w:val="Heading1"/>
    <w:next w:val="Normal"/>
    <w:link w:val="Heading3Char"/>
    <w:uiPriority w:val="6"/>
    <w:qFormat/>
    <w:rsid w:val="001972F5"/>
    <w:pPr>
      <w:numPr>
        <w:numId w:val="0"/>
      </w:numPr>
      <w:spacing w:after="120"/>
      <w:outlineLvl w:val="2"/>
    </w:pPr>
    <w:rPr>
      <w:b w:val="0"/>
      <w:i/>
      <w:caps w:val="0"/>
      <w:color w:val="1B2C55"/>
      <w:kern w:val="28"/>
      <w:sz w:val="28"/>
      <w:szCs w:val="30"/>
    </w:rPr>
  </w:style>
  <w:style w:type="paragraph" w:styleId="Heading4">
    <w:name w:val="heading 4"/>
    <w:basedOn w:val="Normal"/>
    <w:next w:val="Normal"/>
    <w:link w:val="Heading4Char"/>
    <w:uiPriority w:val="6"/>
    <w:semiHidden/>
    <w:rsid w:val="005B686B"/>
    <w:pPr>
      <w:numPr>
        <w:ilvl w:val="3"/>
        <w:numId w:val="10"/>
      </w:numPr>
      <w:spacing w:before="240" w:after="0" w:line="288" w:lineRule="auto"/>
      <w:jc w:val="left"/>
      <w:outlineLvl w:val="3"/>
    </w:pPr>
    <w:rPr>
      <w:rFonts w:eastAsia="Times New Roman" w:cs="Arial"/>
      <w:b/>
      <w:u w:val="single"/>
      <w:lang w:val="en-US"/>
    </w:rPr>
  </w:style>
  <w:style w:type="paragraph" w:styleId="Heading5">
    <w:name w:val="heading 5"/>
    <w:basedOn w:val="Normal"/>
    <w:next w:val="Normal"/>
    <w:link w:val="Heading5Char"/>
    <w:uiPriority w:val="9"/>
    <w:semiHidden/>
    <w:qFormat/>
    <w:rsid w:val="005B686B"/>
    <w:pPr>
      <w:numPr>
        <w:ilvl w:val="4"/>
        <w:numId w:val="10"/>
      </w:numPr>
      <w:spacing w:before="200" w:after="0" w:line="288" w:lineRule="auto"/>
      <w:outlineLvl w:val="4"/>
    </w:pPr>
    <w:rPr>
      <w:rFonts w:eastAsiaTheme="minorEastAsia"/>
      <w:smallCaps/>
      <w:color w:val="7C7C7C" w:themeColor="accent2" w:themeShade="BF"/>
      <w:spacing w:val="10"/>
      <w:szCs w:val="26"/>
      <w:lang w:val="en-US"/>
    </w:rPr>
  </w:style>
  <w:style w:type="paragraph" w:styleId="Heading6">
    <w:name w:val="heading 6"/>
    <w:basedOn w:val="Normal"/>
    <w:next w:val="Normal"/>
    <w:link w:val="Heading6Char"/>
    <w:uiPriority w:val="9"/>
    <w:semiHidden/>
    <w:qFormat/>
    <w:rsid w:val="005B686B"/>
    <w:pPr>
      <w:numPr>
        <w:ilvl w:val="5"/>
        <w:numId w:val="10"/>
      </w:numPr>
      <w:spacing w:before="60" w:after="0" w:line="288" w:lineRule="auto"/>
      <w:outlineLvl w:val="5"/>
    </w:pPr>
    <w:rPr>
      <w:rFonts w:eastAsiaTheme="minorEastAsia"/>
      <w:smallCaps/>
      <w:color w:val="A6A6A6" w:themeColor="accent2"/>
      <w:spacing w:val="5"/>
      <w:szCs w:val="20"/>
      <w:lang w:val="en-US"/>
    </w:rPr>
  </w:style>
  <w:style w:type="paragraph" w:styleId="Heading7">
    <w:name w:val="heading 7"/>
    <w:basedOn w:val="Normal"/>
    <w:next w:val="Normal"/>
    <w:link w:val="Heading7Char"/>
    <w:uiPriority w:val="9"/>
    <w:semiHidden/>
    <w:qFormat/>
    <w:rsid w:val="005B686B"/>
    <w:pPr>
      <w:numPr>
        <w:ilvl w:val="6"/>
        <w:numId w:val="10"/>
      </w:numPr>
      <w:spacing w:before="60" w:after="0" w:line="288" w:lineRule="auto"/>
      <w:outlineLvl w:val="6"/>
    </w:pPr>
    <w:rPr>
      <w:rFonts w:eastAsiaTheme="minorEastAsia"/>
      <w:b/>
      <w:smallCaps/>
      <w:color w:val="A6A6A6" w:themeColor="accent2"/>
      <w:spacing w:val="10"/>
      <w:sz w:val="20"/>
      <w:szCs w:val="20"/>
      <w:lang w:val="en-US"/>
    </w:rPr>
  </w:style>
  <w:style w:type="paragraph" w:styleId="Heading8">
    <w:name w:val="heading 8"/>
    <w:basedOn w:val="Normal"/>
    <w:next w:val="Normal"/>
    <w:link w:val="Heading8Char"/>
    <w:uiPriority w:val="9"/>
    <w:semiHidden/>
    <w:qFormat/>
    <w:rsid w:val="005B686B"/>
    <w:pPr>
      <w:numPr>
        <w:ilvl w:val="7"/>
        <w:numId w:val="10"/>
      </w:numPr>
      <w:spacing w:before="60" w:after="0" w:line="288" w:lineRule="auto"/>
      <w:outlineLvl w:val="7"/>
    </w:pPr>
    <w:rPr>
      <w:rFonts w:eastAsiaTheme="minorEastAsia"/>
      <w:b/>
      <w:i/>
      <w:smallCaps/>
      <w:color w:val="7C7C7C" w:themeColor="accent2" w:themeShade="BF"/>
      <w:sz w:val="20"/>
      <w:szCs w:val="20"/>
      <w:lang w:val="en-US"/>
    </w:rPr>
  </w:style>
  <w:style w:type="paragraph" w:styleId="Heading9">
    <w:name w:val="heading 9"/>
    <w:basedOn w:val="Normal"/>
    <w:next w:val="Normal"/>
    <w:link w:val="Heading9Char"/>
    <w:uiPriority w:val="9"/>
    <w:semiHidden/>
    <w:qFormat/>
    <w:rsid w:val="005B686B"/>
    <w:pPr>
      <w:numPr>
        <w:ilvl w:val="8"/>
        <w:numId w:val="10"/>
      </w:numPr>
      <w:spacing w:before="60" w:after="0" w:line="288" w:lineRule="auto"/>
      <w:outlineLvl w:val="8"/>
    </w:pPr>
    <w:rPr>
      <w:rFonts w:eastAsiaTheme="minorEastAsia"/>
      <w:b/>
      <w:i/>
      <w:smallCaps/>
      <w:color w:val="525252" w:themeColor="accent2" w:themeShade="7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FP GP Bulleted List,Recommendation,List Paragraph1,List_Paragraph,Multilevel para_II,List Paragraph (numbered (a)),References,Colorful List - Accent 11,List Paragraph11,Bulleted Para,CV text,Dot pt,F5 List Paragraph,FooterText,L,numbered"/>
    <w:basedOn w:val="Normal"/>
    <w:link w:val="ListParagraphChar"/>
    <w:uiPriority w:val="34"/>
    <w:qFormat/>
    <w:rsid w:val="005B686B"/>
    <w:pPr>
      <w:ind w:left="720"/>
      <w:contextualSpacing/>
    </w:pPr>
  </w:style>
  <w:style w:type="character" w:customStyle="1" w:styleId="Heading2Char">
    <w:name w:val="Heading 2 Char"/>
    <w:basedOn w:val="DefaultParagraphFont"/>
    <w:link w:val="Heading2"/>
    <w:uiPriority w:val="6"/>
    <w:rsid w:val="00EA767A"/>
    <w:rPr>
      <w:rFonts w:asciiTheme="majorHAnsi" w:eastAsiaTheme="majorEastAsia" w:hAnsiTheme="majorHAnsi" w:cstheme="majorHAnsi"/>
      <w:b/>
      <w:color w:val="002060"/>
      <w:sz w:val="32"/>
      <w:szCs w:val="36"/>
      <w:lang w:val="en-US"/>
    </w:rPr>
  </w:style>
  <w:style w:type="character" w:customStyle="1" w:styleId="Heading1Char">
    <w:name w:val="Heading 1 Char"/>
    <w:basedOn w:val="DefaultParagraphFont"/>
    <w:link w:val="Heading1"/>
    <w:uiPriority w:val="6"/>
    <w:rsid w:val="00BE78BF"/>
    <w:rPr>
      <w:rFonts w:asciiTheme="majorHAnsi" w:eastAsiaTheme="majorEastAsia" w:hAnsiTheme="majorHAnsi" w:cstheme="majorHAnsi"/>
      <w:b/>
      <w:caps/>
      <w:color w:val="002060"/>
      <w:sz w:val="40"/>
      <w:szCs w:val="44"/>
      <w:lang w:val="en-US"/>
    </w:rPr>
  </w:style>
  <w:style w:type="paragraph" w:styleId="BalloonText">
    <w:name w:val="Balloon Text"/>
    <w:basedOn w:val="Normal"/>
    <w:link w:val="BalloonTextChar"/>
    <w:uiPriority w:val="99"/>
    <w:semiHidden/>
    <w:rsid w:val="005B686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86B"/>
    <w:rPr>
      <w:rFonts w:ascii="Segoe UI" w:hAnsi="Segoe UI" w:cs="Segoe UI"/>
      <w:sz w:val="18"/>
      <w:szCs w:val="18"/>
    </w:rPr>
  </w:style>
  <w:style w:type="character" w:styleId="CommentReference">
    <w:name w:val="annotation reference"/>
    <w:basedOn w:val="DefaultParagraphFont"/>
    <w:semiHidden/>
    <w:rsid w:val="005B686B"/>
    <w:rPr>
      <w:sz w:val="16"/>
      <w:szCs w:val="16"/>
    </w:rPr>
  </w:style>
  <w:style w:type="paragraph" w:styleId="CommentText">
    <w:name w:val="annotation text"/>
    <w:basedOn w:val="Normal"/>
    <w:link w:val="CommentTextChar"/>
    <w:semiHidden/>
    <w:rsid w:val="005B686B"/>
    <w:pPr>
      <w:spacing w:line="240" w:lineRule="auto"/>
    </w:pPr>
    <w:rPr>
      <w:sz w:val="20"/>
      <w:szCs w:val="20"/>
    </w:rPr>
  </w:style>
  <w:style w:type="character" w:customStyle="1" w:styleId="CommentTextChar">
    <w:name w:val="Comment Text Char"/>
    <w:basedOn w:val="DefaultParagraphFont"/>
    <w:link w:val="CommentText"/>
    <w:semiHidden/>
    <w:rsid w:val="005B686B"/>
    <w:rPr>
      <w:rFonts w:cstheme="minorHAnsi"/>
      <w:sz w:val="20"/>
      <w:szCs w:val="20"/>
    </w:rPr>
  </w:style>
  <w:style w:type="paragraph" w:styleId="CommentSubject">
    <w:name w:val="annotation subject"/>
    <w:basedOn w:val="CommentText"/>
    <w:next w:val="CommentText"/>
    <w:link w:val="CommentSubjectChar"/>
    <w:uiPriority w:val="99"/>
    <w:semiHidden/>
    <w:rsid w:val="005B686B"/>
    <w:rPr>
      <w:b/>
      <w:bCs/>
    </w:rPr>
  </w:style>
  <w:style w:type="character" w:customStyle="1" w:styleId="CommentSubjectChar">
    <w:name w:val="Comment Subject Char"/>
    <w:basedOn w:val="CommentTextChar"/>
    <w:link w:val="CommentSubject"/>
    <w:uiPriority w:val="99"/>
    <w:semiHidden/>
    <w:rsid w:val="005B686B"/>
    <w:rPr>
      <w:rFonts w:cstheme="minorHAnsi"/>
      <w:b/>
      <w:bCs/>
      <w:sz w:val="20"/>
      <w:szCs w:val="20"/>
    </w:rPr>
  </w:style>
  <w:style w:type="paragraph" w:styleId="Revision">
    <w:name w:val="Revision"/>
    <w:hidden/>
    <w:uiPriority w:val="99"/>
    <w:semiHidden/>
    <w:rsid w:val="005B686B"/>
    <w:pPr>
      <w:spacing w:after="0" w:line="240" w:lineRule="auto"/>
    </w:pPr>
    <w:rPr>
      <w:rFonts w:ascii="Arial" w:eastAsia="Times New Roman" w:hAnsi="Arial" w:cs="Arial"/>
      <w:sz w:val="20"/>
      <w:szCs w:val="20"/>
      <w:lang w:val="en-US"/>
    </w:rPr>
  </w:style>
  <w:style w:type="character" w:styleId="Hyperlink">
    <w:name w:val="Hyperlink"/>
    <w:basedOn w:val="DefaultParagraphFont"/>
    <w:uiPriority w:val="99"/>
    <w:rsid w:val="005B686B"/>
    <w:rPr>
      <w:color w:val="7C7C7C" w:themeColor="accent2" w:themeShade="BF"/>
      <w:u w:val="single"/>
    </w:rPr>
  </w:style>
  <w:style w:type="table" w:styleId="TableGrid">
    <w:name w:val="Table Grid"/>
    <w:basedOn w:val="TableNormal"/>
    <w:rsid w:val="005B6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37139"/>
    <w:pPr>
      <w:spacing w:before="0" w:after="160" w:line="240" w:lineRule="auto"/>
      <w:outlineLvl w:val="0"/>
    </w:pPr>
    <w:rPr>
      <w:rFonts w:asciiTheme="majorHAnsi" w:eastAsiaTheme="majorEastAsia" w:hAnsiTheme="majorHAnsi" w:cstheme="majorBidi"/>
      <w:b/>
      <w:caps/>
      <w:sz w:val="56"/>
      <w:szCs w:val="56"/>
    </w:rPr>
  </w:style>
  <w:style w:type="character" w:customStyle="1" w:styleId="TitleChar">
    <w:name w:val="Title Char"/>
    <w:basedOn w:val="DefaultParagraphFont"/>
    <w:link w:val="Title"/>
    <w:uiPriority w:val="10"/>
    <w:rsid w:val="00D37139"/>
    <w:rPr>
      <w:rFonts w:asciiTheme="majorHAnsi" w:eastAsiaTheme="majorEastAsia" w:hAnsiTheme="majorHAnsi" w:cstheme="majorBidi"/>
      <w:b/>
      <w:caps/>
      <w:sz w:val="56"/>
      <w:szCs w:val="56"/>
    </w:rPr>
  </w:style>
  <w:style w:type="character" w:customStyle="1" w:styleId="Heading3Char">
    <w:name w:val="Heading 3 Char"/>
    <w:basedOn w:val="DefaultParagraphFont"/>
    <w:link w:val="Heading3"/>
    <w:uiPriority w:val="6"/>
    <w:rsid w:val="001972F5"/>
    <w:rPr>
      <w:rFonts w:asciiTheme="majorHAnsi" w:eastAsiaTheme="majorEastAsia" w:hAnsiTheme="majorHAnsi" w:cstheme="majorHAnsi"/>
      <w:i/>
      <w:color w:val="1B2C55"/>
      <w:kern w:val="28"/>
      <w:sz w:val="28"/>
      <w:szCs w:val="30"/>
      <w:lang w:val="en-US"/>
    </w:rPr>
  </w:style>
  <w:style w:type="character" w:customStyle="1" w:styleId="Heading4Char">
    <w:name w:val="Heading 4 Char"/>
    <w:basedOn w:val="DefaultParagraphFont"/>
    <w:link w:val="Heading4"/>
    <w:uiPriority w:val="6"/>
    <w:semiHidden/>
    <w:rsid w:val="005B686B"/>
    <w:rPr>
      <w:rFonts w:eastAsia="Times New Roman" w:cs="Arial"/>
      <w:b/>
      <w:u w:val="single"/>
      <w:lang w:val="en-US"/>
    </w:rPr>
  </w:style>
  <w:style w:type="character" w:customStyle="1" w:styleId="Heading5Char">
    <w:name w:val="Heading 5 Char"/>
    <w:basedOn w:val="DefaultParagraphFont"/>
    <w:link w:val="Heading5"/>
    <w:uiPriority w:val="9"/>
    <w:semiHidden/>
    <w:rsid w:val="005B686B"/>
    <w:rPr>
      <w:rFonts w:eastAsiaTheme="minorEastAsia" w:cstheme="minorHAnsi"/>
      <w:smallCaps/>
      <w:color w:val="7C7C7C" w:themeColor="accent2" w:themeShade="BF"/>
      <w:spacing w:val="10"/>
      <w:szCs w:val="26"/>
      <w:lang w:val="en-US"/>
    </w:rPr>
  </w:style>
  <w:style w:type="character" w:customStyle="1" w:styleId="Heading6Char">
    <w:name w:val="Heading 6 Char"/>
    <w:basedOn w:val="DefaultParagraphFont"/>
    <w:link w:val="Heading6"/>
    <w:uiPriority w:val="9"/>
    <w:semiHidden/>
    <w:rsid w:val="005B686B"/>
    <w:rPr>
      <w:rFonts w:eastAsiaTheme="minorEastAsia" w:cstheme="minorHAnsi"/>
      <w:smallCaps/>
      <w:color w:val="A6A6A6" w:themeColor="accent2"/>
      <w:spacing w:val="5"/>
      <w:szCs w:val="20"/>
      <w:lang w:val="en-US"/>
    </w:rPr>
  </w:style>
  <w:style w:type="character" w:customStyle="1" w:styleId="Heading7Char">
    <w:name w:val="Heading 7 Char"/>
    <w:basedOn w:val="DefaultParagraphFont"/>
    <w:link w:val="Heading7"/>
    <w:uiPriority w:val="9"/>
    <w:semiHidden/>
    <w:rsid w:val="005B686B"/>
    <w:rPr>
      <w:rFonts w:eastAsiaTheme="minorEastAsia" w:cstheme="minorHAnsi"/>
      <w:b/>
      <w:smallCaps/>
      <w:color w:val="A6A6A6" w:themeColor="accent2"/>
      <w:spacing w:val="10"/>
      <w:sz w:val="20"/>
      <w:szCs w:val="20"/>
      <w:lang w:val="en-US"/>
    </w:rPr>
  </w:style>
  <w:style w:type="character" w:customStyle="1" w:styleId="Heading8Char">
    <w:name w:val="Heading 8 Char"/>
    <w:basedOn w:val="DefaultParagraphFont"/>
    <w:link w:val="Heading8"/>
    <w:uiPriority w:val="9"/>
    <w:semiHidden/>
    <w:rsid w:val="005B686B"/>
    <w:rPr>
      <w:rFonts w:eastAsiaTheme="minorEastAsia" w:cstheme="minorHAnsi"/>
      <w:b/>
      <w:i/>
      <w:smallCaps/>
      <w:color w:val="7C7C7C" w:themeColor="accent2" w:themeShade="BF"/>
      <w:sz w:val="20"/>
      <w:szCs w:val="20"/>
      <w:lang w:val="en-US"/>
    </w:rPr>
  </w:style>
  <w:style w:type="character" w:customStyle="1" w:styleId="Heading9Char">
    <w:name w:val="Heading 9 Char"/>
    <w:basedOn w:val="DefaultParagraphFont"/>
    <w:link w:val="Heading9"/>
    <w:uiPriority w:val="9"/>
    <w:semiHidden/>
    <w:rsid w:val="005B686B"/>
    <w:rPr>
      <w:rFonts w:eastAsiaTheme="minorEastAsia" w:cstheme="minorHAnsi"/>
      <w:b/>
      <w:i/>
      <w:smallCaps/>
      <w:color w:val="525252" w:themeColor="accent2" w:themeShade="7F"/>
      <w:sz w:val="20"/>
      <w:szCs w:val="20"/>
      <w:lang w:val="en-US"/>
    </w:rPr>
  </w:style>
  <w:style w:type="paragraph" w:styleId="Header">
    <w:name w:val="header"/>
    <w:basedOn w:val="Normal"/>
    <w:link w:val="HeaderChar"/>
    <w:semiHidden/>
    <w:rsid w:val="005B686B"/>
    <w:pPr>
      <w:tabs>
        <w:tab w:val="center" w:pos="4513"/>
        <w:tab w:val="right" w:pos="9026"/>
      </w:tabs>
      <w:spacing w:before="0" w:after="0" w:line="240" w:lineRule="auto"/>
    </w:pPr>
    <w:rPr>
      <w:color w:val="7C7C7C" w:themeColor="accent2" w:themeShade="BF"/>
      <w:sz w:val="18"/>
    </w:rPr>
  </w:style>
  <w:style w:type="character" w:customStyle="1" w:styleId="HeaderChar">
    <w:name w:val="Header Char"/>
    <w:basedOn w:val="DefaultParagraphFont"/>
    <w:link w:val="Header"/>
    <w:semiHidden/>
    <w:rsid w:val="005B686B"/>
    <w:rPr>
      <w:rFonts w:cstheme="minorHAnsi"/>
      <w:color w:val="7C7C7C" w:themeColor="accent2" w:themeShade="BF"/>
      <w:sz w:val="18"/>
    </w:rPr>
  </w:style>
  <w:style w:type="paragraph" w:styleId="Footer">
    <w:name w:val="footer"/>
    <w:basedOn w:val="Normal"/>
    <w:link w:val="FooterChar"/>
    <w:uiPriority w:val="12"/>
    <w:semiHidden/>
    <w:rsid w:val="005B686B"/>
    <w:pPr>
      <w:tabs>
        <w:tab w:val="center" w:pos="4513"/>
        <w:tab w:val="right" w:pos="9026"/>
      </w:tabs>
      <w:spacing w:before="0" w:after="0" w:line="240" w:lineRule="auto"/>
    </w:pPr>
  </w:style>
  <w:style w:type="character" w:customStyle="1" w:styleId="FooterChar">
    <w:name w:val="Footer Char"/>
    <w:basedOn w:val="DefaultParagraphFont"/>
    <w:link w:val="Footer"/>
    <w:uiPriority w:val="12"/>
    <w:semiHidden/>
    <w:rsid w:val="005B686B"/>
    <w:rPr>
      <w:rFonts w:cstheme="minorHAnsi"/>
    </w:rPr>
  </w:style>
  <w:style w:type="character" w:customStyle="1" w:styleId="polytonic">
    <w:name w:val="polytonic"/>
    <w:basedOn w:val="DefaultParagraphFont"/>
    <w:uiPriority w:val="99"/>
    <w:semiHidden/>
    <w:locked/>
    <w:rsid w:val="005B686B"/>
  </w:style>
  <w:style w:type="paragraph" w:customStyle="1" w:styleId="Bullet-square">
    <w:name w:val="Bullet - square"/>
    <w:basedOn w:val="Normal"/>
    <w:uiPriority w:val="3"/>
    <w:qFormat/>
    <w:rsid w:val="00EF568A"/>
    <w:pPr>
      <w:numPr>
        <w:numId w:val="16"/>
      </w:numPr>
      <w:spacing w:before="60" w:after="120"/>
      <w:ind w:right="142"/>
    </w:pPr>
    <w:rPr>
      <w:rFonts w:eastAsia="Times New Roman"/>
      <w:lang w:val="en-US"/>
    </w:rPr>
  </w:style>
  <w:style w:type="character" w:customStyle="1" w:styleId="Mention1">
    <w:name w:val="Mention1"/>
    <w:basedOn w:val="DefaultParagraphFont"/>
    <w:uiPriority w:val="99"/>
    <w:semiHidden/>
    <w:rsid w:val="00115A0B"/>
    <w:rPr>
      <w:color w:val="2B579A"/>
      <w:shd w:val="clear" w:color="auto" w:fill="E1DFDD"/>
    </w:rPr>
  </w:style>
  <w:style w:type="paragraph" w:customStyle="1" w:styleId="Title2">
    <w:name w:val="Title2"/>
    <w:basedOn w:val="Normal"/>
    <w:uiPriority w:val="11"/>
    <w:qFormat/>
    <w:rsid w:val="005B686B"/>
    <w:pPr>
      <w:spacing w:after="360"/>
    </w:pPr>
    <w:rPr>
      <w:bCs/>
      <w:caps/>
      <w:color w:val="002060" w:themeColor="text2"/>
      <w:spacing w:val="-6"/>
      <w:sz w:val="28"/>
    </w:rPr>
  </w:style>
  <w:style w:type="paragraph" w:styleId="TOC1">
    <w:name w:val="toc 1"/>
    <w:basedOn w:val="Normal"/>
    <w:next w:val="Normal"/>
    <w:autoRedefine/>
    <w:uiPriority w:val="39"/>
    <w:rsid w:val="00EC23F0"/>
    <w:pPr>
      <w:tabs>
        <w:tab w:val="left" w:leader="dot" w:pos="284"/>
        <w:tab w:val="right" w:leader="dot" w:pos="8845"/>
      </w:tabs>
      <w:spacing w:before="360" w:after="100"/>
      <w:ind w:left="227" w:right="397" w:hanging="227"/>
      <w:jc w:val="left"/>
    </w:pPr>
    <w:rPr>
      <w:b/>
      <w:noProof/>
    </w:rPr>
  </w:style>
  <w:style w:type="paragraph" w:styleId="TOC2">
    <w:name w:val="toc 2"/>
    <w:basedOn w:val="Normal"/>
    <w:next w:val="Normal"/>
    <w:autoRedefine/>
    <w:uiPriority w:val="39"/>
    <w:rsid w:val="00FA2654"/>
    <w:pPr>
      <w:tabs>
        <w:tab w:val="left" w:pos="737"/>
        <w:tab w:val="right" w:leader="dot" w:pos="8845"/>
      </w:tabs>
      <w:spacing w:after="100"/>
      <w:ind w:left="681" w:right="397" w:hanging="397"/>
      <w:jc w:val="left"/>
    </w:pPr>
    <w:rPr>
      <w:noProof/>
    </w:rPr>
  </w:style>
  <w:style w:type="paragraph" w:styleId="TOC3">
    <w:name w:val="toc 3"/>
    <w:basedOn w:val="Normal"/>
    <w:next w:val="Normal"/>
    <w:autoRedefine/>
    <w:uiPriority w:val="39"/>
    <w:rsid w:val="008B1A75"/>
    <w:pPr>
      <w:tabs>
        <w:tab w:val="right" w:leader="dot" w:pos="8845"/>
      </w:tabs>
      <w:spacing w:after="0"/>
      <w:ind w:left="851"/>
      <w:jc w:val="left"/>
    </w:pPr>
    <w:rPr>
      <w:i/>
    </w:rPr>
  </w:style>
  <w:style w:type="character" w:styleId="SubtleEmphasis">
    <w:name w:val="Subtle Emphasis"/>
    <w:basedOn w:val="DefaultParagraphFont"/>
    <w:uiPriority w:val="99"/>
    <w:rsid w:val="005B686B"/>
    <w:rPr>
      <w:i/>
      <w:iCs/>
      <w:color w:val="404040" w:themeColor="text1" w:themeTint="BF"/>
    </w:rPr>
  </w:style>
  <w:style w:type="paragraph" w:styleId="PlainText">
    <w:name w:val="Plain Text"/>
    <w:basedOn w:val="Normal"/>
    <w:link w:val="PlainTextChar"/>
    <w:uiPriority w:val="99"/>
    <w:semiHidden/>
    <w:rsid w:val="005B686B"/>
    <w:pPr>
      <w:spacing w:before="0"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B686B"/>
    <w:rPr>
      <w:rFonts w:ascii="Calibri" w:hAnsi="Calibri" w:cstheme="minorHAnsi"/>
      <w:szCs w:val="21"/>
    </w:rPr>
  </w:style>
  <w:style w:type="character" w:styleId="PlaceholderText">
    <w:name w:val="Placeholder Text"/>
    <w:basedOn w:val="DefaultParagraphFont"/>
    <w:uiPriority w:val="99"/>
    <w:semiHidden/>
    <w:rsid w:val="005B686B"/>
    <w:rPr>
      <w:color w:val="808080"/>
    </w:rPr>
  </w:style>
  <w:style w:type="paragraph" w:styleId="NormalWeb">
    <w:name w:val="Normal (Web)"/>
    <w:basedOn w:val="Normal"/>
    <w:uiPriority w:val="99"/>
    <w:semiHidden/>
    <w:rsid w:val="005B686B"/>
    <w:rPr>
      <w:rFonts w:ascii="Calibri" w:hAnsi="Calibri" w:cs="Times New Roman"/>
      <w:szCs w:val="24"/>
    </w:rPr>
  </w:style>
  <w:style w:type="paragraph" w:styleId="FootnoteText">
    <w:name w:val="footnote text"/>
    <w:basedOn w:val="Normal"/>
    <w:link w:val="FootnoteTextChar"/>
    <w:uiPriority w:val="99"/>
    <w:semiHidden/>
    <w:qFormat/>
    <w:rsid w:val="00427F9F"/>
    <w:pPr>
      <w:spacing w:before="0" w:after="0" w:line="240" w:lineRule="auto"/>
      <w:ind w:left="170" w:hanging="170"/>
      <w:jc w:val="left"/>
    </w:pPr>
    <w:rPr>
      <w:color w:val="7C7C7C" w:themeColor="accent2" w:themeShade="BF"/>
      <w:sz w:val="18"/>
      <w:szCs w:val="20"/>
    </w:rPr>
  </w:style>
  <w:style w:type="character" w:customStyle="1" w:styleId="FootnoteTextChar">
    <w:name w:val="Footnote Text Char"/>
    <w:basedOn w:val="DefaultParagraphFont"/>
    <w:link w:val="FootnoteText"/>
    <w:uiPriority w:val="99"/>
    <w:semiHidden/>
    <w:rsid w:val="00427F9F"/>
    <w:rPr>
      <w:rFonts w:cstheme="minorHAnsi"/>
      <w:color w:val="7C7C7C" w:themeColor="accent2" w:themeShade="BF"/>
      <w:sz w:val="18"/>
      <w:szCs w:val="20"/>
    </w:rPr>
  </w:style>
  <w:style w:type="paragraph" w:styleId="ListNumber5">
    <w:name w:val="List Number 5"/>
    <w:basedOn w:val="Normal"/>
    <w:uiPriority w:val="99"/>
    <w:semiHidden/>
    <w:rsid w:val="005B686B"/>
    <w:pPr>
      <w:numPr>
        <w:numId w:val="15"/>
      </w:numPr>
      <w:contextualSpacing/>
    </w:pPr>
  </w:style>
  <w:style w:type="paragraph" w:styleId="ListNumber">
    <w:name w:val="List Number"/>
    <w:basedOn w:val="Normal"/>
    <w:uiPriority w:val="99"/>
    <w:semiHidden/>
    <w:rsid w:val="005B686B"/>
    <w:pPr>
      <w:numPr>
        <w:numId w:val="14"/>
      </w:numPr>
      <w:contextualSpacing/>
    </w:pPr>
  </w:style>
  <w:style w:type="character" w:styleId="FootnoteReference">
    <w:name w:val="footnote reference"/>
    <w:basedOn w:val="DefaultParagraphFont"/>
    <w:uiPriority w:val="99"/>
    <w:semiHidden/>
    <w:rsid w:val="005B686B"/>
    <w:rPr>
      <w:vertAlign w:val="superscript"/>
    </w:rPr>
  </w:style>
  <w:style w:type="paragraph" w:styleId="ListBullet">
    <w:name w:val="List Bullet"/>
    <w:basedOn w:val="Normal"/>
    <w:uiPriority w:val="99"/>
    <w:semiHidden/>
    <w:rsid w:val="005B686B"/>
    <w:pPr>
      <w:numPr>
        <w:numId w:val="13"/>
      </w:numPr>
      <w:contextualSpacing/>
    </w:pPr>
  </w:style>
  <w:style w:type="paragraph" w:styleId="Caption">
    <w:name w:val="caption"/>
    <w:basedOn w:val="Normal"/>
    <w:next w:val="Normal"/>
    <w:uiPriority w:val="7"/>
    <w:qFormat/>
    <w:rsid w:val="00880B47"/>
    <w:pPr>
      <w:spacing w:before="360" w:after="200" w:line="240" w:lineRule="auto"/>
    </w:pPr>
    <w:rPr>
      <w:b/>
      <w:iCs/>
      <w:szCs w:val="18"/>
    </w:rPr>
  </w:style>
  <w:style w:type="character" w:styleId="HTMLCite">
    <w:name w:val="HTML Cite"/>
    <w:basedOn w:val="DefaultParagraphFont"/>
    <w:uiPriority w:val="99"/>
    <w:semiHidden/>
    <w:rsid w:val="005B686B"/>
    <w:rPr>
      <w:i/>
      <w:iCs/>
    </w:rPr>
  </w:style>
  <w:style w:type="paragraph" w:styleId="Closing">
    <w:name w:val="Closing"/>
    <w:basedOn w:val="Normal"/>
    <w:link w:val="ClosingChar"/>
    <w:uiPriority w:val="99"/>
    <w:semiHidden/>
    <w:rsid w:val="005B686B"/>
    <w:pPr>
      <w:spacing w:before="0" w:after="0" w:line="240" w:lineRule="auto"/>
      <w:ind w:left="4252"/>
    </w:pPr>
  </w:style>
  <w:style w:type="character" w:customStyle="1" w:styleId="ClosingChar">
    <w:name w:val="Closing Char"/>
    <w:basedOn w:val="DefaultParagraphFont"/>
    <w:link w:val="Closing"/>
    <w:uiPriority w:val="99"/>
    <w:semiHidden/>
    <w:rsid w:val="005B686B"/>
    <w:rPr>
      <w:rFonts w:cstheme="minorHAnsi"/>
    </w:rPr>
  </w:style>
  <w:style w:type="paragraph" w:styleId="Date">
    <w:name w:val="Date"/>
    <w:basedOn w:val="Normal"/>
    <w:next w:val="Normal"/>
    <w:link w:val="DateChar"/>
    <w:uiPriority w:val="99"/>
    <w:semiHidden/>
    <w:rsid w:val="005B686B"/>
  </w:style>
  <w:style w:type="character" w:customStyle="1" w:styleId="DateChar">
    <w:name w:val="Date Char"/>
    <w:basedOn w:val="DefaultParagraphFont"/>
    <w:link w:val="Date"/>
    <w:uiPriority w:val="99"/>
    <w:semiHidden/>
    <w:rsid w:val="005B686B"/>
    <w:rPr>
      <w:rFonts w:cstheme="minorHAnsi"/>
    </w:rPr>
  </w:style>
  <w:style w:type="paragraph" w:styleId="DocumentMap">
    <w:name w:val="Document Map"/>
    <w:basedOn w:val="Normal"/>
    <w:link w:val="DocumentMapChar"/>
    <w:uiPriority w:val="99"/>
    <w:semiHidden/>
    <w:rsid w:val="005B686B"/>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686B"/>
    <w:rPr>
      <w:rFonts w:ascii="Segoe UI" w:hAnsi="Segoe UI" w:cs="Segoe UI"/>
      <w:sz w:val="16"/>
      <w:szCs w:val="16"/>
    </w:rPr>
  </w:style>
  <w:style w:type="character" w:styleId="Emphasis">
    <w:name w:val="Emphasis"/>
    <w:basedOn w:val="DefaultParagraphFont"/>
    <w:uiPriority w:val="20"/>
    <w:rsid w:val="005B686B"/>
    <w:rPr>
      <w:i/>
      <w:iCs/>
    </w:rPr>
  </w:style>
  <w:style w:type="paragraph" w:styleId="E-mailSignature">
    <w:name w:val="E-mail Signature"/>
    <w:basedOn w:val="Normal"/>
    <w:link w:val="E-mailSignatureChar"/>
    <w:uiPriority w:val="99"/>
    <w:semiHidden/>
    <w:rsid w:val="005B686B"/>
    <w:pPr>
      <w:spacing w:before="0" w:after="0" w:line="240" w:lineRule="auto"/>
    </w:pPr>
  </w:style>
  <w:style w:type="character" w:customStyle="1" w:styleId="E-mailSignatureChar">
    <w:name w:val="E-mail Signature Char"/>
    <w:basedOn w:val="DefaultParagraphFont"/>
    <w:link w:val="E-mailSignature"/>
    <w:uiPriority w:val="99"/>
    <w:semiHidden/>
    <w:rsid w:val="005B686B"/>
    <w:rPr>
      <w:rFonts w:cstheme="minorHAnsi"/>
    </w:rPr>
  </w:style>
  <w:style w:type="character" w:styleId="EndnoteReference">
    <w:name w:val="endnote reference"/>
    <w:basedOn w:val="DefaultParagraphFont"/>
    <w:uiPriority w:val="99"/>
    <w:semiHidden/>
    <w:rsid w:val="005B686B"/>
    <w:rPr>
      <w:vertAlign w:val="superscript"/>
    </w:rPr>
  </w:style>
  <w:style w:type="paragraph" w:styleId="EndnoteText">
    <w:name w:val="endnote text"/>
    <w:basedOn w:val="Normal"/>
    <w:link w:val="EndnoteTextChar"/>
    <w:uiPriority w:val="99"/>
    <w:semiHidden/>
    <w:rsid w:val="005B686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B686B"/>
    <w:rPr>
      <w:rFonts w:cstheme="minorHAnsi"/>
      <w:sz w:val="20"/>
      <w:szCs w:val="20"/>
    </w:rPr>
  </w:style>
  <w:style w:type="paragraph" w:styleId="Index1">
    <w:name w:val="index 1"/>
    <w:basedOn w:val="Normal"/>
    <w:next w:val="Normal"/>
    <w:uiPriority w:val="99"/>
    <w:semiHidden/>
    <w:rsid w:val="005B686B"/>
    <w:pPr>
      <w:spacing w:before="0" w:after="0" w:line="240" w:lineRule="auto"/>
      <w:ind w:left="220" w:hanging="220"/>
    </w:pPr>
  </w:style>
  <w:style w:type="paragraph" w:styleId="Index2">
    <w:name w:val="index 2"/>
    <w:basedOn w:val="Normal"/>
    <w:next w:val="Normal"/>
    <w:autoRedefine/>
    <w:uiPriority w:val="99"/>
    <w:semiHidden/>
    <w:rsid w:val="005B686B"/>
    <w:pPr>
      <w:spacing w:before="0" w:after="0" w:line="240" w:lineRule="auto"/>
      <w:ind w:left="440" w:hanging="220"/>
    </w:pPr>
  </w:style>
  <w:style w:type="paragraph" w:styleId="Index3">
    <w:name w:val="index 3"/>
    <w:basedOn w:val="Normal"/>
    <w:next w:val="Normal"/>
    <w:uiPriority w:val="99"/>
    <w:semiHidden/>
    <w:rsid w:val="005B686B"/>
    <w:pPr>
      <w:spacing w:before="0" w:after="0" w:line="240" w:lineRule="auto"/>
      <w:ind w:left="660" w:hanging="220"/>
    </w:pPr>
  </w:style>
  <w:style w:type="paragraph" w:styleId="Index4">
    <w:name w:val="index 4"/>
    <w:basedOn w:val="Normal"/>
    <w:next w:val="Normal"/>
    <w:uiPriority w:val="99"/>
    <w:semiHidden/>
    <w:rsid w:val="005B686B"/>
    <w:pPr>
      <w:spacing w:before="0" w:after="0" w:line="240" w:lineRule="auto"/>
      <w:ind w:left="880" w:hanging="220"/>
    </w:pPr>
  </w:style>
  <w:style w:type="paragraph" w:styleId="Index5">
    <w:name w:val="index 5"/>
    <w:basedOn w:val="Normal"/>
    <w:next w:val="Normal"/>
    <w:uiPriority w:val="99"/>
    <w:semiHidden/>
    <w:rsid w:val="005B686B"/>
    <w:pPr>
      <w:spacing w:before="0" w:after="0" w:line="240" w:lineRule="auto"/>
      <w:ind w:left="1100" w:hanging="220"/>
    </w:pPr>
  </w:style>
  <w:style w:type="paragraph" w:styleId="Index6">
    <w:name w:val="index 6"/>
    <w:basedOn w:val="Normal"/>
    <w:next w:val="Normal"/>
    <w:uiPriority w:val="99"/>
    <w:semiHidden/>
    <w:rsid w:val="005B686B"/>
    <w:pPr>
      <w:spacing w:before="0" w:after="0" w:line="240" w:lineRule="auto"/>
      <w:ind w:left="1320" w:hanging="220"/>
    </w:pPr>
  </w:style>
  <w:style w:type="paragraph" w:styleId="Index7">
    <w:name w:val="index 7"/>
    <w:basedOn w:val="Normal"/>
    <w:next w:val="Normal"/>
    <w:uiPriority w:val="99"/>
    <w:semiHidden/>
    <w:rsid w:val="005B686B"/>
    <w:pPr>
      <w:spacing w:before="0" w:after="0" w:line="240" w:lineRule="auto"/>
      <w:ind w:left="1540" w:hanging="220"/>
    </w:pPr>
  </w:style>
  <w:style w:type="paragraph" w:styleId="Index9">
    <w:name w:val="index 9"/>
    <w:basedOn w:val="Normal"/>
    <w:next w:val="Normal"/>
    <w:uiPriority w:val="99"/>
    <w:semiHidden/>
    <w:rsid w:val="005B686B"/>
    <w:pPr>
      <w:spacing w:before="0" w:after="0" w:line="240" w:lineRule="auto"/>
      <w:ind w:left="1980" w:hanging="220"/>
    </w:pPr>
  </w:style>
  <w:style w:type="paragraph" w:styleId="IndexHeading">
    <w:name w:val="index heading"/>
    <w:basedOn w:val="Normal"/>
    <w:next w:val="Index1"/>
    <w:uiPriority w:val="99"/>
    <w:semiHidden/>
    <w:rsid w:val="005B686B"/>
    <w:rPr>
      <w:rFonts w:asciiTheme="majorHAnsi" w:eastAsiaTheme="majorEastAsia" w:hAnsiTheme="majorHAnsi" w:cstheme="majorBidi"/>
      <w:b/>
      <w:bCs/>
    </w:rPr>
  </w:style>
  <w:style w:type="character" w:styleId="IntenseEmphasis">
    <w:name w:val="Intense Emphasis"/>
    <w:basedOn w:val="DefaultParagraphFont"/>
    <w:uiPriority w:val="21"/>
    <w:rsid w:val="005B686B"/>
    <w:rPr>
      <w:i/>
      <w:iCs/>
      <w:color w:val="D9D9D9" w:themeColor="accent1"/>
    </w:rPr>
  </w:style>
  <w:style w:type="paragraph" w:styleId="IntenseQuote">
    <w:name w:val="Intense Quote"/>
    <w:basedOn w:val="Normal"/>
    <w:next w:val="Normal"/>
    <w:link w:val="IntenseQuoteChar"/>
    <w:uiPriority w:val="99"/>
    <w:rsid w:val="005B686B"/>
    <w:pPr>
      <w:pBdr>
        <w:top w:val="single" w:sz="4" w:space="10" w:color="D9D9D9" w:themeColor="accent1"/>
        <w:bottom w:val="single" w:sz="4" w:space="10" w:color="D9D9D9" w:themeColor="accent1"/>
      </w:pBdr>
      <w:spacing w:before="360" w:after="360"/>
      <w:ind w:left="864" w:right="864"/>
      <w:jc w:val="center"/>
    </w:pPr>
    <w:rPr>
      <w:i/>
      <w:iCs/>
      <w:color w:val="1B2C55"/>
    </w:rPr>
  </w:style>
  <w:style w:type="character" w:customStyle="1" w:styleId="IntenseQuoteChar">
    <w:name w:val="Intense Quote Char"/>
    <w:basedOn w:val="DefaultParagraphFont"/>
    <w:link w:val="IntenseQuote"/>
    <w:uiPriority w:val="99"/>
    <w:rsid w:val="005B686B"/>
    <w:rPr>
      <w:rFonts w:cstheme="minorHAnsi"/>
      <w:i/>
      <w:iCs/>
      <w:color w:val="1B2C55"/>
    </w:rPr>
  </w:style>
  <w:style w:type="character" w:styleId="IntenseReference">
    <w:name w:val="Intense Reference"/>
    <w:basedOn w:val="DefaultParagraphFont"/>
    <w:uiPriority w:val="32"/>
    <w:qFormat/>
    <w:rsid w:val="005B686B"/>
    <w:rPr>
      <w:b/>
      <w:bCs/>
      <w:smallCaps/>
      <w:color w:val="D9D9D9" w:themeColor="accent1"/>
      <w:spacing w:val="5"/>
    </w:rPr>
  </w:style>
  <w:style w:type="character" w:customStyle="1" w:styleId="UnresolvedMention1">
    <w:name w:val="Unresolved Mention1"/>
    <w:basedOn w:val="DefaultParagraphFont"/>
    <w:uiPriority w:val="99"/>
    <w:semiHidden/>
    <w:rsid w:val="00115A0B"/>
    <w:rPr>
      <w:color w:val="605E5C"/>
      <w:shd w:val="clear" w:color="auto" w:fill="E1DFDD"/>
    </w:rPr>
  </w:style>
  <w:style w:type="paragraph" w:styleId="NoteHeading">
    <w:name w:val="Note Heading"/>
    <w:basedOn w:val="Normal"/>
    <w:next w:val="Normal"/>
    <w:link w:val="NoteHeadingChar"/>
    <w:uiPriority w:val="99"/>
    <w:semiHidden/>
    <w:rsid w:val="005B686B"/>
    <w:pPr>
      <w:spacing w:before="0" w:after="0" w:line="240" w:lineRule="auto"/>
    </w:pPr>
  </w:style>
  <w:style w:type="character" w:customStyle="1" w:styleId="NoteHeadingChar">
    <w:name w:val="Note Heading Char"/>
    <w:basedOn w:val="DefaultParagraphFont"/>
    <w:link w:val="NoteHeading"/>
    <w:uiPriority w:val="99"/>
    <w:semiHidden/>
    <w:rsid w:val="005B686B"/>
    <w:rPr>
      <w:rFonts w:cstheme="minorHAnsi"/>
    </w:rPr>
  </w:style>
  <w:style w:type="paragraph" w:styleId="NoSpacing">
    <w:name w:val="No Spacing"/>
    <w:uiPriority w:val="1"/>
    <w:qFormat/>
    <w:rsid w:val="005B686B"/>
    <w:pPr>
      <w:spacing w:after="0" w:line="240" w:lineRule="auto"/>
      <w:jc w:val="both"/>
    </w:pPr>
    <w:rPr>
      <w:rFonts w:cstheme="minorHAnsi"/>
    </w:rPr>
  </w:style>
  <w:style w:type="paragraph" w:customStyle="1" w:styleId="ExhibitFootnote">
    <w:name w:val="Exhibit Footnote"/>
    <w:basedOn w:val="FootnoteText"/>
    <w:uiPriority w:val="7"/>
    <w:qFormat/>
    <w:rsid w:val="005B686B"/>
    <w:pPr>
      <w:spacing w:after="120"/>
      <w:ind w:left="0" w:firstLine="0"/>
      <w:contextualSpacing/>
    </w:pPr>
    <w:rPr>
      <w:noProof/>
    </w:rPr>
  </w:style>
  <w:style w:type="table" w:customStyle="1" w:styleId="ExhibitTable">
    <w:name w:val="Exhibit Table"/>
    <w:basedOn w:val="TableNormal"/>
    <w:uiPriority w:val="99"/>
    <w:locked/>
    <w:rsid w:val="005B686B"/>
    <w:pPr>
      <w:spacing w:after="0" w:line="240" w:lineRule="auto"/>
    </w:pPr>
    <w:tblPr>
      <w:tblBorders>
        <w:top w:val="single" w:sz="12" w:space="0" w:color="192958"/>
        <w:bottom w:val="single" w:sz="12" w:space="0" w:color="192958"/>
      </w:tblBorders>
    </w:tblPr>
  </w:style>
  <w:style w:type="paragraph" w:customStyle="1" w:styleId="ChapterSummary">
    <w:name w:val="Chapter Summary"/>
    <w:basedOn w:val="Normal"/>
    <w:uiPriority w:val="6"/>
    <w:qFormat/>
    <w:rsid w:val="00036720"/>
    <w:rPr>
      <w:i/>
    </w:rPr>
  </w:style>
  <w:style w:type="paragraph" w:styleId="TOC4">
    <w:name w:val="toc 4"/>
    <w:basedOn w:val="Normal"/>
    <w:next w:val="Normal"/>
    <w:semiHidden/>
    <w:rsid w:val="005B686B"/>
    <w:pPr>
      <w:spacing w:after="100"/>
      <w:ind w:left="660"/>
    </w:pPr>
  </w:style>
  <w:style w:type="paragraph" w:styleId="Index8">
    <w:name w:val="index 8"/>
    <w:basedOn w:val="Normal"/>
    <w:next w:val="Normal"/>
    <w:uiPriority w:val="99"/>
    <w:semiHidden/>
    <w:rsid w:val="005B686B"/>
    <w:pPr>
      <w:spacing w:before="0" w:after="0" w:line="240" w:lineRule="auto"/>
      <w:ind w:left="1760" w:hanging="220"/>
    </w:pPr>
  </w:style>
  <w:style w:type="character" w:styleId="FollowedHyperlink">
    <w:name w:val="FollowedHyperlink"/>
    <w:basedOn w:val="DefaultParagraphFont"/>
    <w:uiPriority w:val="99"/>
    <w:semiHidden/>
    <w:unhideWhenUsed/>
    <w:rsid w:val="0080327D"/>
    <w:rPr>
      <w:color w:val="646464" w:themeColor="followedHyperlink"/>
      <w:u w:val="single"/>
    </w:rPr>
  </w:style>
  <w:style w:type="paragraph" w:styleId="Quote">
    <w:name w:val="Quote"/>
    <w:basedOn w:val="Normal"/>
    <w:next w:val="Normal"/>
    <w:link w:val="QuoteChar"/>
    <w:uiPriority w:val="29"/>
    <w:qFormat/>
    <w:rsid w:val="000906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90649"/>
    <w:rPr>
      <w:rFonts w:cstheme="minorHAnsi"/>
      <w:i/>
      <w:iCs/>
      <w:color w:val="404040" w:themeColor="text1" w:themeTint="BF"/>
    </w:rPr>
  </w:style>
  <w:style w:type="character" w:customStyle="1" w:styleId="ListParagraphChar">
    <w:name w:val="List Paragraph Char"/>
    <w:aliases w:val="NFP GP Bulleted List Char,Recommendation Char,List Paragraph1 Char,List_Paragraph Char,Multilevel para_II Char,List Paragraph (numbered (a)) Char,References Char,Colorful List - Accent 11 Char,List Paragraph11 Char,Bulleted Para Char"/>
    <w:basedOn w:val="DefaultParagraphFont"/>
    <w:link w:val="ListParagraph"/>
    <w:uiPriority w:val="99"/>
    <w:qFormat/>
    <w:locked/>
    <w:rsid w:val="00D83278"/>
    <w:rPr>
      <w:rFonts w:cstheme="minorHAnsi"/>
    </w:rPr>
  </w:style>
  <w:style w:type="paragraph" w:customStyle="1" w:styleId="70exhtblnormal">
    <w:name w:val="70 exh tbl normal"/>
    <w:basedOn w:val="Normal"/>
    <w:rsid w:val="00D83278"/>
    <w:pPr>
      <w:spacing w:before="60" w:after="60" w:line="240" w:lineRule="auto"/>
      <w:ind w:left="144" w:right="289"/>
      <w:jc w:val="left"/>
    </w:pPr>
    <w:rPr>
      <w:rFonts w:ascii="Arial" w:eastAsia="Times New Roman" w:hAnsi="Arial" w:cs="Times New Roman"/>
      <w:sz w:val="24"/>
      <w:szCs w:val="20"/>
      <w:lang w:val="en-US"/>
    </w:rPr>
  </w:style>
  <w:style w:type="character" w:customStyle="1" w:styleId="Mention">
    <w:name w:val="Mention"/>
    <w:basedOn w:val="DefaultParagraphFont"/>
    <w:uiPriority w:val="99"/>
    <w:semiHidden/>
    <w:rsid w:val="005B686B"/>
    <w:rPr>
      <w:color w:val="2B579A"/>
      <w:shd w:val="clear" w:color="auto" w:fill="E1DFDD"/>
    </w:rPr>
  </w:style>
  <w:style w:type="character" w:customStyle="1" w:styleId="UnresolvedMention">
    <w:name w:val="Unresolved Mention"/>
    <w:basedOn w:val="DefaultParagraphFont"/>
    <w:uiPriority w:val="99"/>
    <w:semiHidden/>
    <w:rsid w:val="005B6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15419">
      <w:bodyDiv w:val="1"/>
      <w:marLeft w:val="0"/>
      <w:marRight w:val="0"/>
      <w:marTop w:val="0"/>
      <w:marBottom w:val="0"/>
      <w:divBdr>
        <w:top w:val="none" w:sz="0" w:space="0" w:color="auto"/>
        <w:left w:val="none" w:sz="0" w:space="0" w:color="auto"/>
        <w:bottom w:val="none" w:sz="0" w:space="0" w:color="auto"/>
        <w:right w:val="none" w:sz="0" w:space="0" w:color="auto"/>
      </w:divBdr>
    </w:div>
    <w:div w:id="142281067">
      <w:bodyDiv w:val="1"/>
      <w:marLeft w:val="0"/>
      <w:marRight w:val="0"/>
      <w:marTop w:val="0"/>
      <w:marBottom w:val="0"/>
      <w:divBdr>
        <w:top w:val="none" w:sz="0" w:space="0" w:color="auto"/>
        <w:left w:val="none" w:sz="0" w:space="0" w:color="auto"/>
        <w:bottom w:val="none" w:sz="0" w:space="0" w:color="auto"/>
        <w:right w:val="none" w:sz="0" w:space="0" w:color="auto"/>
      </w:divBdr>
    </w:div>
    <w:div w:id="193079512">
      <w:bodyDiv w:val="1"/>
      <w:marLeft w:val="0"/>
      <w:marRight w:val="0"/>
      <w:marTop w:val="0"/>
      <w:marBottom w:val="0"/>
      <w:divBdr>
        <w:top w:val="none" w:sz="0" w:space="0" w:color="auto"/>
        <w:left w:val="none" w:sz="0" w:space="0" w:color="auto"/>
        <w:bottom w:val="none" w:sz="0" w:space="0" w:color="auto"/>
        <w:right w:val="none" w:sz="0" w:space="0" w:color="auto"/>
      </w:divBdr>
    </w:div>
    <w:div w:id="317075840">
      <w:bodyDiv w:val="1"/>
      <w:marLeft w:val="0"/>
      <w:marRight w:val="0"/>
      <w:marTop w:val="0"/>
      <w:marBottom w:val="0"/>
      <w:divBdr>
        <w:top w:val="none" w:sz="0" w:space="0" w:color="auto"/>
        <w:left w:val="none" w:sz="0" w:space="0" w:color="auto"/>
        <w:bottom w:val="none" w:sz="0" w:space="0" w:color="auto"/>
        <w:right w:val="none" w:sz="0" w:space="0" w:color="auto"/>
      </w:divBdr>
    </w:div>
    <w:div w:id="366100700">
      <w:bodyDiv w:val="1"/>
      <w:marLeft w:val="0"/>
      <w:marRight w:val="0"/>
      <w:marTop w:val="0"/>
      <w:marBottom w:val="0"/>
      <w:divBdr>
        <w:top w:val="none" w:sz="0" w:space="0" w:color="auto"/>
        <w:left w:val="none" w:sz="0" w:space="0" w:color="auto"/>
        <w:bottom w:val="none" w:sz="0" w:space="0" w:color="auto"/>
        <w:right w:val="none" w:sz="0" w:space="0" w:color="auto"/>
      </w:divBdr>
    </w:div>
    <w:div w:id="367418799">
      <w:bodyDiv w:val="1"/>
      <w:marLeft w:val="0"/>
      <w:marRight w:val="0"/>
      <w:marTop w:val="0"/>
      <w:marBottom w:val="0"/>
      <w:divBdr>
        <w:top w:val="none" w:sz="0" w:space="0" w:color="auto"/>
        <w:left w:val="none" w:sz="0" w:space="0" w:color="auto"/>
        <w:bottom w:val="none" w:sz="0" w:space="0" w:color="auto"/>
        <w:right w:val="none" w:sz="0" w:space="0" w:color="auto"/>
      </w:divBdr>
      <w:divsChild>
        <w:div w:id="677848243">
          <w:marLeft w:val="274"/>
          <w:marRight w:val="0"/>
          <w:marTop w:val="0"/>
          <w:marBottom w:val="0"/>
          <w:divBdr>
            <w:top w:val="none" w:sz="0" w:space="0" w:color="auto"/>
            <w:left w:val="none" w:sz="0" w:space="0" w:color="auto"/>
            <w:bottom w:val="none" w:sz="0" w:space="0" w:color="auto"/>
            <w:right w:val="none" w:sz="0" w:space="0" w:color="auto"/>
          </w:divBdr>
        </w:div>
        <w:div w:id="2026320713">
          <w:marLeft w:val="274"/>
          <w:marRight w:val="0"/>
          <w:marTop w:val="0"/>
          <w:marBottom w:val="0"/>
          <w:divBdr>
            <w:top w:val="none" w:sz="0" w:space="0" w:color="auto"/>
            <w:left w:val="none" w:sz="0" w:space="0" w:color="auto"/>
            <w:bottom w:val="none" w:sz="0" w:space="0" w:color="auto"/>
            <w:right w:val="none" w:sz="0" w:space="0" w:color="auto"/>
          </w:divBdr>
        </w:div>
        <w:div w:id="275676144">
          <w:marLeft w:val="274"/>
          <w:marRight w:val="0"/>
          <w:marTop w:val="0"/>
          <w:marBottom w:val="0"/>
          <w:divBdr>
            <w:top w:val="none" w:sz="0" w:space="0" w:color="auto"/>
            <w:left w:val="none" w:sz="0" w:space="0" w:color="auto"/>
            <w:bottom w:val="none" w:sz="0" w:space="0" w:color="auto"/>
            <w:right w:val="none" w:sz="0" w:space="0" w:color="auto"/>
          </w:divBdr>
        </w:div>
        <w:div w:id="551506034">
          <w:marLeft w:val="274"/>
          <w:marRight w:val="0"/>
          <w:marTop w:val="0"/>
          <w:marBottom w:val="0"/>
          <w:divBdr>
            <w:top w:val="none" w:sz="0" w:space="0" w:color="auto"/>
            <w:left w:val="none" w:sz="0" w:space="0" w:color="auto"/>
            <w:bottom w:val="none" w:sz="0" w:space="0" w:color="auto"/>
            <w:right w:val="none" w:sz="0" w:space="0" w:color="auto"/>
          </w:divBdr>
        </w:div>
        <w:div w:id="661467816">
          <w:marLeft w:val="274"/>
          <w:marRight w:val="0"/>
          <w:marTop w:val="0"/>
          <w:marBottom w:val="0"/>
          <w:divBdr>
            <w:top w:val="none" w:sz="0" w:space="0" w:color="auto"/>
            <w:left w:val="none" w:sz="0" w:space="0" w:color="auto"/>
            <w:bottom w:val="none" w:sz="0" w:space="0" w:color="auto"/>
            <w:right w:val="none" w:sz="0" w:space="0" w:color="auto"/>
          </w:divBdr>
        </w:div>
        <w:div w:id="1611816167">
          <w:marLeft w:val="274"/>
          <w:marRight w:val="0"/>
          <w:marTop w:val="0"/>
          <w:marBottom w:val="0"/>
          <w:divBdr>
            <w:top w:val="none" w:sz="0" w:space="0" w:color="auto"/>
            <w:left w:val="none" w:sz="0" w:space="0" w:color="auto"/>
            <w:bottom w:val="none" w:sz="0" w:space="0" w:color="auto"/>
            <w:right w:val="none" w:sz="0" w:space="0" w:color="auto"/>
          </w:divBdr>
        </w:div>
        <w:div w:id="979385932">
          <w:marLeft w:val="274"/>
          <w:marRight w:val="0"/>
          <w:marTop w:val="0"/>
          <w:marBottom w:val="0"/>
          <w:divBdr>
            <w:top w:val="none" w:sz="0" w:space="0" w:color="auto"/>
            <w:left w:val="none" w:sz="0" w:space="0" w:color="auto"/>
            <w:bottom w:val="none" w:sz="0" w:space="0" w:color="auto"/>
            <w:right w:val="none" w:sz="0" w:space="0" w:color="auto"/>
          </w:divBdr>
        </w:div>
        <w:div w:id="788477556">
          <w:marLeft w:val="274"/>
          <w:marRight w:val="0"/>
          <w:marTop w:val="0"/>
          <w:marBottom w:val="0"/>
          <w:divBdr>
            <w:top w:val="none" w:sz="0" w:space="0" w:color="auto"/>
            <w:left w:val="none" w:sz="0" w:space="0" w:color="auto"/>
            <w:bottom w:val="none" w:sz="0" w:space="0" w:color="auto"/>
            <w:right w:val="none" w:sz="0" w:space="0" w:color="auto"/>
          </w:divBdr>
        </w:div>
        <w:div w:id="424692349">
          <w:marLeft w:val="274"/>
          <w:marRight w:val="0"/>
          <w:marTop w:val="0"/>
          <w:marBottom w:val="0"/>
          <w:divBdr>
            <w:top w:val="none" w:sz="0" w:space="0" w:color="auto"/>
            <w:left w:val="none" w:sz="0" w:space="0" w:color="auto"/>
            <w:bottom w:val="none" w:sz="0" w:space="0" w:color="auto"/>
            <w:right w:val="none" w:sz="0" w:space="0" w:color="auto"/>
          </w:divBdr>
        </w:div>
        <w:div w:id="358512733">
          <w:marLeft w:val="274"/>
          <w:marRight w:val="0"/>
          <w:marTop w:val="0"/>
          <w:marBottom w:val="0"/>
          <w:divBdr>
            <w:top w:val="none" w:sz="0" w:space="0" w:color="auto"/>
            <w:left w:val="none" w:sz="0" w:space="0" w:color="auto"/>
            <w:bottom w:val="none" w:sz="0" w:space="0" w:color="auto"/>
            <w:right w:val="none" w:sz="0" w:space="0" w:color="auto"/>
          </w:divBdr>
        </w:div>
      </w:divsChild>
    </w:div>
    <w:div w:id="387997014">
      <w:bodyDiv w:val="1"/>
      <w:marLeft w:val="0"/>
      <w:marRight w:val="0"/>
      <w:marTop w:val="0"/>
      <w:marBottom w:val="0"/>
      <w:divBdr>
        <w:top w:val="none" w:sz="0" w:space="0" w:color="auto"/>
        <w:left w:val="none" w:sz="0" w:space="0" w:color="auto"/>
        <w:bottom w:val="none" w:sz="0" w:space="0" w:color="auto"/>
        <w:right w:val="none" w:sz="0" w:space="0" w:color="auto"/>
      </w:divBdr>
    </w:div>
    <w:div w:id="523906142">
      <w:bodyDiv w:val="1"/>
      <w:marLeft w:val="0"/>
      <w:marRight w:val="0"/>
      <w:marTop w:val="0"/>
      <w:marBottom w:val="0"/>
      <w:divBdr>
        <w:top w:val="none" w:sz="0" w:space="0" w:color="auto"/>
        <w:left w:val="none" w:sz="0" w:space="0" w:color="auto"/>
        <w:bottom w:val="none" w:sz="0" w:space="0" w:color="auto"/>
        <w:right w:val="none" w:sz="0" w:space="0" w:color="auto"/>
      </w:divBdr>
    </w:div>
    <w:div w:id="559948042">
      <w:bodyDiv w:val="1"/>
      <w:marLeft w:val="0"/>
      <w:marRight w:val="0"/>
      <w:marTop w:val="0"/>
      <w:marBottom w:val="0"/>
      <w:divBdr>
        <w:top w:val="none" w:sz="0" w:space="0" w:color="auto"/>
        <w:left w:val="none" w:sz="0" w:space="0" w:color="auto"/>
        <w:bottom w:val="none" w:sz="0" w:space="0" w:color="auto"/>
        <w:right w:val="none" w:sz="0" w:space="0" w:color="auto"/>
      </w:divBdr>
    </w:div>
    <w:div w:id="574554529">
      <w:bodyDiv w:val="1"/>
      <w:marLeft w:val="0"/>
      <w:marRight w:val="0"/>
      <w:marTop w:val="0"/>
      <w:marBottom w:val="0"/>
      <w:divBdr>
        <w:top w:val="none" w:sz="0" w:space="0" w:color="auto"/>
        <w:left w:val="none" w:sz="0" w:space="0" w:color="auto"/>
        <w:bottom w:val="none" w:sz="0" w:space="0" w:color="auto"/>
        <w:right w:val="none" w:sz="0" w:space="0" w:color="auto"/>
      </w:divBdr>
    </w:div>
    <w:div w:id="608976168">
      <w:bodyDiv w:val="1"/>
      <w:marLeft w:val="0"/>
      <w:marRight w:val="0"/>
      <w:marTop w:val="0"/>
      <w:marBottom w:val="0"/>
      <w:divBdr>
        <w:top w:val="none" w:sz="0" w:space="0" w:color="auto"/>
        <w:left w:val="none" w:sz="0" w:space="0" w:color="auto"/>
        <w:bottom w:val="none" w:sz="0" w:space="0" w:color="auto"/>
        <w:right w:val="none" w:sz="0" w:space="0" w:color="auto"/>
      </w:divBdr>
    </w:div>
    <w:div w:id="618800759">
      <w:bodyDiv w:val="1"/>
      <w:marLeft w:val="0"/>
      <w:marRight w:val="0"/>
      <w:marTop w:val="0"/>
      <w:marBottom w:val="0"/>
      <w:divBdr>
        <w:top w:val="none" w:sz="0" w:space="0" w:color="auto"/>
        <w:left w:val="none" w:sz="0" w:space="0" w:color="auto"/>
        <w:bottom w:val="none" w:sz="0" w:space="0" w:color="auto"/>
        <w:right w:val="none" w:sz="0" w:space="0" w:color="auto"/>
      </w:divBdr>
      <w:divsChild>
        <w:div w:id="1906448840">
          <w:marLeft w:val="0"/>
          <w:marRight w:val="0"/>
          <w:marTop w:val="0"/>
          <w:marBottom w:val="0"/>
          <w:divBdr>
            <w:top w:val="none" w:sz="0" w:space="0" w:color="auto"/>
            <w:left w:val="none" w:sz="0" w:space="0" w:color="auto"/>
            <w:bottom w:val="none" w:sz="0" w:space="0" w:color="auto"/>
            <w:right w:val="none" w:sz="0" w:space="0" w:color="auto"/>
          </w:divBdr>
          <w:divsChild>
            <w:div w:id="399254230">
              <w:marLeft w:val="0"/>
              <w:marRight w:val="0"/>
              <w:marTop w:val="0"/>
              <w:marBottom w:val="0"/>
              <w:divBdr>
                <w:top w:val="none" w:sz="0" w:space="0" w:color="auto"/>
                <w:left w:val="none" w:sz="0" w:space="0" w:color="auto"/>
                <w:bottom w:val="none" w:sz="0" w:space="0" w:color="auto"/>
                <w:right w:val="none" w:sz="0" w:space="0" w:color="auto"/>
              </w:divBdr>
              <w:divsChild>
                <w:div w:id="969020138">
                  <w:marLeft w:val="150"/>
                  <w:marRight w:val="150"/>
                  <w:marTop w:val="150"/>
                  <w:marBottom w:val="150"/>
                  <w:divBdr>
                    <w:top w:val="single" w:sz="6" w:space="0" w:color="000000"/>
                    <w:left w:val="single" w:sz="6" w:space="0" w:color="000000"/>
                    <w:bottom w:val="single" w:sz="6" w:space="0" w:color="000000"/>
                    <w:right w:val="single" w:sz="6" w:space="0" w:color="000000"/>
                  </w:divBdr>
                  <w:divsChild>
                    <w:div w:id="2082286583">
                      <w:marLeft w:val="0"/>
                      <w:marRight w:val="0"/>
                      <w:marTop w:val="0"/>
                      <w:marBottom w:val="0"/>
                      <w:divBdr>
                        <w:top w:val="none" w:sz="0" w:space="0" w:color="auto"/>
                        <w:left w:val="none" w:sz="0" w:space="0" w:color="auto"/>
                        <w:bottom w:val="none" w:sz="0" w:space="0" w:color="auto"/>
                        <w:right w:val="none" w:sz="0" w:space="0" w:color="auto"/>
                      </w:divBdr>
                      <w:divsChild>
                        <w:div w:id="602617551">
                          <w:marLeft w:val="0"/>
                          <w:marRight w:val="0"/>
                          <w:marTop w:val="0"/>
                          <w:marBottom w:val="0"/>
                          <w:divBdr>
                            <w:top w:val="none" w:sz="0" w:space="0" w:color="auto"/>
                            <w:left w:val="none" w:sz="0" w:space="0" w:color="auto"/>
                            <w:bottom w:val="none" w:sz="0" w:space="0" w:color="auto"/>
                            <w:right w:val="none" w:sz="0" w:space="0" w:color="auto"/>
                          </w:divBdr>
                        </w:div>
                        <w:div w:id="10372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228553">
      <w:bodyDiv w:val="1"/>
      <w:marLeft w:val="0"/>
      <w:marRight w:val="0"/>
      <w:marTop w:val="0"/>
      <w:marBottom w:val="0"/>
      <w:divBdr>
        <w:top w:val="none" w:sz="0" w:space="0" w:color="auto"/>
        <w:left w:val="none" w:sz="0" w:space="0" w:color="auto"/>
        <w:bottom w:val="none" w:sz="0" w:space="0" w:color="auto"/>
        <w:right w:val="none" w:sz="0" w:space="0" w:color="auto"/>
      </w:divBdr>
    </w:div>
    <w:div w:id="679821778">
      <w:bodyDiv w:val="1"/>
      <w:marLeft w:val="0"/>
      <w:marRight w:val="0"/>
      <w:marTop w:val="0"/>
      <w:marBottom w:val="0"/>
      <w:divBdr>
        <w:top w:val="none" w:sz="0" w:space="0" w:color="auto"/>
        <w:left w:val="none" w:sz="0" w:space="0" w:color="auto"/>
        <w:bottom w:val="none" w:sz="0" w:space="0" w:color="auto"/>
        <w:right w:val="none" w:sz="0" w:space="0" w:color="auto"/>
      </w:divBdr>
    </w:div>
    <w:div w:id="722145669">
      <w:bodyDiv w:val="1"/>
      <w:marLeft w:val="0"/>
      <w:marRight w:val="0"/>
      <w:marTop w:val="0"/>
      <w:marBottom w:val="0"/>
      <w:divBdr>
        <w:top w:val="none" w:sz="0" w:space="0" w:color="auto"/>
        <w:left w:val="none" w:sz="0" w:space="0" w:color="auto"/>
        <w:bottom w:val="none" w:sz="0" w:space="0" w:color="auto"/>
        <w:right w:val="none" w:sz="0" w:space="0" w:color="auto"/>
      </w:divBdr>
    </w:div>
    <w:div w:id="735783024">
      <w:bodyDiv w:val="1"/>
      <w:marLeft w:val="0"/>
      <w:marRight w:val="0"/>
      <w:marTop w:val="0"/>
      <w:marBottom w:val="0"/>
      <w:divBdr>
        <w:top w:val="none" w:sz="0" w:space="0" w:color="auto"/>
        <w:left w:val="none" w:sz="0" w:space="0" w:color="auto"/>
        <w:bottom w:val="none" w:sz="0" w:space="0" w:color="auto"/>
        <w:right w:val="none" w:sz="0" w:space="0" w:color="auto"/>
      </w:divBdr>
      <w:divsChild>
        <w:div w:id="2114544738">
          <w:marLeft w:val="0"/>
          <w:marRight w:val="0"/>
          <w:marTop w:val="0"/>
          <w:marBottom w:val="0"/>
          <w:divBdr>
            <w:top w:val="none" w:sz="0" w:space="0" w:color="auto"/>
            <w:left w:val="none" w:sz="0" w:space="0" w:color="auto"/>
            <w:bottom w:val="none" w:sz="0" w:space="0" w:color="auto"/>
            <w:right w:val="none" w:sz="0" w:space="0" w:color="auto"/>
          </w:divBdr>
        </w:div>
      </w:divsChild>
    </w:div>
    <w:div w:id="752437806">
      <w:bodyDiv w:val="1"/>
      <w:marLeft w:val="0"/>
      <w:marRight w:val="0"/>
      <w:marTop w:val="0"/>
      <w:marBottom w:val="0"/>
      <w:divBdr>
        <w:top w:val="none" w:sz="0" w:space="0" w:color="auto"/>
        <w:left w:val="none" w:sz="0" w:space="0" w:color="auto"/>
        <w:bottom w:val="none" w:sz="0" w:space="0" w:color="auto"/>
        <w:right w:val="none" w:sz="0" w:space="0" w:color="auto"/>
      </w:divBdr>
    </w:div>
    <w:div w:id="758677151">
      <w:bodyDiv w:val="1"/>
      <w:marLeft w:val="0"/>
      <w:marRight w:val="0"/>
      <w:marTop w:val="0"/>
      <w:marBottom w:val="0"/>
      <w:divBdr>
        <w:top w:val="none" w:sz="0" w:space="0" w:color="auto"/>
        <w:left w:val="none" w:sz="0" w:space="0" w:color="auto"/>
        <w:bottom w:val="none" w:sz="0" w:space="0" w:color="auto"/>
        <w:right w:val="none" w:sz="0" w:space="0" w:color="auto"/>
      </w:divBdr>
    </w:div>
    <w:div w:id="781848526">
      <w:bodyDiv w:val="1"/>
      <w:marLeft w:val="0"/>
      <w:marRight w:val="0"/>
      <w:marTop w:val="0"/>
      <w:marBottom w:val="0"/>
      <w:divBdr>
        <w:top w:val="none" w:sz="0" w:space="0" w:color="auto"/>
        <w:left w:val="none" w:sz="0" w:space="0" w:color="auto"/>
        <w:bottom w:val="none" w:sz="0" w:space="0" w:color="auto"/>
        <w:right w:val="none" w:sz="0" w:space="0" w:color="auto"/>
      </w:divBdr>
    </w:div>
    <w:div w:id="789472328">
      <w:bodyDiv w:val="1"/>
      <w:marLeft w:val="0"/>
      <w:marRight w:val="0"/>
      <w:marTop w:val="0"/>
      <w:marBottom w:val="0"/>
      <w:divBdr>
        <w:top w:val="none" w:sz="0" w:space="0" w:color="auto"/>
        <w:left w:val="none" w:sz="0" w:space="0" w:color="auto"/>
        <w:bottom w:val="none" w:sz="0" w:space="0" w:color="auto"/>
        <w:right w:val="none" w:sz="0" w:space="0" w:color="auto"/>
      </w:divBdr>
    </w:div>
    <w:div w:id="860514001">
      <w:bodyDiv w:val="1"/>
      <w:marLeft w:val="0"/>
      <w:marRight w:val="0"/>
      <w:marTop w:val="0"/>
      <w:marBottom w:val="0"/>
      <w:divBdr>
        <w:top w:val="none" w:sz="0" w:space="0" w:color="auto"/>
        <w:left w:val="none" w:sz="0" w:space="0" w:color="auto"/>
        <w:bottom w:val="none" w:sz="0" w:space="0" w:color="auto"/>
        <w:right w:val="none" w:sz="0" w:space="0" w:color="auto"/>
      </w:divBdr>
    </w:div>
    <w:div w:id="955715447">
      <w:bodyDiv w:val="1"/>
      <w:marLeft w:val="0"/>
      <w:marRight w:val="0"/>
      <w:marTop w:val="0"/>
      <w:marBottom w:val="0"/>
      <w:divBdr>
        <w:top w:val="none" w:sz="0" w:space="0" w:color="auto"/>
        <w:left w:val="none" w:sz="0" w:space="0" w:color="auto"/>
        <w:bottom w:val="none" w:sz="0" w:space="0" w:color="auto"/>
        <w:right w:val="none" w:sz="0" w:space="0" w:color="auto"/>
      </w:divBdr>
    </w:div>
    <w:div w:id="966356254">
      <w:bodyDiv w:val="1"/>
      <w:marLeft w:val="0"/>
      <w:marRight w:val="0"/>
      <w:marTop w:val="0"/>
      <w:marBottom w:val="0"/>
      <w:divBdr>
        <w:top w:val="none" w:sz="0" w:space="0" w:color="auto"/>
        <w:left w:val="none" w:sz="0" w:space="0" w:color="auto"/>
        <w:bottom w:val="none" w:sz="0" w:space="0" w:color="auto"/>
        <w:right w:val="none" w:sz="0" w:space="0" w:color="auto"/>
      </w:divBdr>
    </w:div>
    <w:div w:id="981888736">
      <w:bodyDiv w:val="1"/>
      <w:marLeft w:val="0"/>
      <w:marRight w:val="0"/>
      <w:marTop w:val="0"/>
      <w:marBottom w:val="0"/>
      <w:divBdr>
        <w:top w:val="none" w:sz="0" w:space="0" w:color="auto"/>
        <w:left w:val="none" w:sz="0" w:space="0" w:color="auto"/>
        <w:bottom w:val="none" w:sz="0" w:space="0" w:color="auto"/>
        <w:right w:val="none" w:sz="0" w:space="0" w:color="auto"/>
      </w:divBdr>
      <w:divsChild>
        <w:div w:id="908465121">
          <w:marLeft w:val="763"/>
          <w:marRight w:val="0"/>
          <w:marTop w:val="0"/>
          <w:marBottom w:val="40"/>
          <w:divBdr>
            <w:top w:val="none" w:sz="0" w:space="0" w:color="auto"/>
            <w:left w:val="none" w:sz="0" w:space="0" w:color="auto"/>
            <w:bottom w:val="none" w:sz="0" w:space="0" w:color="auto"/>
            <w:right w:val="none" w:sz="0" w:space="0" w:color="auto"/>
          </w:divBdr>
        </w:div>
        <w:div w:id="2017219984">
          <w:marLeft w:val="763"/>
          <w:marRight w:val="0"/>
          <w:marTop w:val="0"/>
          <w:marBottom w:val="40"/>
          <w:divBdr>
            <w:top w:val="none" w:sz="0" w:space="0" w:color="auto"/>
            <w:left w:val="none" w:sz="0" w:space="0" w:color="auto"/>
            <w:bottom w:val="none" w:sz="0" w:space="0" w:color="auto"/>
            <w:right w:val="none" w:sz="0" w:space="0" w:color="auto"/>
          </w:divBdr>
        </w:div>
      </w:divsChild>
    </w:div>
    <w:div w:id="990325770">
      <w:bodyDiv w:val="1"/>
      <w:marLeft w:val="0"/>
      <w:marRight w:val="0"/>
      <w:marTop w:val="0"/>
      <w:marBottom w:val="0"/>
      <w:divBdr>
        <w:top w:val="none" w:sz="0" w:space="0" w:color="auto"/>
        <w:left w:val="none" w:sz="0" w:space="0" w:color="auto"/>
        <w:bottom w:val="none" w:sz="0" w:space="0" w:color="auto"/>
        <w:right w:val="none" w:sz="0" w:space="0" w:color="auto"/>
      </w:divBdr>
    </w:div>
    <w:div w:id="993989853">
      <w:bodyDiv w:val="1"/>
      <w:marLeft w:val="0"/>
      <w:marRight w:val="0"/>
      <w:marTop w:val="0"/>
      <w:marBottom w:val="0"/>
      <w:divBdr>
        <w:top w:val="none" w:sz="0" w:space="0" w:color="auto"/>
        <w:left w:val="none" w:sz="0" w:space="0" w:color="auto"/>
        <w:bottom w:val="none" w:sz="0" w:space="0" w:color="auto"/>
        <w:right w:val="none" w:sz="0" w:space="0" w:color="auto"/>
      </w:divBdr>
    </w:div>
    <w:div w:id="1064253615">
      <w:bodyDiv w:val="1"/>
      <w:marLeft w:val="0"/>
      <w:marRight w:val="0"/>
      <w:marTop w:val="0"/>
      <w:marBottom w:val="0"/>
      <w:divBdr>
        <w:top w:val="none" w:sz="0" w:space="0" w:color="auto"/>
        <w:left w:val="none" w:sz="0" w:space="0" w:color="auto"/>
        <w:bottom w:val="none" w:sz="0" w:space="0" w:color="auto"/>
        <w:right w:val="none" w:sz="0" w:space="0" w:color="auto"/>
      </w:divBdr>
    </w:div>
    <w:div w:id="1255747453">
      <w:bodyDiv w:val="1"/>
      <w:marLeft w:val="0"/>
      <w:marRight w:val="0"/>
      <w:marTop w:val="0"/>
      <w:marBottom w:val="0"/>
      <w:divBdr>
        <w:top w:val="none" w:sz="0" w:space="0" w:color="auto"/>
        <w:left w:val="none" w:sz="0" w:space="0" w:color="auto"/>
        <w:bottom w:val="none" w:sz="0" w:space="0" w:color="auto"/>
        <w:right w:val="none" w:sz="0" w:space="0" w:color="auto"/>
      </w:divBdr>
    </w:div>
    <w:div w:id="1327629008">
      <w:bodyDiv w:val="1"/>
      <w:marLeft w:val="0"/>
      <w:marRight w:val="0"/>
      <w:marTop w:val="0"/>
      <w:marBottom w:val="0"/>
      <w:divBdr>
        <w:top w:val="none" w:sz="0" w:space="0" w:color="auto"/>
        <w:left w:val="none" w:sz="0" w:space="0" w:color="auto"/>
        <w:bottom w:val="none" w:sz="0" w:space="0" w:color="auto"/>
        <w:right w:val="none" w:sz="0" w:space="0" w:color="auto"/>
      </w:divBdr>
    </w:div>
    <w:div w:id="1394234493">
      <w:bodyDiv w:val="1"/>
      <w:marLeft w:val="0"/>
      <w:marRight w:val="0"/>
      <w:marTop w:val="0"/>
      <w:marBottom w:val="0"/>
      <w:divBdr>
        <w:top w:val="none" w:sz="0" w:space="0" w:color="auto"/>
        <w:left w:val="none" w:sz="0" w:space="0" w:color="auto"/>
        <w:bottom w:val="none" w:sz="0" w:space="0" w:color="auto"/>
        <w:right w:val="none" w:sz="0" w:space="0" w:color="auto"/>
      </w:divBdr>
    </w:div>
    <w:div w:id="1430544901">
      <w:bodyDiv w:val="1"/>
      <w:marLeft w:val="0"/>
      <w:marRight w:val="0"/>
      <w:marTop w:val="0"/>
      <w:marBottom w:val="0"/>
      <w:divBdr>
        <w:top w:val="none" w:sz="0" w:space="0" w:color="auto"/>
        <w:left w:val="none" w:sz="0" w:space="0" w:color="auto"/>
        <w:bottom w:val="none" w:sz="0" w:space="0" w:color="auto"/>
        <w:right w:val="none" w:sz="0" w:space="0" w:color="auto"/>
      </w:divBdr>
      <w:divsChild>
        <w:div w:id="231159155">
          <w:marLeft w:val="274"/>
          <w:marRight w:val="0"/>
          <w:marTop w:val="0"/>
          <w:marBottom w:val="0"/>
          <w:divBdr>
            <w:top w:val="none" w:sz="0" w:space="0" w:color="auto"/>
            <w:left w:val="none" w:sz="0" w:space="0" w:color="auto"/>
            <w:bottom w:val="none" w:sz="0" w:space="0" w:color="auto"/>
            <w:right w:val="none" w:sz="0" w:space="0" w:color="auto"/>
          </w:divBdr>
        </w:div>
        <w:div w:id="1623026951">
          <w:marLeft w:val="274"/>
          <w:marRight w:val="0"/>
          <w:marTop w:val="0"/>
          <w:marBottom w:val="0"/>
          <w:divBdr>
            <w:top w:val="none" w:sz="0" w:space="0" w:color="auto"/>
            <w:left w:val="none" w:sz="0" w:space="0" w:color="auto"/>
            <w:bottom w:val="none" w:sz="0" w:space="0" w:color="auto"/>
            <w:right w:val="none" w:sz="0" w:space="0" w:color="auto"/>
          </w:divBdr>
        </w:div>
        <w:div w:id="184490457">
          <w:marLeft w:val="274"/>
          <w:marRight w:val="0"/>
          <w:marTop w:val="0"/>
          <w:marBottom w:val="0"/>
          <w:divBdr>
            <w:top w:val="none" w:sz="0" w:space="0" w:color="auto"/>
            <w:left w:val="none" w:sz="0" w:space="0" w:color="auto"/>
            <w:bottom w:val="none" w:sz="0" w:space="0" w:color="auto"/>
            <w:right w:val="none" w:sz="0" w:space="0" w:color="auto"/>
          </w:divBdr>
        </w:div>
        <w:div w:id="1377774915">
          <w:marLeft w:val="274"/>
          <w:marRight w:val="0"/>
          <w:marTop w:val="0"/>
          <w:marBottom w:val="0"/>
          <w:divBdr>
            <w:top w:val="none" w:sz="0" w:space="0" w:color="auto"/>
            <w:left w:val="none" w:sz="0" w:space="0" w:color="auto"/>
            <w:bottom w:val="none" w:sz="0" w:space="0" w:color="auto"/>
            <w:right w:val="none" w:sz="0" w:space="0" w:color="auto"/>
          </w:divBdr>
        </w:div>
        <w:div w:id="591356329">
          <w:marLeft w:val="274"/>
          <w:marRight w:val="0"/>
          <w:marTop w:val="0"/>
          <w:marBottom w:val="0"/>
          <w:divBdr>
            <w:top w:val="none" w:sz="0" w:space="0" w:color="auto"/>
            <w:left w:val="none" w:sz="0" w:space="0" w:color="auto"/>
            <w:bottom w:val="none" w:sz="0" w:space="0" w:color="auto"/>
            <w:right w:val="none" w:sz="0" w:space="0" w:color="auto"/>
          </w:divBdr>
        </w:div>
        <w:div w:id="2120758313">
          <w:marLeft w:val="274"/>
          <w:marRight w:val="0"/>
          <w:marTop w:val="0"/>
          <w:marBottom w:val="0"/>
          <w:divBdr>
            <w:top w:val="none" w:sz="0" w:space="0" w:color="auto"/>
            <w:left w:val="none" w:sz="0" w:space="0" w:color="auto"/>
            <w:bottom w:val="none" w:sz="0" w:space="0" w:color="auto"/>
            <w:right w:val="none" w:sz="0" w:space="0" w:color="auto"/>
          </w:divBdr>
        </w:div>
        <w:div w:id="608200824">
          <w:marLeft w:val="274"/>
          <w:marRight w:val="0"/>
          <w:marTop w:val="0"/>
          <w:marBottom w:val="0"/>
          <w:divBdr>
            <w:top w:val="none" w:sz="0" w:space="0" w:color="auto"/>
            <w:left w:val="none" w:sz="0" w:space="0" w:color="auto"/>
            <w:bottom w:val="none" w:sz="0" w:space="0" w:color="auto"/>
            <w:right w:val="none" w:sz="0" w:space="0" w:color="auto"/>
          </w:divBdr>
        </w:div>
        <w:div w:id="284384229">
          <w:marLeft w:val="274"/>
          <w:marRight w:val="0"/>
          <w:marTop w:val="0"/>
          <w:marBottom w:val="0"/>
          <w:divBdr>
            <w:top w:val="none" w:sz="0" w:space="0" w:color="auto"/>
            <w:left w:val="none" w:sz="0" w:space="0" w:color="auto"/>
            <w:bottom w:val="none" w:sz="0" w:space="0" w:color="auto"/>
            <w:right w:val="none" w:sz="0" w:space="0" w:color="auto"/>
          </w:divBdr>
        </w:div>
        <w:div w:id="125318919">
          <w:marLeft w:val="274"/>
          <w:marRight w:val="0"/>
          <w:marTop w:val="0"/>
          <w:marBottom w:val="0"/>
          <w:divBdr>
            <w:top w:val="none" w:sz="0" w:space="0" w:color="auto"/>
            <w:left w:val="none" w:sz="0" w:space="0" w:color="auto"/>
            <w:bottom w:val="none" w:sz="0" w:space="0" w:color="auto"/>
            <w:right w:val="none" w:sz="0" w:space="0" w:color="auto"/>
          </w:divBdr>
        </w:div>
        <w:div w:id="1112747199">
          <w:marLeft w:val="274"/>
          <w:marRight w:val="0"/>
          <w:marTop w:val="0"/>
          <w:marBottom w:val="0"/>
          <w:divBdr>
            <w:top w:val="none" w:sz="0" w:space="0" w:color="auto"/>
            <w:left w:val="none" w:sz="0" w:space="0" w:color="auto"/>
            <w:bottom w:val="none" w:sz="0" w:space="0" w:color="auto"/>
            <w:right w:val="none" w:sz="0" w:space="0" w:color="auto"/>
          </w:divBdr>
        </w:div>
      </w:divsChild>
    </w:div>
    <w:div w:id="1485009792">
      <w:bodyDiv w:val="1"/>
      <w:marLeft w:val="0"/>
      <w:marRight w:val="0"/>
      <w:marTop w:val="0"/>
      <w:marBottom w:val="0"/>
      <w:divBdr>
        <w:top w:val="none" w:sz="0" w:space="0" w:color="auto"/>
        <w:left w:val="none" w:sz="0" w:space="0" w:color="auto"/>
        <w:bottom w:val="none" w:sz="0" w:space="0" w:color="auto"/>
        <w:right w:val="none" w:sz="0" w:space="0" w:color="auto"/>
      </w:divBdr>
    </w:div>
    <w:div w:id="1485467962">
      <w:bodyDiv w:val="1"/>
      <w:marLeft w:val="0"/>
      <w:marRight w:val="0"/>
      <w:marTop w:val="0"/>
      <w:marBottom w:val="0"/>
      <w:divBdr>
        <w:top w:val="none" w:sz="0" w:space="0" w:color="auto"/>
        <w:left w:val="none" w:sz="0" w:space="0" w:color="auto"/>
        <w:bottom w:val="none" w:sz="0" w:space="0" w:color="auto"/>
        <w:right w:val="none" w:sz="0" w:space="0" w:color="auto"/>
      </w:divBdr>
    </w:div>
    <w:div w:id="1537160682">
      <w:bodyDiv w:val="1"/>
      <w:marLeft w:val="0"/>
      <w:marRight w:val="0"/>
      <w:marTop w:val="0"/>
      <w:marBottom w:val="0"/>
      <w:divBdr>
        <w:top w:val="none" w:sz="0" w:space="0" w:color="auto"/>
        <w:left w:val="none" w:sz="0" w:space="0" w:color="auto"/>
        <w:bottom w:val="none" w:sz="0" w:space="0" w:color="auto"/>
        <w:right w:val="none" w:sz="0" w:space="0" w:color="auto"/>
      </w:divBdr>
    </w:div>
    <w:div w:id="1561867277">
      <w:bodyDiv w:val="1"/>
      <w:marLeft w:val="0"/>
      <w:marRight w:val="0"/>
      <w:marTop w:val="0"/>
      <w:marBottom w:val="0"/>
      <w:divBdr>
        <w:top w:val="none" w:sz="0" w:space="0" w:color="auto"/>
        <w:left w:val="none" w:sz="0" w:space="0" w:color="auto"/>
        <w:bottom w:val="none" w:sz="0" w:space="0" w:color="auto"/>
        <w:right w:val="none" w:sz="0" w:space="0" w:color="auto"/>
      </w:divBdr>
    </w:div>
    <w:div w:id="1579484415">
      <w:bodyDiv w:val="1"/>
      <w:marLeft w:val="0"/>
      <w:marRight w:val="0"/>
      <w:marTop w:val="0"/>
      <w:marBottom w:val="0"/>
      <w:divBdr>
        <w:top w:val="none" w:sz="0" w:space="0" w:color="auto"/>
        <w:left w:val="none" w:sz="0" w:space="0" w:color="auto"/>
        <w:bottom w:val="none" w:sz="0" w:space="0" w:color="auto"/>
        <w:right w:val="none" w:sz="0" w:space="0" w:color="auto"/>
      </w:divBdr>
    </w:div>
    <w:div w:id="1583490236">
      <w:bodyDiv w:val="1"/>
      <w:marLeft w:val="0"/>
      <w:marRight w:val="0"/>
      <w:marTop w:val="0"/>
      <w:marBottom w:val="0"/>
      <w:divBdr>
        <w:top w:val="none" w:sz="0" w:space="0" w:color="auto"/>
        <w:left w:val="none" w:sz="0" w:space="0" w:color="auto"/>
        <w:bottom w:val="none" w:sz="0" w:space="0" w:color="auto"/>
        <w:right w:val="none" w:sz="0" w:space="0" w:color="auto"/>
      </w:divBdr>
    </w:div>
    <w:div w:id="1690255215">
      <w:bodyDiv w:val="1"/>
      <w:marLeft w:val="0"/>
      <w:marRight w:val="0"/>
      <w:marTop w:val="0"/>
      <w:marBottom w:val="0"/>
      <w:divBdr>
        <w:top w:val="none" w:sz="0" w:space="0" w:color="auto"/>
        <w:left w:val="none" w:sz="0" w:space="0" w:color="auto"/>
        <w:bottom w:val="none" w:sz="0" w:space="0" w:color="auto"/>
        <w:right w:val="none" w:sz="0" w:space="0" w:color="auto"/>
      </w:divBdr>
      <w:divsChild>
        <w:div w:id="1648781601">
          <w:marLeft w:val="274"/>
          <w:marRight w:val="0"/>
          <w:marTop w:val="0"/>
          <w:marBottom w:val="0"/>
          <w:divBdr>
            <w:top w:val="none" w:sz="0" w:space="0" w:color="auto"/>
            <w:left w:val="none" w:sz="0" w:space="0" w:color="auto"/>
            <w:bottom w:val="none" w:sz="0" w:space="0" w:color="auto"/>
            <w:right w:val="none" w:sz="0" w:space="0" w:color="auto"/>
          </w:divBdr>
        </w:div>
        <w:div w:id="669679160">
          <w:marLeft w:val="274"/>
          <w:marRight w:val="0"/>
          <w:marTop w:val="0"/>
          <w:marBottom w:val="0"/>
          <w:divBdr>
            <w:top w:val="none" w:sz="0" w:space="0" w:color="auto"/>
            <w:left w:val="none" w:sz="0" w:space="0" w:color="auto"/>
            <w:bottom w:val="none" w:sz="0" w:space="0" w:color="auto"/>
            <w:right w:val="none" w:sz="0" w:space="0" w:color="auto"/>
          </w:divBdr>
        </w:div>
        <w:div w:id="1726248157">
          <w:marLeft w:val="274"/>
          <w:marRight w:val="0"/>
          <w:marTop w:val="0"/>
          <w:marBottom w:val="0"/>
          <w:divBdr>
            <w:top w:val="none" w:sz="0" w:space="0" w:color="auto"/>
            <w:left w:val="none" w:sz="0" w:space="0" w:color="auto"/>
            <w:bottom w:val="none" w:sz="0" w:space="0" w:color="auto"/>
            <w:right w:val="none" w:sz="0" w:space="0" w:color="auto"/>
          </w:divBdr>
        </w:div>
        <w:div w:id="648511423">
          <w:marLeft w:val="274"/>
          <w:marRight w:val="0"/>
          <w:marTop w:val="0"/>
          <w:marBottom w:val="0"/>
          <w:divBdr>
            <w:top w:val="none" w:sz="0" w:space="0" w:color="auto"/>
            <w:left w:val="none" w:sz="0" w:space="0" w:color="auto"/>
            <w:bottom w:val="none" w:sz="0" w:space="0" w:color="auto"/>
            <w:right w:val="none" w:sz="0" w:space="0" w:color="auto"/>
          </w:divBdr>
        </w:div>
        <w:div w:id="1828397244">
          <w:marLeft w:val="274"/>
          <w:marRight w:val="0"/>
          <w:marTop w:val="0"/>
          <w:marBottom w:val="0"/>
          <w:divBdr>
            <w:top w:val="none" w:sz="0" w:space="0" w:color="auto"/>
            <w:left w:val="none" w:sz="0" w:space="0" w:color="auto"/>
            <w:bottom w:val="none" w:sz="0" w:space="0" w:color="auto"/>
            <w:right w:val="none" w:sz="0" w:space="0" w:color="auto"/>
          </w:divBdr>
        </w:div>
        <w:div w:id="467015291">
          <w:marLeft w:val="274"/>
          <w:marRight w:val="0"/>
          <w:marTop w:val="0"/>
          <w:marBottom w:val="0"/>
          <w:divBdr>
            <w:top w:val="none" w:sz="0" w:space="0" w:color="auto"/>
            <w:left w:val="none" w:sz="0" w:space="0" w:color="auto"/>
            <w:bottom w:val="none" w:sz="0" w:space="0" w:color="auto"/>
            <w:right w:val="none" w:sz="0" w:space="0" w:color="auto"/>
          </w:divBdr>
        </w:div>
        <w:div w:id="1041712747">
          <w:marLeft w:val="274"/>
          <w:marRight w:val="0"/>
          <w:marTop w:val="0"/>
          <w:marBottom w:val="0"/>
          <w:divBdr>
            <w:top w:val="none" w:sz="0" w:space="0" w:color="auto"/>
            <w:left w:val="none" w:sz="0" w:space="0" w:color="auto"/>
            <w:bottom w:val="none" w:sz="0" w:space="0" w:color="auto"/>
            <w:right w:val="none" w:sz="0" w:space="0" w:color="auto"/>
          </w:divBdr>
        </w:div>
        <w:div w:id="859701384">
          <w:marLeft w:val="274"/>
          <w:marRight w:val="0"/>
          <w:marTop w:val="0"/>
          <w:marBottom w:val="0"/>
          <w:divBdr>
            <w:top w:val="none" w:sz="0" w:space="0" w:color="auto"/>
            <w:left w:val="none" w:sz="0" w:space="0" w:color="auto"/>
            <w:bottom w:val="none" w:sz="0" w:space="0" w:color="auto"/>
            <w:right w:val="none" w:sz="0" w:space="0" w:color="auto"/>
          </w:divBdr>
        </w:div>
        <w:div w:id="500237369">
          <w:marLeft w:val="274"/>
          <w:marRight w:val="0"/>
          <w:marTop w:val="0"/>
          <w:marBottom w:val="0"/>
          <w:divBdr>
            <w:top w:val="none" w:sz="0" w:space="0" w:color="auto"/>
            <w:left w:val="none" w:sz="0" w:space="0" w:color="auto"/>
            <w:bottom w:val="none" w:sz="0" w:space="0" w:color="auto"/>
            <w:right w:val="none" w:sz="0" w:space="0" w:color="auto"/>
          </w:divBdr>
        </w:div>
        <w:div w:id="1912420626">
          <w:marLeft w:val="274"/>
          <w:marRight w:val="0"/>
          <w:marTop w:val="0"/>
          <w:marBottom w:val="0"/>
          <w:divBdr>
            <w:top w:val="none" w:sz="0" w:space="0" w:color="auto"/>
            <w:left w:val="none" w:sz="0" w:space="0" w:color="auto"/>
            <w:bottom w:val="none" w:sz="0" w:space="0" w:color="auto"/>
            <w:right w:val="none" w:sz="0" w:space="0" w:color="auto"/>
          </w:divBdr>
        </w:div>
      </w:divsChild>
    </w:div>
    <w:div w:id="1717461074">
      <w:bodyDiv w:val="1"/>
      <w:marLeft w:val="0"/>
      <w:marRight w:val="0"/>
      <w:marTop w:val="0"/>
      <w:marBottom w:val="0"/>
      <w:divBdr>
        <w:top w:val="none" w:sz="0" w:space="0" w:color="auto"/>
        <w:left w:val="none" w:sz="0" w:space="0" w:color="auto"/>
        <w:bottom w:val="none" w:sz="0" w:space="0" w:color="auto"/>
        <w:right w:val="none" w:sz="0" w:space="0" w:color="auto"/>
      </w:divBdr>
    </w:div>
    <w:div w:id="1842357795">
      <w:bodyDiv w:val="1"/>
      <w:marLeft w:val="0"/>
      <w:marRight w:val="0"/>
      <w:marTop w:val="0"/>
      <w:marBottom w:val="0"/>
      <w:divBdr>
        <w:top w:val="none" w:sz="0" w:space="0" w:color="auto"/>
        <w:left w:val="none" w:sz="0" w:space="0" w:color="auto"/>
        <w:bottom w:val="none" w:sz="0" w:space="0" w:color="auto"/>
        <w:right w:val="none" w:sz="0" w:space="0" w:color="auto"/>
      </w:divBdr>
    </w:div>
    <w:div w:id="1866555011">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72498063">
      <w:bodyDiv w:val="1"/>
      <w:marLeft w:val="0"/>
      <w:marRight w:val="0"/>
      <w:marTop w:val="0"/>
      <w:marBottom w:val="0"/>
      <w:divBdr>
        <w:top w:val="none" w:sz="0" w:space="0" w:color="auto"/>
        <w:left w:val="none" w:sz="0" w:space="0" w:color="auto"/>
        <w:bottom w:val="none" w:sz="0" w:space="0" w:color="auto"/>
        <w:right w:val="none" w:sz="0" w:space="0" w:color="auto"/>
      </w:divBdr>
      <w:divsChild>
        <w:div w:id="1097873901">
          <w:marLeft w:val="274"/>
          <w:marRight w:val="0"/>
          <w:marTop w:val="0"/>
          <w:marBottom w:val="0"/>
          <w:divBdr>
            <w:top w:val="none" w:sz="0" w:space="0" w:color="auto"/>
            <w:left w:val="none" w:sz="0" w:space="0" w:color="auto"/>
            <w:bottom w:val="none" w:sz="0" w:space="0" w:color="auto"/>
            <w:right w:val="none" w:sz="0" w:space="0" w:color="auto"/>
          </w:divBdr>
        </w:div>
        <w:div w:id="1155878069">
          <w:marLeft w:val="274"/>
          <w:marRight w:val="0"/>
          <w:marTop w:val="0"/>
          <w:marBottom w:val="0"/>
          <w:divBdr>
            <w:top w:val="none" w:sz="0" w:space="0" w:color="auto"/>
            <w:left w:val="none" w:sz="0" w:space="0" w:color="auto"/>
            <w:bottom w:val="none" w:sz="0" w:space="0" w:color="auto"/>
            <w:right w:val="none" w:sz="0" w:space="0" w:color="auto"/>
          </w:divBdr>
        </w:div>
        <w:div w:id="24525165">
          <w:marLeft w:val="274"/>
          <w:marRight w:val="0"/>
          <w:marTop w:val="0"/>
          <w:marBottom w:val="0"/>
          <w:divBdr>
            <w:top w:val="none" w:sz="0" w:space="0" w:color="auto"/>
            <w:left w:val="none" w:sz="0" w:space="0" w:color="auto"/>
            <w:bottom w:val="none" w:sz="0" w:space="0" w:color="auto"/>
            <w:right w:val="none" w:sz="0" w:space="0" w:color="auto"/>
          </w:divBdr>
        </w:div>
        <w:div w:id="549341739">
          <w:marLeft w:val="274"/>
          <w:marRight w:val="0"/>
          <w:marTop w:val="0"/>
          <w:marBottom w:val="0"/>
          <w:divBdr>
            <w:top w:val="none" w:sz="0" w:space="0" w:color="auto"/>
            <w:left w:val="none" w:sz="0" w:space="0" w:color="auto"/>
            <w:bottom w:val="none" w:sz="0" w:space="0" w:color="auto"/>
            <w:right w:val="none" w:sz="0" w:space="0" w:color="auto"/>
          </w:divBdr>
        </w:div>
        <w:div w:id="4871730">
          <w:marLeft w:val="274"/>
          <w:marRight w:val="0"/>
          <w:marTop w:val="0"/>
          <w:marBottom w:val="0"/>
          <w:divBdr>
            <w:top w:val="none" w:sz="0" w:space="0" w:color="auto"/>
            <w:left w:val="none" w:sz="0" w:space="0" w:color="auto"/>
            <w:bottom w:val="none" w:sz="0" w:space="0" w:color="auto"/>
            <w:right w:val="none" w:sz="0" w:space="0" w:color="auto"/>
          </w:divBdr>
        </w:div>
        <w:div w:id="834032963">
          <w:marLeft w:val="274"/>
          <w:marRight w:val="0"/>
          <w:marTop w:val="0"/>
          <w:marBottom w:val="0"/>
          <w:divBdr>
            <w:top w:val="none" w:sz="0" w:space="0" w:color="auto"/>
            <w:left w:val="none" w:sz="0" w:space="0" w:color="auto"/>
            <w:bottom w:val="none" w:sz="0" w:space="0" w:color="auto"/>
            <w:right w:val="none" w:sz="0" w:space="0" w:color="auto"/>
          </w:divBdr>
        </w:div>
        <w:div w:id="2073381198">
          <w:marLeft w:val="274"/>
          <w:marRight w:val="0"/>
          <w:marTop w:val="0"/>
          <w:marBottom w:val="0"/>
          <w:divBdr>
            <w:top w:val="none" w:sz="0" w:space="0" w:color="auto"/>
            <w:left w:val="none" w:sz="0" w:space="0" w:color="auto"/>
            <w:bottom w:val="none" w:sz="0" w:space="0" w:color="auto"/>
            <w:right w:val="none" w:sz="0" w:space="0" w:color="auto"/>
          </w:divBdr>
        </w:div>
        <w:div w:id="972297581">
          <w:marLeft w:val="274"/>
          <w:marRight w:val="0"/>
          <w:marTop w:val="0"/>
          <w:marBottom w:val="0"/>
          <w:divBdr>
            <w:top w:val="none" w:sz="0" w:space="0" w:color="auto"/>
            <w:left w:val="none" w:sz="0" w:space="0" w:color="auto"/>
            <w:bottom w:val="none" w:sz="0" w:space="0" w:color="auto"/>
            <w:right w:val="none" w:sz="0" w:space="0" w:color="auto"/>
          </w:divBdr>
        </w:div>
        <w:div w:id="526913594">
          <w:marLeft w:val="274"/>
          <w:marRight w:val="0"/>
          <w:marTop w:val="0"/>
          <w:marBottom w:val="0"/>
          <w:divBdr>
            <w:top w:val="none" w:sz="0" w:space="0" w:color="auto"/>
            <w:left w:val="none" w:sz="0" w:space="0" w:color="auto"/>
            <w:bottom w:val="none" w:sz="0" w:space="0" w:color="auto"/>
            <w:right w:val="none" w:sz="0" w:space="0" w:color="auto"/>
          </w:divBdr>
        </w:div>
        <w:div w:id="1665862816">
          <w:marLeft w:val="274"/>
          <w:marRight w:val="0"/>
          <w:marTop w:val="0"/>
          <w:marBottom w:val="0"/>
          <w:divBdr>
            <w:top w:val="none" w:sz="0" w:space="0" w:color="auto"/>
            <w:left w:val="none" w:sz="0" w:space="0" w:color="auto"/>
            <w:bottom w:val="none" w:sz="0" w:space="0" w:color="auto"/>
            <w:right w:val="none" w:sz="0" w:space="0" w:color="auto"/>
          </w:divBdr>
        </w:div>
      </w:divsChild>
    </w:div>
    <w:div w:id="1940216199">
      <w:bodyDiv w:val="1"/>
      <w:marLeft w:val="0"/>
      <w:marRight w:val="0"/>
      <w:marTop w:val="0"/>
      <w:marBottom w:val="0"/>
      <w:divBdr>
        <w:top w:val="none" w:sz="0" w:space="0" w:color="auto"/>
        <w:left w:val="none" w:sz="0" w:space="0" w:color="auto"/>
        <w:bottom w:val="none" w:sz="0" w:space="0" w:color="auto"/>
        <w:right w:val="none" w:sz="0" w:space="0" w:color="auto"/>
      </w:divBdr>
    </w:div>
    <w:div w:id="1960913452">
      <w:bodyDiv w:val="1"/>
      <w:marLeft w:val="0"/>
      <w:marRight w:val="0"/>
      <w:marTop w:val="0"/>
      <w:marBottom w:val="0"/>
      <w:divBdr>
        <w:top w:val="none" w:sz="0" w:space="0" w:color="auto"/>
        <w:left w:val="none" w:sz="0" w:space="0" w:color="auto"/>
        <w:bottom w:val="none" w:sz="0" w:space="0" w:color="auto"/>
        <w:right w:val="none" w:sz="0" w:space="0" w:color="auto"/>
      </w:divBdr>
    </w:div>
    <w:div w:id="1961035732">
      <w:bodyDiv w:val="1"/>
      <w:marLeft w:val="0"/>
      <w:marRight w:val="0"/>
      <w:marTop w:val="0"/>
      <w:marBottom w:val="0"/>
      <w:divBdr>
        <w:top w:val="none" w:sz="0" w:space="0" w:color="auto"/>
        <w:left w:val="none" w:sz="0" w:space="0" w:color="auto"/>
        <w:bottom w:val="none" w:sz="0" w:space="0" w:color="auto"/>
        <w:right w:val="none" w:sz="0" w:space="0" w:color="auto"/>
      </w:divBdr>
    </w:div>
    <w:div w:id="1989284735">
      <w:bodyDiv w:val="1"/>
      <w:marLeft w:val="0"/>
      <w:marRight w:val="0"/>
      <w:marTop w:val="0"/>
      <w:marBottom w:val="0"/>
      <w:divBdr>
        <w:top w:val="none" w:sz="0" w:space="0" w:color="auto"/>
        <w:left w:val="none" w:sz="0" w:space="0" w:color="auto"/>
        <w:bottom w:val="none" w:sz="0" w:space="0" w:color="auto"/>
        <w:right w:val="none" w:sz="0" w:space="0" w:color="auto"/>
      </w:divBdr>
    </w:div>
    <w:div w:id="2000109915">
      <w:bodyDiv w:val="1"/>
      <w:marLeft w:val="0"/>
      <w:marRight w:val="0"/>
      <w:marTop w:val="0"/>
      <w:marBottom w:val="0"/>
      <w:divBdr>
        <w:top w:val="none" w:sz="0" w:space="0" w:color="auto"/>
        <w:left w:val="none" w:sz="0" w:space="0" w:color="auto"/>
        <w:bottom w:val="none" w:sz="0" w:space="0" w:color="auto"/>
        <w:right w:val="none" w:sz="0" w:space="0" w:color="auto"/>
      </w:divBdr>
      <w:divsChild>
        <w:div w:id="1733459356">
          <w:marLeft w:val="274"/>
          <w:marRight w:val="0"/>
          <w:marTop w:val="0"/>
          <w:marBottom w:val="0"/>
          <w:divBdr>
            <w:top w:val="none" w:sz="0" w:space="0" w:color="auto"/>
            <w:left w:val="none" w:sz="0" w:space="0" w:color="auto"/>
            <w:bottom w:val="none" w:sz="0" w:space="0" w:color="auto"/>
            <w:right w:val="none" w:sz="0" w:space="0" w:color="auto"/>
          </w:divBdr>
        </w:div>
        <w:div w:id="772898085">
          <w:marLeft w:val="274"/>
          <w:marRight w:val="0"/>
          <w:marTop w:val="0"/>
          <w:marBottom w:val="0"/>
          <w:divBdr>
            <w:top w:val="none" w:sz="0" w:space="0" w:color="auto"/>
            <w:left w:val="none" w:sz="0" w:space="0" w:color="auto"/>
            <w:bottom w:val="none" w:sz="0" w:space="0" w:color="auto"/>
            <w:right w:val="none" w:sz="0" w:space="0" w:color="auto"/>
          </w:divBdr>
        </w:div>
        <w:div w:id="868954695">
          <w:marLeft w:val="274"/>
          <w:marRight w:val="0"/>
          <w:marTop w:val="0"/>
          <w:marBottom w:val="0"/>
          <w:divBdr>
            <w:top w:val="none" w:sz="0" w:space="0" w:color="auto"/>
            <w:left w:val="none" w:sz="0" w:space="0" w:color="auto"/>
            <w:bottom w:val="none" w:sz="0" w:space="0" w:color="auto"/>
            <w:right w:val="none" w:sz="0" w:space="0" w:color="auto"/>
          </w:divBdr>
        </w:div>
        <w:div w:id="343214720">
          <w:marLeft w:val="274"/>
          <w:marRight w:val="0"/>
          <w:marTop w:val="0"/>
          <w:marBottom w:val="0"/>
          <w:divBdr>
            <w:top w:val="none" w:sz="0" w:space="0" w:color="auto"/>
            <w:left w:val="none" w:sz="0" w:space="0" w:color="auto"/>
            <w:bottom w:val="none" w:sz="0" w:space="0" w:color="auto"/>
            <w:right w:val="none" w:sz="0" w:space="0" w:color="auto"/>
          </w:divBdr>
        </w:div>
        <w:div w:id="804008476">
          <w:marLeft w:val="274"/>
          <w:marRight w:val="0"/>
          <w:marTop w:val="0"/>
          <w:marBottom w:val="0"/>
          <w:divBdr>
            <w:top w:val="none" w:sz="0" w:space="0" w:color="auto"/>
            <w:left w:val="none" w:sz="0" w:space="0" w:color="auto"/>
            <w:bottom w:val="none" w:sz="0" w:space="0" w:color="auto"/>
            <w:right w:val="none" w:sz="0" w:space="0" w:color="auto"/>
          </w:divBdr>
        </w:div>
        <w:div w:id="154028720">
          <w:marLeft w:val="274"/>
          <w:marRight w:val="0"/>
          <w:marTop w:val="0"/>
          <w:marBottom w:val="0"/>
          <w:divBdr>
            <w:top w:val="none" w:sz="0" w:space="0" w:color="auto"/>
            <w:left w:val="none" w:sz="0" w:space="0" w:color="auto"/>
            <w:bottom w:val="none" w:sz="0" w:space="0" w:color="auto"/>
            <w:right w:val="none" w:sz="0" w:space="0" w:color="auto"/>
          </w:divBdr>
        </w:div>
        <w:div w:id="1082220166">
          <w:marLeft w:val="274"/>
          <w:marRight w:val="0"/>
          <w:marTop w:val="0"/>
          <w:marBottom w:val="0"/>
          <w:divBdr>
            <w:top w:val="none" w:sz="0" w:space="0" w:color="auto"/>
            <w:left w:val="none" w:sz="0" w:space="0" w:color="auto"/>
            <w:bottom w:val="none" w:sz="0" w:space="0" w:color="auto"/>
            <w:right w:val="none" w:sz="0" w:space="0" w:color="auto"/>
          </w:divBdr>
        </w:div>
        <w:div w:id="763845924">
          <w:marLeft w:val="274"/>
          <w:marRight w:val="0"/>
          <w:marTop w:val="0"/>
          <w:marBottom w:val="0"/>
          <w:divBdr>
            <w:top w:val="none" w:sz="0" w:space="0" w:color="auto"/>
            <w:left w:val="none" w:sz="0" w:space="0" w:color="auto"/>
            <w:bottom w:val="none" w:sz="0" w:space="0" w:color="auto"/>
            <w:right w:val="none" w:sz="0" w:space="0" w:color="auto"/>
          </w:divBdr>
        </w:div>
        <w:div w:id="2062972863">
          <w:marLeft w:val="274"/>
          <w:marRight w:val="0"/>
          <w:marTop w:val="0"/>
          <w:marBottom w:val="0"/>
          <w:divBdr>
            <w:top w:val="none" w:sz="0" w:space="0" w:color="auto"/>
            <w:left w:val="none" w:sz="0" w:space="0" w:color="auto"/>
            <w:bottom w:val="none" w:sz="0" w:space="0" w:color="auto"/>
            <w:right w:val="none" w:sz="0" w:space="0" w:color="auto"/>
          </w:divBdr>
        </w:div>
        <w:div w:id="691418684">
          <w:marLeft w:val="274"/>
          <w:marRight w:val="0"/>
          <w:marTop w:val="0"/>
          <w:marBottom w:val="0"/>
          <w:divBdr>
            <w:top w:val="none" w:sz="0" w:space="0" w:color="auto"/>
            <w:left w:val="none" w:sz="0" w:space="0" w:color="auto"/>
            <w:bottom w:val="none" w:sz="0" w:space="0" w:color="auto"/>
            <w:right w:val="none" w:sz="0" w:space="0" w:color="auto"/>
          </w:divBdr>
        </w:div>
      </w:divsChild>
    </w:div>
    <w:div w:id="2022123356">
      <w:bodyDiv w:val="1"/>
      <w:marLeft w:val="0"/>
      <w:marRight w:val="0"/>
      <w:marTop w:val="0"/>
      <w:marBottom w:val="0"/>
      <w:divBdr>
        <w:top w:val="none" w:sz="0" w:space="0" w:color="auto"/>
        <w:left w:val="none" w:sz="0" w:space="0" w:color="auto"/>
        <w:bottom w:val="none" w:sz="0" w:space="0" w:color="auto"/>
        <w:right w:val="none" w:sz="0" w:space="0" w:color="auto"/>
      </w:divBdr>
    </w:div>
    <w:div w:id="2117215467">
      <w:bodyDiv w:val="1"/>
      <w:marLeft w:val="0"/>
      <w:marRight w:val="0"/>
      <w:marTop w:val="0"/>
      <w:marBottom w:val="0"/>
      <w:divBdr>
        <w:top w:val="none" w:sz="0" w:space="0" w:color="auto"/>
        <w:left w:val="none" w:sz="0" w:space="0" w:color="auto"/>
        <w:bottom w:val="none" w:sz="0" w:space="0" w:color="auto"/>
        <w:right w:val="none" w:sz="0" w:space="0" w:color="auto"/>
      </w:divBdr>
    </w:div>
    <w:div w:id="2124958139">
      <w:bodyDiv w:val="1"/>
      <w:marLeft w:val="0"/>
      <w:marRight w:val="0"/>
      <w:marTop w:val="0"/>
      <w:marBottom w:val="0"/>
      <w:divBdr>
        <w:top w:val="none" w:sz="0" w:space="0" w:color="auto"/>
        <w:left w:val="none" w:sz="0" w:space="0" w:color="auto"/>
        <w:bottom w:val="none" w:sz="0" w:space="0" w:color="auto"/>
        <w:right w:val="none" w:sz="0" w:space="0" w:color="auto"/>
      </w:divBdr>
    </w:div>
    <w:div w:id="214685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yperlink" Target="https://www.canada.ca/en/space-agency/news/2019/03/launching-canadas-space-strategy.html" TargetMode="External"/><Relationship Id="rId41" Type="http://schemas.openxmlformats.org/officeDocument/2006/relationships/image" Target="media/image26.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anada.ca/en/space-agency/news/2019/03/launching-canadas-space-strategy.html" TargetMode="External"/><Relationship Id="rId32" Type="http://schemas.openxmlformats.org/officeDocument/2006/relationships/image" Target="media/image17.png"/><Relationship Id="rId37" Type="http://schemas.openxmlformats.org/officeDocument/2006/relationships/image" Target="media/image22.wmf"/><Relationship Id="rId40" Type="http://schemas.openxmlformats.org/officeDocument/2006/relationships/image" Target="media/image25.png"/><Relationship Id="rId45" Type="http://schemas.openxmlformats.org/officeDocument/2006/relationships/theme" Target="theme/theme1.xml"/><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mbie.govt.nz/assets/new-zealand-space-sector-its-value-scope-and-structure.pdf" TargetMode="External"/><Relationship Id="rId28" Type="http://schemas.openxmlformats.org/officeDocument/2006/relationships/hyperlink" Target="https://www.mbie.govt.nz/assets/new-zealand-space-sector-its-value-scope-and-structure.pdf" TargetMode="External"/><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gov.uk/government/publications/uk-space-industry-size-and-health-report-2018" TargetMode="External"/><Relationship Id="rId27" Type="http://schemas.openxmlformats.org/officeDocument/2006/relationships/hyperlink" Target="https://www.gov.uk/government/publications/uk-space-industry-size-and-health-report-2018"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business/2018/jun/20/telstra-to-cut-8000-jobs-in-major-restructure" TargetMode="External"/><Relationship Id="rId13" Type="http://schemas.openxmlformats.org/officeDocument/2006/relationships/hyperlink" Target="https://www.minister.industry.gov.au/ministers/pyne/media-releases/agenda-transform-australian-economy" TargetMode="External"/><Relationship Id="rId3" Type="http://schemas.openxmlformats.org/officeDocument/2006/relationships/hyperlink" Target="https://www.industry.gov.au/news-media/modern-manufacturing-initiative-and-national-manufacturing-priorities-announced" TargetMode="External"/><Relationship Id="rId7" Type="http://schemas.openxmlformats.org/officeDocument/2006/relationships/hyperlink" Target="https://www.businessinsider.com.au/telstra-will-cut-2800-staff-this-year-to-meet-its-new-cost-cutting-goal-of-1-5-billion-2017-8" TargetMode="External"/><Relationship Id="rId12" Type="http://schemas.openxmlformats.org/officeDocument/2006/relationships/hyperlink" Target="http://heat.com.au/" TargetMode="External"/><Relationship Id="rId2" Type="http://schemas.openxmlformats.org/officeDocument/2006/relationships/hyperlink" Target="https://www.industry.gov.au/news-media/modern-manufacturing-initiative-and-national-manufacturing-priorities-announced" TargetMode="External"/><Relationship Id="rId1" Type="http://schemas.openxmlformats.org/officeDocument/2006/relationships/hyperlink" Target="https://www.minister.industry.gov.au/ministers/karenandrews/media-releases/11m-space-grants-boost-businesses-and-local-jobs" TargetMode="External"/><Relationship Id="rId6" Type="http://schemas.openxmlformats.org/officeDocument/2006/relationships/hyperlink" Target="https://www.industry.gov.au/data-and-publications/review-of-australias-space-industry-capability-report-from-the-expert-reference-group" TargetMode="External"/><Relationship Id="rId11" Type="http://schemas.openxmlformats.org/officeDocument/2006/relationships/hyperlink" Target="https://www.xtek.net/" TargetMode="External"/><Relationship Id="rId5" Type="http://schemas.openxmlformats.org/officeDocument/2006/relationships/hyperlink" Target="https://asc-csa.gc.ca/eng/publications/2019-state-canadian-space-sector.asp" TargetMode="External"/><Relationship Id="rId10" Type="http://schemas.openxmlformats.org/officeDocument/2006/relationships/hyperlink" Target="https://www.afr.com/companies/media-and-marketing/foxtel-cuts-200-jobs-stands-down-140-more-20200408-p54id2" TargetMode="External"/><Relationship Id="rId4" Type="http://schemas.openxmlformats.org/officeDocument/2006/relationships/hyperlink" Target="https://www.industry.gov.au/data-and-publications/definition-of-the-australian-space-sector/defining-the-australian-space-sector" TargetMode="External"/><Relationship Id="rId9" Type="http://schemas.openxmlformats.org/officeDocument/2006/relationships/hyperlink" Target="https://www.abc.net.au/news/2018-05-29/optus-to-cut-400-jobs-to-remove-duplication/9811106" TargetMode="External"/><Relationship Id="rId14" Type="http://schemas.openxmlformats.org/officeDocument/2006/relationships/hyperlink" Target="https://www.industry.gov.au/data-and-publications/definition-of-the-australian-space-sector/defining-the-australian-space-secto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lphaBeta">
  <a:themeElements>
    <a:clrScheme name="Custom 2">
      <a:dk1>
        <a:srgbClr val="000000"/>
      </a:dk1>
      <a:lt1>
        <a:srgbClr val="FFFFFF"/>
      </a:lt1>
      <a:dk2>
        <a:srgbClr val="002060"/>
      </a:dk2>
      <a:lt2>
        <a:srgbClr val="FF8600"/>
      </a:lt2>
      <a:accent1>
        <a:srgbClr val="D9D9D9"/>
      </a:accent1>
      <a:accent2>
        <a:srgbClr val="A6A6A6"/>
      </a:accent2>
      <a:accent3>
        <a:srgbClr val="7D9AAA"/>
      </a:accent3>
      <a:accent4>
        <a:srgbClr val="577586"/>
      </a:accent4>
      <a:accent5>
        <a:srgbClr val="4CB8C1"/>
      </a:accent5>
      <a:accent6>
        <a:srgbClr val="99DEF9"/>
      </a:accent6>
      <a:hlink>
        <a:srgbClr val="A6A6A6"/>
      </a:hlink>
      <a:folHlink>
        <a:srgbClr val="646464"/>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73715-8D51-4EDA-9EB6-3E823D631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9914</Words>
  <Characters>56513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The economic contribution of Australia’s space sector in 2018-19</vt:lpstr>
    </vt:vector>
  </TitlesOfParts>
  <Company/>
  <LinksUpToDate>false</LinksUpToDate>
  <CharactersWithSpaces>66295</CharactersWithSpaces>
  <SharedDoc>false</SharedDoc>
  <HLinks>
    <vt:vector size="270" baseType="variant">
      <vt:variant>
        <vt:i4>24</vt:i4>
      </vt:variant>
      <vt:variant>
        <vt:i4>164</vt:i4>
      </vt:variant>
      <vt:variant>
        <vt:i4>0</vt:i4>
      </vt:variant>
      <vt:variant>
        <vt:i4>5</vt:i4>
      </vt:variant>
      <vt:variant>
        <vt:lpwstr>https://www.canada.ca/en/space-agency/news/2019/03/launching-canadas-space-strategy.html</vt:lpwstr>
      </vt:variant>
      <vt:variant>
        <vt:lpwstr/>
      </vt:variant>
      <vt:variant>
        <vt:i4>6357031</vt:i4>
      </vt:variant>
      <vt:variant>
        <vt:i4>161</vt:i4>
      </vt:variant>
      <vt:variant>
        <vt:i4>0</vt:i4>
      </vt:variant>
      <vt:variant>
        <vt:i4>5</vt:i4>
      </vt:variant>
      <vt:variant>
        <vt:lpwstr>https://www.mbie.govt.nz/assets/new-zealand-space-sector-its-value-scope-and-structure.pdf</vt:lpwstr>
      </vt:variant>
      <vt:variant>
        <vt:lpwstr/>
      </vt:variant>
      <vt:variant>
        <vt:i4>1835093</vt:i4>
      </vt:variant>
      <vt:variant>
        <vt:i4>158</vt:i4>
      </vt:variant>
      <vt:variant>
        <vt:i4>0</vt:i4>
      </vt:variant>
      <vt:variant>
        <vt:i4>5</vt:i4>
      </vt:variant>
      <vt:variant>
        <vt:lpwstr>https://www.gov.uk/government/publications/uk-space-industry-size-and-health-report-2018</vt:lpwstr>
      </vt:variant>
      <vt:variant>
        <vt:lpwstr/>
      </vt:variant>
      <vt:variant>
        <vt:i4>24</vt:i4>
      </vt:variant>
      <vt:variant>
        <vt:i4>155</vt:i4>
      </vt:variant>
      <vt:variant>
        <vt:i4>0</vt:i4>
      </vt:variant>
      <vt:variant>
        <vt:i4>5</vt:i4>
      </vt:variant>
      <vt:variant>
        <vt:lpwstr>https://www.canada.ca/en/space-agency/news/2019/03/launching-canadas-space-strategy.html</vt:lpwstr>
      </vt:variant>
      <vt:variant>
        <vt:lpwstr/>
      </vt:variant>
      <vt:variant>
        <vt:i4>6357031</vt:i4>
      </vt:variant>
      <vt:variant>
        <vt:i4>152</vt:i4>
      </vt:variant>
      <vt:variant>
        <vt:i4>0</vt:i4>
      </vt:variant>
      <vt:variant>
        <vt:i4>5</vt:i4>
      </vt:variant>
      <vt:variant>
        <vt:lpwstr>https://www.mbie.govt.nz/assets/new-zealand-space-sector-its-value-scope-and-structure.pdf</vt:lpwstr>
      </vt:variant>
      <vt:variant>
        <vt:lpwstr/>
      </vt:variant>
      <vt:variant>
        <vt:i4>1835093</vt:i4>
      </vt:variant>
      <vt:variant>
        <vt:i4>149</vt:i4>
      </vt:variant>
      <vt:variant>
        <vt:i4>0</vt:i4>
      </vt:variant>
      <vt:variant>
        <vt:i4>5</vt:i4>
      </vt:variant>
      <vt:variant>
        <vt:lpwstr>https://www.gov.uk/government/publications/uk-space-industry-size-and-health-report-2018</vt:lpwstr>
      </vt:variant>
      <vt:variant>
        <vt:lpwstr/>
      </vt:variant>
      <vt:variant>
        <vt:i4>1245233</vt:i4>
      </vt:variant>
      <vt:variant>
        <vt:i4>110</vt:i4>
      </vt:variant>
      <vt:variant>
        <vt:i4>0</vt:i4>
      </vt:variant>
      <vt:variant>
        <vt:i4>5</vt:i4>
      </vt:variant>
      <vt:variant>
        <vt:lpwstr/>
      </vt:variant>
      <vt:variant>
        <vt:lpwstr>_Toc49366209</vt:lpwstr>
      </vt:variant>
      <vt:variant>
        <vt:i4>1179697</vt:i4>
      </vt:variant>
      <vt:variant>
        <vt:i4>104</vt:i4>
      </vt:variant>
      <vt:variant>
        <vt:i4>0</vt:i4>
      </vt:variant>
      <vt:variant>
        <vt:i4>5</vt:i4>
      </vt:variant>
      <vt:variant>
        <vt:lpwstr/>
      </vt:variant>
      <vt:variant>
        <vt:lpwstr>_Toc49366208</vt:lpwstr>
      </vt:variant>
      <vt:variant>
        <vt:i4>1900593</vt:i4>
      </vt:variant>
      <vt:variant>
        <vt:i4>98</vt:i4>
      </vt:variant>
      <vt:variant>
        <vt:i4>0</vt:i4>
      </vt:variant>
      <vt:variant>
        <vt:i4>5</vt:i4>
      </vt:variant>
      <vt:variant>
        <vt:lpwstr/>
      </vt:variant>
      <vt:variant>
        <vt:lpwstr>_Toc49366207</vt:lpwstr>
      </vt:variant>
      <vt:variant>
        <vt:i4>1835057</vt:i4>
      </vt:variant>
      <vt:variant>
        <vt:i4>92</vt:i4>
      </vt:variant>
      <vt:variant>
        <vt:i4>0</vt:i4>
      </vt:variant>
      <vt:variant>
        <vt:i4>5</vt:i4>
      </vt:variant>
      <vt:variant>
        <vt:lpwstr/>
      </vt:variant>
      <vt:variant>
        <vt:lpwstr>_Toc49366206</vt:lpwstr>
      </vt:variant>
      <vt:variant>
        <vt:i4>2031665</vt:i4>
      </vt:variant>
      <vt:variant>
        <vt:i4>86</vt:i4>
      </vt:variant>
      <vt:variant>
        <vt:i4>0</vt:i4>
      </vt:variant>
      <vt:variant>
        <vt:i4>5</vt:i4>
      </vt:variant>
      <vt:variant>
        <vt:lpwstr/>
      </vt:variant>
      <vt:variant>
        <vt:lpwstr>_Toc49366205</vt:lpwstr>
      </vt:variant>
      <vt:variant>
        <vt:i4>1966129</vt:i4>
      </vt:variant>
      <vt:variant>
        <vt:i4>80</vt:i4>
      </vt:variant>
      <vt:variant>
        <vt:i4>0</vt:i4>
      </vt:variant>
      <vt:variant>
        <vt:i4>5</vt:i4>
      </vt:variant>
      <vt:variant>
        <vt:lpwstr/>
      </vt:variant>
      <vt:variant>
        <vt:lpwstr>_Toc49366204</vt:lpwstr>
      </vt:variant>
      <vt:variant>
        <vt:i4>1638449</vt:i4>
      </vt:variant>
      <vt:variant>
        <vt:i4>74</vt:i4>
      </vt:variant>
      <vt:variant>
        <vt:i4>0</vt:i4>
      </vt:variant>
      <vt:variant>
        <vt:i4>5</vt:i4>
      </vt:variant>
      <vt:variant>
        <vt:lpwstr/>
      </vt:variant>
      <vt:variant>
        <vt:lpwstr>_Toc49366203</vt:lpwstr>
      </vt:variant>
      <vt:variant>
        <vt:i4>1572913</vt:i4>
      </vt:variant>
      <vt:variant>
        <vt:i4>68</vt:i4>
      </vt:variant>
      <vt:variant>
        <vt:i4>0</vt:i4>
      </vt:variant>
      <vt:variant>
        <vt:i4>5</vt:i4>
      </vt:variant>
      <vt:variant>
        <vt:lpwstr/>
      </vt:variant>
      <vt:variant>
        <vt:lpwstr>_Toc49366202</vt:lpwstr>
      </vt:variant>
      <vt:variant>
        <vt:i4>1769521</vt:i4>
      </vt:variant>
      <vt:variant>
        <vt:i4>62</vt:i4>
      </vt:variant>
      <vt:variant>
        <vt:i4>0</vt:i4>
      </vt:variant>
      <vt:variant>
        <vt:i4>5</vt:i4>
      </vt:variant>
      <vt:variant>
        <vt:lpwstr/>
      </vt:variant>
      <vt:variant>
        <vt:lpwstr>_Toc49366201</vt:lpwstr>
      </vt:variant>
      <vt:variant>
        <vt:i4>1703985</vt:i4>
      </vt:variant>
      <vt:variant>
        <vt:i4>56</vt:i4>
      </vt:variant>
      <vt:variant>
        <vt:i4>0</vt:i4>
      </vt:variant>
      <vt:variant>
        <vt:i4>5</vt:i4>
      </vt:variant>
      <vt:variant>
        <vt:lpwstr/>
      </vt:variant>
      <vt:variant>
        <vt:lpwstr>_Toc49366200</vt:lpwstr>
      </vt:variant>
      <vt:variant>
        <vt:i4>1114168</vt:i4>
      </vt:variant>
      <vt:variant>
        <vt:i4>50</vt:i4>
      </vt:variant>
      <vt:variant>
        <vt:i4>0</vt:i4>
      </vt:variant>
      <vt:variant>
        <vt:i4>5</vt:i4>
      </vt:variant>
      <vt:variant>
        <vt:lpwstr/>
      </vt:variant>
      <vt:variant>
        <vt:lpwstr>_Toc49366198</vt:lpwstr>
      </vt:variant>
      <vt:variant>
        <vt:i4>1966136</vt:i4>
      </vt:variant>
      <vt:variant>
        <vt:i4>44</vt:i4>
      </vt:variant>
      <vt:variant>
        <vt:i4>0</vt:i4>
      </vt:variant>
      <vt:variant>
        <vt:i4>5</vt:i4>
      </vt:variant>
      <vt:variant>
        <vt:lpwstr/>
      </vt:variant>
      <vt:variant>
        <vt:lpwstr>_Toc49366197</vt:lpwstr>
      </vt:variant>
      <vt:variant>
        <vt:i4>2031672</vt:i4>
      </vt:variant>
      <vt:variant>
        <vt:i4>38</vt:i4>
      </vt:variant>
      <vt:variant>
        <vt:i4>0</vt:i4>
      </vt:variant>
      <vt:variant>
        <vt:i4>5</vt:i4>
      </vt:variant>
      <vt:variant>
        <vt:lpwstr/>
      </vt:variant>
      <vt:variant>
        <vt:lpwstr>_Toc49366196</vt:lpwstr>
      </vt:variant>
      <vt:variant>
        <vt:i4>1900600</vt:i4>
      </vt:variant>
      <vt:variant>
        <vt:i4>32</vt:i4>
      </vt:variant>
      <vt:variant>
        <vt:i4>0</vt:i4>
      </vt:variant>
      <vt:variant>
        <vt:i4>5</vt:i4>
      </vt:variant>
      <vt:variant>
        <vt:lpwstr/>
      </vt:variant>
      <vt:variant>
        <vt:lpwstr>_Toc49366194</vt:lpwstr>
      </vt:variant>
      <vt:variant>
        <vt:i4>1769528</vt:i4>
      </vt:variant>
      <vt:variant>
        <vt:i4>26</vt:i4>
      </vt:variant>
      <vt:variant>
        <vt:i4>0</vt:i4>
      </vt:variant>
      <vt:variant>
        <vt:i4>5</vt:i4>
      </vt:variant>
      <vt:variant>
        <vt:lpwstr/>
      </vt:variant>
      <vt:variant>
        <vt:lpwstr>_Toc49366192</vt:lpwstr>
      </vt:variant>
      <vt:variant>
        <vt:i4>1572920</vt:i4>
      </vt:variant>
      <vt:variant>
        <vt:i4>20</vt:i4>
      </vt:variant>
      <vt:variant>
        <vt:i4>0</vt:i4>
      </vt:variant>
      <vt:variant>
        <vt:i4>5</vt:i4>
      </vt:variant>
      <vt:variant>
        <vt:lpwstr/>
      </vt:variant>
      <vt:variant>
        <vt:lpwstr>_Toc49366191</vt:lpwstr>
      </vt:variant>
      <vt:variant>
        <vt:i4>1638456</vt:i4>
      </vt:variant>
      <vt:variant>
        <vt:i4>14</vt:i4>
      </vt:variant>
      <vt:variant>
        <vt:i4>0</vt:i4>
      </vt:variant>
      <vt:variant>
        <vt:i4>5</vt:i4>
      </vt:variant>
      <vt:variant>
        <vt:lpwstr/>
      </vt:variant>
      <vt:variant>
        <vt:lpwstr>_Toc49366190</vt:lpwstr>
      </vt:variant>
      <vt:variant>
        <vt:i4>1048633</vt:i4>
      </vt:variant>
      <vt:variant>
        <vt:i4>8</vt:i4>
      </vt:variant>
      <vt:variant>
        <vt:i4>0</vt:i4>
      </vt:variant>
      <vt:variant>
        <vt:i4>5</vt:i4>
      </vt:variant>
      <vt:variant>
        <vt:lpwstr/>
      </vt:variant>
      <vt:variant>
        <vt:lpwstr>_Toc49366189</vt:lpwstr>
      </vt:variant>
      <vt:variant>
        <vt:i4>1114169</vt:i4>
      </vt:variant>
      <vt:variant>
        <vt:i4>2</vt:i4>
      </vt:variant>
      <vt:variant>
        <vt:i4>0</vt:i4>
      </vt:variant>
      <vt:variant>
        <vt:i4>5</vt:i4>
      </vt:variant>
      <vt:variant>
        <vt:lpwstr/>
      </vt:variant>
      <vt:variant>
        <vt:lpwstr>_Toc49366188</vt:lpwstr>
      </vt:variant>
      <vt:variant>
        <vt:i4>1900559</vt:i4>
      </vt:variant>
      <vt:variant>
        <vt:i4>33</vt:i4>
      </vt:variant>
      <vt:variant>
        <vt:i4>0</vt:i4>
      </vt:variant>
      <vt:variant>
        <vt:i4>5</vt:i4>
      </vt:variant>
      <vt:variant>
        <vt:lpwstr>https://www.industry.gov.au/data-and-publications/definition-of-the-australian-space-sector/defining-the-australian-space-sector</vt:lpwstr>
      </vt:variant>
      <vt:variant>
        <vt:lpwstr/>
      </vt:variant>
      <vt:variant>
        <vt:i4>3997814</vt:i4>
      </vt:variant>
      <vt:variant>
        <vt:i4>30</vt:i4>
      </vt:variant>
      <vt:variant>
        <vt:i4>0</vt:i4>
      </vt:variant>
      <vt:variant>
        <vt:i4>5</vt:i4>
      </vt:variant>
      <vt:variant>
        <vt:lpwstr>https://www.minister.industry.gov.au/ministers/pyne/media-releases/agenda-transform-australian-economy</vt:lpwstr>
      </vt:variant>
      <vt:variant>
        <vt:lpwstr/>
      </vt:variant>
      <vt:variant>
        <vt:i4>3670135</vt:i4>
      </vt:variant>
      <vt:variant>
        <vt:i4>27</vt:i4>
      </vt:variant>
      <vt:variant>
        <vt:i4>0</vt:i4>
      </vt:variant>
      <vt:variant>
        <vt:i4>5</vt:i4>
      </vt:variant>
      <vt:variant>
        <vt:lpwstr>http://heat.com.au/</vt:lpwstr>
      </vt:variant>
      <vt:variant>
        <vt:lpwstr/>
      </vt:variant>
      <vt:variant>
        <vt:i4>5046294</vt:i4>
      </vt:variant>
      <vt:variant>
        <vt:i4>24</vt:i4>
      </vt:variant>
      <vt:variant>
        <vt:i4>0</vt:i4>
      </vt:variant>
      <vt:variant>
        <vt:i4>5</vt:i4>
      </vt:variant>
      <vt:variant>
        <vt:lpwstr>https://www.xtek.net/</vt:lpwstr>
      </vt:variant>
      <vt:variant>
        <vt:lpwstr/>
      </vt:variant>
      <vt:variant>
        <vt:i4>3080307</vt:i4>
      </vt:variant>
      <vt:variant>
        <vt:i4>21</vt:i4>
      </vt:variant>
      <vt:variant>
        <vt:i4>0</vt:i4>
      </vt:variant>
      <vt:variant>
        <vt:i4>5</vt:i4>
      </vt:variant>
      <vt:variant>
        <vt:lpwstr>https://www.afr.com/companies/media-and-marketing/foxtel-cuts-200-jobs-stands-down-140-more-20200408-p54id2</vt:lpwstr>
      </vt:variant>
      <vt:variant>
        <vt:lpwstr/>
      </vt:variant>
      <vt:variant>
        <vt:i4>917526</vt:i4>
      </vt:variant>
      <vt:variant>
        <vt:i4>18</vt:i4>
      </vt:variant>
      <vt:variant>
        <vt:i4>0</vt:i4>
      </vt:variant>
      <vt:variant>
        <vt:i4>5</vt:i4>
      </vt:variant>
      <vt:variant>
        <vt:lpwstr>https://www.abc.net.au/news/2018-05-29/optus-to-cut-400-jobs-to-remove-duplication/9811106</vt:lpwstr>
      </vt:variant>
      <vt:variant>
        <vt:lpwstr>:~:text=Optus%20has%20confirmed%20it%20will,%22%2C%20a%20company%20spokesperson%20said.</vt:lpwstr>
      </vt:variant>
      <vt:variant>
        <vt:i4>3342432</vt:i4>
      </vt:variant>
      <vt:variant>
        <vt:i4>15</vt:i4>
      </vt:variant>
      <vt:variant>
        <vt:i4>0</vt:i4>
      </vt:variant>
      <vt:variant>
        <vt:i4>5</vt:i4>
      </vt:variant>
      <vt:variant>
        <vt:lpwstr>https://www.theguardian.com/business/2018/jun/20/telstra-to-cut-8000-jobs-in-major-restructure</vt:lpwstr>
      </vt:variant>
      <vt:variant>
        <vt:lpwstr/>
      </vt:variant>
      <vt:variant>
        <vt:i4>983122</vt:i4>
      </vt:variant>
      <vt:variant>
        <vt:i4>12</vt:i4>
      </vt:variant>
      <vt:variant>
        <vt:i4>0</vt:i4>
      </vt:variant>
      <vt:variant>
        <vt:i4>5</vt:i4>
      </vt:variant>
      <vt:variant>
        <vt:lpwstr>https://www.businessinsider.com.au/telstra-will-cut-2800-staff-this-year-to-meet-its-new-cost-cutting-goal-of-1-5-billion-2017-8</vt:lpwstr>
      </vt:variant>
      <vt:variant>
        <vt:lpwstr/>
      </vt:variant>
      <vt:variant>
        <vt:i4>7274543</vt:i4>
      </vt:variant>
      <vt:variant>
        <vt:i4>9</vt:i4>
      </vt:variant>
      <vt:variant>
        <vt:i4>0</vt:i4>
      </vt:variant>
      <vt:variant>
        <vt:i4>5</vt:i4>
      </vt:variant>
      <vt:variant>
        <vt:lpwstr>https://www.industry.gov.au/data-and-publications/review-of-australias-space-industry-capability-report-from-the-expert-reference-group</vt:lpwstr>
      </vt:variant>
      <vt:variant>
        <vt:lpwstr/>
      </vt:variant>
      <vt:variant>
        <vt:i4>4128831</vt:i4>
      </vt:variant>
      <vt:variant>
        <vt:i4>6</vt:i4>
      </vt:variant>
      <vt:variant>
        <vt:i4>0</vt:i4>
      </vt:variant>
      <vt:variant>
        <vt:i4>5</vt:i4>
      </vt:variant>
      <vt:variant>
        <vt:lpwstr>https://asc-csa.gc.ca/eng/publications/2019-state-canadian-space-sector.asp</vt:lpwstr>
      </vt:variant>
      <vt:variant>
        <vt:lpwstr/>
      </vt:variant>
      <vt:variant>
        <vt:i4>1900559</vt:i4>
      </vt:variant>
      <vt:variant>
        <vt:i4>3</vt:i4>
      </vt:variant>
      <vt:variant>
        <vt:i4>0</vt:i4>
      </vt:variant>
      <vt:variant>
        <vt:i4>5</vt:i4>
      </vt:variant>
      <vt:variant>
        <vt:lpwstr>https://www.industry.gov.au/data-and-publications/definition-of-the-australian-space-sector/defining-the-australian-space-sector</vt:lpwstr>
      </vt:variant>
      <vt:variant>
        <vt:lpwstr/>
      </vt:variant>
      <vt:variant>
        <vt:i4>8257582</vt:i4>
      </vt:variant>
      <vt:variant>
        <vt:i4>0</vt:i4>
      </vt:variant>
      <vt:variant>
        <vt:i4>0</vt:i4>
      </vt:variant>
      <vt:variant>
        <vt:i4>5</vt:i4>
      </vt:variant>
      <vt:variant>
        <vt:lpwstr>https://www.minister.industry.gov.au/ministers/karenandrews/media-releases/11m-space-grants-boost-businesses-and-local-jobs</vt:lpwstr>
      </vt:variant>
      <vt:variant>
        <vt:lpwstr/>
      </vt:variant>
      <vt:variant>
        <vt:i4>8192006</vt:i4>
      </vt:variant>
      <vt:variant>
        <vt:i4>21</vt:i4>
      </vt:variant>
      <vt:variant>
        <vt:i4>0</vt:i4>
      </vt:variant>
      <vt:variant>
        <vt:i4>5</vt:i4>
      </vt:variant>
      <vt:variant>
        <vt:lpwstr>mailto:jun.tong@accenture.com</vt:lpwstr>
      </vt:variant>
      <vt:variant>
        <vt:lpwstr/>
      </vt:variant>
      <vt:variant>
        <vt:i4>3539010</vt:i4>
      </vt:variant>
      <vt:variant>
        <vt:i4>18</vt:i4>
      </vt:variant>
      <vt:variant>
        <vt:i4>0</vt:i4>
      </vt:variant>
      <vt:variant>
        <vt:i4>5</vt:i4>
      </vt:variant>
      <vt:variant>
        <vt:lpwstr>mailto:kate.pounder@accenture.com</vt:lpwstr>
      </vt:variant>
      <vt:variant>
        <vt:lpwstr/>
      </vt:variant>
      <vt:variant>
        <vt:i4>8192006</vt:i4>
      </vt:variant>
      <vt:variant>
        <vt:i4>15</vt:i4>
      </vt:variant>
      <vt:variant>
        <vt:i4>0</vt:i4>
      </vt:variant>
      <vt:variant>
        <vt:i4>5</vt:i4>
      </vt:variant>
      <vt:variant>
        <vt:lpwstr>mailto:jun.tong@accenture.com</vt:lpwstr>
      </vt:variant>
      <vt:variant>
        <vt:lpwstr/>
      </vt:variant>
      <vt:variant>
        <vt:i4>6291514</vt:i4>
      </vt:variant>
      <vt:variant>
        <vt:i4>12</vt:i4>
      </vt:variant>
      <vt:variant>
        <vt:i4>0</vt:i4>
      </vt:variant>
      <vt:variant>
        <vt:i4>5</vt:i4>
      </vt:variant>
      <vt:variant>
        <vt:lpwstr>https://brycetech.com/reports/report-documents/SIA_SSIR_2020.pdf</vt:lpwstr>
      </vt:variant>
      <vt:variant>
        <vt:lpwstr/>
      </vt:variant>
      <vt:variant>
        <vt:i4>1441900</vt:i4>
      </vt:variant>
      <vt:variant>
        <vt:i4>9</vt:i4>
      </vt:variant>
      <vt:variant>
        <vt:i4>0</vt:i4>
      </vt:variant>
      <vt:variant>
        <vt:i4>5</vt:i4>
      </vt:variant>
      <vt:variant>
        <vt:lpwstr>https://www.industry.gov.au/news-media/australian-space-agency-news?field_news_section_tid=2584</vt:lpwstr>
      </vt:variant>
      <vt:variant>
        <vt:lpwstr/>
      </vt:variant>
      <vt:variant>
        <vt:i4>4390930</vt:i4>
      </vt:variant>
      <vt:variant>
        <vt:i4>6</vt:i4>
      </vt:variant>
      <vt:variant>
        <vt:i4>0</vt:i4>
      </vt:variant>
      <vt:variant>
        <vt:i4>5</vt:i4>
      </vt:variant>
      <vt:variant>
        <vt:lpwstr>https://www.minister.industry.gov.au/ministers/karenandrews/media-releases/launching-aussie-businesses-space-supply-chain</vt:lpwstr>
      </vt:variant>
      <vt:variant>
        <vt:lpwstr/>
      </vt:variant>
      <vt:variant>
        <vt:i4>4849665</vt:i4>
      </vt:variant>
      <vt:variant>
        <vt:i4>3</vt:i4>
      </vt:variant>
      <vt:variant>
        <vt:i4>0</vt:i4>
      </vt:variant>
      <vt:variant>
        <vt:i4>5</vt:i4>
      </vt:variant>
      <vt:variant>
        <vt:lpwstr>https://www.industry.gov.au/news-media/australian-space-agency-news/perth-supercomputing-grant-to-enhance-space-data</vt:lpwstr>
      </vt:variant>
      <vt:variant>
        <vt:lpwstr/>
      </vt:variant>
      <vt:variant>
        <vt:i4>3342393</vt:i4>
      </vt:variant>
      <vt:variant>
        <vt:i4>0</vt:i4>
      </vt:variant>
      <vt:variant>
        <vt:i4>0</vt:i4>
      </vt:variant>
      <vt:variant>
        <vt:i4>5</vt:i4>
      </vt:variant>
      <vt:variant>
        <vt:lpwstr>https://www.liberal.org.au/latest-news/2020/02/19/space-agency-touches-down-adelaide-home-base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economic contribution of Australia’s space sector in 2018-19</dc:title>
  <dc:subject/>
  <dc:creator/>
  <cp:keywords/>
  <dc:description/>
  <cp:lastModifiedBy/>
  <cp:revision>1</cp:revision>
  <dcterms:created xsi:type="dcterms:W3CDTF">2021-02-07T23:05:00Z</dcterms:created>
  <dcterms:modified xsi:type="dcterms:W3CDTF">2021-02-07T23:06:00Z</dcterms:modified>
</cp:coreProperties>
</file>