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60997741" w:displacedByCustomXml="next"/>
    <w:bookmarkEnd w:id="1" w:displacedByCustomXml="next"/>
    <w:bookmarkStart w:id="2" w:name="_Toc61015555" w:displacedByCustomXml="next"/>
    <w:bookmarkEnd w:id="2" w:displacedByCustomXml="next"/>
    <w:bookmarkStart w:id="3" w:name="_Toc60836752" w:displacedByCustomXml="next"/>
    <w:bookmarkEnd w:id="3" w:displacedByCustomXml="next"/>
    <w:bookmarkStart w:id="4" w:name="_Toc60834802" w:displacedByCustomXml="next"/>
    <w:bookmarkEnd w:id="4" w:displacedByCustomXml="next"/>
    <w:bookmarkStart w:id="5" w:name="_Toc60760617" w:displacedByCustomXml="next"/>
    <w:bookmarkEnd w:id="5" w:displacedByCustomXml="next"/>
    <w:bookmarkStart w:id="6" w:name="_Toc59109335" w:displacedByCustomXml="next"/>
    <w:bookmarkEnd w:id="6" w:displacedByCustomXml="next"/>
    <w:bookmarkStart w:id="7" w:name="_Toc53412068" w:displacedByCustomXml="next"/>
    <w:bookmarkEnd w:id="7" w:displacedByCustomXml="next"/>
    <w:bookmarkStart w:id="8" w:name="_Toc52269344" w:displacedByCustomXml="next"/>
    <w:bookmarkEnd w:id="8" w:displacedByCustomXml="next"/>
    <w:bookmarkStart w:id="9" w:name="_Toc51690390" w:displacedByCustomXml="next"/>
    <w:bookmarkEnd w:id="9" w:displacedByCustomXml="next"/>
    <w:bookmarkStart w:id="10" w:name="_Toc19289801" w:displacedByCustomXml="next"/>
    <w:bookmarkEnd w:id="10" w:displacedByCustomXml="next"/>
    <w:bookmarkStart w:id="11" w:name="_Toc51587595" w:displacedByCustomXml="next"/>
    <w:bookmarkEnd w:id="11" w:displacedByCustomXml="next"/>
    <w:bookmarkStart w:id="12" w:name="_Toc51596025" w:displacedByCustomXml="next"/>
    <w:bookmarkEnd w:id="12" w:displacedByCustomXml="next"/>
    <w:bookmarkStart w:id="13" w:name="_Toc51682540" w:displacedByCustomXml="next"/>
    <w:bookmarkEnd w:id="13" w:displacedByCustomXml="next"/>
    <w:bookmarkStart w:id="14" w:name="_Toc51685660" w:displacedByCustomXml="next"/>
    <w:bookmarkEnd w:id="14" w:displacedByCustomXml="next"/>
    <w:bookmarkStart w:id="15" w:name="_Toc51688739" w:displacedByCustomXml="next"/>
    <w:bookmarkEnd w:id="15" w:displacedByCustomXml="next"/>
    <w:bookmarkStart w:id="16" w:name="_Toc51686283" w:displacedByCustomXml="next"/>
    <w:bookmarkEnd w:id="16" w:displacedByCustomXml="next"/>
    <w:bookmarkStart w:id="17" w:name="_Toc51689043" w:displacedByCustomXml="next"/>
    <w:bookmarkEnd w:id="17" w:displacedByCustomXml="next"/>
    <w:bookmarkStart w:id="18" w:name="_Toc51778325" w:displacedByCustomXml="next"/>
    <w:bookmarkEnd w:id="18" w:displacedByCustomXml="next"/>
    <w:bookmarkStart w:id="19" w:name="_Toc51751849" w:displacedByCustomXml="next"/>
    <w:bookmarkEnd w:id="19" w:displacedByCustomXml="next"/>
    <w:bookmarkStart w:id="20" w:name="_Toc51759063" w:displacedByCustomXml="next"/>
    <w:bookmarkEnd w:id="20" w:displacedByCustomXml="next"/>
    <w:bookmarkStart w:id="21" w:name="_Toc51760226" w:displacedByCustomXml="next"/>
    <w:bookmarkEnd w:id="21" w:displacedByCustomXml="next"/>
    <w:bookmarkStart w:id="22" w:name="_Toc51762620" w:displacedByCustomXml="next"/>
    <w:bookmarkEnd w:id="22" w:displacedByCustomXml="next"/>
    <w:bookmarkStart w:id="23" w:name="_Toc51762852" w:displacedByCustomXml="next"/>
    <w:bookmarkEnd w:id="23" w:displacedByCustomXml="next"/>
    <w:bookmarkStart w:id="24" w:name="_Toc63074064" w:displacedByCustomXml="next"/>
    <w:bookmarkEnd w:id="24" w:displacedByCustomXml="next"/>
    <w:bookmarkStart w:id="25" w:name="_Toc61600722" w:displacedByCustomXml="next"/>
    <w:bookmarkEnd w:id="25" w:displacedByCustomXml="next"/>
    <w:bookmarkStart w:id="26" w:name="_Toc61356695" w:displacedByCustomXml="next"/>
    <w:bookmarkEnd w:id="26" w:displacedByCustomXml="next"/>
    <w:bookmarkStart w:id="27" w:name="_Toc61269587" w:displacedByCustomXml="next"/>
    <w:bookmarkEnd w:id="27" w:displacedByCustomXml="next"/>
    <w:bookmarkStart w:id="28" w:name="_Toc62852307" w:displacedByCustomXml="next"/>
    <w:bookmarkEnd w:id="28" w:displacedByCustomXml="next"/>
    <w:bookmarkStart w:id="29" w:name="_Toc65159305" w:displacedByCustomXml="next"/>
    <w:bookmarkStart w:id="30" w:name="_Toc65095817" w:displacedByCustomXml="next"/>
    <w:bookmarkStart w:id="31" w:name="_Toc65095701" w:displacedByCustomXml="next"/>
    <w:bookmarkStart w:id="32" w:name="_Toc65095581"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rPr>
          <w:sz w:val="24"/>
        </w:rPr>
      </w:sdtEndPr>
      <w:sdtContent>
        <w:bookmarkEnd w:id="32" w:displacedByCustomXml="prev"/>
        <w:bookmarkEnd w:id="31" w:displacedByCustomXml="prev"/>
        <w:bookmarkEnd w:id="30" w:displacedByCustomXml="prev"/>
        <w:bookmarkEnd w:id="29" w:displacedByCustomXml="prev"/>
        <w:p w14:paraId="3F9C1E2A" w14:textId="3433ACBA" w:rsidR="0068286F" w:rsidRDefault="00F17EC9" w:rsidP="000E599A">
          <w:pPr>
            <w:pStyle w:val="Title"/>
          </w:pPr>
          <w:r>
            <w:t>Patents Accessibility Review</w:t>
          </w:r>
        </w:p>
        <w:p w14:paraId="7FA8A217" w14:textId="5348DB7D" w:rsidR="00196B70" w:rsidRDefault="008731F6" w:rsidP="00697567">
          <w:pPr>
            <w:pStyle w:val="Subtitle"/>
          </w:pPr>
          <w:r>
            <w:t>Final report</w:t>
          </w:r>
        </w:p>
        <w:p w14:paraId="2991F6D4" w14:textId="77777777" w:rsidR="00196B70" w:rsidRDefault="00196B70" w:rsidP="00697567">
          <w:pPr>
            <w:pStyle w:val="Subtitle"/>
          </w:pPr>
        </w:p>
        <w:p w14:paraId="633E0028" w14:textId="4695DAFD" w:rsidR="004A6596" w:rsidRDefault="004A6596" w:rsidP="00697567">
          <w:pPr>
            <w:pStyle w:val="Subtitle"/>
          </w:pPr>
          <w:r>
            <w:t>Emeritus Professor Raoul Mortley AO</w:t>
          </w:r>
          <w:r w:rsidR="008839CA">
            <w:t>, FAHA</w:t>
          </w:r>
        </w:p>
        <w:p w14:paraId="703B5477" w14:textId="77777777" w:rsidR="00697567" w:rsidRDefault="00697567" w:rsidP="00697567">
          <w:pPr>
            <w:pStyle w:val="Subtitle"/>
          </w:pPr>
        </w:p>
        <w:p w14:paraId="2F243D7C" w14:textId="3EBEF3D4" w:rsidR="0068286F" w:rsidRPr="002B3A3A" w:rsidRDefault="00D73BAF" w:rsidP="001D51DA">
          <w:pPr>
            <w:pStyle w:val="Authoranddate"/>
          </w:pPr>
          <w:r w:rsidRPr="008B5330">
            <w:t>February</w:t>
          </w:r>
          <w:r w:rsidR="00881301" w:rsidRPr="008B5330">
            <w:t xml:space="preserve"> </w:t>
          </w:r>
          <w:r w:rsidRPr="008B5330">
            <w:t>2021</w:t>
          </w:r>
        </w:p>
        <w:p w14:paraId="1C579963" w14:textId="77777777" w:rsidR="0068286F" w:rsidRPr="00806473" w:rsidRDefault="0068286F">
          <w:r w:rsidRPr="00806473">
            <w:br w:type="page"/>
          </w:r>
        </w:p>
        <w:p w14:paraId="67A42E8C" w14:textId="77777777" w:rsidR="001D216A" w:rsidRDefault="001D216A" w:rsidP="00E3027E">
          <w:pPr>
            <w:pStyle w:val="Heading2"/>
          </w:pPr>
          <w:bookmarkStart w:id="33" w:name="_Toc19023739"/>
          <w:bookmarkStart w:id="34" w:name="_Toc19289802"/>
          <w:bookmarkStart w:id="35" w:name="_Toc51587596"/>
          <w:bookmarkStart w:id="36" w:name="_Toc51596026"/>
          <w:bookmarkStart w:id="37" w:name="_Toc51682541"/>
          <w:bookmarkStart w:id="38" w:name="_Toc51685661"/>
          <w:bookmarkStart w:id="39" w:name="_Toc51686284"/>
          <w:bookmarkStart w:id="40" w:name="_Toc51688740"/>
          <w:bookmarkStart w:id="41" w:name="_Toc51689044"/>
          <w:bookmarkStart w:id="42" w:name="_Toc51690391"/>
          <w:bookmarkStart w:id="43" w:name="_Toc51751850"/>
          <w:bookmarkStart w:id="44" w:name="_Toc51759064"/>
          <w:bookmarkStart w:id="45" w:name="_Toc51760227"/>
          <w:bookmarkStart w:id="46" w:name="_Toc51762621"/>
          <w:bookmarkStart w:id="47" w:name="_Toc51762853"/>
          <w:bookmarkStart w:id="48" w:name="_Toc51778326"/>
          <w:bookmarkStart w:id="49" w:name="_Toc52269345"/>
          <w:r w:rsidRPr="001D216A">
            <w:lastRenderedPageBreak/>
            <w:t>Copyright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09AAAEB" w14:textId="01BF9375" w:rsidR="0068286F" w:rsidRPr="0068286F" w:rsidRDefault="0068286F" w:rsidP="0068286F">
          <w:pPr>
            <w:rPr>
              <w:rStyle w:val="Strong"/>
            </w:rPr>
          </w:pPr>
          <w:r w:rsidRPr="0068286F">
            <w:rPr>
              <w:rStyle w:val="Strong"/>
            </w:rPr>
            <w:t xml:space="preserve">© Commonwealth of </w:t>
          </w:r>
          <w:r w:rsidRPr="000F2564">
            <w:rPr>
              <w:rStyle w:val="Strong"/>
            </w:rPr>
            <w:t xml:space="preserve">Australia </w:t>
          </w:r>
          <w:r w:rsidR="000A48AC">
            <w:rPr>
              <w:rStyle w:val="Strong"/>
            </w:rPr>
            <w:t>202</w:t>
          </w:r>
          <w:r w:rsidR="00D55219">
            <w:rPr>
              <w:rStyle w:val="Strong"/>
            </w:rPr>
            <w:t>1</w:t>
          </w:r>
        </w:p>
        <w:p w14:paraId="689BCF16" w14:textId="77777777" w:rsidR="0068286F" w:rsidRPr="0068286F" w:rsidRDefault="0068286F" w:rsidP="0068286F">
          <w:pPr>
            <w:rPr>
              <w:rStyle w:val="Strong"/>
            </w:rPr>
          </w:pPr>
          <w:r w:rsidRPr="0068286F">
            <w:rPr>
              <w:rStyle w:val="Strong"/>
            </w:rPr>
            <w:t>Ownership of intellectual property rights</w:t>
          </w:r>
        </w:p>
        <w:p w14:paraId="3C647767" w14:textId="77777777" w:rsidR="0068286F" w:rsidRDefault="0068286F" w:rsidP="0068286F">
          <w:r>
            <w:t>Unless otherwise noted, copyright (and any other intellectual property rights, if any) in this publication is owned by the Commonwealth of Australia.</w:t>
          </w:r>
        </w:p>
        <w:p w14:paraId="75458048" w14:textId="77777777" w:rsidR="0068286F" w:rsidRDefault="0068286F" w:rsidP="0068286F">
          <w:pPr>
            <w:rPr>
              <w:rStyle w:val="Strong"/>
            </w:rPr>
          </w:pPr>
          <w:r w:rsidRPr="0068286F">
            <w:rPr>
              <w:rStyle w:val="Strong"/>
            </w:rPr>
            <w:t>Creative Commons licence</w:t>
          </w:r>
        </w:p>
        <w:p w14:paraId="06575082" w14:textId="77777777" w:rsidR="001D216A" w:rsidRPr="0068286F" w:rsidRDefault="001D216A" w:rsidP="0068286F">
          <w:pPr>
            <w:rPr>
              <w:rStyle w:val="Strong"/>
            </w:rPr>
          </w:pPr>
          <w:r>
            <w:rPr>
              <w:b/>
              <w:noProof/>
              <w:lang w:eastAsia="en-AU"/>
            </w:rPr>
            <w:drawing>
              <wp:inline distT="0" distB="0" distL="0" distR="0" wp14:anchorId="2FD6AAED" wp14:editId="596822C8">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5EB83290" w14:textId="77777777" w:rsidR="0068286F" w:rsidRPr="001D216A" w:rsidRDefault="0068286F" w:rsidP="0068286F">
          <w:pPr>
            <w:rPr>
              <w:rStyle w:val="Strong"/>
            </w:rPr>
          </w:pPr>
          <w:r w:rsidRPr="001D216A">
            <w:rPr>
              <w:rStyle w:val="Strong"/>
            </w:rPr>
            <w:t xml:space="preserve">Attribution </w:t>
          </w:r>
        </w:p>
        <w:p w14:paraId="5B78A603" w14:textId="77777777" w:rsidR="0068286F" w:rsidRPr="001D216A" w:rsidRDefault="0068286F" w:rsidP="0068286F">
          <w:pPr>
            <w:rPr>
              <w:rStyle w:val="Strong"/>
            </w:rPr>
          </w:pPr>
          <w:r w:rsidRPr="001D216A">
            <w:rPr>
              <w:rStyle w:val="Strong"/>
            </w:rPr>
            <w:t>CC BY</w:t>
          </w:r>
        </w:p>
        <w:p w14:paraId="3E85A9EA" w14:textId="77777777" w:rsidR="0068286F" w:rsidRDefault="0068286F" w:rsidP="0068286F">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02E9247C" w14:textId="04082D77" w:rsidR="00861044" w:rsidRDefault="0068286F" w:rsidP="0068286F">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9" w:history="1">
            <w:r w:rsidR="001D216A" w:rsidRPr="00DB39DE">
              <w:rPr>
                <w:rStyle w:val="Hyperlink"/>
              </w:rPr>
              <w:t>https://creativecommons.org/licenses/by/4.0/</w:t>
            </w:r>
          </w:hyperlink>
          <w:r w:rsidR="00861044">
            <w:t>.</w:t>
          </w:r>
        </w:p>
        <w:p w14:paraId="736C7AE2" w14:textId="4B99D94E" w:rsidR="00861044" w:rsidRDefault="0068286F" w:rsidP="0068286F">
          <w:r>
            <w:t xml:space="preserve">The full licence terms are available from </w:t>
          </w:r>
          <w:hyperlink r:id="rId10" w:history="1">
            <w:r w:rsidR="001D216A" w:rsidRPr="00DB39DE">
              <w:rPr>
                <w:rStyle w:val="Hyperlink"/>
              </w:rPr>
              <w:t>https://creativecommons.org/licenses/by/4.0/legalcode</w:t>
            </w:r>
          </w:hyperlink>
          <w:r w:rsidR="00861044">
            <w:t>.</w:t>
          </w:r>
        </w:p>
        <w:p w14:paraId="3F25CECD" w14:textId="0FA499F6" w:rsidR="0068286F" w:rsidRPr="004632E9" w:rsidRDefault="0068286F" w:rsidP="0068286F">
          <w:pPr>
            <w:rPr>
              <w:b/>
              <w:bCs/>
            </w:rPr>
          </w:pPr>
          <w:r w:rsidRPr="00593378">
            <w:t xml:space="preserve">Content contained herein should be attributed as </w:t>
          </w:r>
          <w:r w:rsidR="00EF521F" w:rsidRPr="00593378">
            <w:rPr>
              <w:i/>
            </w:rPr>
            <w:t>Patents Accessibility Review</w:t>
          </w:r>
          <w:r w:rsidR="008A01EA" w:rsidRPr="00593378">
            <w:rPr>
              <w:i/>
            </w:rPr>
            <w:t xml:space="preserve">: </w:t>
          </w:r>
          <w:r w:rsidR="008731F6">
            <w:rPr>
              <w:i/>
            </w:rPr>
            <w:t xml:space="preserve">Final </w:t>
          </w:r>
          <w:r w:rsidR="007A126B">
            <w:rPr>
              <w:i/>
            </w:rPr>
            <w:t>r</w:t>
          </w:r>
          <w:r w:rsidR="008731F6">
            <w:rPr>
              <w:i/>
            </w:rPr>
            <w:t>eport</w:t>
          </w:r>
          <w:r w:rsidR="001D216A" w:rsidRPr="00593378">
            <w:rPr>
              <w:i/>
            </w:rPr>
            <w:t>, Australian Government Department of Industry, Science</w:t>
          </w:r>
          <w:r w:rsidR="00CC5F88" w:rsidRPr="00593378">
            <w:rPr>
              <w:i/>
            </w:rPr>
            <w:t>, Energy and Resources</w:t>
          </w:r>
          <w:r w:rsidRPr="00593378">
            <w:t>.</w:t>
          </w:r>
        </w:p>
        <w:p w14:paraId="287B70A1" w14:textId="2F0932C2" w:rsidR="0068286F" w:rsidRPr="001D216A" w:rsidRDefault="0068286F" w:rsidP="001D216A">
          <w:pPr>
            <w:pStyle w:val="Heading2"/>
          </w:pPr>
          <w:bookmarkStart w:id="50" w:name="_Toc19023740"/>
          <w:bookmarkStart w:id="51" w:name="_Toc19289803"/>
          <w:bookmarkStart w:id="52" w:name="_Toc51587597"/>
          <w:bookmarkStart w:id="53" w:name="_Toc51596027"/>
          <w:bookmarkStart w:id="54" w:name="_Toc51682542"/>
          <w:bookmarkStart w:id="55" w:name="_Toc51685662"/>
          <w:bookmarkStart w:id="56" w:name="_Toc51686285"/>
          <w:bookmarkStart w:id="57" w:name="_Toc51688741"/>
          <w:bookmarkStart w:id="58" w:name="_Toc51689045"/>
          <w:bookmarkStart w:id="59" w:name="_Toc51690392"/>
          <w:bookmarkStart w:id="60" w:name="_Toc51751851"/>
          <w:bookmarkStart w:id="61" w:name="_Toc51759065"/>
          <w:bookmarkStart w:id="62" w:name="_Toc51760228"/>
          <w:bookmarkStart w:id="63" w:name="_Toc51762622"/>
          <w:bookmarkStart w:id="64" w:name="_Toc51762854"/>
          <w:bookmarkStart w:id="65" w:name="_Toc51778327"/>
          <w:bookmarkStart w:id="66" w:name="_Toc52269346"/>
          <w:r w:rsidRPr="001D216A">
            <w:t>Disclaimer</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EF46D8C" w14:textId="2A65C416" w:rsidR="000F2564" w:rsidRDefault="0068286F" w:rsidP="000F2564">
          <w:r>
            <w:t>The Australian Government</w:t>
          </w:r>
          <w:r w:rsidR="005F716B">
            <w:t>,</w:t>
          </w:r>
          <w:r>
            <w:t xml:space="preserve"> as represented by the Department</w:t>
          </w:r>
          <w:r w:rsidR="000A068F">
            <w:t> </w:t>
          </w:r>
          <w:r>
            <w:t>of</w:t>
          </w:r>
          <w:r w:rsidR="000A068F">
            <w:t> </w:t>
          </w:r>
          <w:r>
            <w:t>Industry,</w:t>
          </w:r>
          <w:r w:rsidR="000A068F">
            <w:t> </w:t>
          </w:r>
          <w:r>
            <w:t>Science</w:t>
          </w:r>
          <w:r w:rsidR="00CC5F88">
            <w:t>,</w:t>
          </w:r>
          <w:r w:rsidR="000A068F">
            <w:t> </w:t>
          </w:r>
          <w:r w:rsidR="00CC5F88">
            <w:t>Energy</w:t>
          </w:r>
          <w:r w:rsidR="000A068F">
            <w:t> </w:t>
          </w:r>
          <w:r w:rsidR="00CC5F88">
            <w:t>and</w:t>
          </w:r>
          <w:r w:rsidR="000A068F">
            <w:t> </w:t>
          </w:r>
          <w:r w:rsidR="00CC5F88">
            <w:t>Resources</w:t>
          </w:r>
          <w:r w:rsidR="005F716B">
            <w:t>,</w:t>
          </w:r>
          <w:r>
            <w:t xml:space="preserv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r w:rsidR="000F2564">
            <w:br w:type="page"/>
          </w:r>
        </w:p>
        <w:p w14:paraId="321B8BAC" w14:textId="053C1FC0" w:rsidR="00E3027E" w:rsidRDefault="00E3027E" w:rsidP="00102432">
          <w:pPr>
            <w:pStyle w:val="Heading1"/>
          </w:pPr>
          <w:bookmarkStart w:id="67" w:name="_Toc19289804"/>
          <w:bookmarkStart w:id="68" w:name="_Toc51587598"/>
          <w:bookmarkStart w:id="69" w:name="_Toc51596028"/>
          <w:bookmarkStart w:id="70" w:name="_Toc51682543"/>
          <w:bookmarkStart w:id="71" w:name="_Toc51685663"/>
          <w:bookmarkStart w:id="72" w:name="_Toc51686286"/>
          <w:bookmarkStart w:id="73" w:name="_Toc51688742"/>
          <w:bookmarkStart w:id="74" w:name="_Toc51689046"/>
          <w:bookmarkStart w:id="75" w:name="_Toc51690393"/>
          <w:bookmarkStart w:id="76" w:name="_Toc51751852"/>
          <w:bookmarkStart w:id="77" w:name="_Toc51759066"/>
          <w:bookmarkStart w:id="78" w:name="_Toc51760229"/>
          <w:bookmarkStart w:id="79" w:name="_Toc51762623"/>
          <w:bookmarkStart w:id="80" w:name="_Toc51762855"/>
          <w:bookmarkStart w:id="81" w:name="_Toc51778328"/>
          <w:bookmarkStart w:id="82" w:name="_Toc52269347"/>
          <w:bookmarkStart w:id="83" w:name="_Toc53412069"/>
          <w:bookmarkStart w:id="84" w:name="_Toc59109336"/>
          <w:bookmarkStart w:id="85" w:name="_Toc60760618"/>
          <w:bookmarkStart w:id="86" w:name="_Toc60834803"/>
          <w:bookmarkStart w:id="87" w:name="_Toc60836753"/>
          <w:bookmarkStart w:id="88" w:name="_Toc60997742"/>
          <w:bookmarkStart w:id="89" w:name="_Toc61015556"/>
          <w:bookmarkStart w:id="90" w:name="_Toc61269588"/>
          <w:bookmarkStart w:id="91" w:name="_Toc61356696"/>
          <w:bookmarkStart w:id="92" w:name="_Toc61600723"/>
          <w:bookmarkStart w:id="93" w:name="_Toc62852308"/>
          <w:bookmarkStart w:id="94" w:name="_Toc63074065"/>
          <w:bookmarkStart w:id="95" w:name="_Toc65095582"/>
          <w:bookmarkStart w:id="96" w:name="_Toc65095702"/>
          <w:bookmarkStart w:id="97" w:name="_Toc65095818"/>
          <w:bookmarkStart w:id="98" w:name="_Toc65159306"/>
          <w:r>
            <w:lastRenderedPageBreak/>
            <w:t>Contents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4F48B8E" w14:textId="0F1307B9" w:rsidR="00F02BFF" w:rsidRDefault="000242CF">
          <w:pPr>
            <w:pStyle w:val="TOC1"/>
            <w:rPr>
              <w:rFonts w:eastAsiaTheme="minorEastAsia"/>
              <w:noProof/>
              <w:sz w:val="22"/>
              <w:lang w:eastAsia="en-AU"/>
            </w:rPr>
          </w:pPr>
          <w:r>
            <w:fldChar w:fldCharType="begin"/>
          </w:r>
          <w:r>
            <w:instrText xml:space="preserve"> TOC \o "1-1" \h \z \u </w:instrText>
          </w:r>
          <w:r>
            <w:fldChar w:fldCharType="separate"/>
          </w:r>
          <w:hyperlink w:anchor="_Toc65159307" w:history="1">
            <w:r w:rsidR="00F02BFF" w:rsidRPr="002E4A30">
              <w:rPr>
                <w:rStyle w:val="Hyperlink"/>
                <w:noProof/>
              </w:rPr>
              <w:t>Letter to the Minister</w:t>
            </w:r>
            <w:r w:rsidR="00F02BFF">
              <w:rPr>
                <w:noProof/>
                <w:webHidden/>
              </w:rPr>
              <w:tab/>
            </w:r>
            <w:r w:rsidR="00F02BFF">
              <w:rPr>
                <w:noProof/>
                <w:webHidden/>
              </w:rPr>
              <w:fldChar w:fldCharType="begin"/>
            </w:r>
            <w:r w:rsidR="00F02BFF">
              <w:rPr>
                <w:noProof/>
                <w:webHidden/>
              </w:rPr>
              <w:instrText xml:space="preserve"> PAGEREF _Toc65159307 \h </w:instrText>
            </w:r>
            <w:r w:rsidR="00F02BFF">
              <w:rPr>
                <w:noProof/>
                <w:webHidden/>
              </w:rPr>
            </w:r>
            <w:r w:rsidR="00F02BFF">
              <w:rPr>
                <w:noProof/>
                <w:webHidden/>
              </w:rPr>
              <w:fldChar w:fldCharType="separate"/>
            </w:r>
            <w:r w:rsidR="00EA3ED1">
              <w:rPr>
                <w:noProof/>
                <w:webHidden/>
              </w:rPr>
              <w:t>1</w:t>
            </w:r>
            <w:r w:rsidR="00F02BFF">
              <w:rPr>
                <w:noProof/>
                <w:webHidden/>
              </w:rPr>
              <w:fldChar w:fldCharType="end"/>
            </w:r>
          </w:hyperlink>
        </w:p>
        <w:p w14:paraId="449AAC57" w14:textId="15722B74" w:rsidR="00F02BFF" w:rsidRDefault="000E6C85">
          <w:pPr>
            <w:pStyle w:val="TOC1"/>
            <w:rPr>
              <w:rFonts w:eastAsiaTheme="minorEastAsia"/>
              <w:noProof/>
              <w:sz w:val="22"/>
              <w:lang w:eastAsia="en-AU"/>
            </w:rPr>
          </w:pPr>
          <w:hyperlink w:anchor="_Toc65159308" w:history="1">
            <w:r w:rsidR="00F02BFF" w:rsidRPr="002E4A30">
              <w:rPr>
                <w:rStyle w:val="Hyperlink"/>
                <w:noProof/>
              </w:rPr>
              <w:t>Abbreviations and acronyms</w:t>
            </w:r>
            <w:r w:rsidR="00F02BFF">
              <w:rPr>
                <w:noProof/>
                <w:webHidden/>
              </w:rPr>
              <w:tab/>
            </w:r>
            <w:r w:rsidR="00F02BFF">
              <w:rPr>
                <w:noProof/>
                <w:webHidden/>
              </w:rPr>
              <w:fldChar w:fldCharType="begin"/>
            </w:r>
            <w:r w:rsidR="00F02BFF">
              <w:rPr>
                <w:noProof/>
                <w:webHidden/>
              </w:rPr>
              <w:instrText xml:space="preserve"> PAGEREF _Toc65159308 \h </w:instrText>
            </w:r>
            <w:r w:rsidR="00F02BFF">
              <w:rPr>
                <w:noProof/>
                <w:webHidden/>
              </w:rPr>
            </w:r>
            <w:r w:rsidR="00F02BFF">
              <w:rPr>
                <w:noProof/>
                <w:webHidden/>
              </w:rPr>
              <w:fldChar w:fldCharType="separate"/>
            </w:r>
            <w:r w:rsidR="00EA3ED1">
              <w:rPr>
                <w:noProof/>
                <w:webHidden/>
              </w:rPr>
              <w:t>3</w:t>
            </w:r>
            <w:r w:rsidR="00F02BFF">
              <w:rPr>
                <w:noProof/>
                <w:webHidden/>
              </w:rPr>
              <w:fldChar w:fldCharType="end"/>
            </w:r>
          </w:hyperlink>
        </w:p>
        <w:p w14:paraId="7CD252B4" w14:textId="10A2A5C2" w:rsidR="00F02BFF" w:rsidRDefault="000E6C85">
          <w:pPr>
            <w:pStyle w:val="TOC1"/>
            <w:rPr>
              <w:rFonts w:eastAsiaTheme="minorEastAsia"/>
              <w:noProof/>
              <w:sz w:val="22"/>
              <w:lang w:eastAsia="en-AU"/>
            </w:rPr>
          </w:pPr>
          <w:hyperlink w:anchor="_Toc65159309" w:history="1">
            <w:r w:rsidR="00F02BFF" w:rsidRPr="002E4A30">
              <w:rPr>
                <w:rStyle w:val="Hyperlink"/>
                <w:noProof/>
              </w:rPr>
              <w:t>Executive summary</w:t>
            </w:r>
            <w:r w:rsidR="00F02BFF">
              <w:rPr>
                <w:noProof/>
                <w:webHidden/>
              </w:rPr>
              <w:tab/>
            </w:r>
            <w:r w:rsidR="00F02BFF">
              <w:rPr>
                <w:noProof/>
                <w:webHidden/>
              </w:rPr>
              <w:fldChar w:fldCharType="begin"/>
            </w:r>
            <w:r w:rsidR="00F02BFF">
              <w:rPr>
                <w:noProof/>
                <w:webHidden/>
              </w:rPr>
              <w:instrText xml:space="preserve"> PAGEREF _Toc65159309 \h </w:instrText>
            </w:r>
            <w:r w:rsidR="00F02BFF">
              <w:rPr>
                <w:noProof/>
                <w:webHidden/>
              </w:rPr>
            </w:r>
            <w:r w:rsidR="00F02BFF">
              <w:rPr>
                <w:noProof/>
                <w:webHidden/>
              </w:rPr>
              <w:fldChar w:fldCharType="separate"/>
            </w:r>
            <w:r w:rsidR="00EA3ED1">
              <w:rPr>
                <w:noProof/>
                <w:webHidden/>
              </w:rPr>
              <w:t>4</w:t>
            </w:r>
            <w:r w:rsidR="00F02BFF">
              <w:rPr>
                <w:noProof/>
                <w:webHidden/>
              </w:rPr>
              <w:fldChar w:fldCharType="end"/>
            </w:r>
          </w:hyperlink>
        </w:p>
        <w:p w14:paraId="2BBBC013" w14:textId="39610F78" w:rsidR="00F02BFF" w:rsidRDefault="000E6C85">
          <w:pPr>
            <w:pStyle w:val="TOC1"/>
            <w:rPr>
              <w:rFonts w:eastAsiaTheme="minorEastAsia"/>
              <w:noProof/>
              <w:sz w:val="22"/>
              <w:lang w:eastAsia="en-AU"/>
            </w:rPr>
          </w:pPr>
          <w:hyperlink w:anchor="_Toc65159310" w:history="1">
            <w:r w:rsidR="00F02BFF" w:rsidRPr="002E4A30">
              <w:rPr>
                <w:rStyle w:val="Hyperlink"/>
                <w:noProof/>
              </w:rPr>
              <w:t>Findings and recommendations</w:t>
            </w:r>
            <w:r w:rsidR="00F02BFF">
              <w:rPr>
                <w:noProof/>
                <w:webHidden/>
              </w:rPr>
              <w:tab/>
            </w:r>
            <w:r w:rsidR="00F02BFF">
              <w:rPr>
                <w:noProof/>
                <w:webHidden/>
              </w:rPr>
              <w:fldChar w:fldCharType="begin"/>
            </w:r>
            <w:r w:rsidR="00F02BFF">
              <w:rPr>
                <w:noProof/>
                <w:webHidden/>
              </w:rPr>
              <w:instrText xml:space="preserve"> PAGEREF _Toc65159310 \h </w:instrText>
            </w:r>
            <w:r w:rsidR="00F02BFF">
              <w:rPr>
                <w:noProof/>
                <w:webHidden/>
              </w:rPr>
            </w:r>
            <w:r w:rsidR="00F02BFF">
              <w:rPr>
                <w:noProof/>
                <w:webHidden/>
              </w:rPr>
              <w:fldChar w:fldCharType="separate"/>
            </w:r>
            <w:r w:rsidR="00EA3ED1">
              <w:rPr>
                <w:noProof/>
                <w:webHidden/>
              </w:rPr>
              <w:t>6</w:t>
            </w:r>
            <w:r w:rsidR="00F02BFF">
              <w:rPr>
                <w:noProof/>
                <w:webHidden/>
              </w:rPr>
              <w:fldChar w:fldCharType="end"/>
            </w:r>
          </w:hyperlink>
        </w:p>
        <w:p w14:paraId="5CC455F8" w14:textId="1756B2D6" w:rsidR="00F02BFF" w:rsidRDefault="000E6C85">
          <w:pPr>
            <w:pStyle w:val="TOC1"/>
            <w:rPr>
              <w:rFonts w:eastAsiaTheme="minorEastAsia"/>
              <w:noProof/>
              <w:sz w:val="22"/>
              <w:lang w:eastAsia="en-AU"/>
            </w:rPr>
          </w:pPr>
          <w:hyperlink w:anchor="_Toc65159311" w:history="1">
            <w:r w:rsidR="00F02BFF" w:rsidRPr="002E4A30">
              <w:rPr>
                <w:rStyle w:val="Hyperlink"/>
                <w:noProof/>
              </w:rPr>
              <w:t>1 Background and conduct of the review</w:t>
            </w:r>
            <w:r w:rsidR="00F02BFF">
              <w:rPr>
                <w:noProof/>
                <w:webHidden/>
              </w:rPr>
              <w:tab/>
            </w:r>
            <w:r w:rsidR="00F02BFF">
              <w:rPr>
                <w:noProof/>
                <w:webHidden/>
              </w:rPr>
              <w:fldChar w:fldCharType="begin"/>
            </w:r>
            <w:r w:rsidR="00F02BFF">
              <w:rPr>
                <w:noProof/>
                <w:webHidden/>
              </w:rPr>
              <w:instrText xml:space="preserve"> PAGEREF _Toc65159311 \h </w:instrText>
            </w:r>
            <w:r w:rsidR="00F02BFF">
              <w:rPr>
                <w:noProof/>
                <w:webHidden/>
              </w:rPr>
            </w:r>
            <w:r w:rsidR="00F02BFF">
              <w:rPr>
                <w:noProof/>
                <w:webHidden/>
              </w:rPr>
              <w:fldChar w:fldCharType="separate"/>
            </w:r>
            <w:r w:rsidR="00EA3ED1">
              <w:rPr>
                <w:noProof/>
                <w:webHidden/>
              </w:rPr>
              <w:t>10</w:t>
            </w:r>
            <w:r w:rsidR="00F02BFF">
              <w:rPr>
                <w:noProof/>
                <w:webHidden/>
              </w:rPr>
              <w:fldChar w:fldCharType="end"/>
            </w:r>
          </w:hyperlink>
        </w:p>
        <w:p w14:paraId="7322E65B" w14:textId="02E3B7C4" w:rsidR="00F02BFF" w:rsidRDefault="000E6C85">
          <w:pPr>
            <w:pStyle w:val="TOC1"/>
            <w:rPr>
              <w:rFonts w:eastAsiaTheme="minorEastAsia"/>
              <w:noProof/>
              <w:sz w:val="22"/>
              <w:lang w:eastAsia="en-AU"/>
            </w:rPr>
          </w:pPr>
          <w:hyperlink w:anchor="_Toc65159312" w:history="1">
            <w:r w:rsidR="00F02BFF" w:rsidRPr="002E4A30">
              <w:rPr>
                <w:rStyle w:val="Hyperlink"/>
                <w:noProof/>
              </w:rPr>
              <w:t>2 The issues</w:t>
            </w:r>
            <w:r w:rsidR="00F02BFF">
              <w:rPr>
                <w:noProof/>
                <w:webHidden/>
              </w:rPr>
              <w:tab/>
            </w:r>
            <w:r w:rsidR="00F02BFF">
              <w:rPr>
                <w:noProof/>
                <w:webHidden/>
              </w:rPr>
              <w:fldChar w:fldCharType="begin"/>
            </w:r>
            <w:r w:rsidR="00F02BFF">
              <w:rPr>
                <w:noProof/>
                <w:webHidden/>
              </w:rPr>
              <w:instrText xml:space="preserve"> PAGEREF _Toc65159312 \h </w:instrText>
            </w:r>
            <w:r w:rsidR="00F02BFF">
              <w:rPr>
                <w:noProof/>
                <w:webHidden/>
              </w:rPr>
            </w:r>
            <w:r w:rsidR="00F02BFF">
              <w:rPr>
                <w:noProof/>
                <w:webHidden/>
              </w:rPr>
              <w:fldChar w:fldCharType="separate"/>
            </w:r>
            <w:r w:rsidR="00EA3ED1">
              <w:rPr>
                <w:noProof/>
                <w:webHidden/>
              </w:rPr>
              <w:t>11</w:t>
            </w:r>
            <w:r w:rsidR="00F02BFF">
              <w:rPr>
                <w:noProof/>
                <w:webHidden/>
              </w:rPr>
              <w:fldChar w:fldCharType="end"/>
            </w:r>
          </w:hyperlink>
        </w:p>
        <w:p w14:paraId="1CEC140B" w14:textId="309D61FA" w:rsidR="00F02BFF" w:rsidRDefault="000E6C85">
          <w:pPr>
            <w:pStyle w:val="TOC1"/>
            <w:rPr>
              <w:rFonts w:eastAsiaTheme="minorEastAsia"/>
              <w:noProof/>
              <w:sz w:val="22"/>
              <w:lang w:eastAsia="en-AU"/>
            </w:rPr>
          </w:pPr>
          <w:hyperlink w:anchor="_Toc65159313" w:history="1">
            <w:r w:rsidR="00F02BFF" w:rsidRPr="002E4A30">
              <w:rPr>
                <w:rStyle w:val="Hyperlink"/>
                <w:noProof/>
              </w:rPr>
              <w:t>3 Final terms of reference</w:t>
            </w:r>
            <w:r w:rsidR="00F02BFF">
              <w:rPr>
                <w:noProof/>
                <w:webHidden/>
              </w:rPr>
              <w:tab/>
            </w:r>
            <w:r w:rsidR="00F02BFF">
              <w:rPr>
                <w:noProof/>
                <w:webHidden/>
              </w:rPr>
              <w:fldChar w:fldCharType="begin"/>
            </w:r>
            <w:r w:rsidR="00F02BFF">
              <w:rPr>
                <w:noProof/>
                <w:webHidden/>
              </w:rPr>
              <w:instrText xml:space="preserve"> PAGEREF _Toc65159313 \h </w:instrText>
            </w:r>
            <w:r w:rsidR="00F02BFF">
              <w:rPr>
                <w:noProof/>
                <w:webHidden/>
              </w:rPr>
            </w:r>
            <w:r w:rsidR="00F02BFF">
              <w:rPr>
                <w:noProof/>
                <w:webHidden/>
              </w:rPr>
              <w:fldChar w:fldCharType="separate"/>
            </w:r>
            <w:r w:rsidR="00EA3ED1">
              <w:rPr>
                <w:noProof/>
                <w:webHidden/>
              </w:rPr>
              <w:t>12</w:t>
            </w:r>
            <w:r w:rsidR="00F02BFF">
              <w:rPr>
                <w:noProof/>
                <w:webHidden/>
              </w:rPr>
              <w:fldChar w:fldCharType="end"/>
            </w:r>
          </w:hyperlink>
        </w:p>
        <w:p w14:paraId="27C99B87" w14:textId="055B5E2E" w:rsidR="00F02BFF" w:rsidRDefault="000E6C85">
          <w:pPr>
            <w:pStyle w:val="TOC1"/>
            <w:rPr>
              <w:rFonts w:eastAsiaTheme="minorEastAsia"/>
              <w:noProof/>
              <w:sz w:val="22"/>
              <w:lang w:eastAsia="en-AU"/>
            </w:rPr>
          </w:pPr>
          <w:hyperlink w:anchor="_Toc65159314" w:history="1">
            <w:r w:rsidR="00F02BFF" w:rsidRPr="002E4A30">
              <w:rPr>
                <w:rStyle w:val="Hyperlink"/>
                <w:noProof/>
              </w:rPr>
              <w:t>4 SME experience of the patent system</w:t>
            </w:r>
            <w:r w:rsidR="00F02BFF">
              <w:rPr>
                <w:noProof/>
                <w:webHidden/>
              </w:rPr>
              <w:tab/>
            </w:r>
            <w:r w:rsidR="00F02BFF">
              <w:rPr>
                <w:noProof/>
                <w:webHidden/>
              </w:rPr>
              <w:fldChar w:fldCharType="begin"/>
            </w:r>
            <w:r w:rsidR="00F02BFF">
              <w:rPr>
                <w:noProof/>
                <w:webHidden/>
              </w:rPr>
              <w:instrText xml:space="preserve"> PAGEREF _Toc65159314 \h </w:instrText>
            </w:r>
            <w:r w:rsidR="00F02BFF">
              <w:rPr>
                <w:noProof/>
                <w:webHidden/>
              </w:rPr>
            </w:r>
            <w:r w:rsidR="00F02BFF">
              <w:rPr>
                <w:noProof/>
                <w:webHidden/>
              </w:rPr>
              <w:fldChar w:fldCharType="separate"/>
            </w:r>
            <w:r w:rsidR="00EA3ED1">
              <w:rPr>
                <w:noProof/>
                <w:webHidden/>
              </w:rPr>
              <w:t>13</w:t>
            </w:r>
            <w:r w:rsidR="00F02BFF">
              <w:rPr>
                <w:noProof/>
                <w:webHidden/>
              </w:rPr>
              <w:fldChar w:fldCharType="end"/>
            </w:r>
          </w:hyperlink>
        </w:p>
        <w:p w14:paraId="7C603FFD" w14:textId="019B5091" w:rsidR="00F02BFF" w:rsidRDefault="000E6C85">
          <w:pPr>
            <w:pStyle w:val="TOC1"/>
            <w:rPr>
              <w:rFonts w:eastAsiaTheme="minorEastAsia"/>
              <w:noProof/>
              <w:sz w:val="22"/>
              <w:lang w:eastAsia="en-AU"/>
            </w:rPr>
          </w:pPr>
          <w:hyperlink w:anchor="_Toc65159315" w:history="1">
            <w:r w:rsidR="00F02BFF" w:rsidRPr="002E4A30">
              <w:rPr>
                <w:rStyle w:val="Hyperlink"/>
                <w:noProof/>
              </w:rPr>
              <w:t>5 Costs of obtaining patent protection</w:t>
            </w:r>
            <w:r w:rsidR="00F02BFF">
              <w:rPr>
                <w:noProof/>
                <w:webHidden/>
              </w:rPr>
              <w:tab/>
            </w:r>
            <w:r w:rsidR="00F02BFF">
              <w:rPr>
                <w:noProof/>
                <w:webHidden/>
              </w:rPr>
              <w:fldChar w:fldCharType="begin"/>
            </w:r>
            <w:r w:rsidR="00F02BFF">
              <w:rPr>
                <w:noProof/>
                <w:webHidden/>
              </w:rPr>
              <w:instrText xml:space="preserve"> PAGEREF _Toc65159315 \h </w:instrText>
            </w:r>
            <w:r w:rsidR="00F02BFF">
              <w:rPr>
                <w:noProof/>
                <w:webHidden/>
              </w:rPr>
            </w:r>
            <w:r w:rsidR="00F02BFF">
              <w:rPr>
                <w:noProof/>
                <w:webHidden/>
              </w:rPr>
              <w:fldChar w:fldCharType="separate"/>
            </w:r>
            <w:r w:rsidR="00EA3ED1">
              <w:rPr>
                <w:noProof/>
                <w:webHidden/>
              </w:rPr>
              <w:t>20</w:t>
            </w:r>
            <w:r w:rsidR="00F02BFF">
              <w:rPr>
                <w:noProof/>
                <w:webHidden/>
              </w:rPr>
              <w:fldChar w:fldCharType="end"/>
            </w:r>
          </w:hyperlink>
        </w:p>
        <w:p w14:paraId="1383C4B9" w14:textId="0B2F52E9" w:rsidR="00F02BFF" w:rsidRDefault="000E6C85">
          <w:pPr>
            <w:pStyle w:val="TOC1"/>
            <w:rPr>
              <w:rFonts w:eastAsiaTheme="minorEastAsia"/>
              <w:noProof/>
              <w:sz w:val="22"/>
              <w:lang w:eastAsia="en-AU"/>
            </w:rPr>
          </w:pPr>
          <w:hyperlink w:anchor="_Toc65159316" w:history="1">
            <w:r w:rsidR="00F02BFF" w:rsidRPr="002E4A30">
              <w:rPr>
                <w:rStyle w:val="Hyperlink"/>
                <w:noProof/>
              </w:rPr>
              <w:t>6 Processing times for patents applications</w:t>
            </w:r>
            <w:r w:rsidR="00F02BFF">
              <w:rPr>
                <w:noProof/>
                <w:webHidden/>
              </w:rPr>
              <w:tab/>
            </w:r>
            <w:r w:rsidR="00F02BFF">
              <w:rPr>
                <w:noProof/>
                <w:webHidden/>
              </w:rPr>
              <w:fldChar w:fldCharType="begin"/>
            </w:r>
            <w:r w:rsidR="00F02BFF">
              <w:rPr>
                <w:noProof/>
                <w:webHidden/>
              </w:rPr>
              <w:instrText xml:space="preserve"> PAGEREF _Toc65159316 \h </w:instrText>
            </w:r>
            <w:r w:rsidR="00F02BFF">
              <w:rPr>
                <w:noProof/>
                <w:webHidden/>
              </w:rPr>
            </w:r>
            <w:r w:rsidR="00F02BFF">
              <w:rPr>
                <w:noProof/>
                <w:webHidden/>
              </w:rPr>
              <w:fldChar w:fldCharType="separate"/>
            </w:r>
            <w:r w:rsidR="00EA3ED1">
              <w:rPr>
                <w:noProof/>
                <w:webHidden/>
              </w:rPr>
              <w:t>22</w:t>
            </w:r>
            <w:r w:rsidR="00F02BFF">
              <w:rPr>
                <w:noProof/>
                <w:webHidden/>
              </w:rPr>
              <w:fldChar w:fldCharType="end"/>
            </w:r>
          </w:hyperlink>
        </w:p>
        <w:p w14:paraId="411EB1C4" w14:textId="167ECFA3" w:rsidR="00F02BFF" w:rsidRDefault="000E6C85">
          <w:pPr>
            <w:pStyle w:val="TOC1"/>
            <w:rPr>
              <w:rFonts w:eastAsiaTheme="minorEastAsia"/>
              <w:noProof/>
              <w:sz w:val="22"/>
              <w:lang w:eastAsia="en-AU"/>
            </w:rPr>
          </w:pPr>
          <w:hyperlink w:anchor="_Toc65159317" w:history="1">
            <w:r w:rsidR="00F02BFF" w:rsidRPr="002E4A30">
              <w:rPr>
                <w:rStyle w:val="Hyperlink"/>
                <w:noProof/>
              </w:rPr>
              <w:t>7 Education programs and awareness</w:t>
            </w:r>
            <w:r w:rsidR="00F02BFF">
              <w:rPr>
                <w:noProof/>
                <w:webHidden/>
              </w:rPr>
              <w:tab/>
            </w:r>
            <w:r w:rsidR="00F02BFF">
              <w:rPr>
                <w:noProof/>
                <w:webHidden/>
              </w:rPr>
              <w:fldChar w:fldCharType="begin"/>
            </w:r>
            <w:r w:rsidR="00F02BFF">
              <w:rPr>
                <w:noProof/>
                <w:webHidden/>
              </w:rPr>
              <w:instrText xml:space="preserve"> PAGEREF _Toc65159317 \h </w:instrText>
            </w:r>
            <w:r w:rsidR="00F02BFF">
              <w:rPr>
                <w:noProof/>
                <w:webHidden/>
              </w:rPr>
            </w:r>
            <w:r w:rsidR="00F02BFF">
              <w:rPr>
                <w:noProof/>
                <w:webHidden/>
              </w:rPr>
              <w:fldChar w:fldCharType="separate"/>
            </w:r>
            <w:r w:rsidR="00EA3ED1">
              <w:rPr>
                <w:noProof/>
                <w:webHidden/>
              </w:rPr>
              <w:t>24</w:t>
            </w:r>
            <w:r w:rsidR="00F02BFF">
              <w:rPr>
                <w:noProof/>
                <w:webHidden/>
              </w:rPr>
              <w:fldChar w:fldCharType="end"/>
            </w:r>
          </w:hyperlink>
        </w:p>
        <w:p w14:paraId="51968DC2" w14:textId="4FAFB7EB" w:rsidR="00F02BFF" w:rsidRDefault="000E6C85">
          <w:pPr>
            <w:pStyle w:val="TOC1"/>
            <w:rPr>
              <w:rFonts w:eastAsiaTheme="minorEastAsia"/>
              <w:noProof/>
              <w:sz w:val="22"/>
              <w:lang w:eastAsia="en-AU"/>
            </w:rPr>
          </w:pPr>
          <w:hyperlink w:anchor="_Toc65159318" w:history="1">
            <w:r w:rsidR="00F02BFF" w:rsidRPr="002E4A30">
              <w:rPr>
                <w:rStyle w:val="Hyperlink"/>
                <w:noProof/>
              </w:rPr>
              <w:t>8 IP is scary</w:t>
            </w:r>
            <w:r w:rsidR="00F02BFF">
              <w:rPr>
                <w:noProof/>
                <w:webHidden/>
              </w:rPr>
              <w:tab/>
            </w:r>
            <w:r w:rsidR="00F02BFF">
              <w:rPr>
                <w:noProof/>
                <w:webHidden/>
              </w:rPr>
              <w:fldChar w:fldCharType="begin"/>
            </w:r>
            <w:r w:rsidR="00F02BFF">
              <w:rPr>
                <w:noProof/>
                <w:webHidden/>
              </w:rPr>
              <w:instrText xml:space="preserve"> PAGEREF _Toc65159318 \h </w:instrText>
            </w:r>
            <w:r w:rsidR="00F02BFF">
              <w:rPr>
                <w:noProof/>
                <w:webHidden/>
              </w:rPr>
            </w:r>
            <w:r w:rsidR="00F02BFF">
              <w:rPr>
                <w:noProof/>
                <w:webHidden/>
              </w:rPr>
              <w:fldChar w:fldCharType="separate"/>
            </w:r>
            <w:r w:rsidR="00EA3ED1">
              <w:rPr>
                <w:noProof/>
                <w:webHidden/>
              </w:rPr>
              <w:t>27</w:t>
            </w:r>
            <w:r w:rsidR="00F02BFF">
              <w:rPr>
                <w:noProof/>
                <w:webHidden/>
              </w:rPr>
              <w:fldChar w:fldCharType="end"/>
            </w:r>
          </w:hyperlink>
        </w:p>
        <w:p w14:paraId="17C9385A" w14:textId="4641BC8C" w:rsidR="00F02BFF" w:rsidRDefault="000E6C85">
          <w:pPr>
            <w:pStyle w:val="TOC1"/>
            <w:rPr>
              <w:rFonts w:eastAsiaTheme="minorEastAsia"/>
              <w:noProof/>
              <w:sz w:val="22"/>
              <w:lang w:eastAsia="en-AU"/>
            </w:rPr>
          </w:pPr>
          <w:hyperlink w:anchor="_Toc65159319" w:history="1">
            <w:r w:rsidR="00F02BFF" w:rsidRPr="002E4A30">
              <w:rPr>
                <w:rStyle w:val="Hyperlink"/>
                <w:noProof/>
              </w:rPr>
              <w:t>9 Three inventor-generated difficulties</w:t>
            </w:r>
            <w:r w:rsidR="00F02BFF">
              <w:rPr>
                <w:noProof/>
                <w:webHidden/>
              </w:rPr>
              <w:tab/>
            </w:r>
            <w:r w:rsidR="00F02BFF">
              <w:rPr>
                <w:noProof/>
                <w:webHidden/>
              </w:rPr>
              <w:fldChar w:fldCharType="begin"/>
            </w:r>
            <w:r w:rsidR="00F02BFF">
              <w:rPr>
                <w:noProof/>
                <w:webHidden/>
              </w:rPr>
              <w:instrText xml:space="preserve"> PAGEREF _Toc65159319 \h </w:instrText>
            </w:r>
            <w:r w:rsidR="00F02BFF">
              <w:rPr>
                <w:noProof/>
                <w:webHidden/>
              </w:rPr>
            </w:r>
            <w:r w:rsidR="00F02BFF">
              <w:rPr>
                <w:noProof/>
                <w:webHidden/>
              </w:rPr>
              <w:fldChar w:fldCharType="separate"/>
            </w:r>
            <w:r w:rsidR="00EA3ED1">
              <w:rPr>
                <w:noProof/>
                <w:webHidden/>
              </w:rPr>
              <w:t>28</w:t>
            </w:r>
            <w:r w:rsidR="00F02BFF">
              <w:rPr>
                <w:noProof/>
                <w:webHidden/>
              </w:rPr>
              <w:fldChar w:fldCharType="end"/>
            </w:r>
          </w:hyperlink>
        </w:p>
        <w:p w14:paraId="1D838540" w14:textId="32D8AF7D" w:rsidR="00F02BFF" w:rsidRDefault="000E6C85">
          <w:pPr>
            <w:pStyle w:val="TOC1"/>
            <w:rPr>
              <w:rFonts w:eastAsiaTheme="minorEastAsia"/>
              <w:noProof/>
              <w:sz w:val="22"/>
              <w:lang w:eastAsia="en-AU"/>
            </w:rPr>
          </w:pPr>
          <w:hyperlink w:anchor="_Toc65159320" w:history="1">
            <w:r w:rsidR="00F02BFF" w:rsidRPr="002E4A30">
              <w:rPr>
                <w:rStyle w:val="Hyperlink"/>
                <w:noProof/>
              </w:rPr>
              <w:t>10 Hospital, clinical and agribusiness</w:t>
            </w:r>
            <w:r w:rsidR="00F02BFF">
              <w:rPr>
                <w:noProof/>
                <w:webHidden/>
              </w:rPr>
              <w:tab/>
            </w:r>
            <w:r w:rsidR="00F02BFF">
              <w:rPr>
                <w:noProof/>
                <w:webHidden/>
              </w:rPr>
              <w:fldChar w:fldCharType="begin"/>
            </w:r>
            <w:r w:rsidR="00F02BFF">
              <w:rPr>
                <w:noProof/>
                <w:webHidden/>
              </w:rPr>
              <w:instrText xml:space="preserve"> PAGEREF _Toc65159320 \h </w:instrText>
            </w:r>
            <w:r w:rsidR="00F02BFF">
              <w:rPr>
                <w:noProof/>
                <w:webHidden/>
              </w:rPr>
            </w:r>
            <w:r w:rsidR="00F02BFF">
              <w:rPr>
                <w:noProof/>
                <w:webHidden/>
              </w:rPr>
              <w:fldChar w:fldCharType="separate"/>
            </w:r>
            <w:r w:rsidR="00EA3ED1">
              <w:rPr>
                <w:noProof/>
                <w:webHidden/>
              </w:rPr>
              <w:t>29</w:t>
            </w:r>
            <w:r w:rsidR="00F02BFF">
              <w:rPr>
                <w:noProof/>
                <w:webHidden/>
              </w:rPr>
              <w:fldChar w:fldCharType="end"/>
            </w:r>
          </w:hyperlink>
        </w:p>
        <w:p w14:paraId="599BB6B3" w14:textId="3310AF48" w:rsidR="00F02BFF" w:rsidRDefault="000E6C85">
          <w:pPr>
            <w:pStyle w:val="TOC1"/>
            <w:rPr>
              <w:rFonts w:eastAsiaTheme="minorEastAsia"/>
              <w:noProof/>
              <w:sz w:val="22"/>
              <w:lang w:eastAsia="en-AU"/>
            </w:rPr>
          </w:pPr>
          <w:hyperlink w:anchor="_Toc65159321" w:history="1">
            <w:r w:rsidR="00F02BFF" w:rsidRPr="002E4A30">
              <w:rPr>
                <w:rStyle w:val="Hyperlink"/>
                <w:noProof/>
              </w:rPr>
              <w:t>11 The ‘Flying Squad’ approach: getting out and about</w:t>
            </w:r>
            <w:r w:rsidR="00F02BFF">
              <w:rPr>
                <w:noProof/>
                <w:webHidden/>
              </w:rPr>
              <w:tab/>
            </w:r>
            <w:r w:rsidR="00F02BFF">
              <w:rPr>
                <w:noProof/>
                <w:webHidden/>
              </w:rPr>
              <w:fldChar w:fldCharType="begin"/>
            </w:r>
            <w:r w:rsidR="00F02BFF">
              <w:rPr>
                <w:noProof/>
                <w:webHidden/>
              </w:rPr>
              <w:instrText xml:space="preserve"> PAGEREF _Toc65159321 \h </w:instrText>
            </w:r>
            <w:r w:rsidR="00F02BFF">
              <w:rPr>
                <w:noProof/>
                <w:webHidden/>
              </w:rPr>
            </w:r>
            <w:r w:rsidR="00F02BFF">
              <w:rPr>
                <w:noProof/>
                <w:webHidden/>
              </w:rPr>
              <w:fldChar w:fldCharType="separate"/>
            </w:r>
            <w:r w:rsidR="00EA3ED1">
              <w:rPr>
                <w:noProof/>
                <w:webHidden/>
              </w:rPr>
              <w:t>31</w:t>
            </w:r>
            <w:r w:rsidR="00F02BFF">
              <w:rPr>
                <w:noProof/>
                <w:webHidden/>
              </w:rPr>
              <w:fldChar w:fldCharType="end"/>
            </w:r>
          </w:hyperlink>
        </w:p>
        <w:p w14:paraId="45BCD1AF" w14:textId="0DDF49D0" w:rsidR="00F02BFF" w:rsidRDefault="000E6C85">
          <w:pPr>
            <w:pStyle w:val="TOC1"/>
            <w:rPr>
              <w:rFonts w:eastAsiaTheme="minorEastAsia"/>
              <w:noProof/>
              <w:sz w:val="22"/>
              <w:lang w:eastAsia="en-AU"/>
            </w:rPr>
          </w:pPr>
          <w:hyperlink w:anchor="_Toc65159322" w:history="1">
            <w:r w:rsidR="00F02BFF" w:rsidRPr="002E4A30">
              <w:rPr>
                <w:rStyle w:val="Hyperlink"/>
                <w:noProof/>
              </w:rPr>
              <w:t>12 Self-filing and the Case Manager service</w:t>
            </w:r>
            <w:r w:rsidR="00F02BFF">
              <w:rPr>
                <w:noProof/>
                <w:webHidden/>
              </w:rPr>
              <w:tab/>
            </w:r>
            <w:r w:rsidR="00F02BFF">
              <w:rPr>
                <w:noProof/>
                <w:webHidden/>
              </w:rPr>
              <w:fldChar w:fldCharType="begin"/>
            </w:r>
            <w:r w:rsidR="00F02BFF">
              <w:rPr>
                <w:noProof/>
                <w:webHidden/>
              </w:rPr>
              <w:instrText xml:space="preserve"> PAGEREF _Toc65159322 \h </w:instrText>
            </w:r>
            <w:r w:rsidR="00F02BFF">
              <w:rPr>
                <w:noProof/>
                <w:webHidden/>
              </w:rPr>
            </w:r>
            <w:r w:rsidR="00F02BFF">
              <w:rPr>
                <w:noProof/>
                <w:webHidden/>
              </w:rPr>
              <w:fldChar w:fldCharType="separate"/>
            </w:r>
            <w:r w:rsidR="00EA3ED1">
              <w:rPr>
                <w:noProof/>
                <w:webHidden/>
              </w:rPr>
              <w:t>34</w:t>
            </w:r>
            <w:r w:rsidR="00F02BFF">
              <w:rPr>
                <w:noProof/>
                <w:webHidden/>
              </w:rPr>
              <w:fldChar w:fldCharType="end"/>
            </w:r>
          </w:hyperlink>
        </w:p>
        <w:p w14:paraId="77C50C8C" w14:textId="6900F85B" w:rsidR="00F02BFF" w:rsidRDefault="000E6C85">
          <w:pPr>
            <w:pStyle w:val="TOC1"/>
            <w:rPr>
              <w:rFonts w:eastAsiaTheme="minorEastAsia"/>
              <w:noProof/>
              <w:sz w:val="22"/>
              <w:lang w:eastAsia="en-AU"/>
            </w:rPr>
          </w:pPr>
          <w:hyperlink w:anchor="_Toc65159323" w:history="1">
            <w:r w:rsidR="00F02BFF" w:rsidRPr="002E4A30">
              <w:rPr>
                <w:rStyle w:val="Hyperlink"/>
                <w:noProof/>
              </w:rPr>
              <w:t>13 The media and public awareness</w:t>
            </w:r>
            <w:r w:rsidR="00F02BFF">
              <w:rPr>
                <w:noProof/>
                <w:webHidden/>
              </w:rPr>
              <w:tab/>
            </w:r>
            <w:r w:rsidR="00F02BFF">
              <w:rPr>
                <w:noProof/>
                <w:webHidden/>
              </w:rPr>
              <w:fldChar w:fldCharType="begin"/>
            </w:r>
            <w:r w:rsidR="00F02BFF">
              <w:rPr>
                <w:noProof/>
                <w:webHidden/>
              </w:rPr>
              <w:instrText xml:space="preserve"> PAGEREF _Toc65159323 \h </w:instrText>
            </w:r>
            <w:r w:rsidR="00F02BFF">
              <w:rPr>
                <w:noProof/>
                <w:webHidden/>
              </w:rPr>
            </w:r>
            <w:r w:rsidR="00F02BFF">
              <w:rPr>
                <w:noProof/>
                <w:webHidden/>
              </w:rPr>
              <w:fldChar w:fldCharType="separate"/>
            </w:r>
            <w:r w:rsidR="00EA3ED1">
              <w:rPr>
                <w:noProof/>
                <w:webHidden/>
              </w:rPr>
              <w:t>36</w:t>
            </w:r>
            <w:r w:rsidR="00F02BFF">
              <w:rPr>
                <w:noProof/>
                <w:webHidden/>
              </w:rPr>
              <w:fldChar w:fldCharType="end"/>
            </w:r>
          </w:hyperlink>
        </w:p>
        <w:p w14:paraId="5D7F5F3A" w14:textId="15CAD28C" w:rsidR="00F02BFF" w:rsidRDefault="000E6C85">
          <w:pPr>
            <w:pStyle w:val="TOC1"/>
            <w:rPr>
              <w:rFonts w:eastAsiaTheme="minorEastAsia"/>
              <w:noProof/>
              <w:sz w:val="22"/>
              <w:lang w:eastAsia="en-AU"/>
            </w:rPr>
          </w:pPr>
          <w:hyperlink w:anchor="_Toc65159324" w:history="1">
            <w:r w:rsidR="00F02BFF" w:rsidRPr="002E4A30">
              <w:rPr>
                <w:rStyle w:val="Hyperlink"/>
                <w:noProof/>
              </w:rPr>
              <w:t>14 Enforcement of patents and litigation</w:t>
            </w:r>
            <w:r w:rsidR="00F02BFF">
              <w:rPr>
                <w:noProof/>
                <w:webHidden/>
              </w:rPr>
              <w:tab/>
            </w:r>
            <w:r w:rsidR="00F02BFF">
              <w:rPr>
                <w:noProof/>
                <w:webHidden/>
              </w:rPr>
              <w:fldChar w:fldCharType="begin"/>
            </w:r>
            <w:r w:rsidR="00F02BFF">
              <w:rPr>
                <w:noProof/>
                <w:webHidden/>
              </w:rPr>
              <w:instrText xml:space="preserve"> PAGEREF _Toc65159324 \h </w:instrText>
            </w:r>
            <w:r w:rsidR="00F02BFF">
              <w:rPr>
                <w:noProof/>
                <w:webHidden/>
              </w:rPr>
            </w:r>
            <w:r w:rsidR="00F02BFF">
              <w:rPr>
                <w:noProof/>
                <w:webHidden/>
              </w:rPr>
              <w:fldChar w:fldCharType="separate"/>
            </w:r>
            <w:r w:rsidR="00EA3ED1">
              <w:rPr>
                <w:noProof/>
                <w:webHidden/>
              </w:rPr>
              <w:t>38</w:t>
            </w:r>
            <w:r w:rsidR="00F02BFF">
              <w:rPr>
                <w:noProof/>
                <w:webHidden/>
              </w:rPr>
              <w:fldChar w:fldCharType="end"/>
            </w:r>
          </w:hyperlink>
        </w:p>
        <w:p w14:paraId="7A752462" w14:textId="02A1ECC1" w:rsidR="00F02BFF" w:rsidRDefault="000E6C85">
          <w:pPr>
            <w:pStyle w:val="TOC1"/>
            <w:rPr>
              <w:rFonts w:eastAsiaTheme="minorEastAsia"/>
              <w:noProof/>
              <w:sz w:val="22"/>
              <w:lang w:eastAsia="en-AU"/>
            </w:rPr>
          </w:pPr>
          <w:hyperlink w:anchor="_Toc65159325" w:history="1">
            <w:r w:rsidR="00F02BFF" w:rsidRPr="002E4A30">
              <w:rPr>
                <w:rStyle w:val="Hyperlink"/>
                <w:noProof/>
              </w:rPr>
              <w:t>15 Fear of patent litigation</w:t>
            </w:r>
            <w:r w:rsidR="00F02BFF">
              <w:rPr>
                <w:noProof/>
                <w:webHidden/>
              </w:rPr>
              <w:tab/>
            </w:r>
            <w:r w:rsidR="00F02BFF">
              <w:rPr>
                <w:noProof/>
                <w:webHidden/>
              </w:rPr>
              <w:fldChar w:fldCharType="begin"/>
            </w:r>
            <w:r w:rsidR="00F02BFF">
              <w:rPr>
                <w:noProof/>
                <w:webHidden/>
              </w:rPr>
              <w:instrText xml:space="preserve"> PAGEREF _Toc65159325 \h </w:instrText>
            </w:r>
            <w:r w:rsidR="00F02BFF">
              <w:rPr>
                <w:noProof/>
                <w:webHidden/>
              </w:rPr>
            </w:r>
            <w:r w:rsidR="00F02BFF">
              <w:rPr>
                <w:noProof/>
                <w:webHidden/>
              </w:rPr>
              <w:fldChar w:fldCharType="separate"/>
            </w:r>
            <w:r w:rsidR="00EA3ED1">
              <w:rPr>
                <w:noProof/>
                <w:webHidden/>
              </w:rPr>
              <w:t>40</w:t>
            </w:r>
            <w:r w:rsidR="00F02BFF">
              <w:rPr>
                <w:noProof/>
                <w:webHidden/>
              </w:rPr>
              <w:fldChar w:fldCharType="end"/>
            </w:r>
          </w:hyperlink>
        </w:p>
        <w:p w14:paraId="7B01CE84" w14:textId="7ED244FD" w:rsidR="00F02BFF" w:rsidRDefault="000E6C85">
          <w:pPr>
            <w:pStyle w:val="TOC1"/>
            <w:rPr>
              <w:rFonts w:eastAsiaTheme="minorEastAsia"/>
              <w:noProof/>
              <w:sz w:val="22"/>
              <w:lang w:eastAsia="en-AU"/>
            </w:rPr>
          </w:pPr>
          <w:hyperlink w:anchor="_Toc65159326" w:history="1">
            <w:r w:rsidR="00F02BFF" w:rsidRPr="002E4A30">
              <w:rPr>
                <w:rStyle w:val="Hyperlink"/>
                <w:noProof/>
              </w:rPr>
              <w:t>16 Solutions to the legal quagmire</w:t>
            </w:r>
            <w:r w:rsidR="00F02BFF">
              <w:rPr>
                <w:noProof/>
                <w:webHidden/>
              </w:rPr>
              <w:tab/>
            </w:r>
            <w:r w:rsidR="00F02BFF">
              <w:rPr>
                <w:noProof/>
                <w:webHidden/>
              </w:rPr>
              <w:fldChar w:fldCharType="begin"/>
            </w:r>
            <w:r w:rsidR="00F02BFF">
              <w:rPr>
                <w:noProof/>
                <w:webHidden/>
              </w:rPr>
              <w:instrText xml:space="preserve"> PAGEREF _Toc65159326 \h </w:instrText>
            </w:r>
            <w:r w:rsidR="00F02BFF">
              <w:rPr>
                <w:noProof/>
                <w:webHidden/>
              </w:rPr>
            </w:r>
            <w:r w:rsidR="00F02BFF">
              <w:rPr>
                <w:noProof/>
                <w:webHidden/>
              </w:rPr>
              <w:fldChar w:fldCharType="separate"/>
            </w:r>
            <w:r w:rsidR="00EA3ED1">
              <w:rPr>
                <w:noProof/>
                <w:webHidden/>
              </w:rPr>
              <w:t>43</w:t>
            </w:r>
            <w:r w:rsidR="00F02BFF">
              <w:rPr>
                <w:noProof/>
                <w:webHidden/>
              </w:rPr>
              <w:fldChar w:fldCharType="end"/>
            </w:r>
          </w:hyperlink>
        </w:p>
        <w:p w14:paraId="0F5C952B" w14:textId="1AB78F82" w:rsidR="00F02BFF" w:rsidRDefault="000E6C85">
          <w:pPr>
            <w:pStyle w:val="TOC1"/>
            <w:rPr>
              <w:rFonts w:eastAsiaTheme="minorEastAsia"/>
              <w:noProof/>
              <w:sz w:val="22"/>
              <w:lang w:eastAsia="en-AU"/>
            </w:rPr>
          </w:pPr>
          <w:hyperlink w:anchor="_Toc65159327" w:history="1">
            <w:r w:rsidR="00F02BFF" w:rsidRPr="002E4A30">
              <w:rPr>
                <w:rStyle w:val="Hyperlink"/>
                <w:noProof/>
              </w:rPr>
              <w:t>17 Government commercial intervention</w:t>
            </w:r>
            <w:r w:rsidR="00F02BFF">
              <w:rPr>
                <w:noProof/>
                <w:webHidden/>
              </w:rPr>
              <w:tab/>
            </w:r>
            <w:r w:rsidR="00F02BFF">
              <w:rPr>
                <w:noProof/>
                <w:webHidden/>
              </w:rPr>
              <w:fldChar w:fldCharType="begin"/>
            </w:r>
            <w:r w:rsidR="00F02BFF">
              <w:rPr>
                <w:noProof/>
                <w:webHidden/>
              </w:rPr>
              <w:instrText xml:space="preserve"> PAGEREF _Toc65159327 \h </w:instrText>
            </w:r>
            <w:r w:rsidR="00F02BFF">
              <w:rPr>
                <w:noProof/>
                <w:webHidden/>
              </w:rPr>
            </w:r>
            <w:r w:rsidR="00F02BFF">
              <w:rPr>
                <w:noProof/>
                <w:webHidden/>
              </w:rPr>
              <w:fldChar w:fldCharType="separate"/>
            </w:r>
            <w:r w:rsidR="00EA3ED1">
              <w:rPr>
                <w:noProof/>
                <w:webHidden/>
              </w:rPr>
              <w:t>56</w:t>
            </w:r>
            <w:r w:rsidR="00F02BFF">
              <w:rPr>
                <w:noProof/>
                <w:webHidden/>
              </w:rPr>
              <w:fldChar w:fldCharType="end"/>
            </w:r>
          </w:hyperlink>
        </w:p>
        <w:p w14:paraId="6DD345CB" w14:textId="33D94B30" w:rsidR="00F02BFF" w:rsidRDefault="000E6C85">
          <w:pPr>
            <w:pStyle w:val="TOC1"/>
            <w:rPr>
              <w:rFonts w:eastAsiaTheme="minorEastAsia"/>
              <w:noProof/>
              <w:sz w:val="22"/>
              <w:lang w:eastAsia="en-AU"/>
            </w:rPr>
          </w:pPr>
          <w:hyperlink w:anchor="_Toc65159328" w:history="1">
            <w:r w:rsidR="00F02BFF" w:rsidRPr="002E4A30">
              <w:rPr>
                <w:rStyle w:val="Hyperlink"/>
                <w:noProof/>
              </w:rPr>
              <w:t>18 A national commercialisation and patent defence fund</w:t>
            </w:r>
            <w:r w:rsidR="00F02BFF">
              <w:rPr>
                <w:noProof/>
                <w:webHidden/>
              </w:rPr>
              <w:tab/>
            </w:r>
            <w:r w:rsidR="00F02BFF">
              <w:rPr>
                <w:noProof/>
                <w:webHidden/>
              </w:rPr>
              <w:fldChar w:fldCharType="begin"/>
            </w:r>
            <w:r w:rsidR="00F02BFF">
              <w:rPr>
                <w:noProof/>
                <w:webHidden/>
              </w:rPr>
              <w:instrText xml:space="preserve"> PAGEREF _Toc65159328 \h </w:instrText>
            </w:r>
            <w:r w:rsidR="00F02BFF">
              <w:rPr>
                <w:noProof/>
                <w:webHidden/>
              </w:rPr>
            </w:r>
            <w:r w:rsidR="00F02BFF">
              <w:rPr>
                <w:noProof/>
                <w:webHidden/>
              </w:rPr>
              <w:fldChar w:fldCharType="separate"/>
            </w:r>
            <w:r w:rsidR="00EA3ED1">
              <w:rPr>
                <w:noProof/>
                <w:webHidden/>
              </w:rPr>
              <w:t>59</w:t>
            </w:r>
            <w:r w:rsidR="00F02BFF">
              <w:rPr>
                <w:noProof/>
                <w:webHidden/>
              </w:rPr>
              <w:fldChar w:fldCharType="end"/>
            </w:r>
          </w:hyperlink>
        </w:p>
        <w:p w14:paraId="5D297F45" w14:textId="0A626A4C" w:rsidR="00F02BFF" w:rsidRDefault="000E6C85">
          <w:pPr>
            <w:pStyle w:val="TOC1"/>
            <w:rPr>
              <w:rFonts w:eastAsiaTheme="minorEastAsia"/>
              <w:noProof/>
              <w:sz w:val="22"/>
              <w:lang w:eastAsia="en-AU"/>
            </w:rPr>
          </w:pPr>
          <w:hyperlink w:anchor="_Toc65159329" w:history="1">
            <w:r w:rsidR="00F02BFF" w:rsidRPr="002E4A30">
              <w:rPr>
                <w:rStyle w:val="Hyperlink"/>
                <w:noProof/>
              </w:rPr>
              <w:t>19 IP insurance</w:t>
            </w:r>
            <w:r w:rsidR="00F02BFF">
              <w:rPr>
                <w:noProof/>
                <w:webHidden/>
              </w:rPr>
              <w:tab/>
            </w:r>
            <w:r w:rsidR="00F02BFF">
              <w:rPr>
                <w:noProof/>
                <w:webHidden/>
              </w:rPr>
              <w:fldChar w:fldCharType="begin"/>
            </w:r>
            <w:r w:rsidR="00F02BFF">
              <w:rPr>
                <w:noProof/>
                <w:webHidden/>
              </w:rPr>
              <w:instrText xml:space="preserve"> PAGEREF _Toc65159329 \h </w:instrText>
            </w:r>
            <w:r w:rsidR="00F02BFF">
              <w:rPr>
                <w:noProof/>
                <w:webHidden/>
              </w:rPr>
            </w:r>
            <w:r w:rsidR="00F02BFF">
              <w:rPr>
                <w:noProof/>
                <w:webHidden/>
              </w:rPr>
              <w:fldChar w:fldCharType="separate"/>
            </w:r>
            <w:r w:rsidR="00EA3ED1">
              <w:rPr>
                <w:noProof/>
                <w:webHidden/>
              </w:rPr>
              <w:t>62</w:t>
            </w:r>
            <w:r w:rsidR="00F02BFF">
              <w:rPr>
                <w:noProof/>
                <w:webHidden/>
              </w:rPr>
              <w:fldChar w:fldCharType="end"/>
            </w:r>
          </w:hyperlink>
        </w:p>
        <w:p w14:paraId="1C046418" w14:textId="264A0D6F" w:rsidR="00F02BFF" w:rsidRDefault="000E6C85">
          <w:pPr>
            <w:pStyle w:val="TOC1"/>
            <w:rPr>
              <w:rFonts w:eastAsiaTheme="minorEastAsia"/>
              <w:noProof/>
              <w:sz w:val="22"/>
              <w:lang w:eastAsia="en-AU"/>
            </w:rPr>
          </w:pPr>
          <w:hyperlink w:anchor="_Toc65159330" w:history="1">
            <w:r w:rsidR="00F02BFF" w:rsidRPr="002E4A30">
              <w:rPr>
                <w:rStyle w:val="Hyperlink"/>
                <w:noProof/>
              </w:rPr>
              <w:t>20 Hidden potential and the ‘Flying Squad’ approach</w:t>
            </w:r>
            <w:r w:rsidR="00F02BFF">
              <w:rPr>
                <w:noProof/>
                <w:webHidden/>
              </w:rPr>
              <w:tab/>
            </w:r>
            <w:r w:rsidR="00F02BFF">
              <w:rPr>
                <w:noProof/>
                <w:webHidden/>
              </w:rPr>
              <w:fldChar w:fldCharType="begin"/>
            </w:r>
            <w:r w:rsidR="00F02BFF">
              <w:rPr>
                <w:noProof/>
                <w:webHidden/>
              </w:rPr>
              <w:instrText xml:space="preserve"> PAGEREF _Toc65159330 \h </w:instrText>
            </w:r>
            <w:r w:rsidR="00F02BFF">
              <w:rPr>
                <w:noProof/>
                <w:webHidden/>
              </w:rPr>
            </w:r>
            <w:r w:rsidR="00F02BFF">
              <w:rPr>
                <w:noProof/>
                <w:webHidden/>
              </w:rPr>
              <w:fldChar w:fldCharType="separate"/>
            </w:r>
            <w:r w:rsidR="00EA3ED1">
              <w:rPr>
                <w:noProof/>
                <w:webHidden/>
              </w:rPr>
              <w:t>63</w:t>
            </w:r>
            <w:r w:rsidR="00F02BFF">
              <w:rPr>
                <w:noProof/>
                <w:webHidden/>
              </w:rPr>
              <w:fldChar w:fldCharType="end"/>
            </w:r>
          </w:hyperlink>
        </w:p>
        <w:p w14:paraId="6F80A104" w14:textId="02292317" w:rsidR="00F02BFF" w:rsidRDefault="000E6C85">
          <w:pPr>
            <w:pStyle w:val="TOC1"/>
            <w:rPr>
              <w:rFonts w:eastAsiaTheme="minorEastAsia"/>
              <w:noProof/>
              <w:sz w:val="22"/>
              <w:lang w:eastAsia="en-AU"/>
            </w:rPr>
          </w:pPr>
          <w:hyperlink w:anchor="_Toc65159331" w:history="1">
            <w:r w:rsidR="00F02BFF" w:rsidRPr="002E4A30">
              <w:rPr>
                <w:rStyle w:val="Hyperlink"/>
                <w:noProof/>
              </w:rPr>
              <w:t>Appendix A – Issues outside the scope of this review</w:t>
            </w:r>
            <w:r w:rsidR="00F02BFF">
              <w:rPr>
                <w:noProof/>
                <w:webHidden/>
              </w:rPr>
              <w:tab/>
            </w:r>
            <w:r w:rsidR="00F02BFF">
              <w:rPr>
                <w:noProof/>
                <w:webHidden/>
              </w:rPr>
              <w:fldChar w:fldCharType="begin"/>
            </w:r>
            <w:r w:rsidR="00F02BFF">
              <w:rPr>
                <w:noProof/>
                <w:webHidden/>
              </w:rPr>
              <w:instrText xml:space="preserve"> PAGEREF _Toc65159331 \h </w:instrText>
            </w:r>
            <w:r w:rsidR="00F02BFF">
              <w:rPr>
                <w:noProof/>
                <w:webHidden/>
              </w:rPr>
            </w:r>
            <w:r w:rsidR="00F02BFF">
              <w:rPr>
                <w:noProof/>
                <w:webHidden/>
              </w:rPr>
              <w:fldChar w:fldCharType="separate"/>
            </w:r>
            <w:r w:rsidR="00EA3ED1">
              <w:rPr>
                <w:noProof/>
                <w:webHidden/>
              </w:rPr>
              <w:t>65</w:t>
            </w:r>
            <w:r w:rsidR="00F02BFF">
              <w:rPr>
                <w:noProof/>
                <w:webHidden/>
              </w:rPr>
              <w:fldChar w:fldCharType="end"/>
            </w:r>
          </w:hyperlink>
        </w:p>
        <w:p w14:paraId="34AE0E6A" w14:textId="4E7D76CE" w:rsidR="00F02BFF" w:rsidRDefault="000E6C85">
          <w:pPr>
            <w:pStyle w:val="TOC1"/>
            <w:rPr>
              <w:rFonts w:eastAsiaTheme="minorEastAsia"/>
              <w:noProof/>
              <w:sz w:val="22"/>
              <w:lang w:eastAsia="en-AU"/>
            </w:rPr>
          </w:pPr>
          <w:hyperlink w:anchor="_Toc65159332" w:history="1">
            <w:r w:rsidR="00F02BFF" w:rsidRPr="002E4A30">
              <w:rPr>
                <w:rStyle w:val="Hyperlink"/>
                <w:noProof/>
              </w:rPr>
              <w:t>Appendix B – List of respondents</w:t>
            </w:r>
            <w:r w:rsidR="00F02BFF">
              <w:rPr>
                <w:noProof/>
                <w:webHidden/>
              </w:rPr>
              <w:tab/>
            </w:r>
            <w:r w:rsidR="00F02BFF">
              <w:rPr>
                <w:noProof/>
                <w:webHidden/>
              </w:rPr>
              <w:fldChar w:fldCharType="begin"/>
            </w:r>
            <w:r w:rsidR="00F02BFF">
              <w:rPr>
                <w:noProof/>
                <w:webHidden/>
              </w:rPr>
              <w:instrText xml:space="preserve"> PAGEREF _Toc65159332 \h </w:instrText>
            </w:r>
            <w:r w:rsidR="00F02BFF">
              <w:rPr>
                <w:noProof/>
                <w:webHidden/>
              </w:rPr>
            </w:r>
            <w:r w:rsidR="00F02BFF">
              <w:rPr>
                <w:noProof/>
                <w:webHidden/>
              </w:rPr>
              <w:fldChar w:fldCharType="separate"/>
            </w:r>
            <w:r w:rsidR="00EA3ED1">
              <w:rPr>
                <w:noProof/>
                <w:webHidden/>
              </w:rPr>
              <w:t>66</w:t>
            </w:r>
            <w:r w:rsidR="00F02BFF">
              <w:rPr>
                <w:noProof/>
                <w:webHidden/>
              </w:rPr>
              <w:fldChar w:fldCharType="end"/>
            </w:r>
          </w:hyperlink>
        </w:p>
        <w:p w14:paraId="146BCB02" w14:textId="2E00EF0F" w:rsidR="00F02BFF" w:rsidRDefault="000E6C85">
          <w:pPr>
            <w:pStyle w:val="TOC1"/>
            <w:rPr>
              <w:rFonts w:eastAsiaTheme="minorEastAsia"/>
              <w:noProof/>
              <w:sz w:val="22"/>
              <w:lang w:eastAsia="en-AU"/>
            </w:rPr>
          </w:pPr>
          <w:hyperlink w:anchor="_Toc65159333" w:history="1">
            <w:r w:rsidR="00F02BFF" w:rsidRPr="002E4A30">
              <w:rPr>
                <w:rStyle w:val="Hyperlink"/>
                <w:noProof/>
              </w:rPr>
              <w:t>Appendix C – Bibliography</w:t>
            </w:r>
            <w:r w:rsidR="00F02BFF">
              <w:rPr>
                <w:noProof/>
                <w:webHidden/>
              </w:rPr>
              <w:tab/>
            </w:r>
            <w:r w:rsidR="00F02BFF">
              <w:rPr>
                <w:noProof/>
                <w:webHidden/>
              </w:rPr>
              <w:fldChar w:fldCharType="begin"/>
            </w:r>
            <w:r w:rsidR="00F02BFF">
              <w:rPr>
                <w:noProof/>
                <w:webHidden/>
              </w:rPr>
              <w:instrText xml:space="preserve"> PAGEREF _Toc65159333 \h </w:instrText>
            </w:r>
            <w:r w:rsidR="00F02BFF">
              <w:rPr>
                <w:noProof/>
                <w:webHidden/>
              </w:rPr>
            </w:r>
            <w:r w:rsidR="00F02BFF">
              <w:rPr>
                <w:noProof/>
                <w:webHidden/>
              </w:rPr>
              <w:fldChar w:fldCharType="separate"/>
            </w:r>
            <w:r w:rsidR="00EA3ED1">
              <w:rPr>
                <w:noProof/>
                <w:webHidden/>
              </w:rPr>
              <w:t>69</w:t>
            </w:r>
            <w:r w:rsidR="00F02BFF">
              <w:rPr>
                <w:noProof/>
                <w:webHidden/>
              </w:rPr>
              <w:fldChar w:fldCharType="end"/>
            </w:r>
          </w:hyperlink>
        </w:p>
        <w:p w14:paraId="0657BEAF" w14:textId="2685EE18" w:rsidR="00F02BFF" w:rsidRDefault="000E6C85">
          <w:pPr>
            <w:pStyle w:val="TOC1"/>
            <w:rPr>
              <w:rFonts w:eastAsiaTheme="minorEastAsia"/>
              <w:noProof/>
              <w:sz w:val="22"/>
              <w:lang w:eastAsia="en-AU"/>
            </w:rPr>
          </w:pPr>
          <w:hyperlink w:anchor="_Toc65159334" w:history="1">
            <w:r w:rsidR="00F02BFF" w:rsidRPr="002E4A30">
              <w:rPr>
                <w:rStyle w:val="Hyperlink"/>
                <w:noProof/>
              </w:rPr>
              <w:t>Appendix D – Patent enforcement in Australia</w:t>
            </w:r>
            <w:r w:rsidR="00F02BFF">
              <w:rPr>
                <w:noProof/>
                <w:webHidden/>
              </w:rPr>
              <w:tab/>
            </w:r>
            <w:r w:rsidR="00F02BFF">
              <w:rPr>
                <w:noProof/>
                <w:webHidden/>
              </w:rPr>
              <w:fldChar w:fldCharType="begin"/>
            </w:r>
            <w:r w:rsidR="00F02BFF">
              <w:rPr>
                <w:noProof/>
                <w:webHidden/>
              </w:rPr>
              <w:instrText xml:space="preserve"> PAGEREF _Toc65159334 \h </w:instrText>
            </w:r>
            <w:r w:rsidR="00F02BFF">
              <w:rPr>
                <w:noProof/>
                <w:webHidden/>
              </w:rPr>
            </w:r>
            <w:r w:rsidR="00F02BFF">
              <w:rPr>
                <w:noProof/>
                <w:webHidden/>
              </w:rPr>
              <w:fldChar w:fldCharType="separate"/>
            </w:r>
            <w:r w:rsidR="00EA3ED1">
              <w:rPr>
                <w:noProof/>
                <w:webHidden/>
              </w:rPr>
              <w:t>77</w:t>
            </w:r>
            <w:r w:rsidR="00F02BFF">
              <w:rPr>
                <w:noProof/>
                <w:webHidden/>
              </w:rPr>
              <w:fldChar w:fldCharType="end"/>
            </w:r>
          </w:hyperlink>
        </w:p>
        <w:p w14:paraId="6F3AE077" w14:textId="596FF83D" w:rsidR="00F02BFF" w:rsidRDefault="000E6C85">
          <w:pPr>
            <w:pStyle w:val="TOC1"/>
            <w:rPr>
              <w:rFonts w:eastAsiaTheme="minorEastAsia"/>
              <w:noProof/>
              <w:sz w:val="22"/>
              <w:lang w:eastAsia="en-AU"/>
            </w:rPr>
          </w:pPr>
          <w:hyperlink w:anchor="_Toc65159335" w:history="1">
            <w:r w:rsidR="00F02BFF" w:rsidRPr="002E4A30">
              <w:rPr>
                <w:rStyle w:val="Hyperlink"/>
                <w:noProof/>
              </w:rPr>
              <w:t>Appendix E – Overseas enforcement models</w:t>
            </w:r>
            <w:r w:rsidR="00F02BFF">
              <w:rPr>
                <w:noProof/>
                <w:webHidden/>
              </w:rPr>
              <w:tab/>
            </w:r>
            <w:r w:rsidR="00F02BFF">
              <w:rPr>
                <w:noProof/>
                <w:webHidden/>
              </w:rPr>
              <w:fldChar w:fldCharType="begin"/>
            </w:r>
            <w:r w:rsidR="00F02BFF">
              <w:rPr>
                <w:noProof/>
                <w:webHidden/>
              </w:rPr>
              <w:instrText xml:space="preserve"> PAGEREF _Toc65159335 \h </w:instrText>
            </w:r>
            <w:r w:rsidR="00F02BFF">
              <w:rPr>
                <w:noProof/>
                <w:webHidden/>
              </w:rPr>
            </w:r>
            <w:r w:rsidR="00F02BFF">
              <w:rPr>
                <w:noProof/>
                <w:webHidden/>
              </w:rPr>
              <w:fldChar w:fldCharType="separate"/>
            </w:r>
            <w:r w:rsidR="00EA3ED1">
              <w:rPr>
                <w:noProof/>
                <w:webHidden/>
              </w:rPr>
              <w:t>82</w:t>
            </w:r>
            <w:r w:rsidR="00F02BFF">
              <w:rPr>
                <w:noProof/>
                <w:webHidden/>
              </w:rPr>
              <w:fldChar w:fldCharType="end"/>
            </w:r>
          </w:hyperlink>
        </w:p>
        <w:p w14:paraId="40C22B78" w14:textId="5BB135BD" w:rsidR="00F02BFF" w:rsidRDefault="000E6C85">
          <w:pPr>
            <w:pStyle w:val="TOC1"/>
            <w:rPr>
              <w:rFonts w:eastAsiaTheme="minorEastAsia"/>
              <w:noProof/>
              <w:sz w:val="22"/>
              <w:lang w:eastAsia="en-AU"/>
            </w:rPr>
          </w:pPr>
          <w:hyperlink w:anchor="_Toc65159336" w:history="1">
            <w:r w:rsidR="00F02BFF" w:rsidRPr="002E4A30">
              <w:rPr>
                <w:rStyle w:val="Hyperlink"/>
                <w:noProof/>
              </w:rPr>
              <w:t>Appendix F – Updated Productivity Commission report statistics</w:t>
            </w:r>
            <w:r w:rsidR="00F02BFF">
              <w:rPr>
                <w:noProof/>
                <w:webHidden/>
              </w:rPr>
              <w:tab/>
            </w:r>
            <w:r w:rsidR="00F02BFF">
              <w:rPr>
                <w:noProof/>
                <w:webHidden/>
              </w:rPr>
              <w:fldChar w:fldCharType="begin"/>
            </w:r>
            <w:r w:rsidR="00F02BFF">
              <w:rPr>
                <w:noProof/>
                <w:webHidden/>
              </w:rPr>
              <w:instrText xml:space="preserve"> PAGEREF _Toc65159336 \h </w:instrText>
            </w:r>
            <w:r w:rsidR="00F02BFF">
              <w:rPr>
                <w:noProof/>
                <w:webHidden/>
              </w:rPr>
            </w:r>
            <w:r w:rsidR="00F02BFF">
              <w:rPr>
                <w:noProof/>
                <w:webHidden/>
              </w:rPr>
              <w:fldChar w:fldCharType="separate"/>
            </w:r>
            <w:r w:rsidR="00EA3ED1">
              <w:rPr>
                <w:noProof/>
                <w:webHidden/>
              </w:rPr>
              <w:t>98</w:t>
            </w:r>
            <w:r w:rsidR="00F02BFF">
              <w:rPr>
                <w:noProof/>
                <w:webHidden/>
              </w:rPr>
              <w:fldChar w:fldCharType="end"/>
            </w:r>
          </w:hyperlink>
        </w:p>
        <w:p w14:paraId="740A6658" w14:textId="46970FA2" w:rsidR="00F02BFF" w:rsidRDefault="000E6C85">
          <w:pPr>
            <w:pStyle w:val="TOC1"/>
            <w:rPr>
              <w:rFonts w:eastAsiaTheme="minorEastAsia"/>
              <w:noProof/>
              <w:sz w:val="22"/>
              <w:lang w:eastAsia="en-AU"/>
            </w:rPr>
          </w:pPr>
          <w:hyperlink w:anchor="_Toc65159337" w:history="1">
            <w:r w:rsidR="00F02BFF" w:rsidRPr="002E4A30">
              <w:rPr>
                <w:rStyle w:val="Hyperlink"/>
                <w:noProof/>
              </w:rPr>
              <w:t>Appendix G – IP Australia forthcoming Economic Research</w:t>
            </w:r>
            <w:r w:rsidR="00F02BFF">
              <w:rPr>
                <w:noProof/>
                <w:webHidden/>
              </w:rPr>
              <w:tab/>
            </w:r>
            <w:r w:rsidR="00F02BFF">
              <w:rPr>
                <w:noProof/>
                <w:webHidden/>
              </w:rPr>
              <w:fldChar w:fldCharType="begin"/>
            </w:r>
            <w:r w:rsidR="00F02BFF">
              <w:rPr>
                <w:noProof/>
                <w:webHidden/>
              </w:rPr>
              <w:instrText xml:space="preserve"> PAGEREF _Toc65159337 \h </w:instrText>
            </w:r>
            <w:r w:rsidR="00F02BFF">
              <w:rPr>
                <w:noProof/>
                <w:webHidden/>
              </w:rPr>
            </w:r>
            <w:r w:rsidR="00F02BFF">
              <w:rPr>
                <w:noProof/>
                <w:webHidden/>
              </w:rPr>
              <w:fldChar w:fldCharType="separate"/>
            </w:r>
            <w:r w:rsidR="00EA3ED1">
              <w:rPr>
                <w:noProof/>
                <w:webHidden/>
              </w:rPr>
              <w:t>101</w:t>
            </w:r>
            <w:r w:rsidR="00F02BFF">
              <w:rPr>
                <w:noProof/>
                <w:webHidden/>
              </w:rPr>
              <w:fldChar w:fldCharType="end"/>
            </w:r>
          </w:hyperlink>
        </w:p>
        <w:p w14:paraId="075FBFF5" w14:textId="77777777" w:rsidR="00010BBA" w:rsidRDefault="000242CF" w:rsidP="00C77D28">
          <w:pPr>
            <w:spacing w:before="200" w:after="200"/>
            <w:sectPr w:rsidR="00010BBA" w:rsidSect="00010BBA">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851" w:footer="708" w:gutter="0"/>
              <w:pgNumType w:fmt="lowerRoman" w:start="1"/>
              <w:cols w:space="708"/>
              <w:titlePg/>
              <w:docGrid w:linePitch="360"/>
            </w:sectPr>
          </w:pPr>
          <w:r>
            <w:fldChar w:fldCharType="end"/>
          </w:r>
        </w:p>
        <w:p w14:paraId="31E468E6" w14:textId="33BD7C8B" w:rsidR="0018139D" w:rsidRPr="00C77D28" w:rsidRDefault="000E6C85" w:rsidP="00C77D28">
          <w:pPr>
            <w:spacing w:before="200" w:after="200"/>
          </w:pPr>
        </w:p>
      </w:sdtContent>
    </w:sdt>
    <w:bookmarkStart w:id="99" w:name="_Toc59109337" w:displacedByCustomXml="prev"/>
    <w:bookmarkStart w:id="100" w:name="_Toc60760619" w:displacedByCustomXml="prev"/>
    <w:bookmarkStart w:id="101" w:name="_Toc60834804" w:displacedByCustomXml="prev"/>
    <w:bookmarkStart w:id="102" w:name="_Toc60836754" w:displacedByCustomXml="prev"/>
    <w:bookmarkStart w:id="103" w:name="_Toc51688743" w:displacedByCustomXml="prev"/>
    <w:bookmarkStart w:id="104" w:name="_Toc51759067" w:displacedByCustomXml="prev"/>
    <w:bookmarkStart w:id="105" w:name="_Toc19023741" w:displacedByCustomXml="prev"/>
    <w:p w14:paraId="325F9467" w14:textId="36225950" w:rsidR="005D6F9D" w:rsidRPr="0018139D" w:rsidRDefault="005D6F9D" w:rsidP="00102432">
      <w:pPr>
        <w:pStyle w:val="Heading1"/>
        <w:rPr>
          <w:sz w:val="22"/>
          <w:szCs w:val="22"/>
        </w:rPr>
      </w:pPr>
      <w:bookmarkStart w:id="106" w:name="_Toc60997743"/>
      <w:bookmarkStart w:id="107" w:name="_Toc61015557"/>
      <w:bookmarkStart w:id="108" w:name="_Toc61269589"/>
      <w:bookmarkStart w:id="109" w:name="_Toc61356697"/>
      <w:bookmarkStart w:id="110" w:name="_Toc65159307"/>
      <w:r>
        <w:t>Letter to the Minister</w:t>
      </w:r>
      <w:bookmarkEnd w:id="106"/>
      <w:bookmarkEnd w:id="107"/>
      <w:bookmarkEnd w:id="108"/>
      <w:bookmarkEnd w:id="109"/>
      <w:bookmarkEnd w:id="110"/>
      <w:bookmarkEnd w:id="102"/>
      <w:bookmarkEnd w:id="101"/>
      <w:bookmarkEnd w:id="100"/>
      <w:bookmarkEnd w:id="99"/>
    </w:p>
    <w:p w14:paraId="7878FAFD" w14:textId="393FA6FF" w:rsidR="00B14149" w:rsidRPr="0020157F" w:rsidRDefault="0020157F" w:rsidP="79344E9E">
      <w:pPr>
        <w:contextualSpacing/>
        <w:rPr>
          <w:szCs w:val="24"/>
        </w:rPr>
      </w:pPr>
      <w:r w:rsidRPr="0020157F">
        <w:rPr>
          <w:szCs w:val="24"/>
        </w:rPr>
        <w:t>26 February</w:t>
      </w:r>
      <w:r w:rsidR="00B14149" w:rsidRPr="0020157F">
        <w:rPr>
          <w:szCs w:val="24"/>
        </w:rPr>
        <w:t xml:space="preserve"> 2021</w:t>
      </w:r>
    </w:p>
    <w:p w14:paraId="4232AEE9" w14:textId="77777777" w:rsidR="00B14149" w:rsidRPr="00585B6B" w:rsidRDefault="00B14149" w:rsidP="79344E9E">
      <w:pPr>
        <w:contextualSpacing/>
        <w:rPr>
          <w:sz w:val="28"/>
          <w:szCs w:val="28"/>
        </w:rPr>
      </w:pPr>
    </w:p>
    <w:p w14:paraId="69BE82DB" w14:textId="03BD4797" w:rsidR="00B14149" w:rsidRPr="007E6AE3" w:rsidRDefault="00B14149" w:rsidP="79344E9E">
      <w:pPr>
        <w:contextualSpacing/>
        <w:rPr>
          <w:szCs w:val="24"/>
        </w:rPr>
      </w:pPr>
      <w:r w:rsidRPr="007E6AE3">
        <w:rPr>
          <w:szCs w:val="24"/>
        </w:rPr>
        <w:t xml:space="preserve">The Hon Karen Andrews MP </w:t>
      </w:r>
    </w:p>
    <w:p w14:paraId="06123664" w14:textId="2AF28700" w:rsidR="00B14149" w:rsidRPr="007E6AE3" w:rsidRDefault="00B14149" w:rsidP="79344E9E">
      <w:pPr>
        <w:contextualSpacing/>
        <w:rPr>
          <w:szCs w:val="24"/>
        </w:rPr>
      </w:pPr>
      <w:r w:rsidRPr="007E6AE3">
        <w:rPr>
          <w:szCs w:val="24"/>
        </w:rPr>
        <w:t>Minister for Industry, Science and Technology</w:t>
      </w:r>
    </w:p>
    <w:p w14:paraId="0E4C94BB" w14:textId="41DE542D" w:rsidR="00B14149" w:rsidRPr="007E6AE3" w:rsidRDefault="00B14149" w:rsidP="79344E9E">
      <w:pPr>
        <w:contextualSpacing/>
        <w:rPr>
          <w:szCs w:val="24"/>
        </w:rPr>
      </w:pPr>
      <w:r w:rsidRPr="007E6AE3">
        <w:rPr>
          <w:szCs w:val="24"/>
        </w:rPr>
        <w:t>Parliament House</w:t>
      </w:r>
    </w:p>
    <w:p w14:paraId="4153AB45" w14:textId="069C1EB6" w:rsidR="00B14149" w:rsidRPr="007E6AE3" w:rsidRDefault="00B14149" w:rsidP="79344E9E">
      <w:pPr>
        <w:contextualSpacing/>
        <w:rPr>
          <w:szCs w:val="24"/>
        </w:rPr>
      </w:pPr>
      <w:r w:rsidRPr="007E6AE3">
        <w:rPr>
          <w:szCs w:val="24"/>
        </w:rPr>
        <w:t>CANBERRA ACT 2600</w:t>
      </w:r>
    </w:p>
    <w:p w14:paraId="714F3473" w14:textId="77777777" w:rsidR="00B14149" w:rsidRPr="007E6AE3" w:rsidRDefault="00B14149" w:rsidP="79344E9E">
      <w:pPr>
        <w:contextualSpacing/>
        <w:rPr>
          <w:szCs w:val="24"/>
        </w:rPr>
      </w:pPr>
    </w:p>
    <w:p w14:paraId="05D689CA" w14:textId="6DB9AC8D" w:rsidR="10DD0F59" w:rsidRPr="007E6AE3" w:rsidRDefault="005D6F9D" w:rsidP="79344E9E">
      <w:pPr>
        <w:rPr>
          <w:szCs w:val="24"/>
        </w:rPr>
      </w:pPr>
      <w:r w:rsidRPr="007E6AE3">
        <w:rPr>
          <w:szCs w:val="24"/>
        </w:rPr>
        <w:t>Dear Minister Andrews</w:t>
      </w:r>
      <w:r w:rsidR="00E757CD" w:rsidRPr="007E6AE3">
        <w:rPr>
          <w:szCs w:val="24"/>
        </w:rPr>
        <w:t xml:space="preserve"> </w:t>
      </w:r>
    </w:p>
    <w:p w14:paraId="328D942E" w14:textId="3BE5021B" w:rsidR="10DD0F59" w:rsidRPr="007E6AE3" w:rsidRDefault="10DD0F59" w:rsidP="7A33F704">
      <w:pPr>
        <w:rPr>
          <w:szCs w:val="24"/>
        </w:rPr>
      </w:pPr>
      <w:r w:rsidRPr="007E6AE3">
        <w:rPr>
          <w:szCs w:val="24"/>
        </w:rPr>
        <w:t xml:space="preserve">I have pleasure in attaching </w:t>
      </w:r>
      <w:r w:rsidR="2D95F272" w:rsidRPr="007E6AE3">
        <w:rPr>
          <w:szCs w:val="24"/>
        </w:rPr>
        <w:t>my</w:t>
      </w:r>
      <w:r w:rsidR="3CA0C7F7" w:rsidRPr="007E6AE3">
        <w:rPr>
          <w:szCs w:val="24"/>
        </w:rPr>
        <w:t xml:space="preserve"> report on </w:t>
      </w:r>
      <w:r w:rsidRPr="007E6AE3">
        <w:rPr>
          <w:szCs w:val="24"/>
        </w:rPr>
        <w:t>the review on the accessibility of the patent system to small and medium enterprises</w:t>
      </w:r>
      <w:r w:rsidR="008E4AF5" w:rsidRPr="007E6AE3">
        <w:rPr>
          <w:szCs w:val="24"/>
        </w:rPr>
        <w:t xml:space="preserve"> (SMEs)</w:t>
      </w:r>
      <w:r w:rsidRPr="007E6AE3">
        <w:rPr>
          <w:szCs w:val="24"/>
        </w:rPr>
        <w:t xml:space="preserve">. The review follows the </w:t>
      </w:r>
      <w:r w:rsidR="00D04E27" w:rsidRPr="007E6AE3">
        <w:rPr>
          <w:szCs w:val="24"/>
        </w:rPr>
        <w:t>T</w:t>
      </w:r>
      <w:r w:rsidRPr="007E6AE3">
        <w:rPr>
          <w:szCs w:val="24"/>
        </w:rPr>
        <w:t xml:space="preserve">erms of </w:t>
      </w:r>
      <w:r w:rsidR="00D04E27" w:rsidRPr="007E6AE3">
        <w:rPr>
          <w:szCs w:val="24"/>
        </w:rPr>
        <w:t>R</w:t>
      </w:r>
      <w:r w:rsidRPr="007E6AE3">
        <w:rPr>
          <w:szCs w:val="24"/>
        </w:rPr>
        <w:t xml:space="preserve">eference </w:t>
      </w:r>
      <w:r w:rsidR="0065321B" w:rsidRPr="007E6AE3">
        <w:rPr>
          <w:szCs w:val="24"/>
        </w:rPr>
        <w:t xml:space="preserve">(see </w:t>
      </w:r>
      <w:r w:rsidR="0094459F" w:rsidRPr="007E6AE3">
        <w:rPr>
          <w:szCs w:val="24"/>
        </w:rPr>
        <w:t>‘</w:t>
      </w:r>
      <w:r w:rsidR="0065321B" w:rsidRPr="007E6AE3">
        <w:rPr>
          <w:szCs w:val="24"/>
        </w:rPr>
        <w:t xml:space="preserve">Chapter 3: </w:t>
      </w:r>
      <w:r w:rsidR="0094459F" w:rsidRPr="007E6AE3">
        <w:rPr>
          <w:szCs w:val="24"/>
        </w:rPr>
        <w:t>Final Terms of Reference’)</w:t>
      </w:r>
      <w:r w:rsidR="0065321B" w:rsidRPr="007E6AE3">
        <w:rPr>
          <w:szCs w:val="24"/>
        </w:rPr>
        <w:t xml:space="preserve"> </w:t>
      </w:r>
      <w:r w:rsidR="40F8BD4F" w:rsidRPr="007E6AE3">
        <w:rPr>
          <w:szCs w:val="24"/>
        </w:rPr>
        <w:t>as</w:t>
      </w:r>
      <w:r w:rsidR="63E6874B" w:rsidRPr="007E6AE3">
        <w:rPr>
          <w:szCs w:val="24"/>
        </w:rPr>
        <w:t xml:space="preserve"> laid down by the Parliament</w:t>
      </w:r>
      <w:r w:rsidR="00C3094F" w:rsidRPr="007E6AE3">
        <w:rPr>
          <w:szCs w:val="24"/>
        </w:rPr>
        <w:t>. It</w:t>
      </w:r>
      <w:r w:rsidR="63E6874B" w:rsidRPr="007E6AE3">
        <w:rPr>
          <w:szCs w:val="24"/>
        </w:rPr>
        <w:t xml:space="preserve"> also raises a number of issues which emerged in the course of carrying out the review</w:t>
      </w:r>
      <w:r w:rsidR="00C3094F" w:rsidRPr="007E6AE3">
        <w:rPr>
          <w:szCs w:val="24"/>
        </w:rPr>
        <w:t>, as</w:t>
      </w:r>
      <w:r w:rsidR="63E6874B" w:rsidRPr="007E6AE3">
        <w:rPr>
          <w:szCs w:val="24"/>
        </w:rPr>
        <w:t xml:space="preserve"> the terms of reference allowed for the inclusion of other relevant issues.</w:t>
      </w:r>
    </w:p>
    <w:p w14:paraId="3408A1DC" w14:textId="55DB2E3C" w:rsidR="6CF51A32" w:rsidRPr="00FD4493" w:rsidRDefault="6CF51A32" w:rsidP="7A33F704">
      <w:pPr>
        <w:rPr>
          <w:rFonts w:cs="Arial (Body CS)"/>
          <w:spacing w:val="-6"/>
          <w:szCs w:val="24"/>
        </w:rPr>
      </w:pPr>
      <w:r w:rsidRPr="00FD4493">
        <w:rPr>
          <w:rFonts w:cs="Arial (Body CS)"/>
          <w:spacing w:val="-6"/>
          <w:szCs w:val="24"/>
        </w:rPr>
        <w:t xml:space="preserve">The principal issues on cost and processing times were easily dealt with, but the matter of education, awareness of </w:t>
      </w:r>
      <w:r w:rsidR="00230C16" w:rsidRPr="00FD4493">
        <w:rPr>
          <w:rFonts w:cs="Arial (Body CS)"/>
          <w:spacing w:val="-6"/>
          <w:szCs w:val="24"/>
        </w:rPr>
        <w:t>intellectual property (</w:t>
      </w:r>
      <w:r w:rsidRPr="00FD4493">
        <w:rPr>
          <w:rFonts w:cs="Arial (Body CS)"/>
          <w:spacing w:val="-6"/>
          <w:szCs w:val="24"/>
        </w:rPr>
        <w:t>IP</w:t>
      </w:r>
      <w:r w:rsidR="00230C16" w:rsidRPr="00FD4493">
        <w:rPr>
          <w:rFonts w:cs="Arial (Body CS)"/>
          <w:spacing w:val="-6"/>
          <w:szCs w:val="24"/>
        </w:rPr>
        <w:t>)</w:t>
      </w:r>
      <w:r w:rsidRPr="00FD4493">
        <w:rPr>
          <w:rFonts w:cs="Arial (Body CS)"/>
          <w:spacing w:val="-6"/>
          <w:szCs w:val="24"/>
        </w:rPr>
        <w:t xml:space="preserve"> services, and the problems of complex litigation required some considerable research.</w:t>
      </w:r>
      <w:r w:rsidR="7D736785" w:rsidRPr="00FD4493">
        <w:rPr>
          <w:rFonts w:cs="Arial (Body CS)"/>
          <w:spacing w:val="-6"/>
          <w:szCs w:val="24"/>
        </w:rPr>
        <w:t xml:space="preserve"> </w:t>
      </w:r>
      <w:r w:rsidR="1A68CBA6" w:rsidRPr="00FD4493">
        <w:rPr>
          <w:rFonts w:cs="Arial (Body CS)"/>
          <w:spacing w:val="-6"/>
          <w:szCs w:val="24"/>
        </w:rPr>
        <w:t xml:space="preserve">The interviews carried out were rich in information on the experience of people within the </w:t>
      </w:r>
      <w:r w:rsidR="00230C16" w:rsidRPr="00FD4493">
        <w:rPr>
          <w:rFonts w:cs="Arial (Body CS)"/>
          <w:spacing w:val="-6"/>
          <w:szCs w:val="24"/>
        </w:rPr>
        <w:t>SME</w:t>
      </w:r>
      <w:r w:rsidR="1A68CBA6" w:rsidRPr="00FD4493">
        <w:rPr>
          <w:rFonts w:cs="Arial (Body CS)"/>
          <w:spacing w:val="-6"/>
          <w:szCs w:val="24"/>
        </w:rPr>
        <w:t xml:space="preserve"> sector</w:t>
      </w:r>
      <w:r w:rsidR="41D1DA34" w:rsidRPr="00FD4493">
        <w:rPr>
          <w:rFonts w:cs="Arial (Body CS)"/>
          <w:spacing w:val="-6"/>
          <w:szCs w:val="24"/>
        </w:rPr>
        <w:t>: interviewees were frank and helpful</w:t>
      </w:r>
      <w:r w:rsidR="7A2A2E8A" w:rsidRPr="00FD4493">
        <w:rPr>
          <w:rFonts w:cs="Arial (Body CS)"/>
          <w:spacing w:val="-6"/>
          <w:szCs w:val="24"/>
        </w:rPr>
        <w:t>.</w:t>
      </w:r>
    </w:p>
    <w:p w14:paraId="57BF4144" w14:textId="33611CF6" w:rsidR="00327DA8" w:rsidRPr="007E6AE3" w:rsidRDefault="3A1C2DE3" w:rsidP="7A33F704">
      <w:pPr>
        <w:rPr>
          <w:szCs w:val="24"/>
        </w:rPr>
      </w:pPr>
      <w:r w:rsidRPr="007E6AE3">
        <w:rPr>
          <w:szCs w:val="24"/>
        </w:rPr>
        <w:t>Th</w:t>
      </w:r>
      <w:r w:rsidR="70E9686D" w:rsidRPr="007E6AE3">
        <w:rPr>
          <w:szCs w:val="24"/>
        </w:rPr>
        <w:t>is review report</w:t>
      </w:r>
      <w:r w:rsidR="65695971" w:rsidRPr="007E6AE3">
        <w:rPr>
          <w:szCs w:val="24"/>
        </w:rPr>
        <w:t xml:space="preserve"> is also written in the light of the </w:t>
      </w:r>
      <w:r w:rsidR="00EB0FCC">
        <w:rPr>
          <w:szCs w:val="24"/>
        </w:rPr>
        <w:t xml:space="preserve">Australian </w:t>
      </w:r>
      <w:r w:rsidR="00327DA8" w:rsidRPr="007E6AE3">
        <w:rPr>
          <w:szCs w:val="24"/>
        </w:rPr>
        <w:t>G</w:t>
      </w:r>
      <w:r w:rsidR="65695971" w:rsidRPr="007E6AE3">
        <w:rPr>
          <w:szCs w:val="24"/>
        </w:rPr>
        <w:t>overnment</w:t>
      </w:r>
      <w:r w:rsidR="00327DA8" w:rsidRPr="007E6AE3">
        <w:rPr>
          <w:szCs w:val="24"/>
        </w:rPr>
        <w:t>’s</w:t>
      </w:r>
      <w:r w:rsidR="65695971" w:rsidRPr="007E6AE3">
        <w:rPr>
          <w:szCs w:val="24"/>
        </w:rPr>
        <w:t xml:space="preserve"> plan</w:t>
      </w:r>
      <w:r w:rsidR="29F0A2E5" w:rsidRPr="007E6AE3">
        <w:rPr>
          <w:szCs w:val="24"/>
        </w:rPr>
        <w:t xml:space="preserve"> to create new businesses, and thus new empl</w:t>
      </w:r>
      <w:r w:rsidR="1E2BDA61" w:rsidRPr="007E6AE3">
        <w:rPr>
          <w:szCs w:val="24"/>
        </w:rPr>
        <w:t>o</w:t>
      </w:r>
      <w:r w:rsidR="29F0A2E5" w:rsidRPr="007E6AE3">
        <w:rPr>
          <w:szCs w:val="24"/>
        </w:rPr>
        <w:t>y</w:t>
      </w:r>
      <w:r w:rsidR="1501F7F9" w:rsidRPr="007E6AE3">
        <w:rPr>
          <w:szCs w:val="24"/>
        </w:rPr>
        <w:t>m</w:t>
      </w:r>
      <w:r w:rsidR="29F0A2E5" w:rsidRPr="007E6AE3">
        <w:rPr>
          <w:szCs w:val="24"/>
        </w:rPr>
        <w:t>ent opportun</w:t>
      </w:r>
      <w:r w:rsidR="0D2C9FDF" w:rsidRPr="007E6AE3">
        <w:rPr>
          <w:szCs w:val="24"/>
        </w:rPr>
        <w:t>ities</w:t>
      </w:r>
      <w:r w:rsidR="29F0A2E5" w:rsidRPr="007E6AE3">
        <w:rPr>
          <w:szCs w:val="24"/>
        </w:rPr>
        <w:t xml:space="preserve">, in certain </w:t>
      </w:r>
      <w:r w:rsidR="6EFC1E7A" w:rsidRPr="007E6AE3">
        <w:rPr>
          <w:szCs w:val="24"/>
        </w:rPr>
        <w:t>IP intensive</w:t>
      </w:r>
      <w:r w:rsidR="29F0A2E5" w:rsidRPr="007E6AE3">
        <w:rPr>
          <w:szCs w:val="24"/>
        </w:rPr>
        <w:t xml:space="preserve"> areas</w:t>
      </w:r>
      <w:r w:rsidR="02412A95" w:rsidRPr="007E6AE3">
        <w:rPr>
          <w:szCs w:val="24"/>
        </w:rPr>
        <w:t xml:space="preserve">: </w:t>
      </w:r>
      <w:r w:rsidR="6B47DCD7" w:rsidRPr="007E6AE3">
        <w:rPr>
          <w:szCs w:val="24"/>
        </w:rPr>
        <w:t xml:space="preserve">namely </w:t>
      </w:r>
      <w:r w:rsidR="02412A95" w:rsidRPr="007E6AE3">
        <w:rPr>
          <w:szCs w:val="24"/>
        </w:rPr>
        <w:t>the Modern Manufacturing Initiative.</w:t>
      </w:r>
      <w:r w:rsidR="005015ED" w:rsidRPr="007E6AE3">
        <w:rPr>
          <w:szCs w:val="24"/>
        </w:rPr>
        <w:t xml:space="preserve"> </w:t>
      </w:r>
    </w:p>
    <w:p w14:paraId="7E168F34" w14:textId="08A25C65" w:rsidR="3A1C2DE3" w:rsidRPr="007E6AE3" w:rsidRDefault="5CD0BF92" w:rsidP="00FD4493">
      <w:pPr>
        <w:spacing w:after="60"/>
        <w:rPr>
          <w:szCs w:val="24"/>
        </w:rPr>
      </w:pPr>
      <w:r w:rsidRPr="007E6AE3">
        <w:rPr>
          <w:szCs w:val="24"/>
        </w:rPr>
        <w:t>Thre</w:t>
      </w:r>
      <w:r w:rsidR="31748ACA" w:rsidRPr="007E6AE3">
        <w:rPr>
          <w:szCs w:val="24"/>
        </w:rPr>
        <w:t>e</w:t>
      </w:r>
      <w:r w:rsidR="3C784425" w:rsidRPr="007E6AE3">
        <w:rPr>
          <w:szCs w:val="24"/>
        </w:rPr>
        <w:t xml:space="preserve"> main </w:t>
      </w:r>
      <w:r w:rsidR="3A1C2DE3" w:rsidRPr="007E6AE3">
        <w:rPr>
          <w:szCs w:val="24"/>
        </w:rPr>
        <w:t>theme</w:t>
      </w:r>
      <w:r w:rsidR="61876314" w:rsidRPr="007E6AE3">
        <w:rPr>
          <w:szCs w:val="24"/>
        </w:rPr>
        <w:t>s</w:t>
      </w:r>
      <w:r w:rsidR="3A1C2DE3" w:rsidRPr="007E6AE3">
        <w:rPr>
          <w:szCs w:val="24"/>
        </w:rPr>
        <w:t xml:space="preserve"> of this review report </w:t>
      </w:r>
      <w:r w:rsidR="6853836F" w:rsidRPr="007E6AE3">
        <w:rPr>
          <w:szCs w:val="24"/>
        </w:rPr>
        <w:t>are</w:t>
      </w:r>
      <w:r w:rsidR="008E4AF5" w:rsidRPr="007E6AE3">
        <w:rPr>
          <w:szCs w:val="24"/>
        </w:rPr>
        <w:t>:</w:t>
      </w:r>
    </w:p>
    <w:p w14:paraId="549210B4" w14:textId="04521352" w:rsidR="3A1C2DE3" w:rsidRPr="007E6AE3" w:rsidRDefault="008E4AF5" w:rsidP="004E3C05">
      <w:pPr>
        <w:pStyle w:val="ListParagraph"/>
        <w:numPr>
          <w:ilvl w:val="0"/>
          <w:numId w:val="30"/>
        </w:numPr>
        <w:rPr>
          <w:rFonts w:eastAsiaTheme="minorEastAsia"/>
          <w:szCs w:val="24"/>
        </w:rPr>
      </w:pPr>
      <w:r w:rsidRPr="007E6AE3">
        <w:rPr>
          <w:szCs w:val="24"/>
        </w:rPr>
        <w:t>T</w:t>
      </w:r>
      <w:r w:rsidR="3A1C2DE3" w:rsidRPr="007E6AE3">
        <w:rPr>
          <w:szCs w:val="24"/>
        </w:rPr>
        <w:t xml:space="preserve">he </w:t>
      </w:r>
      <w:r w:rsidR="3A1C2DE3" w:rsidRPr="007E6AE3">
        <w:rPr>
          <w:b/>
          <w:bCs/>
          <w:szCs w:val="24"/>
        </w:rPr>
        <w:t>need for activism</w:t>
      </w:r>
      <w:r w:rsidR="3A1C2DE3" w:rsidRPr="007E6AE3" w:rsidDel="00CA6064">
        <w:rPr>
          <w:szCs w:val="24"/>
        </w:rPr>
        <w:t xml:space="preserve"> </w:t>
      </w:r>
      <w:r w:rsidR="3A1C2DE3" w:rsidRPr="007E6AE3">
        <w:rPr>
          <w:szCs w:val="24"/>
        </w:rPr>
        <w:t xml:space="preserve">on the part of government in seeking to assist small inventors with </w:t>
      </w:r>
      <w:r w:rsidR="002B0D9D" w:rsidRPr="007E6AE3">
        <w:rPr>
          <w:szCs w:val="24"/>
        </w:rPr>
        <w:t xml:space="preserve">both </w:t>
      </w:r>
      <w:r w:rsidR="3A1C2DE3" w:rsidRPr="007E6AE3">
        <w:rPr>
          <w:szCs w:val="24"/>
        </w:rPr>
        <w:t>commercialisation and patenting advice</w:t>
      </w:r>
      <w:r w:rsidR="00B87E50" w:rsidRPr="007E6AE3">
        <w:rPr>
          <w:szCs w:val="24"/>
        </w:rPr>
        <w:t xml:space="preserve">: </w:t>
      </w:r>
      <w:r w:rsidR="3A1C2DE3" w:rsidRPr="007E6AE3">
        <w:rPr>
          <w:szCs w:val="24"/>
        </w:rPr>
        <w:t>the</w:t>
      </w:r>
      <w:r w:rsidR="77910343" w:rsidRPr="007E6AE3">
        <w:rPr>
          <w:szCs w:val="24"/>
        </w:rPr>
        <w:t>se</w:t>
      </w:r>
      <w:r w:rsidR="3A1C2DE3" w:rsidRPr="007E6AE3">
        <w:rPr>
          <w:szCs w:val="24"/>
        </w:rPr>
        <w:t xml:space="preserve"> two </w:t>
      </w:r>
      <w:r w:rsidR="00B87E50" w:rsidRPr="007E6AE3">
        <w:rPr>
          <w:szCs w:val="24"/>
        </w:rPr>
        <w:t xml:space="preserve">are </w:t>
      </w:r>
      <w:r w:rsidR="3A1C2DE3" w:rsidRPr="007E6AE3">
        <w:rPr>
          <w:szCs w:val="24"/>
        </w:rPr>
        <w:t>indissolubly linked</w:t>
      </w:r>
      <w:r w:rsidR="00C21CBD" w:rsidRPr="007E6AE3">
        <w:rPr>
          <w:szCs w:val="24"/>
        </w:rPr>
        <w:t xml:space="preserve"> and</w:t>
      </w:r>
      <w:r w:rsidR="1BF33A90" w:rsidRPr="007E6AE3">
        <w:rPr>
          <w:szCs w:val="24"/>
        </w:rPr>
        <w:t xml:space="preserve"> must be integrated. </w:t>
      </w:r>
      <w:r w:rsidR="711443A3" w:rsidRPr="007E6AE3">
        <w:rPr>
          <w:szCs w:val="24"/>
        </w:rPr>
        <w:t xml:space="preserve">There are many </w:t>
      </w:r>
      <w:r w:rsidR="1AD79450" w:rsidRPr="007E6AE3">
        <w:rPr>
          <w:szCs w:val="24"/>
        </w:rPr>
        <w:t>who</w:t>
      </w:r>
      <w:r w:rsidR="711443A3" w:rsidRPr="007E6AE3">
        <w:rPr>
          <w:szCs w:val="24"/>
        </w:rPr>
        <w:t xml:space="preserve"> want assistance with both these matters but have difficulty in finding it. The report suggests direct action by a public-private partnership offering commercialisation</w:t>
      </w:r>
      <w:r w:rsidR="5B3FB452" w:rsidRPr="007E6AE3">
        <w:rPr>
          <w:szCs w:val="24"/>
        </w:rPr>
        <w:t xml:space="preserve"> and pat</w:t>
      </w:r>
      <w:r w:rsidR="3482E41E" w:rsidRPr="007E6AE3">
        <w:rPr>
          <w:szCs w:val="24"/>
        </w:rPr>
        <w:t>enting</w:t>
      </w:r>
      <w:r w:rsidR="5B3FB452" w:rsidRPr="007E6AE3">
        <w:rPr>
          <w:szCs w:val="24"/>
        </w:rPr>
        <w:t xml:space="preserve"> advice, as well as coordinating the offer of funding</w:t>
      </w:r>
      <w:r w:rsidR="00B87E50" w:rsidRPr="007E6AE3">
        <w:rPr>
          <w:szCs w:val="24"/>
        </w:rPr>
        <w:t xml:space="preserve"> (</w:t>
      </w:r>
      <w:r w:rsidR="172E63E7" w:rsidRPr="007E6AE3">
        <w:rPr>
          <w:szCs w:val="24"/>
        </w:rPr>
        <w:t>public and private</w:t>
      </w:r>
      <w:r w:rsidR="00B87E50" w:rsidRPr="007E6AE3">
        <w:rPr>
          <w:szCs w:val="24"/>
        </w:rPr>
        <w:t>)</w:t>
      </w:r>
      <w:r w:rsidR="172E63E7" w:rsidRPr="007E6AE3">
        <w:rPr>
          <w:szCs w:val="24"/>
        </w:rPr>
        <w:t xml:space="preserve"> for</w:t>
      </w:r>
      <w:r w:rsidR="5B3FB452" w:rsidRPr="007E6AE3">
        <w:rPr>
          <w:szCs w:val="24"/>
        </w:rPr>
        <w:t xml:space="preserve"> </w:t>
      </w:r>
      <w:r w:rsidR="30B0842D" w:rsidRPr="007E6AE3">
        <w:rPr>
          <w:szCs w:val="24"/>
        </w:rPr>
        <w:t xml:space="preserve">critical </w:t>
      </w:r>
      <w:r w:rsidR="16155F11" w:rsidRPr="007E6AE3">
        <w:rPr>
          <w:szCs w:val="24"/>
        </w:rPr>
        <w:t>technolog</w:t>
      </w:r>
      <w:r w:rsidR="3C91187C" w:rsidRPr="007E6AE3">
        <w:rPr>
          <w:szCs w:val="24"/>
        </w:rPr>
        <w:t>ies</w:t>
      </w:r>
      <w:r w:rsidR="5B3FB452" w:rsidRPr="007E6AE3">
        <w:rPr>
          <w:szCs w:val="24"/>
        </w:rPr>
        <w:t xml:space="preserve"> of national interest</w:t>
      </w:r>
      <w:r w:rsidR="1BCAB6BE" w:rsidRPr="007E6AE3">
        <w:rPr>
          <w:szCs w:val="24"/>
        </w:rPr>
        <w:t>.</w:t>
      </w:r>
    </w:p>
    <w:p w14:paraId="6F72679F" w14:textId="01475B34" w:rsidR="1BCAB6BE" w:rsidRPr="007E6AE3" w:rsidRDefault="1BCAB6BE" w:rsidP="0041485D">
      <w:pPr>
        <w:pStyle w:val="ListParagraph"/>
        <w:numPr>
          <w:ilvl w:val="0"/>
          <w:numId w:val="30"/>
        </w:numPr>
        <w:rPr>
          <w:szCs w:val="24"/>
        </w:rPr>
      </w:pPr>
      <w:r w:rsidRPr="007E6AE3">
        <w:rPr>
          <w:szCs w:val="24"/>
        </w:rPr>
        <w:t xml:space="preserve">The </w:t>
      </w:r>
      <w:r w:rsidRPr="007E6AE3">
        <w:rPr>
          <w:b/>
          <w:bCs/>
          <w:szCs w:val="24"/>
        </w:rPr>
        <w:t>fear of overwhelming litigation costs</w:t>
      </w:r>
      <w:r w:rsidRPr="007E6AE3">
        <w:rPr>
          <w:szCs w:val="24"/>
        </w:rPr>
        <w:t>, which turns people away f</w:t>
      </w:r>
      <w:r w:rsidR="39DF18DE" w:rsidRPr="007E6AE3">
        <w:rPr>
          <w:szCs w:val="24"/>
        </w:rPr>
        <w:t>rom</w:t>
      </w:r>
      <w:r w:rsidRPr="007E6AE3">
        <w:rPr>
          <w:szCs w:val="24"/>
        </w:rPr>
        <w:t xml:space="preserve"> the patenting system</w:t>
      </w:r>
      <w:r w:rsidR="1C4EE8E0" w:rsidRPr="007E6AE3">
        <w:rPr>
          <w:szCs w:val="24"/>
        </w:rPr>
        <w:t>. We should solve this if we are to have more participants in the IP rights system, and this is particularly important if we wish to encourage IP export, in which Australia is deficient.</w:t>
      </w:r>
      <w:r w:rsidR="00BC3F9C">
        <w:rPr>
          <w:szCs w:val="24"/>
        </w:rPr>
        <w:t xml:space="preserve"> </w:t>
      </w:r>
    </w:p>
    <w:p w14:paraId="755CC9F9" w14:textId="4A9A497A" w:rsidR="00C77D28" w:rsidRDefault="20209D1B" w:rsidP="0041485D">
      <w:pPr>
        <w:pStyle w:val="ListParagraph"/>
        <w:numPr>
          <w:ilvl w:val="0"/>
          <w:numId w:val="30"/>
        </w:numPr>
        <w:rPr>
          <w:szCs w:val="24"/>
        </w:rPr>
      </w:pPr>
      <w:r w:rsidRPr="007E6AE3">
        <w:rPr>
          <w:szCs w:val="24"/>
        </w:rPr>
        <w:t>Export of IP: t</w:t>
      </w:r>
      <w:r w:rsidR="174A295B" w:rsidRPr="007E6AE3">
        <w:rPr>
          <w:szCs w:val="24"/>
        </w:rPr>
        <w:t>he</w:t>
      </w:r>
      <w:r w:rsidR="23F4F44F" w:rsidRPr="007E6AE3">
        <w:rPr>
          <w:szCs w:val="24"/>
        </w:rPr>
        <w:t>re is a problem here.</w:t>
      </w:r>
      <w:r w:rsidR="005015ED" w:rsidRPr="007E6AE3">
        <w:rPr>
          <w:szCs w:val="24"/>
        </w:rPr>
        <w:t xml:space="preserve"> </w:t>
      </w:r>
      <w:r w:rsidR="0F90618E" w:rsidRPr="007E6AE3">
        <w:rPr>
          <w:szCs w:val="24"/>
        </w:rPr>
        <w:t>The</w:t>
      </w:r>
      <w:r w:rsidR="174A295B" w:rsidRPr="007E6AE3">
        <w:rPr>
          <w:szCs w:val="24"/>
        </w:rPr>
        <w:t xml:space="preserve"> </w:t>
      </w:r>
      <w:r w:rsidR="174A295B" w:rsidRPr="007E6AE3">
        <w:rPr>
          <w:b/>
          <w:bCs/>
          <w:szCs w:val="24"/>
        </w:rPr>
        <w:t>internationalisation of Australian IP</w:t>
      </w:r>
      <w:r w:rsidR="00C05791" w:rsidRPr="007E6AE3">
        <w:rPr>
          <w:szCs w:val="24"/>
        </w:rPr>
        <w:t xml:space="preserve"> </w:t>
      </w:r>
      <w:r w:rsidR="00C05791" w:rsidRPr="007E6AE3" w:rsidDel="00FD418B">
        <w:rPr>
          <w:szCs w:val="24"/>
        </w:rPr>
        <w:t xml:space="preserve">– </w:t>
      </w:r>
      <w:r w:rsidR="174A295B" w:rsidRPr="007E6AE3">
        <w:rPr>
          <w:szCs w:val="24"/>
        </w:rPr>
        <w:t xml:space="preserve">so that Australian </w:t>
      </w:r>
      <w:r w:rsidR="008E4AF5" w:rsidRPr="007E6AE3">
        <w:rPr>
          <w:szCs w:val="24"/>
        </w:rPr>
        <w:t>SMEs</w:t>
      </w:r>
      <w:r w:rsidR="174A295B" w:rsidRPr="007E6AE3">
        <w:rPr>
          <w:szCs w:val="24"/>
        </w:rPr>
        <w:t xml:space="preserve"> are able</w:t>
      </w:r>
      <w:r w:rsidR="19563130" w:rsidRPr="007E6AE3">
        <w:rPr>
          <w:szCs w:val="24"/>
        </w:rPr>
        <w:t xml:space="preserve"> to</w:t>
      </w:r>
      <w:r w:rsidR="174A295B" w:rsidRPr="007E6AE3">
        <w:rPr>
          <w:szCs w:val="24"/>
        </w:rPr>
        <w:t xml:space="preserve"> export their I</w:t>
      </w:r>
      <w:r w:rsidR="34A559ED" w:rsidRPr="007E6AE3">
        <w:rPr>
          <w:szCs w:val="24"/>
        </w:rPr>
        <w:t>P</w:t>
      </w:r>
      <w:r w:rsidR="1ADC5108" w:rsidRPr="007E6AE3">
        <w:rPr>
          <w:szCs w:val="24"/>
        </w:rPr>
        <w:t xml:space="preserve"> </w:t>
      </w:r>
      <w:r w:rsidR="008A4E06" w:rsidRPr="007E6AE3" w:rsidDel="00FD418B">
        <w:rPr>
          <w:szCs w:val="24"/>
        </w:rPr>
        <w:t>–</w:t>
      </w:r>
      <w:r w:rsidR="00FD418B" w:rsidRPr="007E6AE3">
        <w:rPr>
          <w:szCs w:val="24"/>
        </w:rPr>
        <w:t xml:space="preserve"> </w:t>
      </w:r>
      <w:r w:rsidR="1ADC5108" w:rsidRPr="007E6AE3">
        <w:rPr>
          <w:szCs w:val="24"/>
        </w:rPr>
        <w:t xml:space="preserve">is crucial. </w:t>
      </w:r>
      <w:r w:rsidR="00C05791" w:rsidRPr="007E6AE3">
        <w:rPr>
          <w:szCs w:val="24"/>
        </w:rPr>
        <w:t>B</w:t>
      </w:r>
      <w:r w:rsidR="13EF1983" w:rsidRPr="007E6AE3">
        <w:rPr>
          <w:szCs w:val="24"/>
        </w:rPr>
        <w:t>ecoming more familiar with accessing the IP rights system is critical in paving the way for this.</w:t>
      </w:r>
      <w:r w:rsidR="00C77D28">
        <w:rPr>
          <w:szCs w:val="24"/>
        </w:rPr>
        <w:br w:type="page"/>
      </w:r>
    </w:p>
    <w:p w14:paraId="47F5FA26" w14:textId="0FEF5A36" w:rsidR="320095C8" w:rsidRPr="007E6AE3" w:rsidRDefault="320095C8" w:rsidP="7A33F704">
      <w:pPr>
        <w:rPr>
          <w:szCs w:val="24"/>
        </w:rPr>
      </w:pPr>
      <w:r w:rsidRPr="007E6AE3">
        <w:rPr>
          <w:szCs w:val="24"/>
        </w:rPr>
        <w:lastRenderedPageBreak/>
        <w:t>We have tried to keep faith with our respondents by referring to issues</w:t>
      </w:r>
      <w:r w:rsidR="00C05791" w:rsidRPr="007E6AE3">
        <w:rPr>
          <w:szCs w:val="24"/>
        </w:rPr>
        <w:t xml:space="preserve"> they</w:t>
      </w:r>
      <w:r w:rsidRPr="007E6AE3">
        <w:rPr>
          <w:szCs w:val="24"/>
        </w:rPr>
        <w:t xml:space="preserve"> raised, even</w:t>
      </w:r>
      <w:r w:rsidR="1563F8B8" w:rsidRPr="007E6AE3">
        <w:rPr>
          <w:szCs w:val="24"/>
        </w:rPr>
        <w:t xml:space="preserve"> if</w:t>
      </w:r>
      <w:r w:rsidR="53241C37" w:rsidRPr="007E6AE3">
        <w:rPr>
          <w:szCs w:val="24"/>
        </w:rPr>
        <w:t xml:space="preserve"> the suggestions were not taken up</w:t>
      </w:r>
      <w:r w:rsidR="567410D9" w:rsidRPr="007E6AE3">
        <w:rPr>
          <w:szCs w:val="24"/>
        </w:rPr>
        <w:t>.</w:t>
      </w:r>
    </w:p>
    <w:p w14:paraId="389EFB96" w14:textId="023578B1" w:rsidR="00881301" w:rsidRPr="007E6AE3" w:rsidRDefault="53241C37" w:rsidP="7A33F704">
      <w:r>
        <w:t xml:space="preserve">Throughout this process I have benefited greatly from the assistance of a team from the Department of </w:t>
      </w:r>
      <w:r w:rsidR="7DD2647D">
        <w:t>I</w:t>
      </w:r>
      <w:r>
        <w:t>ndustry</w:t>
      </w:r>
      <w:r w:rsidR="005639B3">
        <w:t>,</w:t>
      </w:r>
      <w:r>
        <w:t xml:space="preserve"> </w:t>
      </w:r>
      <w:r w:rsidR="1EDF7E65">
        <w:t>S</w:t>
      </w:r>
      <w:r>
        <w:t>cience</w:t>
      </w:r>
      <w:r w:rsidR="005639B3">
        <w:t>,</w:t>
      </w:r>
      <w:r>
        <w:t xml:space="preserve"> </w:t>
      </w:r>
      <w:r w:rsidR="10168134">
        <w:t>E</w:t>
      </w:r>
      <w:r>
        <w:t xml:space="preserve">nergy and </w:t>
      </w:r>
      <w:r w:rsidR="36D6404F">
        <w:t>R</w:t>
      </w:r>
      <w:r>
        <w:t>esources</w:t>
      </w:r>
      <w:r w:rsidR="008E4AF5">
        <w:t xml:space="preserve"> (DISER)</w:t>
      </w:r>
      <w:r w:rsidR="7E7147C5">
        <w:t xml:space="preserve"> </w:t>
      </w:r>
      <w:r w:rsidR="37E5541C">
        <w:t xml:space="preserve">principally managed by Matt Lee and Brett Massey, from the </w:t>
      </w:r>
      <w:r w:rsidR="4F761582">
        <w:t xml:space="preserve">extensive and </w:t>
      </w:r>
      <w:r w:rsidR="60B5A9FC">
        <w:t>well-informed</w:t>
      </w:r>
      <w:r w:rsidR="4F761582">
        <w:t xml:space="preserve"> support of IP Australia under the leadership of Michael Schwager,</w:t>
      </w:r>
      <w:r w:rsidR="37E5541C">
        <w:t xml:space="preserve"> </w:t>
      </w:r>
      <w:r w:rsidR="7E7147C5">
        <w:t>and in particular</w:t>
      </w:r>
      <w:r w:rsidR="00C05791">
        <w:t xml:space="preserve"> from</w:t>
      </w:r>
      <w:r w:rsidR="7E7147C5">
        <w:t xml:space="preserve"> the advice of Professor Andrew Christie of the University of Melbourne</w:t>
      </w:r>
      <w:r w:rsidR="5FFCEE37">
        <w:t xml:space="preserve">, whose comprehensive experience of the sector has been of </w:t>
      </w:r>
      <w:r w:rsidR="7BBB1228">
        <w:t>invaluable</w:t>
      </w:r>
      <w:r w:rsidR="5FFCEE37">
        <w:t xml:space="preserve"> assis</w:t>
      </w:r>
      <w:r w:rsidR="4E4057F9">
        <w:t>t</w:t>
      </w:r>
      <w:r w:rsidR="5FFCEE37">
        <w:t>ance.</w:t>
      </w:r>
    </w:p>
    <w:p w14:paraId="4983ED81" w14:textId="4C94F8CF" w:rsidR="53241C37" w:rsidRPr="007E6AE3" w:rsidRDefault="53241C37" w:rsidP="7A33F704">
      <w:pPr>
        <w:rPr>
          <w:szCs w:val="24"/>
        </w:rPr>
      </w:pPr>
      <w:r w:rsidRPr="007E6AE3">
        <w:rPr>
          <w:szCs w:val="24"/>
        </w:rPr>
        <w:t xml:space="preserve">Yours </w:t>
      </w:r>
      <w:r w:rsidR="00B14149" w:rsidRPr="007E6AE3">
        <w:rPr>
          <w:szCs w:val="24"/>
        </w:rPr>
        <w:t>sincerely,</w:t>
      </w:r>
    </w:p>
    <w:p w14:paraId="021FBD37" w14:textId="77777777" w:rsidR="00B14149" w:rsidRPr="007E6AE3" w:rsidRDefault="00B14149">
      <w:pPr>
        <w:contextualSpacing/>
        <w:rPr>
          <w:szCs w:val="24"/>
        </w:rPr>
      </w:pPr>
      <w:r w:rsidRPr="007E6AE3">
        <w:rPr>
          <w:szCs w:val="24"/>
        </w:rPr>
        <w:t>Raoul Mortley, AO, FAHA</w:t>
      </w:r>
    </w:p>
    <w:p w14:paraId="5E199CDE" w14:textId="2AF420AB" w:rsidR="005D6F9D" w:rsidRDefault="00B14149">
      <w:pPr>
        <w:contextualSpacing/>
        <w:rPr>
          <w:rFonts w:asciiTheme="majorHAnsi" w:eastAsiaTheme="majorEastAsia" w:hAnsiTheme="majorHAnsi" w:cstheme="majorBidi"/>
          <w:color w:val="005677" w:themeColor="text2"/>
          <w:sz w:val="48"/>
          <w:szCs w:val="32"/>
        </w:rPr>
      </w:pPr>
      <w:r w:rsidRPr="007E6AE3">
        <w:rPr>
          <w:szCs w:val="24"/>
        </w:rPr>
        <w:t>Emeritus Professor &amp; Independent Reviewer</w:t>
      </w:r>
      <w:r w:rsidR="005D6F9D">
        <w:br w:type="page"/>
      </w:r>
    </w:p>
    <w:p w14:paraId="3D1F4658" w14:textId="3A66F789" w:rsidR="008731F6" w:rsidRDefault="03BBC59A" w:rsidP="00102432">
      <w:pPr>
        <w:pStyle w:val="Heading1"/>
      </w:pPr>
      <w:bookmarkStart w:id="111" w:name="_Toc60834805"/>
      <w:bookmarkStart w:id="112" w:name="_Toc60836755"/>
      <w:bookmarkStart w:id="113" w:name="_Toc60997744"/>
      <w:bookmarkStart w:id="114" w:name="_Toc61015558"/>
      <w:bookmarkStart w:id="115" w:name="_Toc61269590"/>
      <w:bookmarkStart w:id="116" w:name="_Toc61356698"/>
      <w:bookmarkStart w:id="117" w:name="_Toc65159308"/>
      <w:r w:rsidRPr="79344E9E">
        <w:lastRenderedPageBreak/>
        <w:t>Abbreviations and acronyms</w:t>
      </w:r>
      <w:bookmarkEnd w:id="111"/>
      <w:bookmarkEnd w:id="112"/>
      <w:bookmarkEnd w:id="113"/>
      <w:bookmarkEnd w:id="114"/>
      <w:bookmarkEnd w:id="115"/>
      <w:bookmarkEnd w:id="116"/>
      <w:bookmarkEnd w:id="117"/>
    </w:p>
    <w:p w14:paraId="7C077A03" w14:textId="7CE82832" w:rsidR="008731F6" w:rsidRPr="007E6AE3" w:rsidRDefault="34100A26" w:rsidP="00C77D28">
      <w:pPr>
        <w:spacing w:after="240"/>
        <w:rPr>
          <w:i/>
          <w:iCs/>
          <w:szCs w:val="24"/>
        </w:rPr>
      </w:pPr>
      <w:r w:rsidRPr="007E6AE3">
        <w:rPr>
          <w:i/>
          <w:iCs/>
          <w:szCs w:val="24"/>
        </w:rPr>
        <w:t xml:space="preserve">Please note that inserted comments in italics are verbatim </w:t>
      </w:r>
      <w:r w:rsidR="159BB098" w:rsidRPr="007E6AE3">
        <w:rPr>
          <w:i/>
          <w:iCs/>
          <w:szCs w:val="24"/>
        </w:rPr>
        <w:t>quotations from our interviewees and respondents.</w:t>
      </w:r>
    </w:p>
    <w:p w14:paraId="3DE965FE" w14:textId="4FD07752" w:rsidR="008731F6" w:rsidRPr="007E6AE3" w:rsidRDefault="300BBF6E" w:rsidP="00C77D28">
      <w:pPr>
        <w:spacing w:after="240"/>
        <w:rPr>
          <w:szCs w:val="24"/>
        </w:rPr>
      </w:pPr>
      <w:r w:rsidRPr="007E6AE3">
        <w:rPr>
          <w:b/>
          <w:bCs/>
          <w:szCs w:val="24"/>
        </w:rPr>
        <w:t>ACM</w:t>
      </w:r>
      <w:r w:rsidR="178BABEF" w:rsidRPr="007E6AE3">
        <w:rPr>
          <w:szCs w:val="24"/>
        </w:rPr>
        <w:t xml:space="preserve"> </w:t>
      </w:r>
      <w:r w:rsidR="00F826AE">
        <w:rPr>
          <w:szCs w:val="24"/>
        </w:rPr>
        <w:tab/>
      </w:r>
      <w:r w:rsidR="178BABEF" w:rsidRPr="007E6AE3">
        <w:rPr>
          <w:szCs w:val="24"/>
        </w:rPr>
        <w:t>Active Case Management</w:t>
      </w:r>
    </w:p>
    <w:p w14:paraId="38ED91CB" w14:textId="0B7E57AA" w:rsidR="00230C16" w:rsidRPr="007E6AE3" w:rsidRDefault="00230C16" w:rsidP="00C77D28">
      <w:pPr>
        <w:spacing w:after="240"/>
        <w:rPr>
          <w:b/>
          <w:bCs/>
          <w:szCs w:val="24"/>
        </w:rPr>
      </w:pPr>
      <w:r w:rsidRPr="007E6AE3">
        <w:rPr>
          <w:b/>
          <w:bCs/>
          <w:szCs w:val="24"/>
        </w:rPr>
        <w:t>ADR</w:t>
      </w:r>
      <w:r w:rsidR="1611E869" w:rsidRPr="007E6AE3">
        <w:rPr>
          <w:b/>
          <w:bCs/>
          <w:szCs w:val="24"/>
        </w:rPr>
        <w:t xml:space="preserve"> </w:t>
      </w:r>
      <w:r w:rsidRPr="007E6AE3">
        <w:rPr>
          <w:bCs/>
          <w:szCs w:val="24"/>
        </w:rPr>
        <w:tab/>
        <w:t>Alternative Dispute Resolution</w:t>
      </w:r>
    </w:p>
    <w:p w14:paraId="531C47BE" w14:textId="08F5C431" w:rsidR="008731F6" w:rsidRPr="007E6AE3" w:rsidRDefault="765643B2" w:rsidP="00C77D28">
      <w:pPr>
        <w:spacing w:after="240"/>
        <w:rPr>
          <w:szCs w:val="24"/>
        </w:rPr>
      </w:pPr>
      <w:r w:rsidRPr="007E6AE3">
        <w:rPr>
          <w:b/>
          <w:bCs/>
          <w:szCs w:val="24"/>
        </w:rPr>
        <w:t>AI</w:t>
      </w:r>
      <w:r w:rsidRPr="007E6AE3">
        <w:rPr>
          <w:szCs w:val="24"/>
        </w:rPr>
        <w:t xml:space="preserve"> </w:t>
      </w:r>
      <w:r w:rsidR="00475E55" w:rsidRPr="007E6AE3">
        <w:rPr>
          <w:szCs w:val="24"/>
        </w:rPr>
        <w:tab/>
      </w:r>
      <w:r w:rsidRPr="007E6AE3">
        <w:rPr>
          <w:szCs w:val="24"/>
        </w:rPr>
        <w:t>Artificial Intelligence</w:t>
      </w:r>
    </w:p>
    <w:p w14:paraId="357E5079" w14:textId="6F9D4CD1" w:rsidR="008731F6" w:rsidRPr="007E6AE3" w:rsidRDefault="7BBBA630" w:rsidP="00C77D28">
      <w:pPr>
        <w:spacing w:after="240"/>
        <w:rPr>
          <w:szCs w:val="24"/>
        </w:rPr>
      </w:pPr>
      <w:r w:rsidRPr="007E6AE3">
        <w:rPr>
          <w:b/>
          <w:bCs/>
          <w:szCs w:val="24"/>
        </w:rPr>
        <w:t>AMC</w:t>
      </w:r>
      <w:r w:rsidR="43734C80" w:rsidRPr="007E6AE3">
        <w:rPr>
          <w:b/>
          <w:bCs/>
          <w:szCs w:val="24"/>
        </w:rPr>
        <w:t xml:space="preserve"> </w:t>
      </w:r>
      <w:r w:rsidR="00475E55" w:rsidRPr="007E6AE3">
        <w:rPr>
          <w:b/>
          <w:bCs/>
          <w:szCs w:val="24"/>
        </w:rPr>
        <w:tab/>
      </w:r>
      <w:r w:rsidR="43734C80" w:rsidRPr="007E6AE3">
        <w:rPr>
          <w:szCs w:val="24"/>
        </w:rPr>
        <w:t>Arbitration and Mediation Centre (WIPO –</w:t>
      </w:r>
      <w:r w:rsidR="00133FD8">
        <w:rPr>
          <w:szCs w:val="24"/>
        </w:rPr>
        <w:t xml:space="preserve"> </w:t>
      </w:r>
      <w:r w:rsidR="43734C80" w:rsidRPr="007E6AE3">
        <w:rPr>
          <w:szCs w:val="24"/>
        </w:rPr>
        <w:t>see below)</w:t>
      </w:r>
    </w:p>
    <w:p w14:paraId="0CCD0EA8" w14:textId="0E5D7C9A" w:rsidR="008731F6" w:rsidRPr="007E6AE3" w:rsidRDefault="7AADD11B" w:rsidP="00C77D28">
      <w:pPr>
        <w:spacing w:after="240"/>
      </w:pPr>
      <w:r w:rsidRPr="6B748703">
        <w:rPr>
          <w:b/>
        </w:rPr>
        <w:t>CMC</w:t>
      </w:r>
      <w:r w:rsidR="00B932A8" w:rsidRPr="6B748703">
        <w:rPr>
          <w:b/>
        </w:rPr>
        <w:t xml:space="preserve"> </w:t>
      </w:r>
      <w:r w:rsidR="00475E55">
        <w:tab/>
      </w:r>
      <w:r w:rsidR="00B932A8">
        <w:t>Case Management Conference</w:t>
      </w:r>
    </w:p>
    <w:p w14:paraId="0D555EA7" w14:textId="0E5D7C9A" w:rsidR="32598E85" w:rsidRDefault="32598E85" w:rsidP="6B748703">
      <w:pPr>
        <w:spacing w:after="240"/>
      </w:pPr>
      <w:r w:rsidRPr="0A6CCF7B">
        <w:rPr>
          <w:b/>
        </w:rPr>
        <w:t>CSIRO</w:t>
      </w:r>
      <w:r>
        <w:tab/>
      </w:r>
      <w:r w:rsidR="1A4BCB5B" w:rsidRPr="00F31D71">
        <w:t>Commonwealth Scientific and Industrial Research Organisation</w:t>
      </w:r>
    </w:p>
    <w:p w14:paraId="5A301D17" w14:textId="554F0188" w:rsidR="00475E55" w:rsidRPr="007E6AE3" w:rsidRDefault="00B932A8" w:rsidP="00C77D28">
      <w:pPr>
        <w:spacing w:after="240"/>
        <w:rPr>
          <w:szCs w:val="24"/>
        </w:rPr>
      </w:pPr>
      <w:r w:rsidRPr="007E6AE3">
        <w:rPr>
          <w:b/>
          <w:bCs/>
          <w:szCs w:val="24"/>
        </w:rPr>
        <w:t>DISER</w:t>
      </w:r>
      <w:r w:rsidRPr="007E6AE3">
        <w:rPr>
          <w:szCs w:val="24"/>
        </w:rPr>
        <w:t xml:space="preserve"> </w:t>
      </w:r>
      <w:r w:rsidR="00475E55" w:rsidRPr="007E6AE3">
        <w:rPr>
          <w:szCs w:val="24"/>
        </w:rPr>
        <w:tab/>
      </w:r>
      <w:r w:rsidRPr="007E6AE3">
        <w:rPr>
          <w:szCs w:val="24"/>
        </w:rPr>
        <w:t>Department of Industry, Science, Energy, and Resources</w:t>
      </w:r>
    </w:p>
    <w:p w14:paraId="41335B82" w14:textId="3FF36AA5" w:rsidR="00B932A8" w:rsidRPr="007E6AE3" w:rsidRDefault="00475E55" w:rsidP="00C77D28">
      <w:pPr>
        <w:spacing w:after="240"/>
        <w:rPr>
          <w:b/>
          <w:szCs w:val="24"/>
        </w:rPr>
      </w:pPr>
      <w:r w:rsidRPr="007E6AE3">
        <w:rPr>
          <w:b/>
          <w:bCs/>
          <w:szCs w:val="24"/>
        </w:rPr>
        <w:t xml:space="preserve">EMDG </w:t>
      </w:r>
      <w:r w:rsidRPr="007E6AE3">
        <w:rPr>
          <w:b/>
          <w:bCs/>
          <w:szCs w:val="24"/>
        </w:rPr>
        <w:tab/>
      </w:r>
      <w:r w:rsidRPr="007E6AE3">
        <w:rPr>
          <w:bCs/>
          <w:szCs w:val="24"/>
        </w:rPr>
        <w:t>Export Market Development Grant</w:t>
      </w:r>
    </w:p>
    <w:p w14:paraId="7DE9DE62" w14:textId="2EC419D3" w:rsidR="00B932A8" w:rsidRPr="007E6AE3" w:rsidRDefault="00B932A8" w:rsidP="00C77D28">
      <w:pPr>
        <w:spacing w:after="240"/>
        <w:rPr>
          <w:b/>
          <w:bCs/>
          <w:szCs w:val="24"/>
        </w:rPr>
      </w:pPr>
      <w:r w:rsidRPr="007E6AE3">
        <w:rPr>
          <w:b/>
          <w:bCs/>
          <w:szCs w:val="24"/>
        </w:rPr>
        <w:t xml:space="preserve">FCA </w:t>
      </w:r>
      <w:r w:rsidR="00170699" w:rsidRPr="007E6AE3">
        <w:rPr>
          <w:b/>
          <w:bCs/>
          <w:szCs w:val="24"/>
        </w:rPr>
        <w:tab/>
      </w:r>
      <w:r w:rsidRPr="007E6AE3">
        <w:rPr>
          <w:bCs/>
          <w:szCs w:val="24"/>
        </w:rPr>
        <w:t>Federal Court of Australia</w:t>
      </w:r>
    </w:p>
    <w:p w14:paraId="15D6249C" w14:textId="341F7DC2" w:rsidR="008731F6" w:rsidRPr="007E6AE3" w:rsidRDefault="6757136F" w:rsidP="00C77D28">
      <w:pPr>
        <w:spacing w:after="240"/>
        <w:rPr>
          <w:szCs w:val="24"/>
        </w:rPr>
      </w:pPr>
      <w:r w:rsidRPr="007E6AE3">
        <w:rPr>
          <w:b/>
          <w:bCs/>
          <w:szCs w:val="24"/>
        </w:rPr>
        <w:t xml:space="preserve">FCC </w:t>
      </w:r>
      <w:r w:rsidR="00170699" w:rsidRPr="007E6AE3">
        <w:rPr>
          <w:b/>
          <w:bCs/>
          <w:szCs w:val="24"/>
        </w:rPr>
        <w:tab/>
      </w:r>
      <w:r w:rsidRPr="007E6AE3">
        <w:rPr>
          <w:szCs w:val="24"/>
        </w:rPr>
        <w:t>Federal Circuit Court</w:t>
      </w:r>
    </w:p>
    <w:p w14:paraId="3AE53661" w14:textId="1F4FCDC4" w:rsidR="008731F6" w:rsidRPr="007E6AE3" w:rsidRDefault="370AAAF1" w:rsidP="00C77D28">
      <w:pPr>
        <w:spacing w:after="240"/>
        <w:rPr>
          <w:szCs w:val="24"/>
        </w:rPr>
      </w:pPr>
      <w:r w:rsidRPr="007E6AE3">
        <w:rPr>
          <w:b/>
          <w:bCs/>
          <w:szCs w:val="24"/>
        </w:rPr>
        <w:t>IP</w:t>
      </w:r>
      <w:r w:rsidRPr="007E6AE3">
        <w:rPr>
          <w:szCs w:val="24"/>
        </w:rPr>
        <w:t xml:space="preserve"> </w:t>
      </w:r>
      <w:r w:rsidR="00170699" w:rsidRPr="007E6AE3">
        <w:rPr>
          <w:szCs w:val="24"/>
        </w:rPr>
        <w:tab/>
      </w:r>
      <w:r w:rsidR="28B22E3E" w:rsidRPr="007E6AE3">
        <w:rPr>
          <w:szCs w:val="24"/>
        </w:rPr>
        <w:t>Intellectual Property</w:t>
      </w:r>
    </w:p>
    <w:p w14:paraId="0E120DC2" w14:textId="2ED3D914" w:rsidR="008731F6" w:rsidRPr="007E6AE3" w:rsidRDefault="1CE6355C" w:rsidP="00C77D28">
      <w:pPr>
        <w:spacing w:after="240"/>
        <w:rPr>
          <w:szCs w:val="24"/>
        </w:rPr>
      </w:pPr>
      <w:r w:rsidRPr="007E6AE3">
        <w:rPr>
          <w:b/>
          <w:szCs w:val="24"/>
        </w:rPr>
        <w:t>IPEC</w:t>
      </w:r>
      <w:r w:rsidRPr="007E6AE3">
        <w:rPr>
          <w:szCs w:val="24"/>
        </w:rPr>
        <w:t xml:space="preserve"> </w:t>
      </w:r>
      <w:r w:rsidR="00170699" w:rsidRPr="007E6AE3">
        <w:rPr>
          <w:szCs w:val="24"/>
        </w:rPr>
        <w:tab/>
      </w:r>
      <w:r w:rsidRPr="007E6AE3">
        <w:rPr>
          <w:szCs w:val="24"/>
        </w:rPr>
        <w:t>Intellectual Property Enterprise Court (UK)</w:t>
      </w:r>
    </w:p>
    <w:p w14:paraId="4680C775" w14:textId="103B984E" w:rsidR="009503D2" w:rsidRPr="007E6AE3" w:rsidRDefault="009503D2" w:rsidP="00C77D28">
      <w:pPr>
        <w:spacing w:after="240"/>
        <w:rPr>
          <w:bCs/>
          <w:szCs w:val="24"/>
        </w:rPr>
      </w:pPr>
      <w:r w:rsidRPr="007E6AE3">
        <w:rPr>
          <w:b/>
          <w:szCs w:val="24"/>
        </w:rPr>
        <w:t xml:space="preserve">PC </w:t>
      </w:r>
      <w:r w:rsidRPr="007E6AE3">
        <w:rPr>
          <w:b/>
          <w:szCs w:val="24"/>
        </w:rPr>
        <w:tab/>
      </w:r>
      <w:r w:rsidRPr="007E6AE3">
        <w:rPr>
          <w:szCs w:val="24"/>
        </w:rPr>
        <w:t>Productivity Commission</w:t>
      </w:r>
    </w:p>
    <w:p w14:paraId="05D2BE0E" w14:textId="594E991D" w:rsidR="00B932A8" w:rsidRPr="007E6AE3" w:rsidRDefault="00B932A8" w:rsidP="00C77D28">
      <w:pPr>
        <w:spacing w:after="240"/>
        <w:rPr>
          <w:szCs w:val="24"/>
        </w:rPr>
      </w:pPr>
      <w:r w:rsidRPr="007E6AE3">
        <w:rPr>
          <w:b/>
          <w:szCs w:val="24"/>
        </w:rPr>
        <w:t xml:space="preserve">PCC </w:t>
      </w:r>
      <w:r w:rsidR="00170699" w:rsidRPr="007E6AE3">
        <w:rPr>
          <w:b/>
          <w:szCs w:val="24"/>
        </w:rPr>
        <w:tab/>
      </w:r>
      <w:r w:rsidRPr="007E6AE3">
        <w:rPr>
          <w:szCs w:val="24"/>
        </w:rPr>
        <w:t>Patents County Court (UK)</w:t>
      </w:r>
    </w:p>
    <w:p w14:paraId="2CDB2451" w14:textId="3754D0E4" w:rsidR="009503D2" w:rsidRPr="007E6AE3" w:rsidRDefault="009503D2" w:rsidP="00C77D28">
      <w:pPr>
        <w:spacing w:after="240"/>
        <w:rPr>
          <w:szCs w:val="24"/>
        </w:rPr>
      </w:pPr>
      <w:r w:rsidRPr="007E6AE3">
        <w:rPr>
          <w:b/>
          <w:szCs w:val="24"/>
        </w:rPr>
        <w:t>PCT</w:t>
      </w:r>
      <w:r w:rsidR="0C8E8E47" w:rsidRPr="007E6AE3">
        <w:rPr>
          <w:b/>
          <w:bCs/>
          <w:szCs w:val="24"/>
        </w:rPr>
        <w:t xml:space="preserve"> </w:t>
      </w:r>
      <w:r w:rsidRPr="007E6AE3">
        <w:rPr>
          <w:b/>
          <w:szCs w:val="24"/>
        </w:rPr>
        <w:tab/>
      </w:r>
      <w:r w:rsidRPr="007E6AE3">
        <w:rPr>
          <w:szCs w:val="24"/>
        </w:rPr>
        <w:t>Patent Cooperation Treaty</w:t>
      </w:r>
    </w:p>
    <w:p w14:paraId="725F2120" w14:textId="4BDE8F1F" w:rsidR="008731F6" w:rsidRPr="007E6AE3" w:rsidRDefault="370AAAF1" w:rsidP="00C77D28">
      <w:pPr>
        <w:spacing w:after="240"/>
        <w:rPr>
          <w:szCs w:val="24"/>
        </w:rPr>
      </w:pPr>
      <w:r w:rsidRPr="007E6AE3">
        <w:rPr>
          <w:b/>
          <w:bCs/>
          <w:szCs w:val="24"/>
        </w:rPr>
        <w:t xml:space="preserve">SME </w:t>
      </w:r>
      <w:r w:rsidR="00170699" w:rsidRPr="007E6AE3">
        <w:rPr>
          <w:b/>
          <w:bCs/>
          <w:szCs w:val="24"/>
        </w:rPr>
        <w:tab/>
      </w:r>
      <w:r w:rsidRPr="007E6AE3">
        <w:rPr>
          <w:szCs w:val="24"/>
        </w:rPr>
        <w:t>Small to Medium Enterprise</w:t>
      </w:r>
    </w:p>
    <w:p w14:paraId="404DD6EB" w14:textId="34257F5D" w:rsidR="008731F6" w:rsidRPr="007E6AE3" w:rsidRDefault="370AAAF1" w:rsidP="00C77D28">
      <w:pPr>
        <w:spacing w:after="240"/>
        <w:rPr>
          <w:szCs w:val="24"/>
        </w:rPr>
      </w:pPr>
      <w:r w:rsidRPr="007E6AE3">
        <w:rPr>
          <w:b/>
          <w:bCs/>
          <w:szCs w:val="24"/>
        </w:rPr>
        <w:t xml:space="preserve">RDTI </w:t>
      </w:r>
      <w:r w:rsidR="00170699" w:rsidRPr="007E6AE3">
        <w:rPr>
          <w:b/>
          <w:bCs/>
          <w:szCs w:val="24"/>
        </w:rPr>
        <w:tab/>
      </w:r>
      <w:r w:rsidRPr="007E6AE3">
        <w:rPr>
          <w:szCs w:val="24"/>
        </w:rPr>
        <w:t>Research and Development Tax Incentive</w:t>
      </w:r>
    </w:p>
    <w:p w14:paraId="6A8C50C6" w14:textId="0C6A4E85" w:rsidR="008731F6" w:rsidRPr="007E6AE3" w:rsidRDefault="20885D09" w:rsidP="00C77D28">
      <w:pPr>
        <w:spacing w:after="240"/>
        <w:rPr>
          <w:szCs w:val="24"/>
        </w:rPr>
      </w:pPr>
      <w:r w:rsidRPr="007E6AE3">
        <w:rPr>
          <w:b/>
          <w:bCs/>
          <w:szCs w:val="24"/>
        </w:rPr>
        <w:t xml:space="preserve">UKIPO </w:t>
      </w:r>
      <w:r w:rsidR="00170699" w:rsidRPr="007E6AE3">
        <w:rPr>
          <w:b/>
          <w:bCs/>
          <w:szCs w:val="24"/>
        </w:rPr>
        <w:tab/>
      </w:r>
      <w:r w:rsidRPr="007E6AE3">
        <w:rPr>
          <w:szCs w:val="24"/>
        </w:rPr>
        <w:t>United Kingdom Intellectual Property Office</w:t>
      </w:r>
    </w:p>
    <w:p w14:paraId="676C8567" w14:textId="1D93EA3B" w:rsidR="008731F6" w:rsidRPr="007E6AE3" w:rsidRDefault="20885D09" w:rsidP="00C77D28">
      <w:pPr>
        <w:spacing w:after="240"/>
        <w:rPr>
          <w:szCs w:val="24"/>
        </w:rPr>
      </w:pPr>
      <w:r w:rsidRPr="007E6AE3">
        <w:rPr>
          <w:b/>
          <w:bCs/>
          <w:szCs w:val="24"/>
        </w:rPr>
        <w:t xml:space="preserve">VET </w:t>
      </w:r>
      <w:r w:rsidR="00170699" w:rsidRPr="007E6AE3">
        <w:rPr>
          <w:b/>
          <w:bCs/>
          <w:szCs w:val="24"/>
        </w:rPr>
        <w:tab/>
      </w:r>
      <w:r w:rsidRPr="007E6AE3">
        <w:rPr>
          <w:szCs w:val="24"/>
        </w:rPr>
        <w:t>Vocational Education and Training</w:t>
      </w:r>
    </w:p>
    <w:p w14:paraId="3FABC48A" w14:textId="01FA1DFC" w:rsidR="007E6AE3" w:rsidRDefault="1E430EF0" w:rsidP="79344E9E">
      <w:pPr>
        <w:rPr>
          <w:szCs w:val="24"/>
        </w:rPr>
      </w:pPr>
      <w:r w:rsidRPr="007E6AE3">
        <w:rPr>
          <w:b/>
          <w:bCs/>
          <w:szCs w:val="24"/>
        </w:rPr>
        <w:t xml:space="preserve">WIPO </w:t>
      </w:r>
      <w:r w:rsidR="00170699" w:rsidRPr="007E6AE3">
        <w:rPr>
          <w:b/>
          <w:bCs/>
          <w:szCs w:val="24"/>
        </w:rPr>
        <w:tab/>
      </w:r>
      <w:r w:rsidRPr="007E6AE3">
        <w:rPr>
          <w:szCs w:val="24"/>
        </w:rPr>
        <w:t>World Intellectual Property Organi</w:t>
      </w:r>
      <w:r w:rsidR="2470E0BF" w:rsidRPr="007E6AE3">
        <w:rPr>
          <w:szCs w:val="24"/>
        </w:rPr>
        <w:t>z</w:t>
      </w:r>
      <w:r w:rsidRPr="007E6AE3">
        <w:rPr>
          <w:szCs w:val="24"/>
        </w:rPr>
        <w:t>ation</w:t>
      </w:r>
      <w:r w:rsidR="007E6AE3">
        <w:rPr>
          <w:szCs w:val="24"/>
        </w:rPr>
        <w:br w:type="page"/>
      </w:r>
    </w:p>
    <w:p w14:paraId="2AD3C886" w14:textId="577CDD1D" w:rsidR="008731F6" w:rsidRDefault="4E65C5A2" w:rsidP="00102432">
      <w:pPr>
        <w:pStyle w:val="Heading1"/>
        <w:rPr>
          <w:color w:val="0070AE" w:themeColor="accent2" w:themeTint="BF"/>
        </w:rPr>
      </w:pPr>
      <w:bookmarkStart w:id="118" w:name="_Toc60997745"/>
      <w:bookmarkStart w:id="119" w:name="_Toc61015559"/>
      <w:bookmarkStart w:id="120" w:name="_Toc61269591"/>
      <w:bookmarkStart w:id="121" w:name="_Toc61356699"/>
      <w:bookmarkStart w:id="122" w:name="_Toc65159309"/>
      <w:bookmarkStart w:id="123" w:name="_Toc60760620"/>
      <w:bookmarkStart w:id="124" w:name="_Toc60834806"/>
      <w:bookmarkStart w:id="125" w:name="_Toc60836756"/>
      <w:r>
        <w:lastRenderedPageBreak/>
        <w:t>Executive summary</w:t>
      </w:r>
      <w:bookmarkEnd w:id="118"/>
      <w:bookmarkEnd w:id="119"/>
      <w:bookmarkEnd w:id="120"/>
      <w:bookmarkEnd w:id="121"/>
      <w:bookmarkEnd w:id="122"/>
      <w:r>
        <w:t xml:space="preserve"> </w:t>
      </w:r>
      <w:bookmarkEnd w:id="123"/>
      <w:bookmarkEnd w:id="124"/>
      <w:bookmarkEnd w:id="125"/>
    </w:p>
    <w:p w14:paraId="65B0F249" w14:textId="71A62851" w:rsidR="17451781" w:rsidRPr="007E6AE3" w:rsidRDefault="3EADCD0B" w:rsidP="00F96744">
      <w:pPr>
        <w:pStyle w:val="ListParagraph"/>
        <w:numPr>
          <w:ilvl w:val="0"/>
          <w:numId w:val="60"/>
        </w:numPr>
        <w:ind w:left="426"/>
        <w:rPr>
          <w:rFonts w:eastAsiaTheme="minorEastAsia"/>
          <w:szCs w:val="24"/>
        </w:rPr>
      </w:pPr>
      <w:r w:rsidRPr="007E6AE3">
        <w:rPr>
          <w:szCs w:val="24"/>
        </w:rPr>
        <w:t xml:space="preserve">On </w:t>
      </w:r>
      <w:r w:rsidRPr="007E6AE3">
        <w:rPr>
          <w:b/>
          <w:bCs/>
          <w:szCs w:val="24"/>
        </w:rPr>
        <w:t>costs</w:t>
      </w:r>
      <w:r w:rsidRPr="007E6AE3">
        <w:rPr>
          <w:szCs w:val="24"/>
        </w:rPr>
        <w:t>, there is no significant issue with government charges associated with patenting</w:t>
      </w:r>
      <w:r w:rsidR="00836908" w:rsidRPr="007E6AE3">
        <w:rPr>
          <w:szCs w:val="24"/>
        </w:rPr>
        <w:t>:</w:t>
      </w:r>
      <w:r w:rsidRPr="007E6AE3">
        <w:rPr>
          <w:szCs w:val="24"/>
        </w:rPr>
        <w:t xml:space="preserve"> in fact it was said that other countries are more expensive</w:t>
      </w:r>
      <w:r w:rsidR="626B1AB6" w:rsidRPr="007E6AE3">
        <w:rPr>
          <w:szCs w:val="24"/>
        </w:rPr>
        <w:t>.</w:t>
      </w:r>
      <w:r w:rsidRPr="007E6AE3">
        <w:rPr>
          <w:szCs w:val="24"/>
        </w:rPr>
        <w:t xml:space="preserve"> Cost</w:t>
      </w:r>
      <w:r w:rsidR="067782D4" w:rsidRPr="007E6AE3">
        <w:rPr>
          <w:szCs w:val="24"/>
        </w:rPr>
        <w:t>s</w:t>
      </w:r>
      <w:r w:rsidRPr="007E6AE3">
        <w:rPr>
          <w:szCs w:val="24"/>
        </w:rPr>
        <w:t xml:space="preserve"> </w:t>
      </w:r>
      <w:r w:rsidR="00836908" w:rsidRPr="007E6AE3">
        <w:rPr>
          <w:szCs w:val="24"/>
        </w:rPr>
        <w:t>of</w:t>
      </w:r>
      <w:r w:rsidRPr="007E6AE3">
        <w:rPr>
          <w:szCs w:val="24"/>
        </w:rPr>
        <w:t xml:space="preserve"> professional services fees</w:t>
      </w:r>
      <w:r w:rsidR="00836908" w:rsidRPr="007E6AE3">
        <w:rPr>
          <w:szCs w:val="24"/>
        </w:rPr>
        <w:t xml:space="preserve"> </w:t>
      </w:r>
      <w:r w:rsidR="00836908" w:rsidRPr="007E6AE3" w:rsidDel="00FD418B">
        <w:rPr>
          <w:szCs w:val="24"/>
        </w:rPr>
        <w:t xml:space="preserve">– </w:t>
      </w:r>
      <w:r w:rsidR="55400390" w:rsidRPr="007E6AE3">
        <w:rPr>
          <w:szCs w:val="24"/>
        </w:rPr>
        <w:t>those of patent attorneys or lawyers</w:t>
      </w:r>
      <w:r w:rsidR="00836908" w:rsidRPr="007E6AE3">
        <w:rPr>
          <w:szCs w:val="24"/>
        </w:rPr>
        <w:t xml:space="preserve"> </w:t>
      </w:r>
      <w:r w:rsidR="00836908" w:rsidRPr="007E6AE3" w:rsidDel="00FD418B">
        <w:rPr>
          <w:szCs w:val="24"/>
        </w:rPr>
        <w:t xml:space="preserve">– </w:t>
      </w:r>
      <w:r w:rsidR="00836908" w:rsidRPr="007E6AE3">
        <w:rPr>
          <w:szCs w:val="24"/>
        </w:rPr>
        <w:t>do become a problem</w:t>
      </w:r>
      <w:r w:rsidR="55400390" w:rsidRPr="007E6AE3">
        <w:rPr>
          <w:szCs w:val="24"/>
        </w:rPr>
        <w:t>, and many professed to be surprised by the way in which these mounted up.</w:t>
      </w:r>
      <w:r w:rsidR="5271BF49" w:rsidRPr="007E6AE3">
        <w:rPr>
          <w:szCs w:val="24"/>
        </w:rPr>
        <w:t xml:space="preserve"> </w:t>
      </w:r>
      <w:r w:rsidR="037EF1BF" w:rsidRPr="007E6AE3">
        <w:rPr>
          <w:szCs w:val="24"/>
        </w:rPr>
        <w:t xml:space="preserve">These associated professional services fees do </w:t>
      </w:r>
      <w:r w:rsidR="004A7F70" w:rsidRPr="007E6AE3">
        <w:rPr>
          <w:szCs w:val="24"/>
        </w:rPr>
        <w:t>pose a barrier</w:t>
      </w:r>
      <w:r w:rsidR="037EF1BF" w:rsidRPr="007E6AE3">
        <w:rPr>
          <w:szCs w:val="24"/>
        </w:rPr>
        <w:t xml:space="preserve"> for </w:t>
      </w:r>
      <w:r w:rsidR="0E606EDE" w:rsidRPr="007E6AE3">
        <w:rPr>
          <w:szCs w:val="24"/>
        </w:rPr>
        <w:t xml:space="preserve">a </w:t>
      </w:r>
      <w:r w:rsidR="037EF1BF" w:rsidRPr="007E6AE3">
        <w:rPr>
          <w:szCs w:val="24"/>
        </w:rPr>
        <w:t xml:space="preserve">small business </w:t>
      </w:r>
      <w:r w:rsidR="00967B5A" w:rsidRPr="007E6AE3">
        <w:rPr>
          <w:szCs w:val="24"/>
        </w:rPr>
        <w:t>budget and</w:t>
      </w:r>
      <w:r w:rsidR="0AEBD016" w:rsidRPr="007E6AE3">
        <w:rPr>
          <w:szCs w:val="24"/>
        </w:rPr>
        <w:t xml:space="preserve"> are a cause of patent avoidance</w:t>
      </w:r>
      <w:r w:rsidR="037EF1BF" w:rsidRPr="007E6AE3">
        <w:rPr>
          <w:szCs w:val="24"/>
        </w:rPr>
        <w:t>.</w:t>
      </w:r>
    </w:p>
    <w:p w14:paraId="56FFE64A" w14:textId="0CD9A619" w:rsidR="17451781" w:rsidRPr="007E6AE3" w:rsidRDefault="037EF1BF" w:rsidP="00F96744">
      <w:pPr>
        <w:pStyle w:val="ListParagraph"/>
        <w:numPr>
          <w:ilvl w:val="0"/>
          <w:numId w:val="60"/>
        </w:numPr>
        <w:ind w:left="426"/>
        <w:rPr>
          <w:rFonts w:eastAsiaTheme="minorEastAsia"/>
          <w:szCs w:val="24"/>
        </w:rPr>
      </w:pPr>
      <w:r w:rsidRPr="007E6AE3">
        <w:rPr>
          <w:szCs w:val="24"/>
        </w:rPr>
        <w:t xml:space="preserve">On </w:t>
      </w:r>
      <w:r w:rsidRPr="007E6AE3">
        <w:rPr>
          <w:b/>
          <w:bCs/>
          <w:szCs w:val="24"/>
        </w:rPr>
        <w:t>processing times</w:t>
      </w:r>
      <w:r w:rsidRPr="007E6AE3">
        <w:rPr>
          <w:szCs w:val="24"/>
        </w:rPr>
        <w:t xml:space="preserve"> there is no significant issue, given that</w:t>
      </w:r>
      <w:r w:rsidRPr="007E6AE3" w:rsidDel="00494CE9">
        <w:rPr>
          <w:szCs w:val="24"/>
        </w:rPr>
        <w:t xml:space="preserve"> </w:t>
      </w:r>
      <w:r w:rsidR="00494CE9">
        <w:rPr>
          <w:szCs w:val="24"/>
        </w:rPr>
        <w:t>IP Australia</w:t>
      </w:r>
      <w:r w:rsidRPr="007E6AE3">
        <w:rPr>
          <w:szCs w:val="24"/>
        </w:rPr>
        <w:t xml:space="preserve"> can arrange for</w:t>
      </w:r>
      <w:r w:rsidR="415169D7" w:rsidRPr="007E6AE3">
        <w:rPr>
          <w:szCs w:val="24"/>
        </w:rPr>
        <w:t xml:space="preserve"> expedited review of a patent application at no extra cost, this taking three months. Some participants were quite happy for the delay of a year or so</w:t>
      </w:r>
      <w:r w:rsidR="00475DE0" w:rsidRPr="007E6AE3">
        <w:rPr>
          <w:szCs w:val="24"/>
        </w:rPr>
        <w:t xml:space="preserve"> (</w:t>
      </w:r>
      <w:r w:rsidR="415169D7" w:rsidRPr="007E6AE3">
        <w:rPr>
          <w:szCs w:val="24"/>
        </w:rPr>
        <w:t>this being the standard</w:t>
      </w:r>
      <w:r w:rsidR="5ED9F8F7" w:rsidRPr="007E6AE3">
        <w:rPr>
          <w:szCs w:val="24"/>
        </w:rPr>
        <w:t xml:space="preserve"> patent examination time under normal circumstances</w:t>
      </w:r>
      <w:r w:rsidR="00475DE0" w:rsidRPr="007E6AE3">
        <w:rPr>
          <w:szCs w:val="24"/>
        </w:rPr>
        <w:t xml:space="preserve">) </w:t>
      </w:r>
      <w:r w:rsidR="00475DE0" w:rsidRPr="007E6AE3" w:rsidDel="00C11A13">
        <w:rPr>
          <w:szCs w:val="24"/>
        </w:rPr>
        <w:t>–</w:t>
      </w:r>
      <w:r w:rsidR="5ED9F8F7" w:rsidRPr="007E6AE3" w:rsidDel="00C11A13">
        <w:rPr>
          <w:szCs w:val="24"/>
        </w:rPr>
        <w:t xml:space="preserve"> </w:t>
      </w:r>
      <w:r w:rsidR="5ED9F8F7" w:rsidRPr="007E6AE3">
        <w:rPr>
          <w:szCs w:val="24"/>
        </w:rPr>
        <w:t xml:space="preserve">but there is no doubt that the </w:t>
      </w:r>
      <w:r w:rsidR="00475DE0" w:rsidRPr="007E6AE3">
        <w:rPr>
          <w:szCs w:val="24"/>
        </w:rPr>
        <w:t xml:space="preserve">availability of an </w:t>
      </w:r>
      <w:r w:rsidR="5ED9F8F7" w:rsidRPr="007E6AE3">
        <w:rPr>
          <w:szCs w:val="24"/>
        </w:rPr>
        <w:t>exp</w:t>
      </w:r>
      <w:r w:rsidR="00920A98" w:rsidRPr="007E6AE3">
        <w:rPr>
          <w:szCs w:val="24"/>
        </w:rPr>
        <w:t>edited review service will deal</w:t>
      </w:r>
      <w:r w:rsidR="5ED9F8F7" w:rsidRPr="007E6AE3">
        <w:rPr>
          <w:szCs w:val="24"/>
        </w:rPr>
        <w:t xml:space="preserve"> with any problem here. </w:t>
      </w:r>
    </w:p>
    <w:p w14:paraId="5E598933" w14:textId="5E90F039" w:rsidR="5D7E5672" w:rsidRPr="007E6AE3" w:rsidRDefault="5D7E5672" w:rsidP="00F96744">
      <w:pPr>
        <w:pStyle w:val="ListParagraph"/>
        <w:numPr>
          <w:ilvl w:val="0"/>
          <w:numId w:val="60"/>
        </w:numPr>
        <w:ind w:left="426"/>
        <w:rPr>
          <w:szCs w:val="24"/>
        </w:rPr>
      </w:pPr>
      <w:r w:rsidRPr="007E6AE3">
        <w:rPr>
          <w:b/>
          <w:bCs/>
          <w:szCs w:val="24"/>
        </w:rPr>
        <w:t>Education and outreach</w:t>
      </w:r>
      <w:r w:rsidRPr="007E6AE3">
        <w:rPr>
          <w:szCs w:val="24"/>
        </w:rPr>
        <w:t xml:space="preserve"> is a different matter in th</w:t>
      </w:r>
      <w:r w:rsidR="5FB4E519" w:rsidRPr="007E6AE3">
        <w:rPr>
          <w:szCs w:val="24"/>
        </w:rPr>
        <w:t xml:space="preserve">at </w:t>
      </w:r>
      <w:r w:rsidR="000E7752" w:rsidRPr="007E6AE3" w:rsidDel="00C11A13">
        <w:rPr>
          <w:szCs w:val="24"/>
        </w:rPr>
        <w:t xml:space="preserve">– </w:t>
      </w:r>
      <w:r w:rsidR="5FB4E519" w:rsidRPr="007E6AE3">
        <w:rPr>
          <w:szCs w:val="24"/>
        </w:rPr>
        <w:t xml:space="preserve">though </w:t>
      </w:r>
      <w:r w:rsidRPr="007E6AE3">
        <w:rPr>
          <w:szCs w:val="24"/>
        </w:rPr>
        <w:t>the educational services provided by</w:t>
      </w:r>
      <w:r w:rsidRPr="007E6AE3" w:rsidDel="00494CE9">
        <w:rPr>
          <w:szCs w:val="24"/>
        </w:rPr>
        <w:t xml:space="preserve"> </w:t>
      </w:r>
      <w:r w:rsidR="00494CE9">
        <w:rPr>
          <w:szCs w:val="24"/>
        </w:rPr>
        <w:t>IP Australia</w:t>
      </w:r>
      <w:r w:rsidRPr="007E6AE3">
        <w:rPr>
          <w:szCs w:val="24"/>
        </w:rPr>
        <w:t xml:space="preserve"> </w:t>
      </w:r>
      <w:r w:rsidR="15B81B18" w:rsidRPr="007E6AE3">
        <w:rPr>
          <w:szCs w:val="24"/>
        </w:rPr>
        <w:t>are</w:t>
      </w:r>
      <w:r w:rsidRPr="007E6AE3">
        <w:rPr>
          <w:szCs w:val="24"/>
        </w:rPr>
        <w:t xml:space="preserve"> excellent</w:t>
      </w:r>
      <w:r w:rsidR="000E7752" w:rsidRPr="007E6AE3">
        <w:rPr>
          <w:szCs w:val="24"/>
        </w:rPr>
        <w:t xml:space="preserve"> </w:t>
      </w:r>
      <w:r w:rsidR="000E7752" w:rsidRPr="007E6AE3" w:rsidDel="00C11A13">
        <w:rPr>
          <w:szCs w:val="24"/>
        </w:rPr>
        <w:t>–</w:t>
      </w:r>
      <w:r w:rsidR="00C11A13" w:rsidRPr="007E6AE3">
        <w:rPr>
          <w:szCs w:val="24"/>
        </w:rPr>
        <w:t xml:space="preserve"> </w:t>
      </w:r>
      <w:r w:rsidRPr="007E6AE3">
        <w:rPr>
          <w:szCs w:val="24"/>
        </w:rPr>
        <w:t xml:space="preserve">people involved in small business </w:t>
      </w:r>
      <w:r w:rsidR="140BFCEB" w:rsidRPr="007E6AE3">
        <w:rPr>
          <w:szCs w:val="24"/>
        </w:rPr>
        <w:t xml:space="preserve">often </w:t>
      </w:r>
      <w:r w:rsidRPr="007E6AE3">
        <w:rPr>
          <w:szCs w:val="24"/>
        </w:rPr>
        <w:t xml:space="preserve">did not seem to know about </w:t>
      </w:r>
      <w:r w:rsidR="000E7752" w:rsidRPr="007E6AE3">
        <w:rPr>
          <w:szCs w:val="24"/>
        </w:rPr>
        <w:t>them or</w:t>
      </w:r>
      <w:r w:rsidRPr="007E6AE3">
        <w:rPr>
          <w:szCs w:val="24"/>
        </w:rPr>
        <w:t xml:space="preserve"> did not have any idea where to start on these issues, even having consulted</w:t>
      </w:r>
      <w:r w:rsidR="651F4D62" w:rsidRPr="007E6AE3">
        <w:rPr>
          <w:szCs w:val="24"/>
        </w:rPr>
        <w:t xml:space="preserve"> them</w:t>
      </w:r>
      <w:r w:rsidR="42C896C5" w:rsidRPr="007E6AE3">
        <w:rPr>
          <w:szCs w:val="24"/>
        </w:rPr>
        <w:t xml:space="preserve">. For this </w:t>
      </w:r>
      <w:r w:rsidR="000E7752" w:rsidRPr="007E6AE3">
        <w:rPr>
          <w:szCs w:val="24"/>
        </w:rPr>
        <w:t>reason,</w:t>
      </w:r>
      <w:r w:rsidR="42C896C5" w:rsidRPr="007E6AE3">
        <w:rPr>
          <w:szCs w:val="24"/>
        </w:rPr>
        <w:t xml:space="preserve"> the </w:t>
      </w:r>
      <w:r w:rsidR="7993214C" w:rsidRPr="007E6AE3">
        <w:rPr>
          <w:szCs w:val="24"/>
        </w:rPr>
        <w:t>Case</w:t>
      </w:r>
      <w:r w:rsidR="42C896C5" w:rsidRPr="007E6AE3">
        <w:rPr>
          <w:szCs w:val="24"/>
        </w:rPr>
        <w:t xml:space="preserve"> </w:t>
      </w:r>
      <w:r w:rsidR="4EC96434" w:rsidRPr="007E6AE3">
        <w:rPr>
          <w:szCs w:val="24"/>
        </w:rPr>
        <w:t>M</w:t>
      </w:r>
      <w:r w:rsidR="42C896C5" w:rsidRPr="007E6AE3">
        <w:rPr>
          <w:szCs w:val="24"/>
        </w:rPr>
        <w:t>anager service now being tr</w:t>
      </w:r>
      <w:r w:rsidR="244A3930" w:rsidRPr="007E6AE3">
        <w:rPr>
          <w:szCs w:val="24"/>
        </w:rPr>
        <w:t>ial</w:t>
      </w:r>
      <w:r w:rsidR="42C896C5" w:rsidRPr="007E6AE3">
        <w:rPr>
          <w:szCs w:val="24"/>
        </w:rPr>
        <w:t>led is an excellent initiative</w:t>
      </w:r>
      <w:r w:rsidR="000B29F0" w:rsidRPr="007E6AE3">
        <w:rPr>
          <w:szCs w:val="24"/>
        </w:rPr>
        <w:t xml:space="preserve"> (</w:t>
      </w:r>
      <w:r w:rsidR="42C896C5" w:rsidRPr="007E6AE3">
        <w:rPr>
          <w:szCs w:val="24"/>
        </w:rPr>
        <w:t>even though it was subject to some criticism, as noted in the body of the text</w:t>
      </w:r>
      <w:r w:rsidR="000B29F0" w:rsidRPr="007E6AE3">
        <w:rPr>
          <w:szCs w:val="24"/>
        </w:rPr>
        <w:t>)</w:t>
      </w:r>
      <w:r w:rsidR="42C896C5" w:rsidRPr="007E6AE3">
        <w:rPr>
          <w:szCs w:val="24"/>
        </w:rPr>
        <w:t>.</w:t>
      </w:r>
      <w:r w:rsidR="55055C57" w:rsidRPr="007E6AE3">
        <w:rPr>
          <w:szCs w:val="24"/>
        </w:rPr>
        <w:t xml:space="preserve"> It was seen to be important to settle th</w:t>
      </w:r>
      <w:r w:rsidR="253C248F" w:rsidRPr="007E6AE3">
        <w:rPr>
          <w:szCs w:val="24"/>
        </w:rPr>
        <w:t>is</w:t>
      </w:r>
      <w:r w:rsidR="55055C57" w:rsidRPr="007E6AE3">
        <w:rPr>
          <w:szCs w:val="24"/>
        </w:rPr>
        <w:t xml:space="preserve"> matter and move on.</w:t>
      </w:r>
      <w:r w:rsidR="00920A98" w:rsidRPr="007E6AE3">
        <w:rPr>
          <w:szCs w:val="24"/>
        </w:rPr>
        <w:t xml:space="preserve"> </w:t>
      </w:r>
      <w:r w:rsidR="4DF84EDB" w:rsidRPr="007E6AE3">
        <w:rPr>
          <w:szCs w:val="24"/>
        </w:rPr>
        <w:t xml:space="preserve">The </w:t>
      </w:r>
      <w:r w:rsidR="3DC10B8E" w:rsidRPr="007E6AE3">
        <w:rPr>
          <w:szCs w:val="24"/>
        </w:rPr>
        <w:t>Case</w:t>
      </w:r>
      <w:r w:rsidR="4DF84EDB" w:rsidRPr="007E6AE3">
        <w:rPr>
          <w:szCs w:val="24"/>
        </w:rPr>
        <w:t xml:space="preserve"> </w:t>
      </w:r>
      <w:r w:rsidR="65B53434" w:rsidRPr="007E6AE3">
        <w:rPr>
          <w:szCs w:val="24"/>
        </w:rPr>
        <w:t>Mana</w:t>
      </w:r>
      <w:r w:rsidR="4DF84EDB" w:rsidRPr="007E6AE3">
        <w:rPr>
          <w:szCs w:val="24"/>
        </w:rPr>
        <w:t xml:space="preserve">ger service is aligned with the activist </w:t>
      </w:r>
      <w:r w:rsidR="4DF84EDB" w:rsidRPr="007E6AE3">
        <w:rPr>
          <w:i/>
          <w:iCs/>
          <w:szCs w:val="24"/>
        </w:rPr>
        <w:t>modus</w:t>
      </w:r>
      <w:r w:rsidR="4DF84EDB" w:rsidRPr="007E6AE3">
        <w:rPr>
          <w:szCs w:val="24"/>
        </w:rPr>
        <w:t xml:space="preserve"> </w:t>
      </w:r>
      <w:r w:rsidR="4DF84EDB" w:rsidRPr="007E6AE3">
        <w:rPr>
          <w:i/>
          <w:iCs/>
          <w:szCs w:val="24"/>
        </w:rPr>
        <w:t>operandi</w:t>
      </w:r>
      <w:r w:rsidR="4DF84EDB" w:rsidRPr="007E6AE3">
        <w:rPr>
          <w:szCs w:val="24"/>
        </w:rPr>
        <w:t xml:space="preserve"> recommended by this report. </w:t>
      </w:r>
    </w:p>
    <w:p w14:paraId="4DE481FC" w14:textId="29B13999" w:rsidR="517D4DA6" w:rsidRPr="006D3977" w:rsidRDefault="517D4DA6" w:rsidP="002F112B">
      <w:pPr>
        <w:ind w:left="426"/>
        <w:rPr>
          <w:szCs w:val="24"/>
        </w:rPr>
      </w:pPr>
      <w:r w:rsidRPr="006D3977">
        <w:rPr>
          <w:szCs w:val="24"/>
        </w:rPr>
        <w:t>Ignorance is difficult to measure, but it is probably a major factor</w:t>
      </w:r>
      <w:r w:rsidR="00AD098D" w:rsidRPr="006D3977">
        <w:rPr>
          <w:szCs w:val="24"/>
        </w:rPr>
        <w:t xml:space="preserve"> in the lack of take-up of IP services.</w:t>
      </w:r>
    </w:p>
    <w:p w14:paraId="6998D360" w14:textId="684883A0" w:rsidR="17451781" w:rsidRPr="007E6AE3" w:rsidRDefault="219E079A" w:rsidP="00C77D28">
      <w:pPr>
        <w:pStyle w:val="ListParagraph"/>
        <w:numPr>
          <w:ilvl w:val="0"/>
          <w:numId w:val="60"/>
        </w:numPr>
        <w:spacing w:after="120"/>
        <w:ind w:left="426"/>
        <w:rPr>
          <w:rFonts w:eastAsiaTheme="minorEastAsia"/>
          <w:szCs w:val="24"/>
        </w:rPr>
      </w:pPr>
      <w:r w:rsidRPr="007E6AE3">
        <w:rPr>
          <w:szCs w:val="24"/>
        </w:rPr>
        <w:t xml:space="preserve">Many respondents commented on the need to have a </w:t>
      </w:r>
      <w:r w:rsidRPr="007E6AE3">
        <w:rPr>
          <w:b/>
          <w:bCs/>
          <w:szCs w:val="24"/>
        </w:rPr>
        <w:t>patent strategy,</w:t>
      </w:r>
      <w:r w:rsidRPr="007E6AE3">
        <w:rPr>
          <w:szCs w:val="24"/>
        </w:rPr>
        <w:t xml:space="preserve"> </w:t>
      </w:r>
      <w:r w:rsidRPr="007E6AE3">
        <w:rPr>
          <w:b/>
          <w:bCs/>
          <w:szCs w:val="24"/>
        </w:rPr>
        <w:t>but within</w:t>
      </w:r>
      <w:r w:rsidRPr="007E6AE3">
        <w:rPr>
          <w:szCs w:val="24"/>
        </w:rPr>
        <w:t xml:space="preserve"> an overall commercial strategy, not to patent for patent</w:t>
      </w:r>
      <w:r w:rsidR="7AA21645" w:rsidRPr="007E6AE3">
        <w:rPr>
          <w:szCs w:val="24"/>
        </w:rPr>
        <w:t>ing's</w:t>
      </w:r>
      <w:r w:rsidRPr="007E6AE3">
        <w:rPr>
          <w:szCs w:val="24"/>
        </w:rPr>
        <w:t xml:space="preserve"> sake. For this reason</w:t>
      </w:r>
      <w:r w:rsidR="3CD7F969" w:rsidRPr="007E6AE3">
        <w:rPr>
          <w:szCs w:val="24"/>
        </w:rPr>
        <w:t xml:space="preserve"> it has been emphasised that patenting advice should be housed within overall commercial men</w:t>
      </w:r>
      <w:r w:rsidR="18E62EB3" w:rsidRPr="007E6AE3">
        <w:rPr>
          <w:szCs w:val="24"/>
        </w:rPr>
        <w:t>t</w:t>
      </w:r>
      <w:r w:rsidR="3CD7F969" w:rsidRPr="007E6AE3">
        <w:rPr>
          <w:szCs w:val="24"/>
        </w:rPr>
        <w:t>oring and business strategy advice, not treated as a separate silo.</w:t>
      </w:r>
      <w:r w:rsidR="00920A98" w:rsidRPr="007E6AE3">
        <w:rPr>
          <w:szCs w:val="24"/>
        </w:rPr>
        <w:t xml:space="preserve"> </w:t>
      </w:r>
      <w:r w:rsidR="2A256B73" w:rsidRPr="007E6AE3">
        <w:rPr>
          <w:szCs w:val="24"/>
        </w:rPr>
        <w:t>No bifurcation of business strategy and IP strategy.</w:t>
      </w:r>
    </w:p>
    <w:p w14:paraId="37B86A0D" w14:textId="7577201B" w:rsidR="00FC5D34" w:rsidRPr="007E6AE3" w:rsidRDefault="03A6AFD0" w:rsidP="00C77D28">
      <w:pPr>
        <w:pStyle w:val="ListParagraph"/>
        <w:numPr>
          <w:ilvl w:val="0"/>
          <w:numId w:val="60"/>
        </w:numPr>
        <w:spacing w:after="120"/>
        <w:ind w:left="426"/>
        <w:rPr>
          <w:szCs w:val="24"/>
        </w:rPr>
      </w:pPr>
      <w:r w:rsidRPr="007E6AE3">
        <w:rPr>
          <w:szCs w:val="24"/>
        </w:rPr>
        <w:t xml:space="preserve">The emphasis in this report has been on an </w:t>
      </w:r>
      <w:r w:rsidRPr="007E6AE3">
        <w:rPr>
          <w:b/>
          <w:bCs/>
          <w:szCs w:val="24"/>
        </w:rPr>
        <w:t>activist approach</w:t>
      </w:r>
      <w:r w:rsidRPr="007E6AE3">
        <w:rPr>
          <w:szCs w:val="24"/>
        </w:rPr>
        <w:t>, encouraging the seeking out of inventor</w:t>
      </w:r>
      <w:r w:rsidR="3F926419" w:rsidRPr="007E6AE3">
        <w:rPr>
          <w:szCs w:val="24"/>
        </w:rPr>
        <w:t>s</w:t>
      </w:r>
      <w:r w:rsidRPr="007E6AE3">
        <w:rPr>
          <w:szCs w:val="24"/>
        </w:rPr>
        <w:t xml:space="preserve"> and inventions, rather than waiting until </w:t>
      </w:r>
      <w:r w:rsidR="762507E6" w:rsidRPr="007E6AE3">
        <w:rPr>
          <w:szCs w:val="24"/>
        </w:rPr>
        <w:t>they approach</w:t>
      </w:r>
      <w:r w:rsidRPr="007E6AE3">
        <w:rPr>
          <w:szCs w:val="24"/>
        </w:rPr>
        <w:t xml:space="preserve"> government.</w:t>
      </w:r>
      <w:r w:rsidR="00920A98" w:rsidRPr="007E6AE3">
        <w:rPr>
          <w:szCs w:val="24"/>
        </w:rPr>
        <w:t xml:space="preserve"> </w:t>
      </w:r>
      <w:r w:rsidR="281D7C60" w:rsidRPr="007E6AE3">
        <w:rPr>
          <w:szCs w:val="24"/>
        </w:rPr>
        <w:t>The need for outreach is acute.</w:t>
      </w:r>
      <w:r w:rsidR="00920A98" w:rsidRPr="007E6AE3">
        <w:rPr>
          <w:szCs w:val="24"/>
        </w:rPr>
        <w:t xml:space="preserve"> </w:t>
      </w:r>
      <w:r w:rsidR="0C5CF6A9" w:rsidRPr="007E6AE3">
        <w:rPr>
          <w:szCs w:val="24"/>
        </w:rPr>
        <w:t>The approach should be more like digging for gold, than watching the cricket.</w:t>
      </w:r>
    </w:p>
    <w:p w14:paraId="4DD542BB" w14:textId="5F680897" w:rsidR="00FC5D34" w:rsidRPr="007E6AE3" w:rsidRDefault="281D7C60" w:rsidP="00F96744">
      <w:pPr>
        <w:pStyle w:val="ListParagraph"/>
        <w:numPr>
          <w:ilvl w:val="0"/>
          <w:numId w:val="60"/>
        </w:numPr>
        <w:ind w:left="426"/>
        <w:rPr>
          <w:szCs w:val="24"/>
        </w:rPr>
      </w:pPr>
      <w:r w:rsidRPr="007E6AE3">
        <w:rPr>
          <w:b/>
          <w:bCs/>
          <w:szCs w:val="24"/>
        </w:rPr>
        <w:t>Export</w:t>
      </w:r>
      <w:r w:rsidR="5A4879DF" w:rsidRPr="007E6AE3">
        <w:rPr>
          <w:b/>
          <w:bCs/>
          <w:szCs w:val="24"/>
        </w:rPr>
        <w:t xml:space="preserve"> of IP</w:t>
      </w:r>
      <w:r w:rsidRPr="007E6AE3">
        <w:rPr>
          <w:szCs w:val="24"/>
        </w:rPr>
        <w:t>:</w:t>
      </w:r>
      <w:r w:rsidR="005015ED" w:rsidRPr="007E6AE3">
        <w:rPr>
          <w:szCs w:val="24"/>
        </w:rPr>
        <w:t xml:space="preserve"> </w:t>
      </w:r>
      <w:r w:rsidR="04049A2E" w:rsidRPr="007E6AE3">
        <w:rPr>
          <w:szCs w:val="24"/>
        </w:rPr>
        <w:t xml:space="preserve">this </w:t>
      </w:r>
      <w:r w:rsidR="261B1B69" w:rsidRPr="007E6AE3">
        <w:rPr>
          <w:szCs w:val="24"/>
        </w:rPr>
        <w:t>is neither a periph</w:t>
      </w:r>
      <w:r w:rsidR="00920A98" w:rsidRPr="007E6AE3">
        <w:rPr>
          <w:szCs w:val="24"/>
        </w:rPr>
        <w:t xml:space="preserve">eral issue, nor a small issue. </w:t>
      </w:r>
      <w:r w:rsidR="261B1B69" w:rsidRPr="007E6AE3">
        <w:rPr>
          <w:szCs w:val="24"/>
        </w:rPr>
        <w:t>It</w:t>
      </w:r>
      <w:r w:rsidR="04049A2E" w:rsidRPr="007E6AE3">
        <w:rPr>
          <w:szCs w:val="24"/>
        </w:rPr>
        <w:t xml:space="preserve"> arises directly out </w:t>
      </w:r>
      <w:r w:rsidR="75FB6561" w:rsidRPr="007E6AE3">
        <w:rPr>
          <w:szCs w:val="24"/>
        </w:rPr>
        <w:t>of our</w:t>
      </w:r>
      <w:r w:rsidR="00920A98" w:rsidRPr="007E6AE3">
        <w:rPr>
          <w:szCs w:val="24"/>
        </w:rPr>
        <w:t xml:space="preserve"> inquiries. </w:t>
      </w:r>
      <w:r w:rsidR="04049A2E" w:rsidRPr="007E6AE3">
        <w:rPr>
          <w:szCs w:val="24"/>
        </w:rPr>
        <w:t xml:space="preserve">We import most of our IP, whereas we have the ability </w:t>
      </w:r>
      <w:r w:rsidR="00920A98" w:rsidRPr="007E6AE3">
        <w:rPr>
          <w:szCs w:val="24"/>
        </w:rPr>
        <w:t xml:space="preserve">to reverse this. </w:t>
      </w:r>
      <w:r w:rsidR="0E8329A5" w:rsidRPr="007E6AE3">
        <w:rPr>
          <w:szCs w:val="24"/>
        </w:rPr>
        <w:t xml:space="preserve">With a </w:t>
      </w:r>
      <w:r w:rsidR="00133FD8">
        <w:rPr>
          <w:szCs w:val="24"/>
        </w:rPr>
        <w:t>technological</w:t>
      </w:r>
      <w:r w:rsidR="00133FD8" w:rsidRPr="007E6AE3">
        <w:rPr>
          <w:szCs w:val="24"/>
        </w:rPr>
        <w:t xml:space="preserve"> </w:t>
      </w:r>
      <w:r w:rsidR="0E8329A5" w:rsidRPr="007E6AE3">
        <w:rPr>
          <w:szCs w:val="24"/>
        </w:rPr>
        <w:t>innovation, going international will almost certainly mean</w:t>
      </w:r>
      <w:r w:rsidR="19E059DD" w:rsidRPr="007E6AE3">
        <w:rPr>
          <w:szCs w:val="24"/>
        </w:rPr>
        <w:t xml:space="preserve"> involvement with the patenting system, even though some IT</w:t>
      </w:r>
      <w:r w:rsidR="003D19D8" w:rsidRPr="007E6AE3">
        <w:rPr>
          <w:szCs w:val="24"/>
        </w:rPr>
        <w:t>-</w:t>
      </w:r>
      <w:r w:rsidR="19E059DD" w:rsidRPr="007E6AE3">
        <w:rPr>
          <w:szCs w:val="24"/>
        </w:rPr>
        <w:t>based companies find methods of concealing their innovation.</w:t>
      </w:r>
      <w:r w:rsidR="00920A98" w:rsidRPr="007E6AE3">
        <w:rPr>
          <w:szCs w:val="24"/>
        </w:rPr>
        <w:t xml:space="preserve"> </w:t>
      </w:r>
      <w:r w:rsidR="217EF034" w:rsidRPr="007E6AE3">
        <w:rPr>
          <w:szCs w:val="24"/>
        </w:rPr>
        <w:t>Avoidance of the patent system directl</w:t>
      </w:r>
      <w:r w:rsidR="00920A98" w:rsidRPr="007E6AE3">
        <w:rPr>
          <w:szCs w:val="24"/>
        </w:rPr>
        <w:t xml:space="preserve">y hampers our export capacity. </w:t>
      </w:r>
      <w:r w:rsidR="217EF034" w:rsidRPr="007E6AE3">
        <w:rPr>
          <w:szCs w:val="24"/>
        </w:rPr>
        <w:t>This</w:t>
      </w:r>
      <w:r w:rsidR="0A711206" w:rsidRPr="007E6AE3">
        <w:rPr>
          <w:szCs w:val="24"/>
        </w:rPr>
        <w:t xml:space="preserve"> </w:t>
      </w:r>
      <w:r w:rsidR="217EF034" w:rsidRPr="007E6AE3">
        <w:rPr>
          <w:szCs w:val="24"/>
        </w:rPr>
        <w:t>i</w:t>
      </w:r>
      <w:r w:rsidR="0BF50C10" w:rsidRPr="007E6AE3">
        <w:rPr>
          <w:szCs w:val="24"/>
        </w:rPr>
        <w:t xml:space="preserve">s </w:t>
      </w:r>
      <w:r w:rsidR="217EF034" w:rsidRPr="007E6AE3">
        <w:rPr>
          <w:szCs w:val="24"/>
        </w:rPr>
        <w:t>a</w:t>
      </w:r>
      <w:r w:rsidR="00D162CD" w:rsidRPr="007E6AE3">
        <w:rPr>
          <w:szCs w:val="24"/>
        </w:rPr>
        <w:t xml:space="preserve"> major </w:t>
      </w:r>
      <w:r w:rsidR="005F01E8" w:rsidRPr="007E6AE3">
        <w:rPr>
          <w:szCs w:val="24"/>
        </w:rPr>
        <w:t>gap,</w:t>
      </w:r>
      <w:r w:rsidR="00D162CD" w:rsidRPr="007E6AE3">
        <w:rPr>
          <w:szCs w:val="24"/>
        </w:rPr>
        <w:t xml:space="preserve"> but </w:t>
      </w:r>
      <w:r w:rsidR="7108FB40" w:rsidRPr="007E6AE3">
        <w:rPr>
          <w:szCs w:val="24"/>
        </w:rPr>
        <w:t xml:space="preserve">it </w:t>
      </w:r>
      <w:r w:rsidR="00D162CD" w:rsidRPr="007E6AE3">
        <w:rPr>
          <w:szCs w:val="24"/>
        </w:rPr>
        <w:t>can be addressed.</w:t>
      </w:r>
      <w:r w:rsidR="00FC5D34" w:rsidRPr="007E6AE3">
        <w:rPr>
          <w:szCs w:val="24"/>
        </w:rPr>
        <w:t xml:space="preserve"> </w:t>
      </w:r>
    </w:p>
    <w:p w14:paraId="242AE6F5" w14:textId="67F1A08E" w:rsidR="00327A88" w:rsidRPr="007E6AE3" w:rsidRDefault="39532FF0" w:rsidP="00C77D28">
      <w:pPr>
        <w:pStyle w:val="ListParagraph"/>
        <w:numPr>
          <w:ilvl w:val="0"/>
          <w:numId w:val="60"/>
        </w:numPr>
        <w:spacing w:after="120"/>
        <w:ind w:left="426"/>
        <w:rPr>
          <w:szCs w:val="24"/>
        </w:rPr>
      </w:pPr>
      <w:r w:rsidRPr="007E6AE3">
        <w:rPr>
          <w:szCs w:val="24"/>
        </w:rPr>
        <w:lastRenderedPageBreak/>
        <w:t xml:space="preserve">Education and community awareness of IP can be increased through </w:t>
      </w:r>
      <w:r w:rsidRPr="007E6AE3">
        <w:rPr>
          <w:b/>
          <w:bCs/>
          <w:szCs w:val="24"/>
        </w:rPr>
        <w:t>media coverage</w:t>
      </w:r>
      <w:r w:rsidR="007C45AD" w:rsidRPr="007E6AE3">
        <w:rPr>
          <w:b/>
          <w:bCs/>
          <w:szCs w:val="24"/>
        </w:rPr>
        <w:t xml:space="preserve"> </w:t>
      </w:r>
      <w:r w:rsidR="007C45AD" w:rsidRPr="007E6AE3">
        <w:rPr>
          <w:szCs w:val="24"/>
        </w:rPr>
        <w:t>of</w:t>
      </w:r>
      <w:r w:rsidRPr="007E6AE3">
        <w:rPr>
          <w:szCs w:val="24"/>
        </w:rPr>
        <w:t xml:space="preserve"> inventions, especially given the new diversified media such as video streaming and pod</w:t>
      </w:r>
      <w:r w:rsidR="2E6C4786" w:rsidRPr="007E6AE3">
        <w:rPr>
          <w:szCs w:val="24"/>
        </w:rPr>
        <w:t>c</w:t>
      </w:r>
      <w:r w:rsidRPr="007E6AE3">
        <w:rPr>
          <w:szCs w:val="24"/>
        </w:rPr>
        <w:t>asts, but not overlooking traditional broadcasting.</w:t>
      </w:r>
      <w:r w:rsidR="00FC5D34" w:rsidRPr="007E6AE3">
        <w:rPr>
          <w:szCs w:val="24"/>
        </w:rPr>
        <w:t xml:space="preserve"> </w:t>
      </w:r>
    </w:p>
    <w:p w14:paraId="595D2CA0" w14:textId="77777777" w:rsidR="00CA6064" w:rsidRPr="007E6AE3" w:rsidRDefault="133425CB" w:rsidP="00F96744">
      <w:pPr>
        <w:pStyle w:val="ListParagraph"/>
        <w:numPr>
          <w:ilvl w:val="0"/>
          <w:numId w:val="60"/>
        </w:numPr>
        <w:ind w:left="426"/>
        <w:rPr>
          <w:szCs w:val="24"/>
        </w:rPr>
      </w:pPr>
      <w:r w:rsidRPr="007E6AE3">
        <w:rPr>
          <w:b/>
          <w:bCs/>
          <w:szCs w:val="24"/>
        </w:rPr>
        <w:t>Fear of litigation</w:t>
      </w:r>
      <w:r w:rsidRPr="007E6AE3">
        <w:rPr>
          <w:szCs w:val="24"/>
        </w:rPr>
        <w:t xml:space="preserve"> is a major theme of this report. Changes are suggested which involve</w:t>
      </w:r>
      <w:r w:rsidR="00CA6064" w:rsidRPr="007E6AE3">
        <w:rPr>
          <w:szCs w:val="24"/>
        </w:rPr>
        <w:t>:</w:t>
      </w:r>
    </w:p>
    <w:p w14:paraId="2B2C8B89" w14:textId="60A27325" w:rsidR="00CA6064" w:rsidRPr="007E6AE3" w:rsidRDefault="133425CB" w:rsidP="00D53848">
      <w:pPr>
        <w:pStyle w:val="ListParagraph"/>
        <w:numPr>
          <w:ilvl w:val="1"/>
          <w:numId w:val="60"/>
        </w:numPr>
        <w:rPr>
          <w:szCs w:val="24"/>
        </w:rPr>
      </w:pPr>
      <w:r w:rsidRPr="007E6AE3">
        <w:rPr>
          <w:szCs w:val="24"/>
        </w:rPr>
        <w:t>a specialist IP c</w:t>
      </w:r>
      <w:r w:rsidR="2D805576" w:rsidRPr="007E6AE3">
        <w:rPr>
          <w:szCs w:val="24"/>
        </w:rPr>
        <w:t>ourt</w:t>
      </w:r>
      <w:r w:rsidRPr="007E6AE3">
        <w:rPr>
          <w:szCs w:val="24"/>
        </w:rPr>
        <w:t>, with capped times and capped charges</w:t>
      </w:r>
      <w:r w:rsidR="005F01E8" w:rsidRPr="007E6AE3">
        <w:rPr>
          <w:szCs w:val="24"/>
        </w:rPr>
        <w:t xml:space="preserve"> </w:t>
      </w:r>
    </w:p>
    <w:p w14:paraId="07303470" w14:textId="53282B01" w:rsidR="00CA6064" w:rsidRPr="007E6AE3" w:rsidRDefault="133425CB">
      <w:pPr>
        <w:pStyle w:val="ListParagraph"/>
        <w:numPr>
          <w:ilvl w:val="1"/>
          <w:numId w:val="60"/>
        </w:numPr>
        <w:rPr>
          <w:szCs w:val="24"/>
        </w:rPr>
      </w:pPr>
      <w:r w:rsidRPr="007E6AE3">
        <w:rPr>
          <w:szCs w:val="24"/>
        </w:rPr>
        <w:t xml:space="preserve">an arbitration system to be set up by </w:t>
      </w:r>
      <w:r w:rsidR="11154B76" w:rsidRPr="007E6AE3">
        <w:rPr>
          <w:szCs w:val="24"/>
        </w:rPr>
        <w:t>IP</w:t>
      </w:r>
      <w:r w:rsidRPr="007E6AE3">
        <w:rPr>
          <w:szCs w:val="24"/>
        </w:rPr>
        <w:t xml:space="preserve"> Australia</w:t>
      </w:r>
      <w:r w:rsidR="005F01E8" w:rsidRPr="007E6AE3">
        <w:rPr>
          <w:szCs w:val="24"/>
        </w:rPr>
        <w:t xml:space="preserve"> </w:t>
      </w:r>
    </w:p>
    <w:p w14:paraId="63E464A6" w14:textId="4706BA07" w:rsidR="00CA6064" w:rsidRPr="007E6AE3" w:rsidRDefault="133425CB">
      <w:pPr>
        <w:pStyle w:val="ListParagraph"/>
        <w:numPr>
          <w:ilvl w:val="1"/>
          <w:numId w:val="60"/>
        </w:numPr>
        <w:rPr>
          <w:szCs w:val="24"/>
        </w:rPr>
      </w:pPr>
      <w:r w:rsidRPr="007E6AE3">
        <w:rPr>
          <w:szCs w:val="24"/>
        </w:rPr>
        <w:t>an expert opinion service at an affordable price</w:t>
      </w:r>
      <w:r w:rsidR="394715B0" w:rsidRPr="007E6AE3">
        <w:rPr>
          <w:szCs w:val="24"/>
        </w:rPr>
        <w:t xml:space="preserve"> for those who wish to seek expert advice on their position</w:t>
      </w:r>
      <w:r w:rsidR="005F01E8" w:rsidRPr="007E6AE3">
        <w:rPr>
          <w:szCs w:val="24"/>
        </w:rPr>
        <w:t xml:space="preserve"> </w:t>
      </w:r>
      <w:r w:rsidR="001C38F9" w:rsidRPr="007E6AE3">
        <w:rPr>
          <w:szCs w:val="24"/>
        </w:rPr>
        <w:t>(</w:t>
      </w:r>
      <w:r w:rsidR="394715B0" w:rsidRPr="007E6AE3">
        <w:rPr>
          <w:szCs w:val="24"/>
        </w:rPr>
        <w:t>with regard to another company infringing a patent</w:t>
      </w:r>
      <w:r w:rsidR="001C38F9" w:rsidRPr="007E6AE3">
        <w:rPr>
          <w:szCs w:val="24"/>
        </w:rPr>
        <w:t>,</w:t>
      </w:r>
      <w:r w:rsidR="394715B0" w:rsidRPr="007E6AE3">
        <w:rPr>
          <w:szCs w:val="24"/>
        </w:rPr>
        <w:t xml:space="preserve"> for example</w:t>
      </w:r>
      <w:r w:rsidR="001C38F9" w:rsidRPr="007E6AE3">
        <w:rPr>
          <w:szCs w:val="24"/>
        </w:rPr>
        <w:t>)</w:t>
      </w:r>
    </w:p>
    <w:p w14:paraId="3DFE9FC5" w14:textId="77777777" w:rsidR="00CA6064" w:rsidRPr="007E6AE3" w:rsidRDefault="394715B0" w:rsidP="00C77D28">
      <w:pPr>
        <w:pStyle w:val="ListParagraph"/>
        <w:numPr>
          <w:ilvl w:val="1"/>
          <w:numId w:val="60"/>
        </w:numPr>
        <w:spacing w:after="240"/>
        <w:rPr>
          <w:szCs w:val="24"/>
        </w:rPr>
      </w:pPr>
      <w:r w:rsidRPr="007E6AE3">
        <w:rPr>
          <w:szCs w:val="24"/>
        </w:rPr>
        <w:t>a change to admissible grounds when there is an appeal against a decision</w:t>
      </w:r>
      <w:r w:rsidR="4E9EA33D" w:rsidRPr="007E6AE3">
        <w:rPr>
          <w:szCs w:val="24"/>
        </w:rPr>
        <w:t xml:space="preserve"> made by the Commissioner of </w:t>
      </w:r>
      <w:r w:rsidR="3C714C9F" w:rsidRPr="007E6AE3">
        <w:rPr>
          <w:szCs w:val="24"/>
        </w:rPr>
        <w:t>P</w:t>
      </w:r>
      <w:r w:rsidR="4E9EA33D" w:rsidRPr="007E6AE3">
        <w:rPr>
          <w:szCs w:val="24"/>
        </w:rPr>
        <w:t xml:space="preserve">atents. </w:t>
      </w:r>
    </w:p>
    <w:p w14:paraId="18AD05F8" w14:textId="6C442F84" w:rsidR="133425CB" w:rsidRPr="007E6AE3" w:rsidRDefault="4E9EA33D" w:rsidP="00C77D28">
      <w:pPr>
        <w:pStyle w:val="ListParagraph"/>
        <w:numPr>
          <w:ilvl w:val="0"/>
          <w:numId w:val="0"/>
        </w:numPr>
        <w:spacing w:after="120"/>
        <w:ind w:left="426"/>
        <w:rPr>
          <w:szCs w:val="24"/>
        </w:rPr>
      </w:pPr>
      <w:r w:rsidRPr="007E6AE3">
        <w:rPr>
          <w:szCs w:val="24"/>
        </w:rPr>
        <w:t>If there are known solutions</w:t>
      </w:r>
      <w:r w:rsidR="005F01E8" w:rsidRPr="007E6AE3">
        <w:rPr>
          <w:szCs w:val="24"/>
        </w:rPr>
        <w:t xml:space="preserve"> that</w:t>
      </w:r>
      <w:r w:rsidRPr="007E6AE3">
        <w:rPr>
          <w:szCs w:val="24"/>
        </w:rPr>
        <w:t xml:space="preserve"> are inexpensive and timely, a lot of the uncertainty </w:t>
      </w:r>
      <w:r w:rsidR="005F01E8" w:rsidRPr="007E6AE3">
        <w:rPr>
          <w:szCs w:val="24"/>
        </w:rPr>
        <w:t xml:space="preserve">would </w:t>
      </w:r>
      <w:r w:rsidRPr="007E6AE3">
        <w:rPr>
          <w:szCs w:val="24"/>
        </w:rPr>
        <w:t>be removed from the patent system</w:t>
      </w:r>
      <w:r w:rsidR="1AEDFF7D" w:rsidRPr="007E6AE3">
        <w:rPr>
          <w:szCs w:val="24"/>
        </w:rPr>
        <w:t>.</w:t>
      </w:r>
    </w:p>
    <w:p w14:paraId="0329083E" w14:textId="795CB01E" w:rsidR="133A46BC" w:rsidRPr="007E6AE3" w:rsidRDefault="133A46BC" w:rsidP="00C77D28">
      <w:pPr>
        <w:pStyle w:val="ListParagraph"/>
        <w:numPr>
          <w:ilvl w:val="0"/>
          <w:numId w:val="60"/>
        </w:numPr>
        <w:spacing w:after="120"/>
        <w:ind w:left="426"/>
        <w:rPr>
          <w:szCs w:val="24"/>
        </w:rPr>
      </w:pPr>
      <w:r w:rsidRPr="007E6AE3">
        <w:rPr>
          <w:szCs w:val="24"/>
        </w:rPr>
        <w:t xml:space="preserve">There is a great deal of </w:t>
      </w:r>
      <w:r w:rsidRPr="007E6AE3">
        <w:rPr>
          <w:b/>
          <w:bCs/>
          <w:szCs w:val="24"/>
        </w:rPr>
        <w:t xml:space="preserve">hidden technology </w:t>
      </w:r>
      <w:r w:rsidR="21CE5A55" w:rsidRPr="007E6AE3">
        <w:rPr>
          <w:b/>
          <w:bCs/>
          <w:szCs w:val="24"/>
        </w:rPr>
        <w:t>innovation</w:t>
      </w:r>
      <w:r w:rsidRPr="007E6AE3">
        <w:rPr>
          <w:szCs w:val="24"/>
        </w:rPr>
        <w:t>: people are often unaware that they have patentable invention</w:t>
      </w:r>
      <w:r w:rsidR="368EE85D" w:rsidRPr="007E6AE3">
        <w:rPr>
          <w:szCs w:val="24"/>
        </w:rPr>
        <w:t>s</w:t>
      </w:r>
      <w:r w:rsidRPr="007E6AE3">
        <w:rPr>
          <w:szCs w:val="24"/>
        </w:rPr>
        <w:t xml:space="preserve"> on their hands, and then </w:t>
      </w:r>
      <w:r w:rsidR="5BEB6E5C" w:rsidRPr="007E6AE3">
        <w:rPr>
          <w:szCs w:val="24"/>
        </w:rPr>
        <w:t xml:space="preserve">are </w:t>
      </w:r>
      <w:r w:rsidRPr="007E6AE3">
        <w:rPr>
          <w:szCs w:val="24"/>
        </w:rPr>
        <w:t xml:space="preserve">not able to quickly identify </w:t>
      </w:r>
      <w:r w:rsidR="15D5DBE3" w:rsidRPr="007E6AE3">
        <w:rPr>
          <w:szCs w:val="24"/>
        </w:rPr>
        <w:t>a</w:t>
      </w:r>
      <w:r w:rsidRPr="007E6AE3">
        <w:rPr>
          <w:szCs w:val="24"/>
        </w:rPr>
        <w:t xml:space="preserve"> source of </w:t>
      </w:r>
      <w:r w:rsidR="595446CC" w:rsidRPr="007E6AE3">
        <w:rPr>
          <w:szCs w:val="24"/>
        </w:rPr>
        <w:t>advice</w:t>
      </w:r>
      <w:r w:rsidRPr="007E6AE3">
        <w:rPr>
          <w:szCs w:val="24"/>
        </w:rPr>
        <w:t>.</w:t>
      </w:r>
      <w:r w:rsidR="222C4D52" w:rsidRPr="007E6AE3">
        <w:rPr>
          <w:szCs w:val="24"/>
        </w:rPr>
        <w:t xml:space="preserve"> This applies to a whole range of industries, and in particular to universities, </w:t>
      </w:r>
      <w:r w:rsidR="5D4F6779" w:rsidRPr="007E6AE3">
        <w:rPr>
          <w:szCs w:val="24"/>
        </w:rPr>
        <w:t>hospitals and clinical services</w:t>
      </w:r>
      <w:r w:rsidR="00481280" w:rsidRPr="007E6AE3">
        <w:rPr>
          <w:szCs w:val="24"/>
        </w:rPr>
        <w:t xml:space="preserve"> </w:t>
      </w:r>
      <w:r w:rsidR="00481280" w:rsidRPr="007E6AE3" w:rsidDel="00C11A13">
        <w:rPr>
          <w:szCs w:val="24"/>
        </w:rPr>
        <w:t xml:space="preserve">– </w:t>
      </w:r>
      <w:r w:rsidR="222C4D52" w:rsidRPr="007E6AE3">
        <w:rPr>
          <w:szCs w:val="24"/>
        </w:rPr>
        <w:t>this being another reason for an activist or forensic approach in seeking out innovations of the patentable kind.</w:t>
      </w:r>
    </w:p>
    <w:p w14:paraId="6FBC4EE5" w14:textId="46268CC5" w:rsidR="007E6AE3" w:rsidRDefault="335B895A" w:rsidP="00F96744">
      <w:pPr>
        <w:pStyle w:val="ListParagraph"/>
        <w:numPr>
          <w:ilvl w:val="0"/>
          <w:numId w:val="60"/>
        </w:numPr>
        <w:ind w:left="426"/>
        <w:rPr>
          <w:szCs w:val="24"/>
        </w:rPr>
      </w:pPr>
      <w:r w:rsidRPr="007E6AE3">
        <w:rPr>
          <w:szCs w:val="24"/>
        </w:rPr>
        <w:t>It is sugges</w:t>
      </w:r>
      <w:r w:rsidR="42CFA338" w:rsidRPr="007E6AE3">
        <w:rPr>
          <w:szCs w:val="24"/>
        </w:rPr>
        <w:t>t</w:t>
      </w:r>
      <w:r w:rsidRPr="007E6AE3">
        <w:rPr>
          <w:szCs w:val="24"/>
        </w:rPr>
        <w:t>ed that</w:t>
      </w:r>
      <w:r w:rsidR="48444E3D" w:rsidRPr="007E6AE3">
        <w:rPr>
          <w:szCs w:val="24"/>
        </w:rPr>
        <w:t>, for patents of nationa</w:t>
      </w:r>
      <w:r w:rsidR="2C73B1B5" w:rsidRPr="007E6AE3">
        <w:rPr>
          <w:szCs w:val="24"/>
        </w:rPr>
        <w:t>l</w:t>
      </w:r>
      <w:r w:rsidR="48444E3D" w:rsidRPr="007E6AE3">
        <w:rPr>
          <w:szCs w:val="24"/>
        </w:rPr>
        <w:t xml:space="preserve"> security and commercial importance,</w:t>
      </w:r>
      <w:r w:rsidR="00920A98" w:rsidRPr="007E6AE3">
        <w:rPr>
          <w:szCs w:val="24"/>
        </w:rPr>
        <w:t xml:space="preserve"> </w:t>
      </w:r>
      <w:r w:rsidR="008825ED" w:rsidRPr="007E6AE3">
        <w:rPr>
          <w:szCs w:val="24"/>
        </w:rPr>
        <w:t>a</w:t>
      </w:r>
      <w:r w:rsidR="2AC2EF7B" w:rsidRPr="007E6AE3">
        <w:rPr>
          <w:szCs w:val="24"/>
        </w:rPr>
        <w:t xml:space="preserve"> </w:t>
      </w:r>
      <w:r w:rsidRPr="007E6AE3">
        <w:rPr>
          <w:szCs w:val="24"/>
        </w:rPr>
        <w:t xml:space="preserve">public/private partnership </w:t>
      </w:r>
      <w:r w:rsidR="4B77AD40" w:rsidRPr="007E6AE3">
        <w:rPr>
          <w:szCs w:val="24"/>
        </w:rPr>
        <w:t>(a</w:t>
      </w:r>
      <w:r w:rsidR="4B77AD40" w:rsidRPr="007E6AE3">
        <w:rPr>
          <w:b/>
          <w:szCs w:val="24"/>
        </w:rPr>
        <w:t xml:space="preserve"> National Patent Defence Fund</w:t>
      </w:r>
      <w:r w:rsidR="4B77AD40" w:rsidRPr="007E6AE3">
        <w:rPr>
          <w:szCs w:val="24"/>
        </w:rPr>
        <w:t xml:space="preserve">) </w:t>
      </w:r>
      <w:r w:rsidR="008825ED" w:rsidRPr="007E6AE3">
        <w:rPr>
          <w:szCs w:val="24"/>
        </w:rPr>
        <w:t>should be formed to</w:t>
      </w:r>
      <w:r w:rsidRPr="007E6AE3">
        <w:rPr>
          <w:szCs w:val="24"/>
        </w:rPr>
        <w:t xml:space="preserve"> seek out a</w:t>
      </w:r>
      <w:r w:rsidR="663BA607" w:rsidRPr="007E6AE3">
        <w:rPr>
          <w:szCs w:val="24"/>
        </w:rPr>
        <w:t>nd</w:t>
      </w:r>
      <w:r w:rsidRPr="007E6AE3">
        <w:rPr>
          <w:szCs w:val="24"/>
        </w:rPr>
        <w:t xml:space="preserve"> fund </w:t>
      </w:r>
      <w:r w:rsidR="795B77A9" w:rsidRPr="007E6AE3">
        <w:rPr>
          <w:szCs w:val="24"/>
        </w:rPr>
        <w:t>inventions</w:t>
      </w:r>
      <w:r w:rsidRPr="007E6AE3">
        <w:rPr>
          <w:szCs w:val="24"/>
        </w:rPr>
        <w:t>, even at the pre</w:t>
      </w:r>
      <w:r w:rsidR="3385F5DC" w:rsidRPr="007E6AE3">
        <w:rPr>
          <w:szCs w:val="24"/>
        </w:rPr>
        <w:t>-</w:t>
      </w:r>
      <w:r w:rsidRPr="007E6AE3">
        <w:rPr>
          <w:szCs w:val="24"/>
        </w:rPr>
        <w:t xml:space="preserve">patenting </w:t>
      </w:r>
      <w:r w:rsidR="6B85F930" w:rsidRPr="007E6AE3">
        <w:rPr>
          <w:szCs w:val="24"/>
        </w:rPr>
        <w:t>stage</w:t>
      </w:r>
      <w:r w:rsidR="008825ED" w:rsidRPr="007E6AE3">
        <w:rPr>
          <w:szCs w:val="24"/>
        </w:rPr>
        <w:t xml:space="preserve">; </w:t>
      </w:r>
      <w:r w:rsidR="63690A3B" w:rsidRPr="007E6AE3">
        <w:rPr>
          <w:szCs w:val="24"/>
        </w:rPr>
        <w:t>offer</w:t>
      </w:r>
      <w:r w:rsidRPr="007E6AE3">
        <w:rPr>
          <w:szCs w:val="24"/>
        </w:rPr>
        <w:t xml:space="preserve"> </w:t>
      </w:r>
      <w:r w:rsidR="1CA9C701" w:rsidRPr="007E6AE3">
        <w:rPr>
          <w:szCs w:val="24"/>
        </w:rPr>
        <w:t>mentoring</w:t>
      </w:r>
      <w:r w:rsidRPr="007E6AE3">
        <w:rPr>
          <w:szCs w:val="24"/>
        </w:rPr>
        <w:t xml:space="preserve"> and funding to ensure</w:t>
      </w:r>
      <w:r w:rsidR="31D2D4C3" w:rsidRPr="007E6AE3">
        <w:rPr>
          <w:szCs w:val="24"/>
        </w:rPr>
        <w:t xml:space="preserve"> th</w:t>
      </w:r>
      <w:r w:rsidR="008825ED" w:rsidRPr="007E6AE3">
        <w:rPr>
          <w:szCs w:val="24"/>
        </w:rPr>
        <w:t>at</w:t>
      </w:r>
      <w:r w:rsidR="31D2D4C3" w:rsidRPr="007E6AE3">
        <w:rPr>
          <w:szCs w:val="24"/>
        </w:rPr>
        <w:t xml:space="preserve"> inv</w:t>
      </w:r>
      <w:r w:rsidR="50E4187A" w:rsidRPr="007E6AE3">
        <w:rPr>
          <w:szCs w:val="24"/>
        </w:rPr>
        <w:t xml:space="preserve">entions pass through to the </w:t>
      </w:r>
      <w:r w:rsidR="2DE06D41" w:rsidRPr="007E6AE3">
        <w:rPr>
          <w:szCs w:val="24"/>
        </w:rPr>
        <w:t>commercialisation</w:t>
      </w:r>
      <w:r w:rsidR="50E4187A" w:rsidRPr="007E6AE3">
        <w:rPr>
          <w:szCs w:val="24"/>
        </w:rPr>
        <w:t xml:space="preserve"> stage</w:t>
      </w:r>
      <w:r w:rsidR="008825ED" w:rsidRPr="007E6AE3">
        <w:rPr>
          <w:szCs w:val="24"/>
        </w:rPr>
        <w:t xml:space="preserve">; </w:t>
      </w:r>
      <w:r w:rsidR="50E4187A" w:rsidRPr="007E6AE3">
        <w:rPr>
          <w:szCs w:val="24"/>
        </w:rPr>
        <w:t>and</w:t>
      </w:r>
      <w:r w:rsidR="1FC46EFB" w:rsidRPr="007E6AE3">
        <w:rPr>
          <w:szCs w:val="24"/>
        </w:rPr>
        <w:t xml:space="preserve"> take a stake in such businesses.</w:t>
      </w:r>
      <w:r w:rsidR="007E6AE3">
        <w:rPr>
          <w:szCs w:val="24"/>
        </w:rPr>
        <w:br w:type="page"/>
      </w:r>
    </w:p>
    <w:p w14:paraId="31583B1F" w14:textId="092D6CBB" w:rsidR="006A47C2" w:rsidRDefault="003B48D0" w:rsidP="00102432">
      <w:pPr>
        <w:pStyle w:val="Heading1"/>
      </w:pPr>
      <w:bookmarkStart w:id="126" w:name="_Toc59109339"/>
      <w:bookmarkStart w:id="127" w:name="_Toc60760621"/>
      <w:bookmarkStart w:id="128" w:name="_Toc60834807"/>
      <w:bookmarkStart w:id="129" w:name="_Toc60836757"/>
      <w:bookmarkStart w:id="130" w:name="_Toc60997746"/>
      <w:bookmarkStart w:id="131" w:name="_Toc61015560"/>
      <w:bookmarkStart w:id="132" w:name="_Toc61269592"/>
      <w:bookmarkStart w:id="133" w:name="_Toc61356700"/>
      <w:bookmarkStart w:id="134" w:name="_Toc65159310"/>
      <w:bookmarkStart w:id="135" w:name="_Toc19023742"/>
      <w:bookmarkEnd w:id="105"/>
      <w:bookmarkEnd w:id="104"/>
      <w:bookmarkEnd w:id="103"/>
      <w:r w:rsidRPr="79344E9E">
        <w:lastRenderedPageBreak/>
        <w:t xml:space="preserve">Findings </w:t>
      </w:r>
      <w:bookmarkEnd w:id="126"/>
      <w:r w:rsidR="00722EB1">
        <w:t xml:space="preserve">and </w:t>
      </w:r>
      <w:r w:rsidR="009653AD">
        <w:t>r</w:t>
      </w:r>
      <w:r w:rsidR="00722EB1">
        <w:t>ecommendations</w:t>
      </w:r>
      <w:bookmarkEnd w:id="127"/>
      <w:bookmarkEnd w:id="128"/>
      <w:bookmarkEnd w:id="129"/>
      <w:bookmarkEnd w:id="130"/>
      <w:bookmarkEnd w:id="131"/>
      <w:bookmarkEnd w:id="132"/>
      <w:bookmarkEnd w:id="133"/>
      <w:bookmarkEnd w:id="134"/>
    </w:p>
    <w:p w14:paraId="15FA6326" w14:textId="58125CE8" w:rsidR="008C3F6B" w:rsidRPr="00D54DCD" w:rsidRDefault="00A0212B" w:rsidP="0080588A">
      <w:pPr>
        <w:pStyle w:val="Heading3"/>
        <w:spacing w:before="120"/>
      </w:pPr>
      <w:r w:rsidRPr="00D54DCD">
        <w:t>Findings</w:t>
      </w:r>
    </w:p>
    <w:p w14:paraId="13D86920" w14:textId="77777777" w:rsidR="0080588A" w:rsidRPr="0080588A" w:rsidRDefault="00731237" w:rsidP="00585B6B">
      <w:pPr>
        <w:pStyle w:val="Calloutbox"/>
        <w:rPr>
          <w:color w:val="276C6C" w:themeColor="accent4" w:themeShade="80"/>
          <w:sz w:val="28"/>
        </w:rPr>
      </w:pPr>
      <w:r w:rsidRPr="0080588A">
        <w:rPr>
          <w:color w:val="276C6C" w:themeColor="accent4" w:themeShade="80"/>
          <w:sz w:val="28"/>
        </w:rPr>
        <w:t>Finding 1:</w:t>
      </w:r>
    </w:p>
    <w:p w14:paraId="56F8C872" w14:textId="607C1903" w:rsidR="00483F7B" w:rsidRPr="009740B6" w:rsidRDefault="00731237" w:rsidP="00585B6B">
      <w:pPr>
        <w:pStyle w:val="Calloutbox"/>
        <w:rPr>
          <w:color w:val="000000" w:themeColor="text1"/>
          <w:sz w:val="28"/>
        </w:rPr>
      </w:pPr>
      <w:r w:rsidRPr="009740B6">
        <w:rPr>
          <w:b w:val="0"/>
          <w:bCs/>
          <w:color w:val="000000" w:themeColor="text1"/>
          <w:sz w:val="28"/>
        </w:rPr>
        <w:t>IP</w:t>
      </w:r>
      <w:r w:rsidR="005443F8" w:rsidRPr="009740B6">
        <w:rPr>
          <w:b w:val="0"/>
          <w:bCs/>
          <w:color w:val="000000" w:themeColor="text1"/>
          <w:sz w:val="28"/>
        </w:rPr>
        <w:t xml:space="preserve"> </w:t>
      </w:r>
      <w:r w:rsidRPr="009740B6">
        <w:rPr>
          <w:b w:val="0"/>
          <w:bCs/>
          <w:color w:val="000000" w:themeColor="text1"/>
          <w:sz w:val="28"/>
        </w:rPr>
        <w:t>A</w:t>
      </w:r>
      <w:r w:rsidR="005443F8" w:rsidRPr="009740B6">
        <w:rPr>
          <w:b w:val="0"/>
          <w:bCs/>
          <w:color w:val="000000" w:themeColor="text1"/>
          <w:sz w:val="28"/>
        </w:rPr>
        <w:t>ustralia</w:t>
      </w:r>
      <w:r w:rsidRPr="009740B6">
        <w:rPr>
          <w:b w:val="0"/>
          <w:bCs/>
          <w:color w:val="000000" w:themeColor="text1"/>
          <w:sz w:val="28"/>
        </w:rPr>
        <w:t xml:space="preserve"> costs </w:t>
      </w:r>
      <w:r w:rsidR="00DE65F6" w:rsidRPr="009740B6">
        <w:rPr>
          <w:b w:val="0"/>
          <w:bCs/>
          <w:color w:val="000000" w:themeColor="text1"/>
          <w:sz w:val="28"/>
        </w:rPr>
        <w:t>are not</w:t>
      </w:r>
      <w:r w:rsidRPr="009740B6">
        <w:rPr>
          <w:b w:val="0"/>
          <w:bCs/>
          <w:color w:val="000000" w:themeColor="text1"/>
          <w:sz w:val="28"/>
        </w:rPr>
        <w:t xml:space="preserve"> a significant obstacle to </w:t>
      </w:r>
      <w:r w:rsidR="0054539A" w:rsidRPr="009740B6">
        <w:rPr>
          <w:b w:val="0"/>
          <w:bCs/>
          <w:color w:val="000000" w:themeColor="text1"/>
          <w:sz w:val="28"/>
        </w:rPr>
        <w:t>small to medium enterprise</w:t>
      </w:r>
      <w:r w:rsidRPr="009740B6">
        <w:rPr>
          <w:b w:val="0"/>
          <w:bCs/>
          <w:color w:val="000000" w:themeColor="text1"/>
          <w:sz w:val="28"/>
        </w:rPr>
        <w:t>s. Professional fees are in many cases unexpectedly high.</w:t>
      </w:r>
      <w:r w:rsidRPr="009740B6">
        <w:rPr>
          <w:color w:val="000000" w:themeColor="text1"/>
          <w:sz w:val="28"/>
        </w:rPr>
        <w:t xml:space="preserve"> </w:t>
      </w:r>
    </w:p>
    <w:p w14:paraId="51005D99" w14:textId="77777777" w:rsidR="00750B4A" w:rsidRPr="00D4757B" w:rsidRDefault="00750B4A" w:rsidP="00585B6B">
      <w:pPr>
        <w:pStyle w:val="Calloutbox"/>
        <w:rPr>
          <w:sz w:val="28"/>
        </w:rPr>
      </w:pPr>
    </w:p>
    <w:p w14:paraId="61B128CA" w14:textId="77777777" w:rsidR="0080588A" w:rsidRPr="0080588A" w:rsidRDefault="00731237" w:rsidP="00585B6B">
      <w:pPr>
        <w:pStyle w:val="Calloutbox"/>
        <w:rPr>
          <w:color w:val="276C6C" w:themeColor="accent4" w:themeShade="80"/>
          <w:sz w:val="28"/>
        </w:rPr>
      </w:pPr>
      <w:r w:rsidRPr="0080588A">
        <w:rPr>
          <w:color w:val="276C6C" w:themeColor="accent4" w:themeShade="80"/>
          <w:sz w:val="28"/>
        </w:rPr>
        <w:t>Finding 2:</w:t>
      </w:r>
    </w:p>
    <w:p w14:paraId="70AB88E3" w14:textId="368A091B" w:rsidR="00562B3A" w:rsidRDefault="00731237" w:rsidP="00585B6B">
      <w:pPr>
        <w:pStyle w:val="Calloutbox"/>
        <w:rPr>
          <w:color w:val="276C6C" w:themeColor="accent4" w:themeShade="80"/>
          <w:sz w:val="28"/>
        </w:rPr>
      </w:pPr>
      <w:r w:rsidRPr="009740B6">
        <w:rPr>
          <w:b w:val="0"/>
          <w:bCs/>
          <w:color w:val="000000" w:themeColor="text1"/>
          <w:sz w:val="28"/>
        </w:rPr>
        <w:t xml:space="preserve">The </w:t>
      </w:r>
      <w:r w:rsidR="00EB0FCC">
        <w:rPr>
          <w:b w:val="0"/>
          <w:bCs/>
          <w:color w:val="000000" w:themeColor="text1"/>
          <w:sz w:val="28"/>
        </w:rPr>
        <w:t>Australian</w:t>
      </w:r>
      <w:r w:rsidRPr="009740B6">
        <w:rPr>
          <w:b w:val="0"/>
          <w:bCs/>
          <w:color w:val="000000" w:themeColor="text1"/>
          <w:sz w:val="28"/>
        </w:rPr>
        <w:t xml:space="preserve"> Government’s support for patenting and associated costs is adequate.</w:t>
      </w:r>
      <w:r w:rsidR="00562B3A">
        <w:rPr>
          <w:color w:val="276C6C" w:themeColor="accent4" w:themeShade="80"/>
          <w:sz w:val="28"/>
        </w:rPr>
        <w:br/>
      </w:r>
    </w:p>
    <w:p w14:paraId="1F405785" w14:textId="77777777" w:rsidR="0080588A" w:rsidRPr="0080588A" w:rsidRDefault="000F6168" w:rsidP="00585B6B">
      <w:pPr>
        <w:pStyle w:val="Calloutbox"/>
        <w:rPr>
          <w:color w:val="276C6C" w:themeColor="accent4" w:themeShade="80"/>
          <w:sz w:val="28"/>
        </w:rPr>
      </w:pPr>
      <w:r w:rsidRPr="0080588A">
        <w:rPr>
          <w:color w:val="276C6C" w:themeColor="accent4" w:themeShade="80"/>
          <w:sz w:val="28"/>
        </w:rPr>
        <w:t>Finding 3:</w:t>
      </w:r>
    </w:p>
    <w:p w14:paraId="1CCD5F73" w14:textId="36FCE740" w:rsidR="00A217EB" w:rsidRPr="009740B6" w:rsidRDefault="000F6168" w:rsidP="0080588A">
      <w:pPr>
        <w:pStyle w:val="Calloutbox"/>
        <w:spacing w:after="480"/>
        <w:rPr>
          <w:color w:val="000000" w:themeColor="text1"/>
          <w:sz w:val="28"/>
        </w:rPr>
      </w:pPr>
      <w:r w:rsidRPr="009740B6">
        <w:rPr>
          <w:b w:val="0"/>
          <w:bCs/>
          <w:color w:val="000000" w:themeColor="text1"/>
          <w:sz w:val="28"/>
        </w:rPr>
        <w:t>The implementation of the legal and alternative dispute resolution steps advocated in this review may well lead to litigation insurance becoming a viable option.</w:t>
      </w:r>
    </w:p>
    <w:p w14:paraId="756455B3" w14:textId="36EA0CE9" w:rsidR="00731237" w:rsidRPr="000C7136" w:rsidRDefault="00A0212B" w:rsidP="0080588A">
      <w:pPr>
        <w:pStyle w:val="Heading3"/>
        <w:spacing w:before="120"/>
      </w:pPr>
      <w:r w:rsidRPr="000C7136">
        <w:t>Recommendations</w:t>
      </w:r>
    </w:p>
    <w:p w14:paraId="481427ED" w14:textId="77777777" w:rsidR="0080588A" w:rsidRPr="0080588A" w:rsidRDefault="00DE65F6" w:rsidP="00585B6B">
      <w:pPr>
        <w:pStyle w:val="Calloutbox"/>
        <w:rPr>
          <w:color w:val="276C6C" w:themeColor="accent4" w:themeShade="80"/>
          <w:sz w:val="28"/>
        </w:rPr>
      </w:pPr>
      <w:r w:rsidRPr="0080588A">
        <w:rPr>
          <w:color w:val="276C6C" w:themeColor="accent4" w:themeShade="80"/>
          <w:sz w:val="28"/>
        </w:rPr>
        <w:t>Recommendation 1:</w:t>
      </w:r>
    </w:p>
    <w:p w14:paraId="76DC0C3D" w14:textId="4ADC2381" w:rsidR="00C97B90" w:rsidRPr="009740B6" w:rsidRDefault="00DE65F6" w:rsidP="00585B6B">
      <w:pPr>
        <w:pStyle w:val="Calloutbox"/>
        <w:rPr>
          <w:color w:val="000000" w:themeColor="text1"/>
          <w:sz w:val="28"/>
        </w:rPr>
      </w:pPr>
      <w:r w:rsidRPr="009740B6">
        <w:rPr>
          <w:b w:val="0"/>
          <w:bCs/>
          <w:color w:val="000000" w:themeColor="text1"/>
          <w:sz w:val="28"/>
        </w:rPr>
        <w:t xml:space="preserve">Focussing particularly on the export of </w:t>
      </w:r>
      <w:r w:rsidR="000C0EE0" w:rsidRPr="009740B6">
        <w:rPr>
          <w:b w:val="0"/>
          <w:bCs/>
          <w:color w:val="000000" w:themeColor="text1"/>
          <w:sz w:val="28"/>
        </w:rPr>
        <w:t>intellectual property (</w:t>
      </w:r>
      <w:r w:rsidRPr="009740B6">
        <w:rPr>
          <w:b w:val="0"/>
          <w:bCs/>
          <w:color w:val="000000" w:themeColor="text1"/>
          <w:sz w:val="28"/>
        </w:rPr>
        <w:t>IP</w:t>
      </w:r>
      <w:r w:rsidR="000C0EE0" w:rsidRPr="009740B6">
        <w:rPr>
          <w:b w:val="0"/>
          <w:bCs/>
          <w:color w:val="000000" w:themeColor="text1"/>
          <w:sz w:val="28"/>
        </w:rPr>
        <w:t>)</w:t>
      </w:r>
      <w:r w:rsidR="00C13620">
        <w:rPr>
          <w:b w:val="0"/>
          <w:bCs/>
          <w:color w:val="000000" w:themeColor="text1"/>
          <w:sz w:val="28"/>
        </w:rPr>
        <w:t xml:space="preserve"> in the form of patents</w:t>
      </w:r>
      <w:r w:rsidRPr="009740B6">
        <w:rPr>
          <w:b w:val="0"/>
          <w:bCs/>
          <w:color w:val="000000" w:themeColor="text1"/>
          <w:sz w:val="28"/>
        </w:rPr>
        <w:t xml:space="preserve">, that the Australian Government seek to collect and monitor data on </w:t>
      </w:r>
      <w:r w:rsidR="0054539A" w:rsidRPr="009740B6">
        <w:rPr>
          <w:b w:val="0"/>
          <w:bCs/>
          <w:color w:val="000000" w:themeColor="text1"/>
          <w:sz w:val="28"/>
        </w:rPr>
        <w:t>small to medium enterprise (</w:t>
      </w:r>
      <w:r w:rsidRPr="009740B6">
        <w:rPr>
          <w:b w:val="0"/>
          <w:bCs/>
          <w:color w:val="000000" w:themeColor="text1"/>
          <w:sz w:val="28"/>
        </w:rPr>
        <w:t>SME</w:t>
      </w:r>
      <w:r w:rsidR="0054539A" w:rsidRPr="009740B6">
        <w:rPr>
          <w:b w:val="0"/>
          <w:bCs/>
          <w:color w:val="000000" w:themeColor="text1"/>
          <w:sz w:val="28"/>
        </w:rPr>
        <w:t>)</w:t>
      </w:r>
      <w:r w:rsidRPr="009740B6">
        <w:rPr>
          <w:b w:val="0"/>
          <w:bCs/>
          <w:color w:val="000000" w:themeColor="text1"/>
          <w:sz w:val="28"/>
        </w:rPr>
        <w:t xml:space="preserve"> use of the international IP system, and on the resulting revenue, comparing it with international SME use of the Australian IP system and its revenue.</w:t>
      </w:r>
    </w:p>
    <w:p w14:paraId="0A283372" w14:textId="77777777" w:rsidR="00731237" w:rsidRPr="00D4757B" w:rsidRDefault="00731237" w:rsidP="00585B6B">
      <w:pPr>
        <w:pStyle w:val="Calloutbox"/>
        <w:rPr>
          <w:b w:val="0"/>
          <w:sz w:val="28"/>
        </w:rPr>
      </w:pPr>
    </w:p>
    <w:p w14:paraId="3EA44399" w14:textId="77777777" w:rsidR="0080588A" w:rsidRDefault="00B43A82" w:rsidP="00585B6B">
      <w:pPr>
        <w:pStyle w:val="Calloutbox"/>
        <w:rPr>
          <w:sz w:val="28"/>
        </w:rPr>
      </w:pPr>
      <w:r w:rsidRPr="00D4757B">
        <w:rPr>
          <w:sz w:val="28"/>
        </w:rPr>
        <w:t>Recommendation 2:</w:t>
      </w:r>
    </w:p>
    <w:p w14:paraId="380347D5" w14:textId="3CFFDBE9" w:rsidR="00DE65F6" w:rsidRPr="009740B6" w:rsidRDefault="00DE65F6" w:rsidP="00585B6B">
      <w:pPr>
        <w:pStyle w:val="Calloutbox"/>
        <w:rPr>
          <w:color w:val="000000" w:themeColor="text1"/>
          <w:sz w:val="28"/>
        </w:rPr>
      </w:pPr>
      <w:r w:rsidRPr="009740B6">
        <w:rPr>
          <w:b w:val="0"/>
          <w:bCs/>
          <w:color w:val="000000" w:themeColor="text1"/>
          <w:sz w:val="28"/>
        </w:rPr>
        <w:t xml:space="preserve">That processing times for the standard patent be continually monitored, and </w:t>
      </w:r>
      <w:r w:rsidR="005A06A2" w:rsidRPr="009740B6">
        <w:rPr>
          <w:b w:val="0"/>
          <w:bCs/>
          <w:color w:val="000000" w:themeColor="text1"/>
          <w:sz w:val="28"/>
        </w:rPr>
        <w:t xml:space="preserve">that </w:t>
      </w:r>
      <w:r w:rsidRPr="009740B6">
        <w:rPr>
          <w:b w:val="0"/>
          <w:bCs/>
          <w:color w:val="000000" w:themeColor="text1"/>
          <w:sz w:val="28"/>
        </w:rPr>
        <w:t>the expedited examination be maintained as a priority.</w:t>
      </w:r>
    </w:p>
    <w:p w14:paraId="748FDF04" w14:textId="77777777" w:rsidR="00C97B90" w:rsidRPr="00D4757B" w:rsidRDefault="00C97B90" w:rsidP="00585B6B">
      <w:pPr>
        <w:pStyle w:val="Calloutbox"/>
        <w:rPr>
          <w:b w:val="0"/>
          <w:sz w:val="28"/>
        </w:rPr>
      </w:pPr>
    </w:p>
    <w:p w14:paraId="549D5209" w14:textId="77777777" w:rsidR="0080588A" w:rsidRDefault="00DE65F6" w:rsidP="00585B6B">
      <w:pPr>
        <w:pStyle w:val="Calloutbox"/>
        <w:rPr>
          <w:sz w:val="28"/>
        </w:rPr>
      </w:pPr>
      <w:r w:rsidRPr="00D4757B">
        <w:rPr>
          <w:sz w:val="28"/>
        </w:rPr>
        <w:t>Recommendation 3:</w:t>
      </w:r>
    </w:p>
    <w:p w14:paraId="78CF81CE" w14:textId="7D0F82D1" w:rsidR="009740B6" w:rsidRDefault="00DE65F6" w:rsidP="009740B6">
      <w:pPr>
        <w:pStyle w:val="Calloutbox"/>
        <w:rPr>
          <w:b w:val="0"/>
          <w:color w:val="000000" w:themeColor="text1"/>
          <w:sz w:val="28"/>
          <w:szCs w:val="28"/>
        </w:rPr>
      </w:pPr>
      <w:r w:rsidRPr="29F57EED">
        <w:rPr>
          <w:b w:val="0"/>
          <w:color w:val="000000" w:themeColor="text1"/>
          <w:sz w:val="28"/>
          <w:szCs w:val="28"/>
        </w:rPr>
        <w:t xml:space="preserve">That </w:t>
      </w:r>
      <w:r w:rsidR="44357F20" w:rsidRPr="29F57EED">
        <w:rPr>
          <w:b w:val="0"/>
          <w:color w:val="000000" w:themeColor="text1"/>
          <w:sz w:val="28"/>
          <w:szCs w:val="28"/>
        </w:rPr>
        <w:t>the Department</w:t>
      </w:r>
      <w:r w:rsidR="00ED725D">
        <w:rPr>
          <w:b w:val="0"/>
          <w:color w:val="000000" w:themeColor="text1"/>
          <w:sz w:val="28"/>
          <w:szCs w:val="28"/>
        </w:rPr>
        <w:t xml:space="preserve"> of Industry, Science, Energy and Resources</w:t>
      </w:r>
      <w:r w:rsidR="44357F20" w:rsidRPr="29F57EED">
        <w:rPr>
          <w:b w:val="0"/>
          <w:color w:val="000000" w:themeColor="text1"/>
          <w:sz w:val="28"/>
          <w:szCs w:val="28"/>
        </w:rPr>
        <w:t xml:space="preserve"> </w:t>
      </w:r>
      <w:r w:rsidR="001E2372">
        <w:rPr>
          <w:b w:val="0"/>
          <w:color w:val="000000" w:themeColor="text1"/>
          <w:sz w:val="28"/>
          <w:szCs w:val="28"/>
        </w:rPr>
        <w:t>partners with</w:t>
      </w:r>
      <w:r w:rsidR="44357F20" w:rsidRPr="29F57EED">
        <w:rPr>
          <w:b w:val="0"/>
          <w:color w:val="000000" w:themeColor="text1"/>
          <w:sz w:val="28"/>
          <w:szCs w:val="28"/>
        </w:rPr>
        <w:t xml:space="preserve"> </w:t>
      </w:r>
      <w:r w:rsidRPr="29F57EED">
        <w:rPr>
          <w:b w:val="0"/>
          <w:color w:val="000000" w:themeColor="text1"/>
          <w:sz w:val="28"/>
          <w:szCs w:val="28"/>
        </w:rPr>
        <w:t xml:space="preserve">IP Australia in developing an integrated online training program which houses training in </w:t>
      </w:r>
      <w:r w:rsidR="000C0EE0" w:rsidRPr="29F57EED">
        <w:rPr>
          <w:b w:val="0"/>
          <w:color w:val="000000" w:themeColor="text1"/>
          <w:sz w:val="28"/>
          <w:szCs w:val="28"/>
        </w:rPr>
        <w:t>intellectual property</w:t>
      </w:r>
      <w:r w:rsidRPr="29F57EED">
        <w:rPr>
          <w:b w:val="0"/>
          <w:color w:val="000000" w:themeColor="text1"/>
          <w:sz w:val="28"/>
          <w:szCs w:val="28"/>
        </w:rPr>
        <w:t xml:space="preserve"> management within an overall business strategy training course.</w:t>
      </w:r>
      <w:r w:rsidR="009740B6" w:rsidRPr="29F57EED">
        <w:rPr>
          <w:b w:val="0"/>
          <w:color w:val="000000" w:themeColor="text1"/>
          <w:sz w:val="28"/>
          <w:szCs w:val="28"/>
        </w:rPr>
        <w:br w:type="page"/>
      </w:r>
    </w:p>
    <w:p w14:paraId="0FF0CE9D" w14:textId="4BB3C627" w:rsidR="0080588A" w:rsidRPr="009740B6" w:rsidRDefault="00C97B90" w:rsidP="009740B6">
      <w:pPr>
        <w:pStyle w:val="Calloutbox"/>
        <w:rPr>
          <w:sz w:val="28"/>
        </w:rPr>
      </w:pPr>
      <w:r w:rsidRPr="009740B6">
        <w:rPr>
          <w:sz w:val="28"/>
        </w:rPr>
        <w:lastRenderedPageBreak/>
        <w:t>Recommendation 4:</w:t>
      </w:r>
    </w:p>
    <w:p w14:paraId="02448547" w14:textId="0C6F4CE0" w:rsidR="00C97B90" w:rsidRPr="009740B6" w:rsidRDefault="00C97B90" w:rsidP="009740B6">
      <w:pPr>
        <w:pStyle w:val="Calloutbox"/>
        <w:rPr>
          <w:b w:val="0"/>
          <w:bCs/>
          <w:color w:val="000000" w:themeColor="text1"/>
          <w:sz w:val="28"/>
        </w:rPr>
      </w:pPr>
      <w:r w:rsidRPr="009740B6">
        <w:rPr>
          <w:b w:val="0"/>
          <w:bCs/>
          <w:color w:val="000000" w:themeColor="text1"/>
          <w:sz w:val="28"/>
        </w:rPr>
        <w:t>That a list be developed of all technology</w:t>
      </w:r>
      <w:r w:rsidR="005A06A2" w:rsidRPr="009740B6">
        <w:rPr>
          <w:b w:val="0"/>
          <w:bCs/>
          <w:color w:val="000000" w:themeColor="text1"/>
          <w:sz w:val="28"/>
        </w:rPr>
        <w:t>-</w:t>
      </w:r>
      <w:r w:rsidRPr="009740B6">
        <w:rPr>
          <w:b w:val="0"/>
          <w:bCs/>
          <w:color w:val="000000" w:themeColor="text1"/>
          <w:sz w:val="28"/>
        </w:rPr>
        <w:t xml:space="preserve">centred </w:t>
      </w:r>
      <w:r w:rsidR="0054539A" w:rsidRPr="009740B6">
        <w:rPr>
          <w:b w:val="0"/>
          <w:bCs/>
          <w:color w:val="000000" w:themeColor="text1"/>
          <w:sz w:val="28"/>
        </w:rPr>
        <w:t>small to medium enterprises</w:t>
      </w:r>
      <w:r w:rsidRPr="009740B6">
        <w:rPr>
          <w:b w:val="0"/>
          <w:bCs/>
          <w:color w:val="000000" w:themeColor="text1"/>
          <w:sz w:val="28"/>
        </w:rPr>
        <w:t xml:space="preserve">, including particularly new entrants, with a view to offering such an integrated </w:t>
      </w:r>
      <w:r w:rsidR="000C0EE0" w:rsidRPr="009740B6">
        <w:rPr>
          <w:b w:val="0"/>
          <w:bCs/>
          <w:color w:val="000000" w:themeColor="text1"/>
          <w:sz w:val="28"/>
        </w:rPr>
        <w:t>intellectual property</w:t>
      </w:r>
      <w:r w:rsidRPr="009740B6">
        <w:rPr>
          <w:b w:val="0"/>
          <w:bCs/>
          <w:color w:val="000000" w:themeColor="text1"/>
          <w:sz w:val="28"/>
        </w:rPr>
        <w:t xml:space="preserve"> management/commercial strategy training course as an induction. R</w:t>
      </w:r>
      <w:r w:rsidR="00230C16" w:rsidRPr="009740B6">
        <w:rPr>
          <w:b w:val="0"/>
          <w:bCs/>
          <w:color w:val="000000" w:themeColor="text1"/>
          <w:sz w:val="28"/>
        </w:rPr>
        <w:t xml:space="preserve">esearch and </w:t>
      </w:r>
      <w:r w:rsidRPr="009740B6">
        <w:rPr>
          <w:b w:val="0"/>
          <w:bCs/>
          <w:color w:val="000000" w:themeColor="text1"/>
          <w:sz w:val="28"/>
        </w:rPr>
        <w:t>D</w:t>
      </w:r>
      <w:r w:rsidR="00230C16" w:rsidRPr="009740B6">
        <w:rPr>
          <w:b w:val="0"/>
          <w:bCs/>
          <w:color w:val="000000" w:themeColor="text1"/>
          <w:sz w:val="28"/>
        </w:rPr>
        <w:t xml:space="preserve">evelopment </w:t>
      </w:r>
      <w:r w:rsidRPr="009740B6">
        <w:rPr>
          <w:b w:val="0"/>
          <w:bCs/>
          <w:color w:val="000000" w:themeColor="text1"/>
          <w:sz w:val="28"/>
        </w:rPr>
        <w:t>T</w:t>
      </w:r>
      <w:r w:rsidR="00230C16" w:rsidRPr="009740B6">
        <w:rPr>
          <w:b w:val="0"/>
          <w:bCs/>
          <w:color w:val="000000" w:themeColor="text1"/>
          <w:sz w:val="28"/>
        </w:rPr>
        <w:t>ax Incentive</w:t>
      </w:r>
      <w:r w:rsidRPr="009740B6">
        <w:rPr>
          <w:b w:val="0"/>
          <w:bCs/>
          <w:color w:val="000000" w:themeColor="text1"/>
          <w:sz w:val="28"/>
        </w:rPr>
        <w:t xml:space="preserve"> registrations should provide a good starting point.</w:t>
      </w:r>
    </w:p>
    <w:p w14:paraId="19B9ABDE" w14:textId="77777777" w:rsidR="00C97B90" w:rsidRPr="00675B21" w:rsidRDefault="00C97B90" w:rsidP="009740B6">
      <w:pPr>
        <w:pStyle w:val="Calloutbox"/>
        <w:rPr>
          <w:bCs/>
          <w:szCs w:val="28"/>
        </w:rPr>
      </w:pPr>
    </w:p>
    <w:p w14:paraId="733B636F" w14:textId="77777777" w:rsidR="0080588A" w:rsidRPr="009740B6" w:rsidRDefault="00C97B90" w:rsidP="009740B6">
      <w:pPr>
        <w:pStyle w:val="Calloutbox"/>
        <w:rPr>
          <w:sz w:val="28"/>
        </w:rPr>
      </w:pPr>
      <w:r w:rsidRPr="009740B6">
        <w:rPr>
          <w:sz w:val="28"/>
        </w:rPr>
        <w:t>Recommendation 5:</w:t>
      </w:r>
    </w:p>
    <w:p w14:paraId="3823DD32" w14:textId="61EF732F" w:rsidR="00562B3A" w:rsidRPr="009740B6" w:rsidRDefault="00C97B90" w:rsidP="009740B6">
      <w:pPr>
        <w:pStyle w:val="Calloutbox"/>
        <w:rPr>
          <w:b w:val="0"/>
          <w:bCs/>
          <w:color w:val="000000" w:themeColor="text1"/>
          <w:sz w:val="28"/>
        </w:rPr>
      </w:pPr>
      <w:r w:rsidRPr="009740B6">
        <w:rPr>
          <w:b w:val="0"/>
          <w:bCs/>
          <w:color w:val="000000" w:themeColor="text1"/>
          <w:sz w:val="28"/>
        </w:rPr>
        <w:t>That in developing such a list, there should be a twice</w:t>
      </w:r>
      <w:r w:rsidR="009653AD" w:rsidRPr="009740B6">
        <w:rPr>
          <w:b w:val="0"/>
          <w:bCs/>
          <w:color w:val="000000" w:themeColor="text1"/>
          <w:sz w:val="28"/>
        </w:rPr>
        <w:t>-</w:t>
      </w:r>
      <w:r w:rsidRPr="009740B6">
        <w:rPr>
          <w:b w:val="0"/>
          <w:bCs/>
          <w:color w:val="000000" w:themeColor="text1"/>
          <w:sz w:val="28"/>
        </w:rPr>
        <w:t xml:space="preserve">yearly review of new businesses </w:t>
      </w:r>
      <w:r w:rsidR="00843C92" w:rsidRPr="009740B6">
        <w:rPr>
          <w:b w:val="0"/>
          <w:bCs/>
          <w:color w:val="000000" w:themeColor="text1"/>
          <w:sz w:val="28"/>
        </w:rPr>
        <w:t>created</w:t>
      </w:r>
      <w:r w:rsidRPr="009740B6">
        <w:rPr>
          <w:b w:val="0"/>
          <w:bCs/>
          <w:color w:val="000000" w:themeColor="text1"/>
          <w:sz w:val="28"/>
        </w:rPr>
        <w:t xml:space="preserve">, with a view to offering a program </w:t>
      </w:r>
      <w:r w:rsidR="00E4473A" w:rsidRPr="009740B6">
        <w:rPr>
          <w:b w:val="0"/>
          <w:bCs/>
          <w:color w:val="000000" w:themeColor="text1"/>
          <w:sz w:val="28"/>
        </w:rPr>
        <w:t>(</w:t>
      </w:r>
      <w:r w:rsidRPr="009740B6">
        <w:rPr>
          <w:b w:val="0"/>
          <w:bCs/>
          <w:color w:val="000000" w:themeColor="text1"/>
          <w:sz w:val="28"/>
        </w:rPr>
        <w:t>such as the above</w:t>
      </w:r>
      <w:r w:rsidR="00E4473A" w:rsidRPr="009740B6">
        <w:rPr>
          <w:b w:val="0"/>
          <w:bCs/>
          <w:color w:val="000000" w:themeColor="text1"/>
          <w:sz w:val="28"/>
        </w:rPr>
        <w:t>)</w:t>
      </w:r>
      <w:r w:rsidRPr="009740B6">
        <w:rPr>
          <w:b w:val="0"/>
          <w:bCs/>
          <w:color w:val="000000" w:themeColor="text1"/>
          <w:sz w:val="28"/>
        </w:rPr>
        <w:t xml:space="preserve"> as an induction for new technology</w:t>
      </w:r>
      <w:r w:rsidR="008851B2" w:rsidRPr="009740B6">
        <w:rPr>
          <w:b w:val="0"/>
          <w:bCs/>
          <w:color w:val="000000" w:themeColor="text1"/>
          <w:sz w:val="28"/>
        </w:rPr>
        <w:t>-</w:t>
      </w:r>
      <w:r w:rsidRPr="009740B6">
        <w:rPr>
          <w:b w:val="0"/>
          <w:bCs/>
          <w:color w:val="000000" w:themeColor="text1"/>
          <w:sz w:val="28"/>
        </w:rPr>
        <w:t>centred companies, and in order to alert them to IP</w:t>
      </w:r>
      <w:r w:rsidR="0054539A" w:rsidRPr="009740B6">
        <w:rPr>
          <w:b w:val="0"/>
          <w:bCs/>
          <w:color w:val="000000" w:themeColor="text1"/>
          <w:sz w:val="28"/>
        </w:rPr>
        <w:t xml:space="preserve"> </w:t>
      </w:r>
      <w:r w:rsidRPr="009740B6">
        <w:rPr>
          <w:b w:val="0"/>
          <w:bCs/>
          <w:color w:val="000000" w:themeColor="text1"/>
          <w:sz w:val="28"/>
        </w:rPr>
        <w:t>A</w:t>
      </w:r>
      <w:r w:rsidR="0054539A" w:rsidRPr="009740B6">
        <w:rPr>
          <w:b w:val="0"/>
          <w:bCs/>
          <w:color w:val="000000" w:themeColor="text1"/>
          <w:sz w:val="28"/>
        </w:rPr>
        <w:t>ustralia</w:t>
      </w:r>
      <w:r w:rsidRPr="009740B6">
        <w:rPr>
          <w:b w:val="0"/>
          <w:bCs/>
          <w:color w:val="000000" w:themeColor="text1"/>
          <w:sz w:val="28"/>
        </w:rPr>
        <w:t xml:space="preserve"> guidance tools. New businesses should be contacted early.</w:t>
      </w:r>
      <w:r w:rsidR="00562B3A">
        <w:rPr>
          <w:b w:val="0"/>
          <w:bCs/>
          <w:color w:val="000000" w:themeColor="text1"/>
          <w:sz w:val="28"/>
        </w:rPr>
        <w:br/>
      </w:r>
    </w:p>
    <w:p w14:paraId="66C38933" w14:textId="7FDB78AF" w:rsidR="0080588A" w:rsidRPr="009740B6" w:rsidRDefault="00750B4A" w:rsidP="009740B6">
      <w:pPr>
        <w:pStyle w:val="Calloutbox"/>
        <w:rPr>
          <w:sz w:val="28"/>
        </w:rPr>
      </w:pPr>
      <w:r w:rsidRPr="009740B6">
        <w:rPr>
          <w:sz w:val="28"/>
        </w:rPr>
        <w:t>Recommendation 6:</w:t>
      </w:r>
    </w:p>
    <w:p w14:paraId="064789DF" w14:textId="26E6B883" w:rsidR="00750B4A" w:rsidRPr="009740B6" w:rsidRDefault="005A06A2" w:rsidP="009740B6">
      <w:pPr>
        <w:pStyle w:val="Calloutbox"/>
        <w:rPr>
          <w:b w:val="0"/>
          <w:bCs/>
          <w:color w:val="000000" w:themeColor="text1"/>
          <w:sz w:val="28"/>
        </w:rPr>
      </w:pPr>
      <w:r w:rsidRPr="009740B6">
        <w:rPr>
          <w:b w:val="0"/>
          <w:bCs/>
          <w:color w:val="000000" w:themeColor="text1"/>
          <w:sz w:val="28"/>
        </w:rPr>
        <w:t xml:space="preserve">That </w:t>
      </w:r>
      <w:r w:rsidR="00750B4A" w:rsidRPr="009740B6">
        <w:rPr>
          <w:b w:val="0"/>
          <w:bCs/>
          <w:color w:val="000000" w:themeColor="text1"/>
          <w:sz w:val="28"/>
        </w:rPr>
        <w:t xml:space="preserve">IP Australia and AusIndustry work together to reach groups and bodies associated with SMEs. AusIndustry should also explore opportunities to raise the profile of </w:t>
      </w:r>
      <w:r w:rsidR="000C0EE0" w:rsidRPr="009740B6">
        <w:rPr>
          <w:b w:val="0"/>
          <w:bCs/>
          <w:color w:val="000000" w:themeColor="text1"/>
          <w:sz w:val="28"/>
        </w:rPr>
        <w:t>intellectual property</w:t>
      </w:r>
      <w:r w:rsidR="00750B4A" w:rsidRPr="009740B6">
        <w:rPr>
          <w:b w:val="0"/>
          <w:bCs/>
          <w:color w:val="000000" w:themeColor="text1"/>
          <w:sz w:val="28"/>
        </w:rPr>
        <w:t xml:space="preserve"> with </w:t>
      </w:r>
      <w:r w:rsidR="000C0EE0" w:rsidRPr="009740B6">
        <w:rPr>
          <w:b w:val="0"/>
          <w:bCs/>
          <w:color w:val="000000" w:themeColor="text1"/>
          <w:sz w:val="28"/>
        </w:rPr>
        <w:t>small to medium enterprises</w:t>
      </w:r>
      <w:r w:rsidR="00750B4A" w:rsidRPr="009740B6">
        <w:rPr>
          <w:b w:val="0"/>
          <w:bCs/>
          <w:color w:val="000000" w:themeColor="text1"/>
          <w:sz w:val="28"/>
        </w:rPr>
        <w:t xml:space="preserve">, particularly </w:t>
      </w:r>
      <w:r w:rsidRPr="009740B6">
        <w:rPr>
          <w:b w:val="0"/>
          <w:bCs/>
          <w:color w:val="000000" w:themeColor="text1"/>
          <w:sz w:val="28"/>
        </w:rPr>
        <w:t xml:space="preserve">those developing </w:t>
      </w:r>
      <w:r w:rsidR="00750B4A" w:rsidRPr="009740B6">
        <w:rPr>
          <w:b w:val="0"/>
          <w:bCs/>
          <w:color w:val="000000" w:themeColor="text1"/>
          <w:sz w:val="28"/>
        </w:rPr>
        <w:t>within incubators.</w:t>
      </w:r>
    </w:p>
    <w:p w14:paraId="51AD9262" w14:textId="77777777" w:rsidR="00E87452" w:rsidRPr="00D4757B" w:rsidRDefault="00E87452" w:rsidP="009740B6">
      <w:pPr>
        <w:pStyle w:val="Calloutbox"/>
        <w:rPr>
          <w:bCs/>
          <w:szCs w:val="28"/>
        </w:rPr>
      </w:pPr>
    </w:p>
    <w:p w14:paraId="001AD326" w14:textId="77777777" w:rsidR="0080588A" w:rsidRPr="009740B6" w:rsidRDefault="00750B4A" w:rsidP="009740B6">
      <w:pPr>
        <w:pStyle w:val="Calloutbox"/>
        <w:rPr>
          <w:sz w:val="28"/>
        </w:rPr>
      </w:pPr>
      <w:r w:rsidRPr="009740B6">
        <w:rPr>
          <w:sz w:val="28"/>
        </w:rPr>
        <w:t>Recommendation 7:</w:t>
      </w:r>
    </w:p>
    <w:p w14:paraId="58B73576" w14:textId="0D80721B" w:rsidR="00712B3F" w:rsidRDefault="007314F9" w:rsidP="009740B6">
      <w:pPr>
        <w:pStyle w:val="Calloutbox"/>
        <w:rPr>
          <w:b w:val="0"/>
          <w:bCs/>
          <w:color w:val="000000" w:themeColor="text1"/>
          <w:sz w:val="28"/>
        </w:rPr>
      </w:pPr>
      <w:r w:rsidRPr="009740B6">
        <w:rPr>
          <w:b w:val="0"/>
          <w:bCs/>
          <w:color w:val="000000" w:themeColor="text1"/>
          <w:sz w:val="28"/>
        </w:rPr>
        <w:t xml:space="preserve">That </w:t>
      </w:r>
      <w:r w:rsidR="000F6168" w:rsidRPr="009740B6">
        <w:rPr>
          <w:b w:val="0"/>
          <w:bCs/>
          <w:color w:val="000000" w:themeColor="text1"/>
          <w:sz w:val="28"/>
        </w:rPr>
        <w:t>IP Australia</w:t>
      </w:r>
      <w:r w:rsidR="00750B4A" w:rsidRPr="009740B6">
        <w:rPr>
          <w:b w:val="0"/>
          <w:bCs/>
          <w:color w:val="000000" w:themeColor="text1"/>
          <w:sz w:val="28"/>
        </w:rPr>
        <w:t xml:space="preserve"> review and develop the Case Manager service and spell out the ways in which it operates</w:t>
      </w:r>
      <w:r w:rsidR="00327523" w:rsidRPr="009740B6">
        <w:rPr>
          <w:b w:val="0"/>
          <w:bCs/>
          <w:color w:val="000000" w:themeColor="text1"/>
          <w:sz w:val="28"/>
        </w:rPr>
        <w:t>. This should</w:t>
      </w:r>
      <w:r w:rsidR="00750B4A" w:rsidRPr="009740B6">
        <w:rPr>
          <w:b w:val="0"/>
          <w:bCs/>
          <w:color w:val="000000" w:themeColor="text1"/>
          <w:sz w:val="28"/>
        </w:rPr>
        <w:t xml:space="preserve"> show how </w:t>
      </w:r>
      <w:r w:rsidR="00327523" w:rsidRPr="009740B6">
        <w:rPr>
          <w:b w:val="0"/>
          <w:bCs/>
          <w:color w:val="000000" w:themeColor="text1"/>
          <w:sz w:val="28"/>
        </w:rPr>
        <w:t xml:space="preserve">the service </w:t>
      </w:r>
      <w:r w:rsidR="00750B4A" w:rsidRPr="009740B6">
        <w:rPr>
          <w:b w:val="0"/>
          <w:bCs/>
          <w:color w:val="000000" w:themeColor="text1"/>
          <w:sz w:val="28"/>
        </w:rPr>
        <w:t>assists businesses</w:t>
      </w:r>
      <w:r w:rsidR="00152C09" w:rsidRPr="009740B6">
        <w:rPr>
          <w:b w:val="0"/>
          <w:bCs/>
          <w:color w:val="000000" w:themeColor="text1"/>
          <w:sz w:val="28"/>
        </w:rPr>
        <w:t xml:space="preserve">, while </w:t>
      </w:r>
      <w:r w:rsidR="005A295D" w:rsidRPr="009740B6">
        <w:rPr>
          <w:b w:val="0"/>
          <w:bCs/>
          <w:color w:val="000000" w:themeColor="text1"/>
          <w:sz w:val="28"/>
        </w:rPr>
        <w:t xml:space="preserve">also </w:t>
      </w:r>
      <w:r w:rsidR="00152C09" w:rsidRPr="009740B6">
        <w:rPr>
          <w:b w:val="0"/>
          <w:bCs/>
          <w:color w:val="000000" w:themeColor="text1"/>
          <w:sz w:val="28"/>
        </w:rPr>
        <w:t>demonstrating that it</w:t>
      </w:r>
      <w:r w:rsidR="00750B4A" w:rsidRPr="009740B6">
        <w:rPr>
          <w:b w:val="0"/>
          <w:bCs/>
          <w:color w:val="000000" w:themeColor="text1"/>
          <w:sz w:val="28"/>
        </w:rPr>
        <w:t xml:space="preserve"> </w:t>
      </w:r>
      <w:r w:rsidR="00152C09" w:rsidRPr="009740B6">
        <w:rPr>
          <w:b w:val="0"/>
          <w:bCs/>
          <w:color w:val="000000" w:themeColor="text1"/>
          <w:sz w:val="28"/>
        </w:rPr>
        <w:t>conforms with</w:t>
      </w:r>
      <w:r w:rsidR="00750B4A" w:rsidRPr="009740B6">
        <w:rPr>
          <w:b w:val="0"/>
          <w:bCs/>
          <w:color w:val="000000" w:themeColor="text1"/>
          <w:sz w:val="28"/>
        </w:rPr>
        <w:t xml:space="preserve"> section 185 of the </w:t>
      </w:r>
      <w:r w:rsidR="00750B4A" w:rsidRPr="009740B6">
        <w:rPr>
          <w:b w:val="0"/>
          <w:bCs/>
          <w:i/>
          <w:iCs/>
          <w:color w:val="000000" w:themeColor="text1"/>
          <w:sz w:val="28"/>
        </w:rPr>
        <w:t>Patents Act</w:t>
      </w:r>
      <w:r w:rsidR="00170699" w:rsidRPr="009740B6">
        <w:rPr>
          <w:b w:val="0"/>
          <w:bCs/>
          <w:i/>
          <w:iCs/>
          <w:color w:val="000000" w:themeColor="text1"/>
          <w:sz w:val="28"/>
        </w:rPr>
        <w:t xml:space="preserve"> 1990</w:t>
      </w:r>
      <w:r w:rsidR="00152C09" w:rsidRPr="009740B6">
        <w:rPr>
          <w:b w:val="0"/>
          <w:bCs/>
          <w:color w:val="000000" w:themeColor="text1"/>
          <w:sz w:val="28"/>
        </w:rPr>
        <w:t xml:space="preserve"> and continues to</w:t>
      </w:r>
      <w:r w:rsidR="00750B4A" w:rsidRPr="009740B6">
        <w:rPr>
          <w:b w:val="0"/>
          <w:bCs/>
          <w:color w:val="000000" w:themeColor="text1"/>
          <w:sz w:val="28"/>
        </w:rPr>
        <w:t xml:space="preserve"> provide opportunities for involvement by patent attorneys.</w:t>
      </w:r>
    </w:p>
    <w:p w14:paraId="13A632F4" w14:textId="77777777" w:rsidR="00712B3F" w:rsidRDefault="00712B3F">
      <w:pPr>
        <w:spacing w:before="0" w:after="160"/>
        <w:rPr>
          <w:bCs/>
          <w:color w:val="000000" w:themeColor="text1"/>
          <w:sz w:val="28"/>
        </w:rPr>
      </w:pPr>
      <w:r>
        <w:rPr>
          <w:b/>
          <w:bCs/>
          <w:color w:val="000000" w:themeColor="text1"/>
          <w:sz w:val="28"/>
        </w:rPr>
        <w:br w:type="page"/>
      </w:r>
    </w:p>
    <w:p w14:paraId="285D5AF8" w14:textId="77777777" w:rsidR="0080588A" w:rsidRPr="009740B6" w:rsidRDefault="00731237" w:rsidP="009740B6">
      <w:pPr>
        <w:pStyle w:val="Calloutbox"/>
        <w:rPr>
          <w:sz w:val="28"/>
        </w:rPr>
      </w:pPr>
      <w:r w:rsidRPr="009740B6">
        <w:rPr>
          <w:sz w:val="28"/>
        </w:rPr>
        <w:lastRenderedPageBreak/>
        <w:t xml:space="preserve">Recommendation </w:t>
      </w:r>
      <w:r w:rsidR="00750B4A" w:rsidRPr="009740B6">
        <w:rPr>
          <w:sz w:val="28"/>
        </w:rPr>
        <w:t>8:</w:t>
      </w:r>
    </w:p>
    <w:p w14:paraId="380D9C00" w14:textId="5C2F1CDF" w:rsidR="00712B3F" w:rsidRDefault="00750B4A" w:rsidP="00712B3F">
      <w:pPr>
        <w:pStyle w:val="Calloutbox"/>
        <w:rPr>
          <w:b w:val="0"/>
          <w:bCs/>
          <w:color w:val="000000" w:themeColor="text1"/>
          <w:sz w:val="28"/>
        </w:rPr>
      </w:pPr>
      <w:r w:rsidRPr="009740B6">
        <w:rPr>
          <w:b w:val="0"/>
          <w:bCs/>
          <w:color w:val="000000" w:themeColor="text1"/>
          <w:sz w:val="28"/>
        </w:rPr>
        <w:t xml:space="preserve">That the Chair of </w:t>
      </w:r>
      <w:r w:rsidR="002C34E8" w:rsidRPr="009740B6">
        <w:rPr>
          <w:b w:val="0"/>
          <w:bCs/>
          <w:color w:val="000000" w:themeColor="text1"/>
          <w:sz w:val="28"/>
        </w:rPr>
        <w:t xml:space="preserve">Industry Innovation and Science Australia </w:t>
      </w:r>
      <w:r w:rsidRPr="009740B6">
        <w:rPr>
          <w:b w:val="0"/>
          <w:bCs/>
          <w:color w:val="000000" w:themeColor="text1"/>
          <w:sz w:val="28"/>
        </w:rPr>
        <w:t>work with the Secretary of the Department of Industry, Science, Energy and Resources, and the Director General of IP Australia, to sound out media interest in regular program material, and consider further development of social media, streaming video and podcast platforms.</w:t>
      </w:r>
    </w:p>
    <w:p w14:paraId="4E541F0D" w14:textId="77777777" w:rsidR="00304278" w:rsidRDefault="00304278" w:rsidP="00304278">
      <w:pPr>
        <w:pStyle w:val="Calloutbox"/>
        <w:rPr>
          <w:sz w:val="28"/>
        </w:rPr>
      </w:pPr>
    </w:p>
    <w:p w14:paraId="7CE91993" w14:textId="4D98C6FB" w:rsidR="00304278" w:rsidRPr="009740B6" w:rsidRDefault="00304278" w:rsidP="00304278">
      <w:pPr>
        <w:pStyle w:val="Calloutbox"/>
        <w:rPr>
          <w:sz w:val="28"/>
        </w:rPr>
      </w:pPr>
      <w:r w:rsidRPr="009740B6">
        <w:rPr>
          <w:sz w:val="28"/>
        </w:rPr>
        <w:t xml:space="preserve">Recommendation </w:t>
      </w:r>
      <w:r>
        <w:rPr>
          <w:sz w:val="28"/>
        </w:rPr>
        <w:t>9</w:t>
      </w:r>
      <w:r w:rsidRPr="009740B6">
        <w:rPr>
          <w:sz w:val="28"/>
        </w:rPr>
        <w:t>:</w:t>
      </w:r>
    </w:p>
    <w:p w14:paraId="158714E4" w14:textId="12E82AA6" w:rsidR="00304278" w:rsidRPr="009740B6" w:rsidRDefault="00304278" w:rsidP="00304278">
      <w:pPr>
        <w:pStyle w:val="Calloutbox"/>
        <w:rPr>
          <w:b w:val="0"/>
          <w:bCs/>
          <w:color w:val="000000" w:themeColor="text1"/>
          <w:sz w:val="28"/>
        </w:rPr>
      </w:pPr>
      <w:r w:rsidRPr="009740B6">
        <w:rPr>
          <w:b w:val="0"/>
          <w:bCs/>
          <w:color w:val="000000" w:themeColor="text1"/>
          <w:sz w:val="28"/>
        </w:rPr>
        <w:t xml:space="preserve">That the intellectual property practice of the Federal Court of Australia be </w:t>
      </w:r>
      <w:r w:rsidR="00505445">
        <w:rPr>
          <w:b w:val="0"/>
          <w:bCs/>
          <w:color w:val="000000" w:themeColor="text1"/>
          <w:sz w:val="28"/>
        </w:rPr>
        <w:t xml:space="preserve">enabled to </w:t>
      </w:r>
      <w:r w:rsidR="00CA10D0">
        <w:rPr>
          <w:b w:val="0"/>
          <w:bCs/>
          <w:color w:val="000000" w:themeColor="text1"/>
          <w:sz w:val="28"/>
        </w:rPr>
        <w:t>provide</w:t>
      </w:r>
      <w:r w:rsidR="00505445">
        <w:rPr>
          <w:b w:val="0"/>
          <w:bCs/>
          <w:color w:val="000000" w:themeColor="text1"/>
          <w:sz w:val="28"/>
        </w:rPr>
        <w:t xml:space="preserve"> a stream for smaller disputes</w:t>
      </w:r>
      <w:r w:rsidRPr="009740B6">
        <w:rPr>
          <w:b w:val="0"/>
          <w:bCs/>
          <w:color w:val="000000" w:themeColor="text1"/>
          <w:sz w:val="28"/>
        </w:rPr>
        <w:t xml:space="preserve"> along the general lines of the Intellectual</w:t>
      </w:r>
      <w:r w:rsidR="00137FBD">
        <w:rPr>
          <w:b w:val="0"/>
          <w:bCs/>
          <w:color w:val="000000" w:themeColor="text1"/>
          <w:sz w:val="28"/>
        </w:rPr>
        <w:t> </w:t>
      </w:r>
      <w:r w:rsidRPr="009740B6">
        <w:rPr>
          <w:b w:val="0"/>
          <w:bCs/>
          <w:color w:val="000000" w:themeColor="text1"/>
          <w:sz w:val="28"/>
        </w:rPr>
        <w:t>Property</w:t>
      </w:r>
      <w:r w:rsidR="00137FBD">
        <w:rPr>
          <w:b w:val="0"/>
          <w:bCs/>
          <w:color w:val="000000" w:themeColor="text1"/>
          <w:sz w:val="28"/>
        </w:rPr>
        <w:t> </w:t>
      </w:r>
      <w:r w:rsidRPr="009740B6">
        <w:rPr>
          <w:b w:val="0"/>
          <w:bCs/>
          <w:color w:val="000000" w:themeColor="text1"/>
          <w:sz w:val="28"/>
        </w:rPr>
        <w:t>Enterprise</w:t>
      </w:r>
      <w:r w:rsidR="00137FBD">
        <w:rPr>
          <w:b w:val="0"/>
          <w:bCs/>
          <w:color w:val="000000" w:themeColor="text1"/>
          <w:sz w:val="28"/>
        </w:rPr>
        <w:t> </w:t>
      </w:r>
      <w:r w:rsidRPr="009740B6">
        <w:rPr>
          <w:b w:val="0"/>
          <w:bCs/>
          <w:color w:val="000000" w:themeColor="text1"/>
          <w:sz w:val="28"/>
        </w:rPr>
        <w:t>Court</w:t>
      </w:r>
      <w:r w:rsidR="00137FBD">
        <w:rPr>
          <w:b w:val="0"/>
          <w:bCs/>
          <w:color w:val="000000" w:themeColor="text1"/>
          <w:sz w:val="28"/>
        </w:rPr>
        <w:t> </w:t>
      </w:r>
      <w:r w:rsidRPr="009740B6">
        <w:rPr>
          <w:b w:val="0"/>
          <w:bCs/>
          <w:color w:val="000000" w:themeColor="text1"/>
          <w:sz w:val="28"/>
        </w:rPr>
        <w:t>of</w:t>
      </w:r>
      <w:r w:rsidR="00137FBD">
        <w:rPr>
          <w:b w:val="0"/>
          <w:bCs/>
          <w:color w:val="000000" w:themeColor="text1"/>
          <w:sz w:val="28"/>
        </w:rPr>
        <w:t> </w:t>
      </w:r>
      <w:r w:rsidRPr="009740B6">
        <w:rPr>
          <w:b w:val="0"/>
          <w:bCs/>
          <w:color w:val="000000" w:themeColor="text1"/>
          <w:sz w:val="28"/>
        </w:rPr>
        <w:t>the</w:t>
      </w:r>
      <w:r w:rsidR="00137FBD">
        <w:rPr>
          <w:b w:val="0"/>
          <w:bCs/>
          <w:color w:val="000000" w:themeColor="text1"/>
          <w:sz w:val="28"/>
        </w:rPr>
        <w:t> </w:t>
      </w:r>
      <w:r w:rsidRPr="009740B6">
        <w:rPr>
          <w:b w:val="0"/>
          <w:bCs/>
          <w:color w:val="000000" w:themeColor="text1"/>
          <w:sz w:val="28"/>
        </w:rPr>
        <w:t>UK, in order to provide at least one avenue for expedited and inexpensive trial processes. It is noted that IP</w:t>
      </w:r>
      <w:r w:rsidR="00137FBD">
        <w:rPr>
          <w:b w:val="0"/>
          <w:bCs/>
          <w:color w:val="000000" w:themeColor="text1"/>
          <w:sz w:val="28"/>
        </w:rPr>
        <w:t> </w:t>
      </w:r>
      <w:r w:rsidRPr="009740B6">
        <w:rPr>
          <w:b w:val="0"/>
          <w:bCs/>
          <w:color w:val="000000" w:themeColor="text1"/>
          <w:sz w:val="28"/>
        </w:rPr>
        <w:t xml:space="preserve">Australia has agreed that it </w:t>
      </w:r>
      <w:r>
        <w:rPr>
          <w:b w:val="0"/>
          <w:bCs/>
          <w:color w:val="000000" w:themeColor="text1"/>
          <w:sz w:val="28"/>
        </w:rPr>
        <w:t>may</w:t>
      </w:r>
      <w:r w:rsidRPr="009740B6">
        <w:rPr>
          <w:b w:val="0"/>
          <w:bCs/>
          <w:color w:val="000000" w:themeColor="text1"/>
          <w:sz w:val="28"/>
        </w:rPr>
        <w:t xml:space="preserve"> be possible for it to facilitate funding for the new arrangements in accordance with the government’s cost-recovery policy.</w:t>
      </w:r>
    </w:p>
    <w:p w14:paraId="3BB83816" w14:textId="77777777" w:rsidR="00712B3F" w:rsidRPr="00712B3F" w:rsidRDefault="00712B3F" w:rsidP="00712B3F">
      <w:pPr>
        <w:pStyle w:val="Calloutbox"/>
        <w:rPr>
          <w:b w:val="0"/>
          <w:bCs/>
          <w:color w:val="000000" w:themeColor="text1"/>
          <w:sz w:val="28"/>
        </w:rPr>
      </w:pPr>
    </w:p>
    <w:p w14:paraId="748B3A54" w14:textId="51B2DE6A" w:rsidR="0080588A" w:rsidRPr="009740B6" w:rsidRDefault="00750B4A" w:rsidP="009740B6">
      <w:pPr>
        <w:pStyle w:val="Calloutbox"/>
        <w:rPr>
          <w:sz w:val="28"/>
        </w:rPr>
      </w:pPr>
      <w:r w:rsidRPr="009740B6">
        <w:rPr>
          <w:sz w:val="28"/>
        </w:rPr>
        <w:t xml:space="preserve">Recommendation </w:t>
      </w:r>
      <w:r w:rsidR="00304278">
        <w:rPr>
          <w:sz w:val="28"/>
        </w:rPr>
        <w:t>10</w:t>
      </w:r>
      <w:r w:rsidRPr="009740B6">
        <w:rPr>
          <w:sz w:val="28"/>
        </w:rPr>
        <w:t>:</w:t>
      </w:r>
    </w:p>
    <w:p w14:paraId="78F26DE0" w14:textId="28E50205" w:rsidR="00750B4A" w:rsidRPr="009740B6" w:rsidRDefault="00750B4A" w:rsidP="009740B6">
      <w:pPr>
        <w:pStyle w:val="Calloutbox"/>
        <w:rPr>
          <w:b w:val="0"/>
          <w:bCs/>
          <w:color w:val="000000" w:themeColor="text1"/>
          <w:sz w:val="28"/>
        </w:rPr>
      </w:pPr>
      <w:r w:rsidRPr="009740B6">
        <w:rPr>
          <w:b w:val="0"/>
          <w:bCs/>
          <w:color w:val="000000" w:themeColor="text1"/>
          <w:sz w:val="28"/>
        </w:rPr>
        <w:t>That legislation be enacted such that if a party wishes to appeal a patent opposition, this appeal must be based on the facts and grounds originally available to the Commissioner of Patents, with new grounds being admitted only with the leave of the Court.</w:t>
      </w:r>
    </w:p>
    <w:p w14:paraId="07A2EF56" w14:textId="77777777" w:rsidR="000F6168" w:rsidRPr="00D4757B" w:rsidRDefault="000F6168" w:rsidP="009740B6">
      <w:pPr>
        <w:pStyle w:val="Calloutbox"/>
        <w:rPr>
          <w:bCs/>
          <w:szCs w:val="28"/>
        </w:rPr>
      </w:pPr>
    </w:p>
    <w:p w14:paraId="6EF73958" w14:textId="3A6E80B9" w:rsidR="0080588A" w:rsidRPr="009740B6" w:rsidRDefault="00750B4A" w:rsidP="009740B6">
      <w:pPr>
        <w:pStyle w:val="Calloutbox"/>
        <w:rPr>
          <w:sz w:val="28"/>
        </w:rPr>
      </w:pPr>
      <w:r w:rsidRPr="009740B6">
        <w:rPr>
          <w:sz w:val="28"/>
        </w:rPr>
        <w:t>Recommendation 1</w:t>
      </w:r>
      <w:r w:rsidR="00304278">
        <w:rPr>
          <w:sz w:val="28"/>
        </w:rPr>
        <w:t>1</w:t>
      </w:r>
      <w:r w:rsidRPr="009740B6">
        <w:rPr>
          <w:sz w:val="28"/>
        </w:rPr>
        <w:t>:</w:t>
      </w:r>
    </w:p>
    <w:p w14:paraId="5791C69D" w14:textId="4D5C74BC" w:rsidR="000F6168" w:rsidRDefault="00750B4A" w:rsidP="009740B6">
      <w:pPr>
        <w:pStyle w:val="Calloutbox"/>
        <w:rPr>
          <w:b w:val="0"/>
          <w:bCs/>
          <w:color w:val="000000" w:themeColor="text1"/>
          <w:sz w:val="28"/>
        </w:rPr>
      </w:pPr>
      <w:r w:rsidRPr="009740B6">
        <w:rPr>
          <w:b w:val="0"/>
          <w:bCs/>
          <w:color w:val="000000" w:themeColor="text1"/>
          <w:sz w:val="28"/>
        </w:rPr>
        <w:t xml:space="preserve">That IP Australia set up and </w:t>
      </w:r>
      <w:r w:rsidR="004F1095" w:rsidRPr="009740B6">
        <w:rPr>
          <w:b w:val="0"/>
          <w:bCs/>
          <w:color w:val="000000" w:themeColor="text1"/>
          <w:sz w:val="28"/>
        </w:rPr>
        <w:t xml:space="preserve">actively </w:t>
      </w:r>
      <w:r w:rsidRPr="009740B6">
        <w:rPr>
          <w:b w:val="0"/>
          <w:bCs/>
          <w:color w:val="000000" w:themeColor="text1"/>
          <w:sz w:val="28"/>
        </w:rPr>
        <w:t>promote a non-binding expert opinion service, at a cost which is not prohibitive but consistent with its mission as a full cost</w:t>
      </w:r>
      <w:r w:rsidR="00197017" w:rsidRPr="009740B6">
        <w:rPr>
          <w:b w:val="0"/>
          <w:bCs/>
          <w:color w:val="000000" w:themeColor="text1"/>
          <w:sz w:val="28"/>
        </w:rPr>
        <w:t>-</w:t>
      </w:r>
      <w:r w:rsidRPr="009740B6">
        <w:rPr>
          <w:b w:val="0"/>
          <w:bCs/>
          <w:color w:val="000000" w:themeColor="text1"/>
          <w:sz w:val="28"/>
        </w:rPr>
        <w:t xml:space="preserve">recovery agency. </w:t>
      </w:r>
    </w:p>
    <w:p w14:paraId="17286C28" w14:textId="77777777" w:rsidR="003C664E" w:rsidRPr="009740B6" w:rsidRDefault="003C664E" w:rsidP="009740B6">
      <w:pPr>
        <w:pStyle w:val="Calloutbox"/>
        <w:rPr>
          <w:b w:val="0"/>
          <w:bCs/>
          <w:color w:val="000000" w:themeColor="text1"/>
          <w:sz w:val="28"/>
        </w:rPr>
      </w:pPr>
    </w:p>
    <w:p w14:paraId="164BDF52" w14:textId="3A0C7180" w:rsidR="0080588A" w:rsidRPr="009740B6" w:rsidRDefault="00750B4A" w:rsidP="009740B6">
      <w:pPr>
        <w:pStyle w:val="Calloutbox"/>
        <w:rPr>
          <w:sz w:val="28"/>
        </w:rPr>
      </w:pPr>
      <w:r w:rsidRPr="009740B6">
        <w:rPr>
          <w:sz w:val="28"/>
        </w:rPr>
        <w:t>Recommendation 1</w:t>
      </w:r>
      <w:r w:rsidR="00304278">
        <w:rPr>
          <w:sz w:val="28"/>
        </w:rPr>
        <w:t>2</w:t>
      </w:r>
      <w:r w:rsidR="000F6168" w:rsidRPr="009740B6">
        <w:rPr>
          <w:sz w:val="28"/>
        </w:rPr>
        <w:t>:</w:t>
      </w:r>
    </w:p>
    <w:p w14:paraId="049DD9A7" w14:textId="00F3713D" w:rsidR="00750B4A" w:rsidRPr="009740B6" w:rsidRDefault="000F6168" w:rsidP="009740B6">
      <w:pPr>
        <w:pStyle w:val="Calloutbox"/>
        <w:rPr>
          <w:b w:val="0"/>
          <w:bCs/>
          <w:color w:val="000000" w:themeColor="text1"/>
          <w:sz w:val="28"/>
        </w:rPr>
      </w:pPr>
      <w:r w:rsidRPr="009740B6">
        <w:rPr>
          <w:b w:val="0"/>
          <w:bCs/>
          <w:color w:val="000000" w:themeColor="text1"/>
          <w:sz w:val="28"/>
        </w:rPr>
        <w:t>T</w:t>
      </w:r>
      <w:r w:rsidR="00750B4A" w:rsidRPr="009740B6">
        <w:rPr>
          <w:b w:val="0"/>
          <w:bCs/>
          <w:color w:val="000000" w:themeColor="text1"/>
          <w:sz w:val="28"/>
        </w:rPr>
        <w:t xml:space="preserve">hat IP Australia set up an arbitration service designed to settle patent disputes quickly and at low cost. </w:t>
      </w:r>
    </w:p>
    <w:p w14:paraId="39E0EAD6" w14:textId="77777777" w:rsidR="00750B4A" w:rsidRPr="00D4757B" w:rsidRDefault="00750B4A" w:rsidP="009740B6">
      <w:pPr>
        <w:pStyle w:val="Calloutbox"/>
      </w:pPr>
    </w:p>
    <w:p w14:paraId="3E300893" w14:textId="7ED1013E" w:rsidR="0080588A" w:rsidRPr="009740B6" w:rsidRDefault="00750B4A" w:rsidP="009740B6">
      <w:pPr>
        <w:pStyle w:val="Calloutbox"/>
        <w:rPr>
          <w:sz w:val="28"/>
        </w:rPr>
      </w:pPr>
      <w:r w:rsidRPr="009740B6">
        <w:rPr>
          <w:sz w:val="28"/>
        </w:rPr>
        <w:t>Recommendation 1</w:t>
      </w:r>
      <w:r w:rsidR="00304278">
        <w:rPr>
          <w:sz w:val="28"/>
        </w:rPr>
        <w:t>3</w:t>
      </w:r>
      <w:r w:rsidRPr="009740B6">
        <w:rPr>
          <w:sz w:val="28"/>
        </w:rPr>
        <w:t>:</w:t>
      </w:r>
    </w:p>
    <w:p w14:paraId="3249D41E" w14:textId="12EA3677" w:rsidR="00712B3F" w:rsidRDefault="00750B4A" w:rsidP="009740B6">
      <w:pPr>
        <w:pStyle w:val="Calloutbox"/>
        <w:rPr>
          <w:b w:val="0"/>
          <w:bCs/>
          <w:color w:val="000000" w:themeColor="text1"/>
          <w:sz w:val="28"/>
        </w:rPr>
      </w:pPr>
      <w:r w:rsidRPr="009740B6">
        <w:rPr>
          <w:b w:val="0"/>
          <w:bCs/>
          <w:color w:val="000000" w:themeColor="text1"/>
          <w:sz w:val="28"/>
        </w:rPr>
        <w:t xml:space="preserve">That IP Australia seek to cooperate with </w:t>
      </w:r>
      <w:r w:rsidR="006434F3" w:rsidRPr="009740B6">
        <w:rPr>
          <w:b w:val="0"/>
          <w:bCs/>
          <w:color w:val="000000" w:themeColor="text1"/>
          <w:sz w:val="28"/>
        </w:rPr>
        <w:t>the</w:t>
      </w:r>
      <w:r w:rsidR="002F112B">
        <w:rPr>
          <w:b w:val="0"/>
          <w:bCs/>
          <w:color w:val="000000" w:themeColor="text1"/>
          <w:sz w:val="28"/>
        </w:rPr>
        <w:t xml:space="preserve"> </w:t>
      </w:r>
      <w:r w:rsidR="002F112B" w:rsidRPr="009740B6">
        <w:rPr>
          <w:b w:val="0"/>
          <w:bCs/>
          <w:color w:val="000000" w:themeColor="text1"/>
          <w:sz w:val="28"/>
        </w:rPr>
        <w:t>World</w:t>
      </w:r>
      <w:r w:rsidR="002F112B">
        <w:rPr>
          <w:b w:val="0"/>
          <w:bCs/>
          <w:color w:val="000000" w:themeColor="text1"/>
          <w:sz w:val="28"/>
        </w:rPr>
        <w:t xml:space="preserve"> </w:t>
      </w:r>
      <w:r w:rsidR="002F112B" w:rsidRPr="009740B6">
        <w:rPr>
          <w:b w:val="0"/>
          <w:bCs/>
          <w:color w:val="000000" w:themeColor="text1"/>
          <w:sz w:val="28"/>
        </w:rPr>
        <w:t>Intellectual</w:t>
      </w:r>
      <w:r w:rsidR="002F112B">
        <w:rPr>
          <w:b w:val="0"/>
          <w:bCs/>
          <w:color w:val="000000" w:themeColor="text1"/>
          <w:sz w:val="28"/>
        </w:rPr>
        <w:t xml:space="preserve"> </w:t>
      </w:r>
      <w:r w:rsidR="002F112B" w:rsidRPr="009740B6">
        <w:rPr>
          <w:b w:val="0"/>
          <w:bCs/>
          <w:color w:val="000000" w:themeColor="text1"/>
          <w:sz w:val="28"/>
        </w:rPr>
        <w:t>Property</w:t>
      </w:r>
      <w:r w:rsidR="002F112B">
        <w:rPr>
          <w:b w:val="0"/>
          <w:bCs/>
          <w:color w:val="000000" w:themeColor="text1"/>
          <w:sz w:val="28"/>
        </w:rPr>
        <w:t xml:space="preserve"> </w:t>
      </w:r>
      <w:r w:rsidR="002F112B" w:rsidRPr="009740B6">
        <w:rPr>
          <w:b w:val="0"/>
          <w:bCs/>
          <w:color w:val="000000" w:themeColor="text1"/>
          <w:sz w:val="28"/>
        </w:rPr>
        <w:t>Organization</w:t>
      </w:r>
      <w:r w:rsidR="002F112B">
        <w:rPr>
          <w:b w:val="0"/>
          <w:bCs/>
          <w:color w:val="000000" w:themeColor="text1"/>
          <w:sz w:val="28"/>
        </w:rPr>
        <w:t xml:space="preserve"> </w:t>
      </w:r>
      <w:r w:rsidR="00230C16" w:rsidRPr="009740B6">
        <w:rPr>
          <w:b w:val="0"/>
          <w:bCs/>
          <w:color w:val="000000" w:themeColor="text1"/>
          <w:sz w:val="28"/>
        </w:rPr>
        <w:t>(</w:t>
      </w:r>
      <w:r w:rsidRPr="009740B6">
        <w:rPr>
          <w:b w:val="0"/>
          <w:bCs/>
          <w:color w:val="000000" w:themeColor="text1"/>
          <w:sz w:val="28"/>
        </w:rPr>
        <w:t>WIPO</w:t>
      </w:r>
      <w:r w:rsidR="00230C16" w:rsidRPr="009740B6">
        <w:rPr>
          <w:b w:val="0"/>
          <w:bCs/>
          <w:color w:val="000000" w:themeColor="text1"/>
          <w:sz w:val="28"/>
        </w:rPr>
        <w:t>)</w:t>
      </w:r>
      <w:r w:rsidRPr="009740B6">
        <w:rPr>
          <w:b w:val="0"/>
          <w:bCs/>
          <w:color w:val="000000" w:themeColor="text1"/>
          <w:sz w:val="28"/>
        </w:rPr>
        <w:t xml:space="preserve"> in facilitating the possibility of WIPO arbitration in Australia for parties with transnational patent issues, or who seek an arbitration of known international standing.</w:t>
      </w:r>
    </w:p>
    <w:p w14:paraId="3CFA344D" w14:textId="77777777" w:rsidR="00712B3F" w:rsidRDefault="00712B3F">
      <w:pPr>
        <w:spacing w:before="0" w:after="160"/>
        <w:rPr>
          <w:bCs/>
          <w:color w:val="000000" w:themeColor="text1"/>
          <w:sz w:val="28"/>
        </w:rPr>
      </w:pPr>
      <w:r>
        <w:rPr>
          <w:b/>
          <w:bCs/>
          <w:color w:val="000000" w:themeColor="text1"/>
          <w:sz w:val="28"/>
        </w:rPr>
        <w:br w:type="page"/>
      </w:r>
    </w:p>
    <w:p w14:paraId="4805CC70" w14:textId="7D21ECF5" w:rsidR="0080588A" w:rsidRPr="009740B6" w:rsidRDefault="00750B4A" w:rsidP="009740B6">
      <w:pPr>
        <w:pStyle w:val="Calloutbox"/>
        <w:rPr>
          <w:sz w:val="28"/>
        </w:rPr>
      </w:pPr>
      <w:r w:rsidRPr="009740B6">
        <w:rPr>
          <w:sz w:val="28"/>
        </w:rPr>
        <w:lastRenderedPageBreak/>
        <w:t>Recommendation 1</w:t>
      </w:r>
      <w:r w:rsidR="00304278">
        <w:rPr>
          <w:sz w:val="28"/>
        </w:rPr>
        <w:t>4</w:t>
      </w:r>
      <w:r w:rsidRPr="009740B6">
        <w:rPr>
          <w:sz w:val="28"/>
        </w:rPr>
        <w:t>:</w:t>
      </w:r>
    </w:p>
    <w:p w14:paraId="2B389066" w14:textId="234CCDF2" w:rsidR="00750B4A" w:rsidRPr="009740B6" w:rsidRDefault="00750B4A" w:rsidP="009740B6">
      <w:pPr>
        <w:pStyle w:val="Calloutbox"/>
        <w:rPr>
          <w:b w:val="0"/>
          <w:bCs/>
          <w:color w:val="000000" w:themeColor="text1"/>
          <w:sz w:val="28"/>
        </w:rPr>
      </w:pPr>
      <w:r w:rsidRPr="009740B6">
        <w:rPr>
          <w:b w:val="0"/>
          <w:bCs/>
          <w:color w:val="000000" w:themeColor="text1"/>
          <w:sz w:val="28"/>
        </w:rPr>
        <w:t xml:space="preserve">That IP Australia add to its model contract in the IP toolkit a recommendation that parties agree to a dispute resolution method, possibly including an option to adopt the IP Australia arbitration process or the </w:t>
      </w:r>
      <w:r w:rsidR="002F112B" w:rsidRPr="009740B6">
        <w:rPr>
          <w:b w:val="0"/>
          <w:bCs/>
          <w:color w:val="000000" w:themeColor="text1"/>
          <w:sz w:val="28"/>
        </w:rPr>
        <w:t>World</w:t>
      </w:r>
      <w:r w:rsidR="002F112B">
        <w:rPr>
          <w:b w:val="0"/>
          <w:bCs/>
          <w:color w:val="000000" w:themeColor="text1"/>
          <w:sz w:val="28"/>
        </w:rPr>
        <w:t xml:space="preserve"> </w:t>
      </w:r>
      <w:r w:rsidR="002F112B" w:rsidRPr="009740B6">
        <w:rPr>
          <w:b w:val="0"/>
          <w:bCs/>
          <w:color w:val="000000" w:themeColor="text1"/>
          <w:sz w:val="28"/>
        </w:rPr>
        <w:t>Intellectual</w:t>
      </w:r>
      <w:r w:rsidR="002F112B">
        <w:rPr>
          <w:b w:val="0"/>
          <w:bCs/>
          <w:color w:val="000000" w:themeColor="text1"/>
          <w:sz w:val="28"/>
        </w:rPr>
        <w:t xml:space="preserve"> </w:t>
      </w:r>
      <w:r w:rsidR="002F112B" w:rsidRPr="009740B6">
        <w:rPr>
          <w:b w:val="0"/>
          <w:bCs/>
          <w:color w:val="000000" w:themeColor="text1"/>
          <w:sz w:val="28"/>
        </w:rPr>
        <w:t>Property</w:t>
      </w:r>
      <w:r w:rsidR="002F112B">
        <w:rPr>
          <w:b w:val="0"/>
          <w:bCs/>
          <w:color w:val="000000" w:themeColor="text1"/>
          <w:sz w:val="28"/>
        </w:rPr>
        <w:t xml:space="preserve"> </w:t>
      </w:r>
      <w:r w:rsidR="002F112B" w:rsidRPr="009740B6">
        <w:rPr>
          <w:b w:val="0"/>
          <w:bCs/>
          <w:color w:val="000000" w:themeColor="text1"/>
          <w:sz w:val="28"/>
        </w:rPr>
        <w:t>Organisation</w:t>
      </w:r>
      <w:r w:rsidR="002F112B">
        <w:rPr>
          <w:b w:val="0"/>
          <w:bCs/>
          <w:color w:val="000000" w:themeColor="text1"/>
          <w:sz w:val="28"/>
        </w:rPr>
        <w:t xml:space="preserve"> </w:t>
      </w:r>
      <w:r w:rsidRPr="009740B6">
        <w:rPr>
          <w:b w:val="0"/>
          <w:bCs/>
          <w:color w:val="000000" w:themeColor="text1"/>
          <w:sz w:val="28"/>
        </w:rPr>
        <w:t>arbitration process</w:t>
      </w:r>
      <w:r w:rsidR="00197017" w:rsidRPr="009740B6">
        <w:rPr>
          <w:b w:val="0"/>
          <w:bCs/>
          <w:color w:val="000000" w:themeColor="text1"/>
          <w:sz w:val="28"/>
        </w:rPr>
        <w:t>,</w:t>
      </w:r>
      <w:r w:rsidRPr="009740B6">
        <w:rPr>
          <w:b w:val="0"/>
          <w:bCs/>
          <w:color w:val="000000" w:themeColor="text1"/>
          <w:sz w:val="28"/>
        </w:rPr>
        <w:t xml:space="preserve"> should these two possibilities be established.</w:t>
      </w:r>
    </w:p>
    <w:p w14:paraId="7D57C6D3" w14:textId="77777777" w:rsidR="00750B4A" w:rsidRPr="00D4757B" w:rsidRDefault="00750B4A" w:rsidP="009740B6">
      <w:pPr>
        <w:pStyle w:val="Calloutbox"/>
      </w:pPr>
    </w:p>
    <w:p w14:paraId="61B2A42A" w14:textId="77777777" w:rsidR="0080588A" w:rsidRPr="009740B6" w:rsidRDefault="00750B4A" w:rsidP="009740B6">
      <w:pPr>
        <w:pStyle w:val="Calloutbox"/>
        <w:rPr>
          <w:sz w:val="28"/>
        </w:rPr>
      </w:pPr>
      <w:r w:rsidRPr="009740B6">
        <w:rPr>
          <w:sz w:val="28"/>
        </w:rPr>
        <w:t>Recommendation 15:</w:t>
      </w:r>
    </w:p>
    <w:p w14:paraId="12B086A0" w14:textId="620B254A" w:rsidR="009740B6" w:rsidRDefault="00750B4A" w:rsidP="51EF8C39">
      <w:pPr>
        <w:pStyle w:val="Calloutbox"/>
        <w:rPr>
          <w:b w:val="0"/>
          <w:color w:val="000000" w:themeColor="text1"/>
          <w:sz w:val="28"/>
          <w:szCs w:val="28"/>
        </w:rPr>
      </w:pPr>
      <w:r w:rsidRPr="51EF8C39">
        <w:rPr>
          <w:b w:val="0"/>
          <w:color w:val="000000" w:themeColor="text1"/>
          <w:sz w:val="28"/>
          <w:szCs w:val="28"/>
        </w:rPr>
        <w:t xml:space="preserve">That the Australian </w:t>
      </w:r>
      <w:r w:rsidR="00EB0FCC" w:rsidRPr="51EF8C39">
        <w:rPr>
          <w:b w:val="0"/>
          <w:color w:val="000000" w:themeColor="text1"/>
          <w:sz w:val="28"/>
          <w:szCs w:val="28"/>
        </w:rPr>
        <w:t>G</w:t>
      </w:r>
      <w:r w:rsidRPr="51EF8C39">
        <w:rPr>
          <w:b w:val="0"/>
          <w:color w:val="000000" w:themeColor="text1"/>
          <w:sz w:val="28"/>
          <w:szCs w:val="28"/>
        </w:rPr>
        <w:t xml:space="preserve">overnment should </w:t>
      </w:r>
      <w:r w:rsidR="00B62DCC" w:rsidRPr="51EF8C39">
        <w:rPr>
          <w:b w:val="0"/>
          <w:color w:val="000000" w:themeColor="text1"/>
          <w:sz w:val="28"/>
          <w:szCs w:val="28"/>
        </w:rPr>
        <w:t xml:space="preserve">investigate the possibility of </w:t>
      </w:r>
      <w:r w:rsidRPr="51EF8C39">
        <w:rPr>
          <w:b w:val="0"/>
          <w:color w:val="000000" w:themeColor="text1"/>
          <w:sz w:val="28"/>
          <w:szCs w:val="28"/>
        </w:rPr>
        <w:t>set</w:t>
      </w:r>
      <w:r w:rsidR="00B62DCC" w:rsidRPr="51EF8C39">
        <w:rPr>
          <w:b w:val="0"/>
          <w:color w:val="000000" w:themeColor="text1"/>
          <w:sz w:val="28"/>
          <w:szCs w:val="28"/>
        </w:rPr>
        <w:t>ting</w:t>
      </w:r>
      <w:r w:rsidRPr="51EF8C39">
        <w:rPr>
          <w:b w:val="0"/>
          <w:color w:val="000000" w:themeColor="text1"/>
          <w:sz w:val="28"/>
          <w:szCs w:val="28"/>
        </w:rPr>
        <w:t xml:space="preserve"> up a national commercialisation and patent defence fund, with a view to seeking out and protecting Australian inventions deemed to be in the national interest</w:t>
      </w:r>
      <w:r w:rsidR="00B81FAE" w:rsidRPr="51EF8C39">
        <w:rPr>
          <w:b w:val="0"/>
          <w:color w:val="000000" w:themeColor="text1"/>
          <w:sz w:val="28"/>
          <w:szCs w:val="28"/>
        </w:rPr>
        <w:t xml:space="preserve"> </w:t>
      </w:r>
      <w:r w:rsidRPr="51EF8C39" w:rsidDel="00B81FAE">
        <w:rPr>
          <w:b w:val="0"/>
          <w:color w:val="000000" w:themeColor="text1"/>
          <w:sz w:val="28"/>
          <w:szCs w:val="28"/>
        </w:rPr>
        <w:t xml:space="preserve">– </w:t>
      </w:r>
      <w:r w:rsidRPr="51EF8C39">
        <w:rPr>
          <w:b w:val="0"/>
          <w:color w:val="000000" w:themeColor="text1"/>
          <w:sz w:val="28"/>
          <w:szCs w:val="28"/>
        </w:rPr>
        <w:t>whether in terms of national security or commercial development</w:t>
      </w:r>
      <w:r w:rsidR="00B81FAE" w:rsidRPr="51EF8C39">
        <w:rPr>
          <w:b w:val="0"/>
          <w:color w:val="000000" w:themeColor="text1"/>
          <w:sz w:val="28"/>
          <w:szCs w:val="28"/>
        </w:rPr>
        <w:t xml:space="preserve"> </w:t>
      </w:r>
      <w:r w:rsidRPr="51EF8C39" w:rsidDel="00B81FAE">
        <w:rPr>
          <w:b w:val="0"/>
          <w:color w:val="000000" w:themeColor="text1"/>
          <w:sz w:val="28"/>
          <w:szCs w:val="28"/>
        </w:rPr>
        <w:t xml:space="preserve">– </w:t>
      </w:r>
      <w:r w:rsidRPr="51EF8C39">
        <w:rPr>
          <w:b w:val="0"/>
          <w:color w:val="000000" w:themeColor="text1"/>
          <w:sz w:val="28"/>
          <w:szCs w:val="28"/>
        </w:rPr>
        <w:t>and seeing them through to a successful commercialisation.</w:t>
      </w:r>
    </w:p>
    <w:p w14:paraId="3CD9DB15" w14:textId="77777777" w:rsidR="00712B3F" w:rsidRPr="00712B3F" w:rsidRDefault="00712B3F" w:rsidP="009740B6">
      <w:pPr>
        <w:pStyle w:val="Calloutbox"/>
        <w:rPr>
          <w:b w:val="0"/>
          <w:bCs/>
          <w:color w:val="000000" w:themeColor="text1"/>
          <w:szCs w:val="24"/>
        </w:rPr>
      </w:pPr>
    </w:p>
    <w:p w14:paraId="7EE9DC38" w14:textId="77777777" w:rsidR="0080588A" w:rsidRPr="009740B6" w:rsidRDefault="00750B4A" w:rsidP="009740B6">
      <w:pPr>
        <w:pStyle w:val="Calloutbox"/>
        <w:rPr>
          <w:sz w:val="28"/>
        </w:rPr>
      </w:pPr>
      <w:r w:rsidRPr="009740B6">
        <w:rPr>
          <w:sz w:val="28"/>
        </w:rPr>
        <w:t>Recommendation 16:</w:t>
      </w:r>
    </w:p>
    <w:p w14:paraId="1D30C989" w14:textId="16FC5D66" w:rsidR="00731237" w:rsidRPr="00C77D28" w:rsidRDefault="009740B6" w:rsidP="009740B6">
      <w:pPr>
        <w:pStyle w:val="Calloutbox"/>
        <w:rPr>
          <w:rFonts w:cs="Arial (Body CS)"/>
          <w:b w:val="0"/>
          <w:bCs/>
          <w:color w:val="000000" w:themeColor="text1"/>
          <w:spacing w:val="-2"/>
          <w:sz w:val="28"/>
        </w:rPr>
      </w:pPr>
      <w:r w:rsidRPr="00C77D28">
        <w:rPr>
          <w:rFonts w:cs="Arial (Body CS)"/>
          <w:b w:val="0"/>
          <w:bCs/>
          <w:color w:val="000000" w:themeColor="text1"/>
          <w:spacing w:val="-2"/>
          <w:sz w:val="28"/>
        </w:rPr>
        <w:t>T</w:t>
      </w:r>
      <w:r w:rsidR="00750B4A" w:rsidRPr="00C77D28">
        <w:rPr>
          <w:rFonts w:cs="Arial (Body CS)"/>
          <w:b w:val="0"/>
          <w:bCs/>
          <w:color w:val="000000" w:themeColor="text1"/>
          <w:spacing w:val="-2"/>
          <w:sz w:val="28"/>
        </w:rPr>
        <w:t xml:space="preserve">hat the </w:t>
      </w:r>
      <w:r w:rsidR="00EB0FCC">
        <w:rPr>
          <w:rFonts w:cs="Arial (Body CS)"/>
          <w:b w:val="0"/>
          <w:bCs/>
          <w:color w:val="000000" w:themeColor="text1"/>
          <w:spacing w:val="-2"/>
          <w:sz w:val="28"/>
        </w:rPr>
        <w:t>Australian</w:t>
      </w:r>
      <w:r w:rsidR="00750B4A" w:rsidRPr="00C77D28">
        <w:rPr>
          <w:rFonts w:cs="Arial (Body CS)"/>
          <w:b w:val="0"/>
          <w:bCs/>
          <w:color w:val="000000" w:themeColor="text1"/>
          <w:spacing w:val="-2"/>
          <w:sz w:val="28"/>
        </w:rPr>
        <w:t xml:space="preserve"> Government use an opt-in, activist model in seeking out small business inventions which are in need of commercialisation and patenting advice.</w:t>
      </w:r>
    </w:p>
    <w:p w14:paraId="6155556E" w14:textId="77777777" w:rsidR="008731F6" w:rsidRPr="00C8528E" w:rsidRDefault="008731F6">
      <w:pPr>
        <w:rPr>
          <w:rFonts w:asciiTheme="majorHAnsi" w:eastAsiaTheme="majorEastAsia" w:hAnsiTheme="majorHAnsi" w:cstheme="majorBidi"/>
          <w:color w:val="005677" w:themeColor="text2"/>
          <w:sz w:val="48"/>
          <w:szCs w:val="32"/>
        </w:rPr>
      </w:pPr>
      <w:bookmarkStart w:id="136" w:name="_Toc51682547"/>
      <w:bookmarkStart w:id="137" w:name="_Toc51685667"/>
      <w:bookmarkStart w:id="138" w:name="_Toc51688746"/>
      <w:bookmarkStart w:id="139" w:name="_Toc51759070"/>
      <w:bookmarkEnd w:id="135"/>
      <w:r w:rsidRPr="00C8528E">
        <w:br w:type="page"/>
      </w:r>
    </w:p>
    <w:p w14:paraId="21B4846D" w14:textId="0AB1D10D" w:rsidR="66F2415A" w:rsidRPr="00CD14EE" w:rsidRDefault="00A76C4B" w:rsidP="00102432">
      <w:pPr>
        <w:pStyle w:val="Heading1"/>
        <w:rPr>
          <w:szCs w:val="40"/>
        </w:rPr>
      </w:pPr>
      <w:bookmarkStart w:id="140" w:name="_Toc60760622"/>
      <w:bookmarkStart w:id="141" w:name="_Toc60834808"/>
      <w:bookmarkStart w:id="142" w:name="_Toc60836758"/>
      <w:bookmarkStart w:id="143" w:name="_Toc60997747"/>
      <w:bookmarkStart w:id="144" w:name="_Toc61015561"/>
      <w:bookmarkStart w:id="145" w:name="_Toc61269593"/>
      <w:bookmarkStart w:id="146" w:name="_Toc61356701"/>
      <w:bookmarkStart w:id="147" w:name="_Toc65159311"/>
      <w:bookmarkEnd w:id="136"/>
      <w:bookmarkEnd w:id="137"/>
      <w:bookmarkEnd w:id="138"/>
      <w:bookmarkEnd w:id="139"/>
      <w:r>
        <w:lastRenderedPageBreak/>
        <w:t xml:space="preserve">1 </w:t>
      </w:r>
      <w:r w:rsidR="004901AC">
        <w:t xml:space="preserve">Background </w:t>
      </w:r>
      <w:r w:rsidR="00D06465">
        <w:t>and conduct of</w:t>
      </w:r>
      <w:r w:rsidR="004901AC">
        <w:t xml:space="preserve"> the review</w:t>
      </w:r>
      <w:bookmarkEnd w:id="140"/>
      <w:bookmarkEnd w:id="141"/>
      <w:bookmarkEnd w:id="142"/>
      <w:bookmarkEnd w:id="143"/>
      <w:bookmarkEnd w:id="144"/>
      <w:bookmarkEnd w:id="145"/>
      <w:bookmarkEnd w:id="146"/>
      <w:bookmarkEnd w:id="147"/>
    </w:p>
    <w:p w14:paraId="70A8708A" w14:textId="4BC103BC" w:rsidR="009765DC" w:rsidRPr="007E6AE3" w:rsidRDefault="00C114ED" w:rsidP="00A76C4B">
      <w:pPr>
        <w:rPr>
          <w:szCs w:val="24"/>
        </w:rPr>
      </w:pPr>
      <w:r w:rsidRPr="007E6AE3">
        <w:rPr>
          <w:szCs w:val="24"/>
        </w:rPr>
        <w:t xml:space="preserve">This review </w:t>
      </w:r>
      <w:r w:rsidR="00351DB6" w:rsidRPr="007E6AE3">
        <w:rPr>
          <w:szCs w:val="24"/>
        </w:rPr>
        <w:t>is</w:t>
      </w:r>
      <w:r w:rsidRPr="007E6AE3">
        <w:rPr>
          <w:szCs w:val="24"/>
        </w:rPr>
        <w:t xml:space="preserve"> set in the context of the Productivity Commission</w:t>
      </w:r>
      <w:r w:rsidR="00B932A8" w:rsidRPr="007E6AE3">
        <w:rPr>
          <w:szCs w:val="24"/>
        </w:rPr>
        <w:t xml:space="preserve"> (PC)</w:t>
      </w:r>
      <w:r w:rsidRPr="007E6AE3">
        <w:rPr>
          <w:szCs w:val="24"/>
        </w:rPr>
        <w:t xml:space="preserve"> Inquiry Report No. 78, September 2016, </w:t>
      </w:r>
      <w:r w:rsidRPr="007E6AE3">
        <w:rPr>
          <w:i/>
          <w:iCs/>
          <w:szCs w:val="24"/>
        </w:rPr>
        <w:t>Intellectual Property</w:t>
      </w:r>
      <w:r w:rsidRPr="007E6AE3">
        <w:rPr>
          <w:szCs w:val="24"/>
        </w:rPr>
        <w:t xml:space="preserve"> </w:t>
      </w:r>
      <w:r w:rsidRPr="007E6AE3">
        <w:rPr>
          <w:i/>
          <w:iCs/>
          <w:szCs w:val="24"/>
        </w:rPr>
        <w:t>Arrangements</w:t>
      </w:r>
      <w:r w:rsidRPr="007E6AE3">
        <w:rPr>
          <w:szCs w:val="24"/>
        </w:rPr>
        <w:t xml:space="preserve">, and of government and public responses to the proposals made in that </w:t>
      </w:r>
      <w:r w:rsidR="00DB0D0B" w:rsidRPr="007E6AE3">
        <w:rPr>
          <w:szCs w:val="24"/>
        </w:rPr>
        <w:t>i</w:t>
      </w:r>
      <w:r w:rsidRPr="007E6AE3">
        <w:rPr>
          <w:szCs w:val="24"/>
        </w:rPr>
        <w:t xml:space="preserve">nquiry </w:t>
      </w:r>
      <w:r w:rsidR="00DB0D0B" w:rsidRPr="007E6AE3">
        <w:rPr>
          <w:szCs w:val="24"/>
        </w:rPr>
        <w:t>r</w:t>
      </w:r>
      <w:r w:rsidRPr="007E6AE3">
        <w:rPr>
          <w:szCs w:val="24"/>
        </w:rPr>
        <w:t>eport. The Parliament legislated certain changes</w:t>
      </w:r>
      <w:r w:rsidR="00740A7E" w:rsidRPr="007E6AE3">
        <w:rPr>
          <w:szCs w:val="24"/>
        </w:rPr>
        <w:t>,</w:t>
      </w:r>
      <w:r w:rsidRPr="007E6AE3">
        <w:rPr>
          <w:szCs w:val="24"/>
        </w:rPr>
        <w:t xml:space="preserve"> </w:t>
      </w:r>
      <w:r w:rsidR="00740A7E" w:rsidRPr="007E6AE3">
        <w:rPr>
          <w:szCs w:val="24"/>
        </w:rPr>
        <w:t xml:space="preserve">including a requirement that </w:t>
      </w:r>
      <w:r w:rsidR="00EC75CA" w:rsidRPr="007E6AE3">
        <w:rPr>
          <w:szCs w:val="24"/>
        </w:rPr>
        <w:t>certain</w:t>
      </w:r>
      <w:r w:rsidRPr="007E6AE3">
        <w:rPr>
          <w:szCs w:val="24"/>
        </w:rPr>
        <w:t xml:space="preserve"> issues be </w:t>
      </w:r>
      <w:r w:rsidR="00B362E3" w:rsidRPr="007E6AE3">
        <w:rPr>
          <w:szCs w:val="24"/>
        </w:rPr>
        <w:t>reviewed</w:t>
      </w:r>
      <w:r w:rsidRPr="007E6AE3">
        <w:rPr>
          <w:szCs w:val="24"/>
        </w:rPr>
        <w:t xml:space="preserve"> </w:t>
      </w:r>
      <w:r w:rsidR="007967F7" w:rsidRPr="007E6AE3">
        <w:rPr>
          <w:szCs w:val="24"/>
        </w:rPr>
        <w:t>in the wake of th</w:t>
      </w:r>
      <w:r w:rsidR="0064101A" w:rsidRPr="007E6AE3">
        <w:rPr>
          <w:szCs w:val="24"/>
        </w:rPr>
        <w:t>e</w:t>
      </w:r>
      <w:r w:rsidR="007967F7" w:rsidRPr="007E6AE3">
        <w:rPr>
          <w:szCs w:val="24"/>
        </w:rPr>
        <w:t>se changes</w:t>
      </w:r>
      <w:r w:rsidR="0064101A" w:rsidRPr="007E6AE3">
        <w:rPr>
          <w:szCs w:val="24"/>
        </w:rPr>
        <w:t xml:space="preserve"> </w:t>
      </w:r>
      <w:r w:rsidRPr="007E6AE3">
        <w:rPr>
          <w:szCs w:val="24"/>
        </w:rPr>
        <w:t>(see extract below)</w:t>
      </w:r>
      <w:r w:rsidR="0064101A" w:rsidRPr="007E6AE3">
        <w:rPr>
          <w:szCs w:val="24"/>
        </w:rPr>
        <w:t>.</w:t>
      </w:r>
      <w:r w:rsidR="005015ED" w:rsidRPr="007E6AE3">
        <w:rPr>
          <w:szCs w:val="24"/>
        </w:rPr>
        <w:t xml:space="preserve"> </w:t>
      </w:r>
    </w:p>
    <w:p w14:paraId="72470804" w14:textId="758BF3CD" w:rsidR="00A76C4B" w:rsidRDefault="009765DC" w:rsidP="003C7E7F">
      <w:pPr>
        <w:pStyle w:val="Heading2"/>
        <w:rPr>
          <w:sz w:val="36"/>
          <w:szCs w:val="36"/>
        </w:rPr>
      </w:pPr>
      <w:r>
        <w:t xml:space="preserve">The </w:t>
      </w:r>
      <w:r w:rsidR="001C3A04">
        <w:t>r</w:t>
      </w:r>
      <w:r>
        <w:t>eview</w:t>
      </w:r>
      <w:r w:rsidR="008A4A92">
        <w:t xml:space="preserve"> </w:t>
      </w:r>
      <w:r w:rsidR="001C3A04">
        <w:t>p</w:t>
      </w:r>
      <w:r w:rsidR="008A4A92">
        <w:t>rocess</w:t>
      </w:r>
    </w:p>
    <w:p w14:paraId="00C94613" w14:textId="5B61BB57" w:rsidR="00C114ED" w:rsidRPr="007E6AE3" w:rsidRDefault="008B4737" w:rsidP="00A76C4B">
      <w:pPr>
        <w:rPr>
          <w:szCs w:val="24"/>
        </w:rPr>
      </w:pPr>
      <w:r w:rsidRPr="007E6AE3">
        <w:rPr>
          <w:szCs w:val="24"/>
        </w:rPr>
        <w:t>S</w:t>
      </w:r>
      <w:r w:rsidR="00C114ED" w:rsidRPr="007E6AE3">
        <w:rPr>
          <w:szCs w:val="24"/>
        </w:rPr>
        <w:t xml:space="preserve">oundings were taken on these </w:t>
      </w:r>
      <w:r w:rsidRPr="007E6AE3">
        <w:rPr>
          <w:szCs w:val="24"/>
        </w:rPr>
        <w:t>issues</w:t>
      </w:r>
      <w:r w:rsidR="00E61223" w:rsidRPr="007E6AE3">
        <w:rPr>
          <w:szCs w:val="24"/>
        </w:rPr>
        <w:t>,</w:t>
      </w:r>
      <w:r w:rsidRPr="007E6AE3">
        <w:rPr>
          <w:szCs w:val="24"/>
        </w:rPr>
        <w:t xml:space="preserve"> </w:t>
      </w:r>
      <w:r w:rsidR="00C114ED" w:rsidRPr="007E6AE3">
        <w:rPr>
          <w:szCs w:val="24"/>
        </w:rPr>
        <w:t>firstly by a series of 5</w:t>
      </w:r>
      <w:r w:rsidR="39D7960C" w:rsidRPr="007E6AE3">
        <w:rPr>
          <w:szCs w:val="24"/>
        </w:rPr>
        <w:t>5</w:t>
      </w:r>
      <w:r w:rsidR="00C114ED" w:rsidRPr="007E6AE3">
        <w:rPr>
          <w:szCs w:val="24"/>
        </w:rPr>
        <w:t xml:space="preserve"> oral consultations conducted by the team, </w:t>
      </w:r>
      <w:r w:rsidR="00FF1CCD" w:rsidRPr="007E6AE3">
        <w:rPr>
          <w:szCs w:val="24"/>
        </w:rPr>
        <w:t xml:space="preserve">predominantly </w:t>
      </w:r>
      <w:r w:rsidRPr="007E6AE3">
        <w:rPr>
          <w:szCs w:val="24"/>
        </w:rPr>
        <w:t>with</w:t>
      </w:r>
      <w:r w:rsidR="00C114ED" w:rsidRPr="007E6AE3">
        <w:rPr>
          <w:szCs w:val="24"/>
        </w:rPr>
        <w:t xml:space="preserve"> small to medium </w:t>
      </w:r>
      <w:r w:rsidR="00EB332A" w:rsidRPr="007E6AE3">
        <w:rPr>
          <w:szCs w:val="24"/>
        </w:rPr>
        <w:t xml:space="preserve">enterprises </w:t>
      </w:r>
      <w:r w:rsidR="008C0533" w:rsidRPr="007E6AE3">
        <w:rPr>
          <w:szCs w:val="24"/>
        </w:rPr>
        <w:t xml:space="preserve">(SME) </w:t>
      </w:r>
      <w:r w:rsidR="00C114ED" w:rsidRPr="007E6AE3">
        <w:rPr>
          <w:szCs w:val="24"/>
        </w:rPr>
        <w:t xml:space="preserve">representatives involved in </w:t>
      </w:r>
      <w:r w:rsidR="00B362E3" w:rsidRPr="007E6AE3">
        <w:rPr>
          <w:szCs w:val="24"/>
        </w:rPr>
        <w:t>innovative</w:t>
      </w:r>
      <w:r w:rsidR="00C114ED" w:rsidRPr="007E6AE3">
        <w:rPr>
          <w:szCs w:val="24"/>
        </w:rPr>
        <w:t xml:space="preserve"> companies, but also including specialists such as finance brokers, </w:t>
      </w:r>
      <w:r w:rsidR="001F666F" w:rsidRPr="007E6AE3">
        <w:rPr>
          <w:szCs w:val="24"/>
        </w:rPr>
        <w:t xml:space="preserve">academic experts, </w:t>
      </w:r>
      <w:r w:rsidR="00C114ED" w:rsidRPr="007E6AE3">
        <w:rPr>
          <w:szCs w:val="24"/>
        </w:rPr>
        <w:t>commercialisation advisors, patent attorneys, solicitors and judges. These interviews provided the basis for developing a discussion paper containing certain focused questions</w:t>
      </w:r>
      <w:r w:rsidR="00FF1CCD" w:rsidRPr="007E6AE3">
        <w:rPr>
          <w:szCs w:val="24"/>
        </w:rPr>
        <w:t>. T</w:t>
      </w:r>
      <w:r w:rsidR="00C114ED" w:rsidRPr="007E6AE3">
        <w:rPr>
          <w:szCs w:val="24"/>
        </w:rPr>
        <w:t xml:space="preserve">his paper was </w:t>
      </w:r>
      <w:r w:rsidR="00FF1CCD" w:rsidRPr="007E6AE3">
        <w:rPr>
          <w:szCs w:val="24"/>
        </w:rPr>
        <w:t xml:space="preserve">then </w:t>
      </w:r>
      <w:r w:rsidR="00C114ED" w:rsidRPr="007E6AE3">
        <w:rPr>
          <w:szCs w:val="24"/>
        </w:rPr>
        <w:t>publicised on the Department</w:t>
      </w:r>
      <w:r w:rsidR="005C6A14">
        <w:rPr>
          <w:szCs w:val="24"/>
        </w:rPr>
        <w:t>’s</w:t>
      </w:r>
      <w:r w:rsidR="00C114ED" w:rsidRPr="007E6AE3">
        <w:rPr>
          <w:szCs w:val="24"/>
        </w:rPr>
        <w:t xml:space="preserve"> website,</w:t>
      </w:r>
      <w:r w:rsidR="00C114ED" w:rsidRPr="007E6AE3">
        <w:rPr>
          <w:rStyle w:val="FootnoteReference"/>
          <w:szCs w:val="24"/>
        </w:rPr>
        <w:footnoteReference w:id="2"/>
      </w:r>
      <w:r w:rsidR="00C114ED" w:rsidRPr="007E6AE3">
        <w:rPr>
          <w:szCs w:val="24"/>
        </w:rPr>
        <w:t xml:space="preserve"> and also via email communication, and written submissions on these questions were </w:t>
      </w:r>
      <w:r w:rsidR="00E16C6E" w:rsidRPr="007E6AE3">
        <w:rPr>
          <w:szCs w:val="24"/>
        </w:rPr>
        <w:t xml:space="preserve">invited. </w:t>
      </w:r>
      <w:r w:rsidR="00FF1CCD" w:rsidRPr="007E6AE3">
        <w:rPr>
          <w:szCs w:val="24"/>
        </w:rPr>
        <w:t xml:space="preserve">Twenty-two </w:t>
      </w:r>
      <w:r w:rsidR="00E16C6E" w:rsidRPr="007E6AE3">
        <w:rPr>
          <w:szCs w:val="24"/>
        </w:rPr>
        <w:t>s</w:t>
      </w:r>
      <w:r w:rsidR="00C114ED" w:rsidRPr="007E6AE3">
        <w:rPr>
          <w:szCs w:val="24"/>
        </w:rPr>
        <w:t xml:space="preserve">ubmissions were received and reviewed. </w:t>
      </w:r>
    </w:p>
    <w:p w14:paraId="578AB598" w14:textId="62F9ED1A" w:rsidR="009C2735" w:rsidRPr="007E6AE3" w:rsidRDefault="00F8381D" w:rsidP="00712B3F">
      <w:pPr>
        <w:spacing w:before="240" w:after="240"/>
        <w:rPr>
          <w:szCs w:val="24"/>
        </w:rPr>
      </w:pPr>
      <w:r w:rsidRPr="007E6AE3">
        <w:rPr>
          <w:szCs w:val="24"/>
        </w:rPr>
        <w:t xml:space="preserve">Throughout the review, expertise was sought from many sections of the </w:t>
      </w:r>
      <w:r w:rsidR="002F112B" w:rsidRPr="007E6AE3">
        <w:rPr>
          <w:szCs w:val="24"/>
        </w:rPr>
        <w:t>Department</w:t>
      </w:r>
      <w:r w:rsidR="002F112B">
        <w:rPr>
          <w:szCs w:val="24"/>
        </w:rPr>
        <w:t xml:space="preserve"> </w:t>
      </w:r>
      <w:r w:rsidR="002F112B" w:rsidRPr="007E6AE3">
        <w:rPr>
          <w:szCs w:val="24"/>
        </w:rPr>
        <w:t>of</w:t>
      </w:r>
      <w:r w:rsidR="002F112B">
        <w:rPr>
          <w:szCs w:val="24"/>
        </w:rPr>
        <w:t xml:space="preserve"> </w:t>
      </w:r>
      <w:r w:rsidRPr="007E6AE3">
        <w:rPr>
          <w:szCs w:val="24"/>
        </w:rPr>
        <w:t>Industry</w:t>
      </w:r>
      <w:r w:rsidR="002F112B" w:rsidRPr="007E6AE3">
        <w:rPr>
          <w:szCs w:val="24"/>
        </w:rPr>
        <w:t>,</w:t>
      </w:r>
      <w:r w:rsidR="002F112B">
        <w:rPr>
          <w:szCs w:val="24"/>
        </w:rPr>
        <w:t xml:space="preserve"> </w:t>
      </w:r>
      <w:r w:rsidRPr="007E6AE3">
        <w:rPr>
          <w:szCs w:val="24"/>
        </w:rPr>
        <w:t>Science</w:t>
      </w:r>
      <w:r w:rsidR="002F112B" w:rsidRPr="007E6AE3">
        <w:rPr>
          <w:szCs w:val="24"/>
        </w:rPr>
        <w:t>,</w:t>
      </w:r>
      <w:r w:rsidR="002F112B">
        <w:rPr>
          <w:szCs w:val="24"/>
        </w:rPr>
        <w:t xml:space="preserve"> </w:t>
      </w:r>
      <w:r w:rsidR="002F112B" w:rsidRPr="007E6AE3">
        <w:rPr>
          <w:szCs w:val="24"/>
        </w:rPr>
        <w:t>Energy</w:t>
      </w:r>
      <w:r w:rsidR="002F112B">
        <w:rPr>
          <w:szCs w:val="24"/>
        </w:rPr>
        <w:t xml:space="preserve"> </w:t>
      </w:r>
      <w:r w:rsidR="002F112B" w:rsidRPr="007E6AE3">
        <w:rPr>
          <w:szCs w:val="24"/>
        </w:rPr>
        <w:t>and</w:t>
      </w:r>
      <w:r w:rsidR="002F112B">
        <w:rPr>
          <w:szCs w:val="24"/>
        </w:rPr>
        <w:t xml:space="preserve"> </w:t>
      </w:r>
      <w:r w:rsidR="002F112B" w:rsidRPr="007E6AE3">
        <w:rPr>
          <w:szCs w:val="24"/>
        </w:rPr>
        <w:t>Resources</w:t>
      </w:r>
      <w:r w:rsidR="002F112B">
        <w:rPr>
          <w:szCs w:val="24"/>
        </w:rPr>
        <w:t xml:space="preserve"> </w:t>
      </w:r>
      <w:r w:rsidRPr="007E6AE3">
        <w:rPr>
          <w:szCs w:val="24"/>
        </w:rPr>
        <w:t xml:space="preserve">(DISER). </w:t>
      </w:r>
    </w:p>
    <w:p w14:paraId="0A536122" w14:textId="351A138B" w:rsidR="009C2735" w:rsidRDefault="00B5393C">
      <w:pPr>
        <w:rPr>
          <w:rFonts w:asciiTheme="majorHAnsi" w:eastAsiaTheme="majorEastAsia" w:hAnsiTheme="majorHAnsi" w:cstheme="majorBidi"/>
          <w:color w:val="005677" w:themeColor="text2"/>
          <w:sz w:val="48"/>
          <w:szCs w:val="32"/>
        </w:rPr>
      </w:pPr>
      <w:r w:rsidRPr="007E6AE3">
        <w:rPr>
          <w:szCs w:val="24"/>
        </w:rPr>
        <w:t>Desktop r</w:t>
      </w:r>
      <w:r w:rsidR="00CF74A1" w:rsidRPr="007E6AE3">
        <w:rPr>
          <w:szCs w:val="24"/>
        </w:rPr>
        <w:t xml:space="preserve">esearch was </w:t>
      </w:r>
      <w:r w:rsidRPr="007E6AE3">
        <w:rPr>
          <w:szCs w:val="24"/>
        </w:rPr>
        <w:t xml:space="preserve">also </w:t>
      </w:r>
      <w:r w:rsidR="00CF74A1" w:rsidRPr="007E6AE3">
        <w:rPr>
          <w:szCs w:val="24"/>
        </w:rPr>
        <w:t>undertake</w:t>
      </w:r>
      <w:r w:rsidR="00F8381D" w:rsidRPr="007E6AE3">
        <w:rPr>
          <w:szCs w:val="24"/>
        </w:rPr>
        <w:t xml:space="preserve">n, as indicated by </w:t>
      </w:r>
      <w:r w:rsidR="0081091E" w:rsidRPr="007E6AE3">
        <w:rPr>
          <w:szCs w:val="24"/>
        </w:rPr>
        <w:t xml:space="preserve">the </w:t>
      </w:r>
      <w:r w:rsidR="00F8381D" w:rsidRPr="007E6AE3">
        <w:rPr>
          <w:szCs w:val="24"/>
        </w:rPr>
        <w:t>attached</w:t>
      </w:r>
      <w:r w:rsidR="00F8381D" w:rsidRPr="007E6AE3" w:rsidDel="00F8381D">
        <w:rPr>
          <w:szCs w:val="24"/>
        </w:rPr>
        <w:t xml:space="preserve"> </w:t>
      </w:r>
      <w:r w:rsidR="00CF74A1" w:rsidRPr="007E6AE3">
        <w:rPr>
          <w:szCs w:val="24"/>
        </w:rPr>
        <w:t>bibliography, which con</w:t>
      </w:r>
      <w:r w:rsidR="00BB160D" w:rsidRPr="007E6AE3">
        <w:rPr>
          <w:szCs w:val="24"/>
        </w:rPr>
        <w:t>ta</w:t>
      </w:r>
      <w:r w:rsidR="00CF74A1" w:rsidRPr="007E6AE3">
        <w:rPr>
          <w:szCs w:val="24"/>
        </w:rPr>
        <w:t xml:space="preserve">ins not only academic papers but also </w:t>
      </w:r>
      <w:r w:rsidR="00376B4F" w:rsidRPr="007E6AE3">
        <w:rPr>
          <w:szCs w:val="24"/>
        </w:rPr>
        <w:t>occasional lectures and social media commentary</w:t>
      </w:r>
      <w:r w:rsidR="00BB160D" w:rsidRPr="007E6AE3">
        <w:rPr>
          <w:szCs w:val="24"/>
        </w:rPr>
        <w:t>.</w:t>
      </w:r>
      <w:bookmarkStart w:id="148" w:name="_Toc60760623"/>
      <w:bookmarkStart w:id="149" w:name="_Toc60834809"/>
      <w:bookmarkStart w:id="150" w:name="_Toc60836759"/>
      <w:bookmarkStart w:id="151" w:name="_Toc60997748"/>
      <w:bookmarkStart w:id="152" w:name="_Toc61015562"/>
      <w:bookmarkStart w:id="153" w:name="_Toc61269594"/>
      <w:bookmarkStart w:id="154" w:name="_Toc61356702"/>
      <w:r w:rsidR="009C2735">
        <w:br w:type="page"/>
      </w:r>
    </w:p>
    <w:p w14:paraId="4BA6DC69" w14:textId="286A1FD1" w:rsidR="7A33F704" w:rsidRPr="00A76C4B" w:rsidRDefault="00276D67" w:rsidP="00102432">
      <w:pPr>
        <w:pStyle w:val="Heading1"/>
        <w:rPr>
          <w:b/>
          <w:bCs/>
        </w:rPr>
      </w:pPr>
      <w:bookmarkStart w:id="155" w:name="_Toc65159312"/>
      <w:r>
        <w:lastRenderedPageBreak/>
        <w:t xml:space="preserve">2 </w:t>
      </w:r>
      <w:r w:rsidR="07062C8F" w:rsidRPr="7A33F704">
        <w:t>T</w:t>
      </w:r>
      <w:r w:rsidR="00A76C4B">
        <w:t>he issues</w:t>
      </w:r>
      <w:bookmarkEnd w:id="148"/>
      <w:bookmarkEnd w:id="149"/>
      <w:bookmarkEnd w:id="150"/>
      <w:bookmarkEnd w:id="151"/>
      <w:bookmarkEnd w:id="152"/>
      <w:bookmarkEnd w:id="153"/>
      <w:bookmarkEnd w:id="154"/>
      <w:bookmarkEnd w:id="155"/>
    </w:p>
    <w:p w14:paraId="2F89E98D" w14:textId="6C2CF292" w:rsidR="00C114ED" w:rsidRPr="007E6AE3" w:rsidRDefault="07062C8F" w:rsidP="005015ED">
      <w:pPr>
        <w:spacing w:before="240"/>
        <w:rPr>
          <w:szCs w:val="24"/>
        </w:rPr>
      </w:pPr>
      <w:r w:rsidRPr="007E6AE3">
        <w:rPr>
          <w:szCs w:val="24"/>
        </w:rPr>
        <w:t>A</w:t>
      </w:r>
      <w:r w:rsidR="00C114ED" w:rsidRPr="007E6AE3">
        <w:rPr>
          <w:szCs w:val="24"/>
        </w:rPr>
        <w:t xml:space="preserve">n extract from the relevant legislation highlights the </w:t>
      </w:r>
      <w:r w:rsidR="00953591" w:rsidRPr="007E6AE3">
        <w:rPr>
          <w:szCs w:val="24"/>
        </w:rPr>
        <w:t>questions</w:t>
      </w:r>
      <w:r w:rsidR="00C114ED" w:rsidRPr="007E6AE3">
        <w:rPr>
          <w:szCs w:val="24"/>
        </w:rPr>
        <w:t xml:space="preserve"> which were of concern to the Senate</w:t>
      </w:r>
      <w:r w:rsidR="007F7554" w:rsidRPr="007E6AE3">
        <w:rPr>
          <w:szCs w:val="24"/>
        </w:rPr>
        <w:t>.</w:t>
      </w:r>
      <w:r w:rsidR="00C114ED" w:rsidRPr="007E6AE3">
        <w:rPr>
          <w:rStyle w:val="FootnoteReference"/>
          <w:szCs w:val="24"/>
        </w:rPr>
        <w:footnoteReference w:id="3"/>
      </w:r>
      <w:r w:rsidR="00C114ED" w:rsidRPr="007E6AE3">
        <w:rPr>
          <w:szCs w:val="24"/>
        </w:rPr>
        <w:t xml:space="preserve"> </w:t>
      </w:r>
    </w:p>
    <w:p w14:paraId="58D18CA7" w14:textId="43D637CD" w:rsidR="00C114ED" w:rsidRPr="007E6AE3" w:rsidRDefault="00C114ED" w:rsidP="00A11283">
      <w:pPr>
        <w:pStyle w:val="acthead5"/>
        <w:shd w:val="clear" w:color="auto" w:fill="FFFFFF"/>
        <w:spacing w:before="280" w:beforeAutospacing="0" w:after="0" w:afterAutospacing="0"/>
        <w:ind w:left="1418" w:hanging="1134"/>
        <w:rPr>
          <w:rFonts w:ascii="Calibri" w:hAnsi="Calibri" w:cs="Calibri"/>
          <w:b/>
          <w:color w:val="000000"/>
        </w:rPr>
      </w:pPr>
      <w:bookmarkStart w:id="156" w:name="_Toc34031901"/>
      <w:r w:rsidRPr="007E6AE3">
        <w:rPr>
          <w:rFonts w:ascii="Calibri" w:hAnsi="Calibri" w:cs="Calibri"/>
          <w:b/>
          <w:color w:val="000000"/>
        </w:rPr>
        <w:t>Review of the accessibility of patents</w:t>
      </w:r>
      <w:bookmarkStart w:id="157" w:name="BK_S1P1L22C43"/>
      <w:bookmarkEnd w:id="156"/>
      <w:bookmarkEnd w:id="157"/>
    </w:p>
    <w:p w14:paraId="7A0DD8FA" w14:textId="2C17CF7A" w:rsidR="00C114ED" w:rsidRPr="007E6AE3" w:rsidRDefault="00C114ED" w:rsidP="00A11283">
      <w:pPr>
        <w:pStyle w:val="subsection"/>
        <w:numPr>
          <w:ilvl w:val="0"/>
          <w:numId w:val="33"/>
        </w:numPr>
        <w:shd w:val="clear" w:color="auto" w:fill="FFFFFF" w:themeFill="background1"/>
        <w:spacing w:before="180" w:beforeAutospacing="0" w:after="0" w:afterAutospacing="0"/>
        <w:ind w:left="720"/>
        <w:rPr>
          <w:rFonts w:ascii="Calibri" w:hAnsi="Calibri" w:cs="Calibri"/>
          <w:i/>
          <w:color w:val="000000"/>
        </w:rPr>
      </w:pPr>
      <w:bookmarkStart w:id="158" w:name="BK_S1P1L23C5"/>
      <w:bookmarkEnd w:id="158"/>
      <w:r w:rsidRPr="007E6AE3">
        <w:rPr>
          <w:rFonts w:ascii="Calibri" w:hAnsi="Calibri" w:cs="Calibri"/>
          <w:i/>
          <w:color w:val="000000" w:themeColor="text1"/>
        </w:rPr>
        <w:t>The Minister must cause a review of the accessibility of patents for small and medium sized enterprises within 3</w:t>
      </w:r>
      <w:bookmarkStart w:id="159" w:name="opcCurrentPosition"/>
      <w:bookmarkEnd w:id="159"/>
      <w:r w:rsidRPr="007E6AE3">
        <w:rPr>
          <w:rFonts w:ascii="Calibri" w:hAnsi="Calibri" w:cs="Calibri"/>
          <w:i/>
          <w:color w:val="000000" w:themeColor="text1"/>
        </w:rPr>
        <w:t> </w:t>
      </w:r>
      <w:bookmarkStart w:id="160" w:name="BK_S1P1L24C26"/>
      <w:bookmarkEnd w:id="160"/>
      <w:r w:rsidRPr="007E6AE3">
        <w:rPr>
          <w:rFonts w:ascii="Calibri" w:hAnsi="Calibri" w:cs="Calibri"/>
          <w:i/>
          <w:color w:val="000000" w:themeColor="text1"/>
        </w:rPr>
        <w:t>months of the commencement of this section.</w:t>
      </w:r>
      <w:bookmarkStart w:id="161" w:name="BK_S1P1L24C70"/>
      <w:bookmarkEnd w:id="161"/>
    </w:p>
    <w:p w14:paraId="0049E7C2" w14:textId="36B819E7" w:rsidR="00C114ED" w:rsidRPr="007E6AE3" w:rsidRDefault="00C114ED" w:rsidP="00A11283">
      <w:pPr>
        <w:pStyle w:val="subsection"/>
        <w:numPr>
          <w:ilvl w:val="0"/>
          <w:numId w:val="33"/>
        </w:numPr>
        <w:shd w:val="clear" w:color="auto" w:fill="FFFFFF" w:themeFill="background1"/>
        <w:spacing w:before="180" w:beforeAutospacing="0" w:after="0" w:afterAutospacing="0"/>
        <w:ind w:left="720"/>
        <w:rPr>
          <w:rFonts w:ascii="Calibri" w:hAnsi="Calibri" w:cs="Calibri"/>
          <w:i/>
          <w:color w:val="000000" w:themeColor="text1"/>
        </w:rPr>
      </w:pPr>
      <w:r w:rsidRPr="007E6AE3">
        <w:rPr>
          <w:rFonts w:ascii="Calibri" w:hAnsi="Calibri" w:cs="Calibri"/>
          <w:i/>
          <w:color w:val="000000" w:themeColor="text1"/>
        </w:rPr>
        <w:t>Without limiting the matters the review should consider, the persons conducting the review must examine:</w:t>
      </w:r>
    </w:p>
    <w:p w14:paraId="2AE801F4" w14:textId="48E39A1F" w:rsidR="005015ED" w:rsidRPr="007E6AE3" w:rsidRDefault="00C114ED" w:rsidP="00A11283">
      <w:pPr>
        <w:pStyle w:val="paragraph"/>
        <w:numPr>
          <w:ilvl w:val="0"/>
          <w:numId w:val="51"/>
        </w:numPr>
        <w:shd w:val="clear" w:color="auto" w:fill="FFFFFF" w:themeFill="background1"/>
        <w:tabs>
          <w:tab w:val="left" w:pos="1701"/>
          <w:tab w:val="left" w:pos="1843"/>
        </w:tabs>
        <w:spacing w:before="40" w:beforeAutospacing="0" w:after="0" w:afterAutospacing="0"/>
        <w:ind w:left="1236"/>
        <w:rPr>
          <w:rFonts w:ascii="Calibri" w:hAnsi="Calibri" w:cs="Calibri"/>
          <w:i/>
          <w:color w:val="000000" w:themeColor="text1"/>
        </w:rPr>
      </w:pPr>
      <w:bookmarkStart w:id="162" w:name="BK_S1P1L27C5"/>
      <w:bookmarkEnd w:id="162"/>
      <w:r w:rsidRPr="007E6AE3">
        <w:rPr>
          <w:rFonts w:ascii="Calibri" w:hAnsi="Calibri" w:cs="Calibri"/>
          <w:i/>
          <w:color w:val="000000" w:themeColor="text1"/>
        </w:rPr>
        <w:t>the cost of applications for patents; and</w:t>
      </w:r>
    </w:p>
    <w:p w14:paraId="502A46EF" w14:textId="13EBCB14" w:rsidR="00C114ED" w:rsidRPr="007E6AE3" w:rsidRDefault="00C114ED" w:rsidP="00A11283">
      <w:pPr>
        <w:pStyle w:val="paragraph"/>
        <w:numPr>
          <w:ilvl w:val="0"/>
          <w:numId w:val="51"/>
        </w:numPr>
        <w:shd w:val="clear" w:color="auto" w:fill="FFFFFF" w:themeFill="background1"/>
        <w:tabs>
          <w:tab w:val="left" w:pos="1701"/>
          <w:tab w:val="left" w:pos="1843"/>
        </w:tabs>
        <w:spacing w:before="40" w:beforeAutospacing="0" w:after="0" w:afterAutospacing="0"/>
        <w:ind w:left="1236"/>
        <w:rPr>
          <w:rFonts w:ascii="Calibri" w:hAnsi="Calibri" w:cs="Calibri"/>
          <w:i/>
          <w:color w:val="000000" w:themeColor="text1"/>
        </w:rPr>
      </w:pPr>
      <w:r w:rsidRPr="007E6AE3">
        <w:rPr>
          <w:rFonts w:ascii="Calibri" w:hAnsi="Calibri" w:cs="Calibri"/>
          <w:i/>
          <w:color w:val="000000" w:themeColor="text1"/>
        </w:rPr>
        <w:t>processing times of patents; and</w:t>
      </w:r>
    </w:p>
    <w:p w14:paraId="00F01539" w14:textId="75B15082" w:rsidR="00C114ED" w:rsidRPr="007E6AE3" w:rsidRDefault="00C114ED" w:rsidP="00A11283">
      <w:pPr>
        <w:pStyle w:val="paragraph"/>
        <w:numPr>
          <w:ilvl w:val="0"/>
          <w:numId w:val="51"/>
        </w:numPr>
        <w:shd w:val="clear" w:color="auto" w:fill="FFFFFF" w:themeFill="background1"/>
        <w:tabs>
          <w:tab w:val="left" w:pos="1701"/>
        </w:tabs>
        <w:spacing w:before="40" w:beforeAutospacing="0" w:after="0" w:afterAutospacing="0"/>
        <w:ind w:left="1236"/>
        <w:rPr>
          <w:rFonts w:ascii="Calibri" w:hAnsi="Calibri" w:cs="Calibri"/>
          <w:i/>
          <w:color w:val="000000" w:themeColor="text1"/>
        </w:rPr>
      </w:pPr>
      <w:bookmarkStart w:id="163" w:name="BK_S1P1L29C5"/>
      <w:bookmarkEnd w:id="163"/>
      <w:r w:rsidRPr="007E6AE3">
        <w:rPr>
          <w:rFonts w:ascii="Calibri" w:hAnsi="Calibri" w:cs="Calibri"/>
          <w:i/>
          <w:color w:val="000000" w:themeColor="text1"/>
        </w:rPr>
        <w:t>advice provided by the Australian Government with respect to the patent application process; and</w:t>
      </w:r>
    </w:p>
    <w:p w14:paraId="156AC962" w14:textId="453AD1C0" w:rsidR="00C114ED" w:rsidRPr="007E6AE3" w:rsidRDefault="00C114ED" w:rsidP="00A11283">
      <w:pPr>
        <w:pStyle w:val="paragraph"/>
        <w:numPr>
          <w:ilvl w:val="0"/>
          <w:numId w:val="51"/>
        </w:numPr>
        <w:shd w:val="clear" w:color="auto" w:fill="FFFFFF" w:themeFill="background1"/>
        <w:tabs>
          <w:tab w:val="left" w:pos="1701"/>
        </w:tabs>
        <w:spacing w:before="40" w:beforeAutospacing="0" w:after="0" w:afterAutospacing="0"/>
        <w:ind w:left="1236"/>
        <w:rPr>
          <w:rFonts w:ascii="Calibri" w:hAnsi="Calibri" w:cs="Calibri"/>
          <w:i/>
          <w:color w:val="000000" w:themeColor="text1"/>
        </w:rPr>
      </w:pPr>
      <w:r w:rsidRPr="007E6AE3">
        <w:rPr>
          <w:rFonts w:ascii="Calibri" w:hAnsi="Calibri" w:cs="Calibri"/>
          <w:i/>
          <w:color w:val="000000" w:themeColor="text1"/>
        </w:rPr>
        <w:t>awareness of the patent application process.</w:t>
      </w:r>
    </w:p>
    <w:p w14:paraId="3CBC6562" w14:textId="4FC68D81" w:rsidR="00C114ED" w:rsidRPr="007E6AE3" w:rsidRDefault="00C114ED" w:rsidP="00A11283">
      <w:pPr>
        <w:pStyle w:val="subsection"/>
        <w:numPr>
          <w:ilvl w:val="0"/>
          <w:numId w:val="33"/>
        </w:numPr>
        <w:shd w:val="clear" w:color="auto" w:fill="FFFFFF" w:themeFill="background1"/>
        <w:spacing w:before="180" w:beforeAutospacing="0" w:after="0" w:afterAutospacing="0"/>
        <w:ind w:left="720"/>
        <w:rPr>
          <w:rFonts w:ascii="Calibri" w:hAnsi="Calibri" w:cs="Calibri"/>
          <w:i/>
          <w:color w:val="000000" w:themeColor="text1"/>
        </w:rPr>
      </w:pPr>
      <w:bookmarkStart w:id="164" w:name="BK_S1P1L32C1"/>
      <w:bookmarkEnd w:id="164"/>
      <w:r w:rsidRPr="007E6AE3">
        <w:rPr>
          <w:rFonts w:ascii="Calibri" w:hAnsi="Calibri" w:cs="Calibri"/>
          <w:i/>
          <w:color w:val="000000" w:themeColor="text1"/>
        </w:rPr>
        <w:t>The persons conducting the review must provide the Minister with a writt</w:t>
      </w:r>
      <w:bookmarkStart w:id="165" w:name="BK_S1P1L32C77"/>
      <w:bookmarkEnd w:id="165"/>
      <w:r w:rsidRPr="007E6AE3">
        <w:rPr>
          <w:rFonts w:ascii="Calibri" w:hAnsi="Calibri" w:cs="Calibri"/>
          <w:i/>
          <w:color w:val="000000" w:themeColor="text1"/>
        </w:rPr>
        <w:t>en report of the review within 12 months of the commencement of the review.</w:t>
      </w:r>
    </w:p>
    <w:p w14:paraId="228A2919" w14:textId="3EAC5FF4" w:rsidR="00C114ED" w:rsidRPr="007E6AE3" w:rsidRDefault="00C114ED" w:rsidP="00A11283">
      <w:pPr>
        <w:pStyle w:val="subsection"/>
        <w:numPr>
          <w:ilvl w:val="0"/>
          <w:numId w:val="33"/>
        </w:numPr>
        <w:shd w:val="clear" w:color="auto" w:fill="FFFFFF" w:themeFill="background1"/>
        <w:spacing w:before="180" w:beforeAutospacing="0" w:after="0" w:afterAutospacing="0"/>
        <w:ind w:left="720"/>
        <w:rPr>
          <w:rFonts w:ascii="Calibri" w:hAnsi="Calibri" w:cs="Calibri"/>
          <w:i/>
          <w:color w:val="000000" w:themeColor="text1"/>
        </w:rPr>
      </w:pPr>
      <w:r w:rsidRPr="007E6AE3">
        <w:rPr>
          <w:rFonts w:ascii="Calibri" w:hAnsi="Calibri" w:cs="Calibri"/>
          <w:i/>
          <w:color w:val="000000" w:themeColor="text1"/>
        </w:rPr>
        <w:t>The Minister must </w:t>
      </w:r>
      <w:bookmarkStart w:id="166" w:name="HIT5"/>
      <w:bookmarkEnd w:id="166"/>
      <w:r w:rsidRPr="007E6AE3">
        <w:rPr>
          <w:rFonts w:ascii="Calibri" w:hAnsi="Calibri" w:cs="Calibri"/>
          <w:i/>
          <w:color w:val="000000" w:themeColor="text1"/>
        </w:rPr>
        <w:t>cause copies of the report to be tabled in each House</w:t>
      </w:r>
      <w:r w:rsidR="00137FBD">
        <w:rPr>
          <w:rFonts w:ascii="Calibri" w:hAnsi="Calibri" w:cs="Calibri"/>
          <w:i/>
          <w:color w:val="000000" w:themeColor="text1"/>
        </w:rPr>
        <w:t> </w:t>
      </w:r>
      <w:r w:rsidRPr="007E6AE3">
        <w:rPr>
          <w:rFonts w:ascii="Calibri" w:hAnsi="Calibri" w:cs="Calibri"/>
          <w:i/>
          <w:color w:val="000000" w:themeColor="text1"/>
        </w:rPr>
        <w:t>of</w:t>
      </w:r>
      <w:r w:rsidR="00137FBD">
        <w:rPr>
          <w:rFonts w:ascii="Calibri" w:hAnsi="Calibri" w:cs="Calibri"/>
          <w:i/>
          <w:color w:val="000000" w:themeColor="text1"/>
        </w:rPr>
        <w:t> </w:t>
      </w:r>
      <w:r w:rsidRPr="007E6AE3">
        <w:rPr>
          <w:rFonts w:ascii="Calibri" w:hAnsi="Calibri" w:cs="Calibri"/>
          <w:i/>
          <w:color w:val="000000" w:themeColor="text1"/>
        </w:rPr>
        <w:t>the</w:t>
      </w:r>
      <w:r w:rsidR="00137FBD">
        <w:rPr>
          <w:rFonts w:ascii="Calibri" w:hAnsi="Calibri" w:cs="Calibri"/>
          <w:i/>
          <w:color w:val="000000" w:themeColor="text1"/>
        </w:rPr>
        <w:t> </w:t>
      </w:r>
      <w:r w:rsidRPr="007E6AE3">
        <w:rPr>
          <w:rFonts w:ascii="Calibri" w:hAnsi="Calibri" w:cs="Calibri"/>
          <w:i/>
          <w:color w:val="000000" w:themeColor="text1"/>
        </w:rPr>
        <w:t>Parliament within 15 sitting days of that House after the report is given to the Minister.</w:t>
      </w:r>
    </w:p>
    <w:p w14:paraId="1CF30575" w14:textId="762FEAB1" w:rsidR="00981A23" w:rsidRPr="007E6AE3" w:rsidRDefault="00C114ED" w:rsidP="005015ED">
      <w:pPr>
        <w:spacing w:before="240"/>
        <w:rPr>
          <w:szCs w:val="24"/>
        </w:rPr>
      </w:pPr>
      <w:r w:rsidRPr="007E6AE3">
        <w:rPr>
          <w:szCs w:val="24"/>
        </w:rPr>
        <w:t>It should be noted that the legislation did not limit the range of enquiry</w:t>
      </w:r>
      <w:r w:rsidR="000F0D04" w:rsidRPr="007E6AE3">
        <w:rPr>
          <w:szCs w:val="24"/>
        </w:rPr>
        <w:t xml:space="preserve">; </w:t>
      </w:r>
      <w:r w:rsidR="004F3B97" w:rsidRPr="007E6AE3">
        <w:rPr>
          <w:szCs w:val="24"/>
        </w:rPr>
        <w:t xml:space="preserve">that </w:t>
      </w:r>
      <w:r w:rsidRPr="007E6AE3">
        <w:rPr>
          <w:szCs w:val="24"/>
        </w:rPr>
        <w:t xml:space="preserve">the relevant Minister, </w:t>
      </w:r>
      <w:r w:rsidR="00F04F43" w:rsidRPr="007E6AE3">
        <w:rPr>
          <w:szCs w:val="24"/>
        </w:rPr>
        <w:t>t</w:t>
      </w:r>
      <w:r w:rsidR="003C1C26" w:rsidRPr="007E6AE3">
        <w:rPr>
          <w:szCs w:val="24"/>
        </w:rPr>
        <w:t xml:space="preserve">he Hon </w:t>
      </w:r>
      <w:r w:rsidRPr="007E6AE3">
        <w:rPr>
          <w:szCs w:val="24"/>
        </w:rPr>
        <w:t>Karen Andrews</w:t>
      </w:r>
      <w:r w:rsidR="005639B3" w:rsidRPr="007E6AE3">
        <w:rPr>
          <w:szCs w:val="24"/>
        </w:rPr>
        <w:t xml:space="preserve"> MP</w:t>
      </w:r>
      <w:r w:rsidRPr="007E6AE3">
        <w:rPr>
          <w:szCs w:val="24"/>
        </w:rPr>
        <w:t xml:space="preserve">, agreed to the addition of the issue of enforcement and </w:t>
      </w:r>
      <w:r w:rsidR="000C0EE0" w:rsidRPr="007E6AE3">
        <w:rPr>
          <w:szCs w:val="24"/>
        </w:rPr>
        <w:t>intellectual property (</w:t>
      </w:r>
      <w:r w:rsidRPr="007E6AE3">
        <w:rPr>
          <w:szCs w:val="24"/>
        </w:rPr>
        <w:t>IP</w:t>
      </w:r>
      <w:r w:rsidR="000C0EE0" w:rsidRPr="007E6AE3">
        <w:rPr>
          <w:szCs w:val="24"/>
        </w:rPr>
        <w:t>)</w:t>
      </w:r>
      <w:r w:rsidRPr="007E6AE3">
        <w:rPr>
          <w:szCs w:val="24"/>
        </w:rPr>
        <w:t xml:space="preserve"> litigation generally</w:t>
      </w:r>
      <w:r w:rsidR="000F0D04" w:rsidRPr="007E6AE3">
        <w:rPr>
          <w:szCs w:val="24"/>
        </w:rPr>
        <w:t xml:space="preserve">; </w:t>
      </w:r>
      <w:r w:rsidR="001D2953" w:rsidRPr="007E6AE3">
        <w:rPr>
          <w:szCs w:val="24"/>
        </w:rPr>
        <w:t>and</w:t>
      </w:r>
      <w:r w:rsidR="00A35EA7" w:rsidRPr="007E6AE3">
        <w:rPr>
          <w:szCs w:val="24"/>
        </w:rPr>
        <w:t xml:space="preserve"> </w:t>
      </w:r>
      <w:r w:rsidR="00981A23" w:rsidRPr="007E6AE3">
        <w:rPr>
          <w:szCs w:val="24"/>
        </w:rPr>
        <w:t xml:space="preserve">that </w:t>
      </w:r>
      <w:r w:rsidRPr="007E6AE3">
        <w:rPr>
          <w:szCs w:val="24"/>
        </w:rPr>
        <w:t xml:space="preserve">this </w:t>
      </w:r>
      <w:r w:rsidR="00667769" w:rsidRPr="007E6AE3">
        <w:rPr>
          <w:szCs w:val="24"/>
        </w:rPr>
        <w:t xml:space="preserve">issue </w:t>
      </w:r>
      <w:r w:rsidRPr="007E6AE3">
        <w:rPr>
          <w:szCs w:val="24"/>
        </w:rPr>
        <w:t>prov</w:t>
      </w:r>
      <w:r w:rsidR="003C1C26" w:rsidRPr="007E6AE3">
        <w:rPr>
          <w:szCs w:val="24"/>
        </w:rPr>
        <w:t>ed</w:t>
      </w:r>
      <w:r w:rsidR="0025251A" w:rsidRPr="007E6AE3">
        <w:rPr>
          <w:szCs w:val="24"/>
        </w:rPr>
        <w:t xml:space="preserve"> to be </w:t>
      </w:r>
      <w:r w:rsidR="004E5011" w:rsidRPr="007E6AE3">
        <w:rPr>
          <w:szCs w:val="24"/>
        </w:rPr>
        <w:t xml:space="preserve">a </w:t>
      </w:r>
      <w:r w:rsidRPr="007E6AE3">
        <w:rPr>
          <w:szCs w:val="24"/>
        </w:rPr>
        <w:t>problem</w:t>
      </w:r>
      <w:r w:rsidR="009C10CF" w:rsidRPr="007E6AE3">
        <w:rPr>
          <w:szCs w:val="24"/>
        </w:rPr>
        <w:t xml:space="preserve"> of central importance</w:t>
      </w:r>
      <w:r w:rsidRPr="007E6AE3">
        <w:rPr>
          <w:szCs w:val="24"/>
        </w:rPr>
        <w:t>.</w:t>
      </w:r>
      <w:r w:rsidR="008E25E0" w:rsidRPr="007E6AE3">
        <w:rPr>
          <w:szCs w:val="24"/>
        </w:rPr>
        <w:t xml:space="preserve"> </w:t>
      </w:r>
    </w:p>
    <w:p w14:paraId="61AC72F3" w14:textId="446C7FAE" w:rsidR="00A76C4B" w:rsidRPr="003B7643" w:rsidRDefault="008E25E0">
      <w:pPr>
        <w:rPr>
          <w:szCs w:val="24"/>
        </w:rPr>
      </w:pPr>
      <w:r w:rsidRPr="007E6AE3">
        <w:rPr>
          <w:szCs w:val="24"/>
        </w:rPr>
        <w:t xml:space="preserve">The final </w:t>
      </w:r>
      <w:r w:rsidR="00667769" w:rsidRPr="007E6AE3">
        <w:rPr>
          <w:szCs w:val="24"/>
        </w:rPr>
        <w:t>T</w:t>
      </w:r>
      <w:r w:rsidRPr="007E6AE3">
        <w:rPr>
          <w:szCs w:val="24"/>
        </w:rPr>
        <w:t xml:space="preserve">erms of </w:t>
      </w:r>
      <w:r w:rsidR="00667769" w:rsidRPr="007E6AE3">
        <w:rPr>
          <w:szCs w:val="24"/>
        </w:rPr>
        <w:t>R</w:t>
      </w:r>
      <w:r w:rsidRPr="007E6AE3">
        <w:rPr>
          <w:szCs w:val="24"/>
        </w:rPr>
        <w:t xml:space="preserve">eference </w:t>
      </w:r>
      <w:r w:rsidR="005015ED" w:rsidRPr="007E6AE3">
        <w:rPr>
          <w:szCs w:val="24"/>
        </w:rPr>
        <w:t xml:space="preserve">are presented in ‘Chapter 3: Final </w:t>
      </w:r>
      <w:r w:rsidR="007F22CB" w:rsidRPr="007E6AE3">
        <w:rPr>
          <w:szCs w:val="24"/>
        </w:rPr>
        <w:t>T</w:t>
      </w:r>
      <w:r w:rsidR="005015ED" w:rsidRPr="007E6AE3">
        <w:rPr>
          <w:szCs w:val="24"/>
        </w:rPr>
        <w:t xml:space="preserve">erms of </w:t>
      </w:r>
      <w:r w:rsidR="007F22CB" w:rsidRPr="007E6AE3">
        <w:rPr>
          <w:szCs w:val="24"/>
        </w:rPr>
        <w:t>R</w:t>
      </w:r>
      <w:r w:rsidR="005015ED" w:rsidRPr="007E6AE3">
        <w:rPr>
          <w:szCs w:val="24"/>
        </w:rPr>
        <w:t>eference’</w:t>
      </w:r>
      <w:r w:rsidRPr="007E6AE3">
        <w:rPr>
          <w:szCs w:val="24"/>
        </w:rPr>
        <w:t>.</w:t>
      </w:r>
      <w:bookmarkStart w:id="167" w:name="_Toc51682545"/>
      <w:r w:rsidR="00A76C4B">
        <w:br w:type="page"/>
      </w:r>
    </w:p>
    <w:p w14:paraId="4D386289" w14:textId="1361240A" w:rsidR="008E25E0" w:rsidRDefault="00276D67" w:rsidP="00102432">
      <w:pPr>
        <w:pStyle w:val="Heading1"/>
        <w:rPr>
          <w:szCs w:val="40"/>
        </w:rPr>
      </w:pPr>
      <w:bookmarkStart w:id="168" w:name="_Toc60760624"/>
      <w:bookmarkStart w:id="169" w:name="_Toc60834810"/>
      <w:bookmarkStart w:id="170" w:name="_Toc60836760"/>
      <w:bookmarkStart w:id="171" w:name="_Toc60997749"/>
      <w:bookmarkStart w:id="172" w:name="_Toc61015563"/>
      <w:bookmarkStart w:id="173" w:name="_Toc61269595"/>
      <w:bookmarkStart w:id="174" w:name="_Toc61356703"/>
      <w:bookmarkStart w:id="175" w:name="_Toc65159313"/>
      <w:r>
        <w:lastRenderedPageBreak/>
        <w:t xml:space="preserve">3 </w:t>
      </w:r>
      <w:r w:rsidR="00F7693D">
        <w:t xml:space="preserve">Final </w:t>
      </w:r>
      <w:r w:rsidR="00662C13">
        <w:t>t</w:t>
      </w:r>
      <w:r w:rsidR="008E25E0" w:rsidRPr="00A76C4B">
        <w:t>erms</w:t>
      </w:r>
      <w:r w:rsidR="008E25E0">
        <w:t xml:space="preserve"> of reference</w:t>
      </w:r>
      <w:bookmarkEnd w:id="168"/>
      <w:bookmarkEnd w:id="169"/>
      <w:bookmarkEnd w:id="170"/>
      <w:bookmarkEnd w:id="171"/>
      <w:bookmarkEnd w:id="172"/>
      <w:bookmarkEnd w:id="173"/>
      <w:bookmarkEnd w:id="174"/>
      <w:bookmarkEnd w:id="175"/>
    </w:p>
    <w:bookmarkEnd w:id="167"/>
    <w:p w14:paraId="66D4AD44" w14:textId="77777777" w:rsidR="008E25E0" w:rsidRPr="007E6AE3" w:rsidRDefault="008E25E0" w:rsidP="005015ED">
      <w:pPr>
        <w:numPr>
          <w:ilvl w:val="0"/>
          <w:numId w:val="3"/>
        </w:numPr>
        <w:spacing w:before="240"/>
        <w:ind w:left="360"/>
        <w:contextualSpacing/>
        <w:rPr>
          <w:szCs w:val="24"/>
        </w:rPr>
      </w:pPr>
      <w:r w:rsidRPr="007E6AE3">
        <w:rPr>
          <w:szCs w:val="24"/>
        </w:rPr>
        <w:t>Without limiting the consideration of the review, the review will investigate:</w:t>
      </w:r>
    </w:p>
    <w:p w14:paraId="0808050A" w14:textId="77777777" w:rsidR="008E25E0" w:rsidRPr="007E6AE3" w:rsidRDefault="008E25E0" w:rsidP="005015ED">
      <w:pPr>
        <w:numPr>
          <w:ilvl w:val="0"/>
          <w:numId w:val="4"/>
        </w:numPr>
        <w:ind w:left="851"/>
        <w:contextualSpacing/>
        <w:rPr>
          <w:szCs w:val="24"/>
        </w:rPr>
      </w:pPr>
      <w:r w:rsidRPr="007E6AE3">
        <w:rPr>
          <w:szCs w:val="24"/>
        </w:rPr>
        <w:t>the cost of applications for patents</w:t>
      </w:r>
      <w:r w:rsidRPr="007E6AE3" w:rsidDel="00313A5C">
        <w:rPr>
          <w:szCs w:val="24"/>
        </w:rPr>
        <w:t>; and</w:t>
      </w:r>
    </w:p>
    <w:p w14:paraId="36B6035C" w14:textId="77777777" w:rsidR="008E25E0" w:rsidRPr="007E6AE3" w:rsidRDefault="008E25E0" w:rsidP="005015ED">
      <w:pPr>
        <w:numPr>
          <w:ilvl w:val="0"/>
          <w:numId w:val="4"/>
        </w:numPr>
        <w:ind w:left="851"/>
        <w:contextualSpacing/>
        <w:rPr>
          <w:szCs w:val="24"/>
        </w:rPr>
      </w:pPr>
      <w:r w:rsidRPr="007E6AE3">
        <w:rPr>
          <w:szCs w:val="24"/>
        </w:rPr>
        <w:t>processing times of patents</w:t>
      </w:r>
      <w:r w:rsidRPr="007E6AE3" w:rsidDel="00313A5C">
        <w:rPr>
          <w:szCs w:val="24"/>
        </w:rPr>
        <w:t>; and</w:t>
      </w:r>
    </w:p>
    <w:p w14:paraId="7FABB922" w14:textId="77777777" w:rsidR="008E25E0" w:rsidRPr="007E6AE3" w:rsidRDefault="008E25E0" w:rsidP="005015ED">
      <w:pPr>
        <w:numPr>
          <w:ilvl w:val="0"/>
          <w:numId w:val="4"/>
        </w:numPr>
        <w:ind w:left="851"/>
        <w:contextualSpacing/>
        <w:rPr>
          <w:szCs w:val="24"/>
        </w:rPr>
      </w:pPr>
      <w:r w:rsidRPr="007E6AE3">
        <w:rPr>
          <w:szCs w:val="24"/>
        </w:rPr>
        <w:t>advice provided by the Australian Government with respect to the patent application process</w:t>
      </w:r>
      <w:r w:rsidRPr="007E6AE3" w:rsidDel="00313A5C">
        <w:rPr>
          <w:szCs w:val="24"/>
        </w:rPr>
        <w:t>; and</w:t>
      </w:r>
    </w:p>
    <w:p w14:paraId="79EA4FF3" w14:textId="77777777" w:rsidR="008E25E0" w:rsidRPr="007E6AE3" w:rsidRDefault="008E25E0" w:rsidP="005015ED">
      <w:pPr>
        <w:numPr>
          <w:ilvl w:val="0"/>
          <w:numId w:val="4"/>
        </w:numPr>
        <w:ind w:left="851"/>
        <w:contextualSpacing/>
        <w:rPr>
          <w:szCs w:val="24"/>
        </w:rPr>
      </w:pPr>
      <w:r w:rsidRPr="007E6AE3">
        <w:rPr>
          <w:szCs w:val="24"/>
        </w:rPr>
        <w:t>awareness of the patent application process</w:t>
      </w:r>
      <w:r w:rsidRPr="007E6AE3" w:rsidDel="00313A5C">
        <w:rPr>
          <w:szCs w:val="24"/>
        </w:rPr>
        <w:t>; and</w:t>
      </w:r>
    </w:p>
    <w:p w14:paraId="2D0A0E32" w14:textId="77777777" w:rsidR="008E25E0" w:rsidRPr="007E6AE3" w:rsidRDefault="008E25E0" w:rsidP="005015ED">
      <w:pPr>
        <w:numPr>
          <w:ilvl w:val="0"/>
          <w:numId w:val="4"/>
        </w:numPr>
        <w:ind w:left="851"/>
        <w:contextualSpacing/>
        <w:rPr>
          <w:szCs w:val="24"/>
        </w:rPr>
      </w:pPr>
      <w:r w:rsidRPr="007E6AE3">
        <w:rPr>
          <w:szCs w:val="24"/>
        </w:rPr>
        <w:t>the cost and times required to enforce standard patents</w:t>
      </w:r>
      <w:r w:rsidRPr="007E6AE3" w:rsidDel="00313A5C">
        <w:rPr>
          <w:szCs w:val="24"/>
        </w:rPr>
        <w:t>; and</w:t>
      </w:r>
    </w:p>
    <w:p w14:paraId="75CF63CF" w14:textId="77777777" w:rsidR="008E25E0" w:rsidRPr="007E6AE3" w:rsidRDefault="008E25E0" w:rsidP="005015ED">
      <w:pPr>
        <w:numPr>
          <w:ilvl w:val="0"/>
          <w:numId w:val="4"/>
        </w:numPr>
        <w:ind w:left="851"/>
        <w:contextualSpacing/>
        <w:rPr>
          <w:szCs w:val="24"/>
        </w:rPr>
      </w:pPr>
      <w:r w:rsidRPr="007E6AE3">
        <w:rPr>
          <w:szCs w:val="24"/>
        </w:rPr>
        <w:t>any other barriers or impediments that prevent Australian businesses filing and obtaining patents</w:t>
      </w:r>
      <w:r w:rsidRPr="007E6AE3" w:rsidDel="00313A5C">
        <w:rPr>
          <w:szCs w:val="24"/>
        </w:rPr>
        <w:t>; and</w:t>
      </w:r>
    </w:p>
    <w:p w14:paraId="3034FFA0" w14:textId="5EF841ED" w:rsidR="008E25E0" w:rsidRPr="007E6AE3" w:rsidRDefault="008E25E0" w:rsidP="005015ED">
      <w:pPr>
        <w:numPr>
          <w:ilvl w:val="0"/>
          <w:numId w:val="4"/>
        </w:numPr>
        <w:ind w:left="851"/>
        <w:contextualSpacing/>
        <w:rPr>
          <w:szCs w:val="24"/>
        </w:rPr>
      </w:pPr>
      <w:r w:rsidRPr="007E6AE3">
        <w:rPr>
          <w:szCs w:val="24"/>
        </w:rPr>
        <w:t>Government programmes to assist Australian SMEs seeking patent protection, including protection overseas.</w:t>
      </w:r>
    </w:p>
    <w:p w14:paraId="7506195B" w14:textId="77777777" w:rsidR="00707FE0" w:rsidRPr="007E6AE3" w:rsidRDefault="00707FE0" w:rsidP="00707FE0">
      <w:pPr>
        <w:rPr>
          <w:szCs w:val="24"/>
        </w:rPr>
      </w:pPr>
    </w:p>
    <w:p w14:paraId="09CEFE93" w14:textId="25DE7A47" w:rsidR="00A76C4B" w:rsidRPr="003B7643" w:rsidRDefault="008E25E0" w:rsidP="00C77D28">
      <w:pPr>
        <w:numPr>
          <w:ilvl w:val="0"/>
          <w:numId w:val="3"/>
        </w:numPr>
        <w:spacing w:before="240"/>
        <w:ind w:left="360"/>
        <w:contextualSpacing/>
        <w:textAlignment w:val="baseline"/>
        <w:rPr>
          <w:rFonts w:ascii="Calibri" w:eastAsia="Times New Roman" w:hAnsi="Calibri" w:cs="Calibri"/>
          <w:sz w:val="28"/>
          <w:szCs w:val="28"/>
          <w:lang w:eastAsia="en-AU"/>
        </w:rPr>
      </w:pPr>
      <w:r w:rsidRPr="003B7643">
        <w:rPr>
          <w:szCs w:val="24"/>
        </w:rPr>
        <w:t>The review should recommend changes that would improve the accessibility of the patent system in Australia to Australian SMEs, and improve the support provided to Australian SMEs applying for IP protection both in Australia and overseas, taking into account the factors to be considered above.</w:t>
      </w:r>
    </w:p>
    <w:p w14:paraId="63D93DC8" w14:textId="77777777" w:rsidR="00A76C4B" w:rsidRDefault="00A76C4B">
      <w:pPr>
        <w:rPr>
          <w:rFonts w:asciiTheme="majorHAnsi" w:eastAsiaTheme="majorEastAsia" w:hAnsiTheme="majorHAnsi" w:cstheme="majorBidi"/>
          <w:color w:val="005677" w:themeColor="text2"/>
          <w:sz w:val="48"/>
          <w:szCs w:val="32"/>
        </w:rPr>
      </w:pPr>
      <w:r>
        <w:br w:type="page"/>
      </w:r>
    </w:p>
    <w:p w14:paraId="2158982D" w14:textId="6DA464B2" w:rsidR="00A76C4B" w:rsidRPr="00102432" w:rsidRDefault="00B212FE" w:rsidP="00102432">
      <w:pPr>
        <w:pStyle w:val="Heading1"/>
      </w:pPr>
      <w:bookmarkStart w:id="176" w:name="_Toc60760626"/>
      <w:bookmarkStart w:id="177" w:name="_Toc60834812"/>
      <w:bookmarkStart w:id="178" w:name="_Toc60836762"/>
      <w:bookmarkStart w:id="179" w:name="_Toc60997750"/>
      <w:bookmarkStart w:id="180" w:name="_Toc61015564"/>
      <w:bookmarkStart w:id="181" w:name="_Toc61269596"/>
      <w:bookmarkStart w:id="182" w:name="_Toc61356704"/>
      <w:bookmarkStart w:id="183" w:name="_Toc65159314"/>
      <w:r w:rsidRPr="00102432">
        <w:lastRenderedPageBreak/>
        <w:t>4</w:t>
      </w:r>
      <w:r w:rsidR="7DE9608D" w:rsidRPr="00102432">
        <w:t xml:space="preserve"> </w:t>
      </w:r>
      <w:r w:rsidR="004901AC" w:rsidRPr="00102432">
        <w:t>SME</w:t>
      </w:r>
      <w:r w:rsidR="640F46C2" w:rsidRPr="00102432">
        <w:t xml:space="preserve"> experience of</w:t>
      </w:r>
      <w:r w:rsidR="004901AC" w:rsidRPr="00102432">
        <w:t xml:space="preserve"> the patent system</w:t>
      </w:r>
      <w:bookmarkEnd w:id="176"/>
      <w:bookmarkEnd w:id="177"/>
      <w:bookmarkEnd w:id="178"/>
      <w:bookmarkEnd w:id="179"/>
      <w:bookmarkEnd w:id="180"/>
      <w:bookmarkEnd w:id="181"/>
      <w:bookmarkEnd w:id="182"/>
      <w:bookmarkEnd w:id="183"/>
      <w:r w:rsidR="004901AC" w:rsidRPr="00102432">
        <w:t xml:space="preserve"> </w:t>
      </w:r>
    </w:p>
    <w:p w14:paraId="788B898D" w14:textId="175423E7" w:rsidR="00DE1E64" w:rsidRPr="007E6AE3" w:rsidRDefault="00E87FB9" w:rsidP="79344E9E">
      <w:pPr>
        <w:rPr>
          <w:szCs w:val="24"/>
        </w:rPr>
      </w:pPr>
      <w:bookmarkStart w:id="184" w:name="_Toc51682548"/>
      <w:bookmarkStart w:id="185" w:name="_Toc51685668"/>
      <w:bookmarkStart w:id="186" w:name="_Toc51688747"/>
      <w:bookmarkStart w:id="187" w:name="_Toc51759071"/>
      <w:r w:rsidRPr="007E6AE3">
        <w:rPr>
          <w:szCs w:val="24"/>
        </w:rPr>
        <w:t xml:space="preserve">In the most general terms, </w:t>
      </w:r>
      <w:r w:rsidR="00A32A49" w:rsidRPr="007E6AE3">
        <w:rPr>
          <w:szCs w:val="24"/>
        </w:rPr>
        <w:t xml:space="preserve">Australian </w:t>
      </w:r>
      <w:r w:rsidR="005443F8" w:rsidRPr="007E6AE3">
        <w:rPr>
          <w:szCs w:val="24"/>
        </w:rPr>
        <w:t>small to medium enterprises (</w:t>
      </w:r>
      <w:r w:rsidR="00A32A49" w:rsidRPr="007E6AE3">
        <w:rPr>
          <w:szCs w:val="24"/>
        </w:rPr>
        <w:t>SMEs</w:t>
      </w:r>
      <w:r w:rsidR="005443F8" w:rsidRPr="007E6AE3">
        <w:rPr>
          <w:szCs w:val="24"/>
        </w:rPr>
        <w:t>)</w:t>
      </w:r>
      <w:r w:rsidR="00A32A49" w:rsidRPr="007E6AE3">
        <w:rPr>
          <w:szCs w:val="24"/>
        </w:rPr>
        <w:t xml:space="preserve"> do not make much use of the patent system</w:t>
      </w:r>
      <w:r w:rsidR="289B97B9" w:rsidRPr="007E6AE3">
        <w:rPr>
          <w:szCs w:val="24"/>
        </w:rPr>
        <w:t>, and it appears that they do not export much IP</w:t>
      </w:r>
      <w:r w:rsidR="00A32A49" w:rsidRPr="007E6AE3">
        <w:rPr>
          <w:szCs w:val="24"/>
        </w:rPr>
        <w:t>.</w:t>
      </w:r>
      <w:r w:rsidR="00B47A39">
        <w:rPr>
          <w:szCs w:val="24"/>
        </w:rPr>
        <w:t xml:space="preserve"> SME is defined in this report as it is by the Australian Bureau of Statistics,</w:t>
      </w:r>
      <w:r w:rsidR="00B47A39" w:rsidRPr="00AF040E">
        <w:rPr>
          <w:rStyle w:val="FootnoteReference"/>
          <w:szCs w:val="24"/>
        </w:rPr>
        <w:footnoteReference w:id="4"/>
      </w:r>
      <w:r w:rsidR="00A32A49" w:rsidRPr="007E6AE3">
        <w:rPr>
          <w:szCs w:val="24"/>
        </w:rPr>
        <w:t xml:space="preserve"> </w:t>
      </w:r>
      <w:r w:rsidR="00B47A39">
        <w:rPr>
          <w:szCs w:val="24"/>
        </w:rPr>
        <w:t>except as otherwise indicated.</w:t>
      </w:r>
    </w:p>
    <w:p w14:paraId="1493ADCE" w14:textId="43D518F1" w:rsidR="00DE1E64" w:rsidRPr="00DB38EF" w:rsidRDefault="00A32A49">
      <w:pPr>
        <w:rPr>
          <w:rFonts w:cs="Arial (Body CS)"/>
          <w:spacing w:val="-4"/>
          <w:szCs w:val="24"/>
        </w:rPr>
      </w:pPr>
      <w:r w:rsidRPr="00DB38EF">
        <w:rPr>
          <w:rFonts w:cs="Arial (Body CS)"/>
          <w:spacing w:val="-4"/>
          <w:szCs w:val="24"/>
        </w:rPr>
        <w:t xml:space="preserve">In its </w:t>
      </w:r>
      <w:r w:rsidR="007377DB">
        <w:rPr>
          <w:rFonts w:cs="Arial (Body CS)"/>
          <w:spacing w:val="-4"/>
          <w:szCs w:val="24"/>
        </w:rPr>
        <w:t>2020 IP</w:t>
      </w:r>
      <w:r w:rsidRPr="00DB38EF">
        <w:rPr>
          <w:rFonts w:cs="Arial (Body CS)"/>
          <w:spacing w:val="-4"/>
          <w:szCs w:val="24"/>
        </w:rPr>
        <w:t xml:space="preserve"> report</w:t>
      </w:r>
      <w:r w:rsidR="00F04F43" w:rsidRPr="00DB38EF">
        <w:rPr>
          <w:rFonts w:cs="Arial (Body CS)"/>
          <w:spacing w:val="-4"/>
          <w:szCs w:val="24"/>
        </w:rPr>
        <w:t>,</w:t>
      </w:r>
      <w:r w:rsidRPr="00DB38EF">
        <w:rPr>
          <w:rFonts w:cs="Arial (Body CS)"/>
          <w:spacing w:val="-4"/>
          <w:szCs w:val="24"/>
        </w:rPr>
        <w:t xml:space="preserve"> IP Australia noted that </w:t>
      </w:r>
      <w:r w:rsidR="00C6781E" w:rsidRPr="00DB38EF">
        <w:rPr>
          <w:rFonts w:cs="Arial (Body CS)"/>
          <w:spacing w:val="-4"/>
          <w:szCs w:val="24"/>
        </w:rPr>
        <w:t>9</w:t>
      </w:r>
      <w:r w:rsidR="00914F34" w:rsidRPr="00DB38EF">
        <w:rPr>
          <w:rFonts w:cs="Arial (Body CS)"/>
          <w:spacing w:val="-4"/>
          <w:szCs w:val="24"/>
        </w:rPr>
        <w:t>5</w:t>
      </w:r>
      <w:r w:rsidR="00C6781E" w:rsidRPr="00DB38EF">
        <w:rPr>
          <w:rFonts w:cs="Arial (Body CS)"/>
          <w:spacing w:val="-4"/>
          <w:szCs w:val="24"/>
        </w:rPr>
        <w:t xml:space="preserve">% </w:t>
      </w:r>
      <w:r w:rsidR="00A2252D" w:rsidRPr="00DB38EF">
        <w:rPr>
          <w:rFonts w:cs="Arial (Body CS)"/>
          <w:spacing w:val="-4"/>
          <w:szCs w:val="24"/>
        </w:rPr>
        <w:t xml:space="preserve">of </w:t>
      </w:r>
      <w:r w:rsidR="00C6781E" w:rsidRPr="00DB38EF">
        <w:rPr>
          <w:rFonts w:cs="Arial (Body CS)"/>
          <w:spacing w:val="-4"/>
          <w:szCs w:val="24"/>
        </w:rPr>
        <w:t xml:space="preserve">patents awarded were granted to </w:t>
      </w:r>
      <w:r w:rsidR="00914F34" w:rsidRPr="00DB38EF">
        <w:rPr>
          <w:rFonts w:cs="Arial (Body CS)"/>
          <w:spacing w:val="-4"/>
          <w:szCs w:val="24"/>
        </w:rPr>
        <w:t>non-resident</w:t>
      </w:r>
      <w:r w:rsidR="00C82968" w:rsidRPr="00DB38EF">
        <w:rPr>
          <w:rFonts w:cs="Arial (Body CS)"/>
          <w:spacing w:val="-4"/>
          <w:szCs w:val="24"/>
        </w:rPr>
        <w:t>s</w:t>
      </w:r>
      <w:r w:rsidR="008B28F8" w:rsidRPr="00DB38EF">
        <w:rPr>
          <w:rFonts w:cs="Arial (Body CS)"/>
          <w:spacing w:val="-4"/>
          <w:szCs w:val="24"/>
        </w:rPr>
        <w:t xml:space="preserve">, and only </w:t>
      </w:r>
      <w:r w:rsidR="00914F34" w:rsidRPr="00DB38EF">
        <w:rPr>
          <w:rFonts w:cs="Arial (Body CS)"/>
          <w:spacing w:val="-4"/>
          <w:szCs w:val="24"/>
        </w:rPr>
        <w:t>5</w:t>
      </w:r>
      <w:r w:rsidR="008B28F8" w:rsidRPr="00DB38EF">
        <w:rPr>
          <w:rFonts w:cs="Arial (Body CS)"/>
          <w:spacing w:val="-4"/>
          <w:szCs w:val="24"/>
        </w:rPr>
        <w:t xml:space="preserve">% to Australian </w:t>
      </w:r>
      <w:r w:rsidR="00914F34" w:rsidRPr="00DB38EF">
        <w:rPr>
          <w:rFonts w:cs="Arial (Body CS)"/>
          <w:spacing w:val="-4"/>
          <w:szCs w:val="24"/>
        </w:rPr>
        <w:t>residents</w:t>
      </w:r>
      <w:r w:rsidR="00C6781E" w:rsidRPr="00DB38EF">
        <w:rPr>
          <w:rFonts w:cs="Arial (Body CS)"/>
          <w:spacing w:val="-4"/>
          <w:szCs w:val="24"/>
        </w:rPr>
        <w:t>.</w:t>
      </w:r>
      <w:r w:rsidR="005E1211" w:rsidRPr="00DB38EF">
        <w:rPr>
          <w:rStyle w:val="FootnoteReference"/>
          <w:rFonts w:cs="Arial (Body CS)"/>
          <w:spacing w:val="-4"/>
          <w:szCs w:val="24"/>
        </w:rPr>
        <w:footnoteReference w:id="5"/>
      </w:r>
      <w:r w:rsidR="006034E4" w:rsidRPr="00DB38EF">
        <w:rPr>
          <w:rFonts w:cs="Arial (Body CS)"/>
          <w:spacing w:val="-4"/>
          <w:szCs w:val="24"/>
        </w:rPr>
        <w:t xml:space="preserve"> </w:t>
      </w:r>
      <w:r w:rsidR="00F267E6" w:rsidRPr="00DB38EF">
        <w:rPr>
          <w:rFonts w:cs="Arial (Body CS)"/>
          <w:spacing w:val="-4"/>
          <w:szCs w:val="24"/>
        </w:rPr>
        <w:t>T</w:t>
      </w:r>
      <w:r w:rsidR="006034E4" w:rsidRPr="00DB38EF">
        <w:rPr>
          <w:rFonts w:cs="Arial (Body CS)"/>
          <w:spacing w:val="-4"/>
          <w:szCs w:val="24"/>
        </w:rPr>
        <w:t xml:space="preserve">his </w:t>
      </w:r>
      <w:r w:rsidR="2F205DE5" w:rsidRPr="00DB38EF">
        <w:rPr>
          <w:rFonts w:cs="Arial (Body CS)"/>
          <w:spacing w:val="-4"/>
          <w:szCs w:val="24"/>
        </w:rPr>
        <w:t xml:space="preserve">is </w:t>
      </w:r>
      <w:r w:rsidR="006034E4" w:rsidRPr="00DB38EF">
        <w:rPr>
          <w:rFonts w:cs="Arial (Body CS)"/>
          <w:spacing w:val="-4"/>
          <w:szCs w:val="24"/>
        </w:rPr>
        <w:t>a surprising figure</w:t>
      </w:r>
      <w:r w:rsidR="0025251A" w:rsidRPr="00DB38EF">
        <w:rPr>
          <w:rFonts w:cs="Arial (Body CS)"/>
          <w:spacing w:val="-4"/>
          <w:szCs w:val="24"/>
        </w:rPr>
        <w:t>,</w:t>
      </w:r>
      <w:r w:rsidR="006034E4" w:rsidRPr="00DB38EF">
        <w:rPr>
          <w:rFonts w:cs="Arial (Body CS)"/>
          <w:spacing w:val="-4"/>
          <w:szCs w:val="24"/>
        </w:rPr>
        <w:t xml:space="preserve"> </w:t>
      </w:r>
      <w:r w:rsidR="68C38BB6" w:rsidRPr="00DB38EF">
        <w:rPr>
          <w:rFonts w:cs="Arial (Body CS)"/>
          <w:spacing w:val="-4"/>
          <w:szCs w:val="24"/>
        </w:rPr>
        <w:t xml:space="preserve">but by way of comparison </w:t>
      </w:r>
      <w:r w:rsidR="008B28F8" w:rsidRPr="00DB38EF">
        <w:rPr>
          <w:rFonts w:cs="Arial (Body CS)"/>
          <w:spacing w:val="-4"/>
          <w:szCs w:val="24"/>
        </w:rPr>
        <w:t xml:space="preserve">it should be noted that in New Zealand the figure is </w:t>
      </w:r>
      <w:r w:rsidR="008C1998" w:rsidRPr="00DB38EF">
        <w:rPr>
          <w:rFonts w:cs="Arial (Body CS)"/>
          <w:spacing w:val="-4"/>
          <w:szCs w:val="24"/>
        </w:rPr>
        <w:t>6</w:t>
      </w:r>
      <w:r w:rsidR="00566EE0" w:rsidRPr="00DB38EF">
        <w:rPr>
          <w:rFonts w:cs="Arial (Body CS)"/>
          <w:spacing w:val="-4"/>
          <w:szCs w:val="24"/>
        </w:rPr>
        <w:t>%</w:t>
      </w:r>
      <w:r w:rsidR="008B28F8" w:rsidRPr="00DB38EF">
        <w:rPr>
          <w:rFonts w:cs="Arial (Body CS)"/>
          <w:spacing w:val="-4"/>
          <w:szCs w:val="24"/>
        </w:rPr>
        <w:t xml:space="preserve"> for </w:t>
      </w:r>
      <w:r w:rsidR="005E0230" w:rsidRPr="00DB38EF">
        <w:rPr>
          <w:rFonts w:cs="Arial (Body CS)"/>
          <w:spacing w:val="-4"/>
          <w:szCs w:val="24"/>
        </w:rPr>
        <w:t>patents</w:t>
      </w:r>
      <w:r w:rsidR="00566EE0" w:rsidRPr="00DB38EF">
        <w:rPr>
          <w:rFonts w:cs="Arial (Body CS)"/>
          <w:spacing w:val="-4"/>
          <w:szCs w:val="24"/>
        </w:rPr>
        <w:t xml:space="preserve"> granted to local residents</w:t>
      </w:r>
      <w:r w:rsidR="005E0230" w:rsidRPr="00DB38EF">
        <w:rPr>
          <w:rFonts w:cs="Arial (Body CS)"/>
          <w:spacing w:val="-4"/>
          <w:szCs w:val="24"/>
        </w:rPr>
        <w:t xml:space="preserve">, </w:t>
      </w:r>
      <w:r w:rsidR="00FD549C" w:rsidRPr="00DB38EF">
        <w:rPr>
          <w:rFonts w:cs="Arial (Body CS)"/>
          <w:spacing w:val="-4"/>
          <w:szCs w:val="24"/>
        </w:rPr>
        <w:t xml:space="preserve">in Israel 18%, </w:t>
      </w:r>
      <w:r w:rsidR="005E0230" w:rsidRPr="00DB38EF">
        <w:rPr>
          <w:rFonts w:cs="Arial (Body CS)"/>
          <w:spacing w:val="-4"/>
          <w:szCs w:val="24"/>
        </w:rPr>
        <w:t xml:space="preserve">in the UK </w:t>
      </w:r>
      <w:r w:rsidR="008C1998" w:rsidRPr="00DB38EF">
        <w:rPr>
          <w:rFonts w:cs="Arial (Body CS)"/>
          <w:spacing w:val="-4"/>
          <w:szCs w:val="24"/>
        </w:rPr>
        <w:t>52</w:t>
      </w:r>
      <w:r w:rsidR="00566EE0" w:rsidRPr="00DB38EF">
        <w:rPr>
          <w:rFonts w:cs="Arial (Body CS)"/>
          <w:spacing w:val="-4"/>
          <w:szCs w:val="24"/>
        </w:rPr>
        <w:t>%</w:t>
      </w:r>
      <w:r w:rsidR="00FD549C" w:rsidRPr="00DB38EF">
        <w:rPr>
          <w:rFonts w:cs="Arial (Body CS)"/>
          <w:spacing w:val="-4"/>
          <w:szCs w:val="24"/>
        </w:rPr>
        <w:t>,</w:t>
      </w:r>
      <w:r w:rsidR="003D059A" w:rsidRPr="003D059A">
        <w:rPr>
          <w:rFonts w:cs="Arial (Body CS)"/>
          <w:spacing w:val="-4"/>
          <w:szCs w:val="24"/>
        </w:rPr>
        <w:t xml:space="preserve"> </w:t>
      </w:r>
      <w:r w:rsidR="003D059A">
        <w:rPr>
          <w:rFonts w:cs="Arial (Body CS)"/>
          <w:spacing w:val="-4"/>
          <w:szCs w:val="24"/>
        </w:rPr>
        <w:t>in Canada 9%,</w:t>
      </w:r>
      <w:r w:rsidR="005E0230" w:rsidRPr="00DB38EF">
        <w:rPr>
          <w:rFonts w:cs="Arial (Body CS)"/>
          <w:spacing w:val="-4"/>
          <w:szCs w:val="24"/>
        </w:rPr>
        <w:t xml:space="preserve"> and in Germany </w:t>
      </w:r>
      <w:r w:rsidR="008C1998" w:rsidRPr="00DB38EF">
        <w:rPr>
          <w:rFonts w:cs="Arial (Body CS)"/>
          <w:spacing w:val="-4"/>
          <w:szCs w:val="24"/>
        </w:rPr>
        <w:t>64</w:t>
      </w:r>
      <w:r w:rsidR="00566EE0" w:rsidRPr="00DB38EF">
        <w:rPr>
          <w:rFonts w:cs="Arial (Body CS)"/>
          <w:spacing w:val="-4"/>
          <w:szCs w:val="24"/>
        </w:rPr>
        <w:t>%</w:t>
      </w:r>
      <w:r w:rsidR="00FD549C" w:rsidRPr="00DB38EF">
        <w:rPr>
          <w:rFonts w:cs="Arial (Body CS)"/>
          <w:spacing w:val="-4"/>
          <w:szCs w:val="24"/>
        </w:rPr>
        <w:t>.</w:t>
      </w:r>
      <w:r w:rsidR="0025251A" w:rsidRPr="00DB38EF">
        <w:rPr>
          <w:rStyle w:val="FootnoteReference"/>
          <w:rFonts w:cs="Arial (Body CS)"/>
          <w:spacing w:val="-4"/>
          <w:szCs w:val="24"/>
        </w:rPr>
        <w:footnoteReference w:id="6"/>
      </w:r>
      <w:r w:rsidR="005E0230" w:rsidRPr="00DB38EF">
        <w:rPr>
          <w:rFonts w:cs="Arial (Body CS)"/>
          <w:spacing w:val="-4"/>
          <w:szCs w:val="24"/>
        </w:rPr>
        <w:t xml:space="preserve"> </w:t>
      </w:r>
      <w:r w:rsidR="00A160A8" w:rsidRPr="00DB38EF">
        <w:rPr>
          <w:rFonts w:cs="Arial (Body CS)"/>
          <w:spacing w:val="-4"/>
          <w:szCs w:val="24"/>
        </w:rPr>
        <w:t>(</w:t>
      </w:r>
      <w:r w:rsidR="009D6AC2" w:rsidRPr="00DB38EF">
        <w:rPr>
          <w:rFonts w:cs="Arial (Body CS)"/>
          <w:spacing w:val="-4"/>
          <w:szCs w:val="24"/>
        </w:rPr>
        <w:t>T</w:t>
      </w:r>
      <w:r w:rsidR="003D059A">
        <w:rPr>
          <w:rFonts w:cs="Arial (Body CS)"/>
          <w:spacing w:val="-4"/>
          <w:szCs w:val="24"/>
        </w:rPr>
        <w:t>wo</w:t>
      </w:r>
      <w:r w:rsidR="009D6AC2" w:rsidRPr="00DB38EF">
        <w:rPr>
          <w:rFonts w:cs="Arial (Body CS)"/>
          <w:spacing w:val="-4"/>
          <w:szCs w:val="24"/>
        </w:rPr>
        <w:t xml:space="preserve"> caveat</w:t>
      </w:r>
      <w:r w:rsidR="003D059A">
        <w:rPr>
          <w:rFonts w:cs="Arial (Body CS)"/>
          <w:spacing w:val="-4"/>
          <w:szCs w:val="24"/>
        </w:rPr>
        <w:t>s</w:t>
      </w:r>
      <w:r w:rsidR="009D6AC2" w:rsidRPr="00DB38EF">
        <w:rPr>
          <w:rFonts w:cs="Arial (Body CS)"/>
          <w:spacing w:val="-4"/>
          <w:szCs w:val="24"/>
        </w:rPr>
        <w:t xml:space="preserve"> should be lodged here</w:t>
      </w:r>
      <w:r w:rsidR="003D059A">
        <w:rPr>
          <w:rFonts w:cs="Arial (Body CS)"/>
          <w:spacing w:val="-4"/>
          <w:szCs w:val="24"/>
        </w:rPr>
        <w:t>, one</w:t>
      </w:r>
      <w:r w:rsidR="009D6AC2" w:rsidRPr="00DB38EF">
        <w:rPr>
          <w:rFonts w:cs="Arial (Body CS)"/>
          <w:spacing w:val="-4"/>
          <w:szCs w:val="24"/>
        </w:rPr>
        <w:t xml:space="preserve"> that </w:t>
      </w:r>
      <w:r w:rsidR="00252B34" w:rsidRPr="00DB38EF">
        <w:rPr>
          <w:rFonts w:cs="Arial (Body CS)"/>
          <w:spacing w:val="-4"/>
          <w:szCs w:val="24"/>
        </w:rPr>
        <w:t>it</w:t>
      </w:r>
      <w:r w:rsidR="009D6AC2" w:rsidRPr="00DB38EF">
        <w:rPr>
          <w:rFonts w:cs="Arial (Body CS)"/>
          <w:spacing w:val="-4"/>
          <w:szCs w:val="24"/>
        </w:rPr>
        <w:t xml:space="preserve"> is possible that some of the </w:t>
      </w:r>
      <w:r w:rsidR="00494A7E" w:rsidRPr="00DB38EF">
        <w:rPr>
          <w:rFonts w:cs="Arial (Body CS)"/>
          <w:spacing w:val="-4"/>
          <w:szCs w:val="24"/>
        </w:rPr>
        <w:t>non-resident</w:t>
      </w:r>
      <w:r w:rsidR="009D6AC2" w:rsidRPr="00DB38EF">
        <w:rPr>
          <w:rFonts w:cs="Arial (Body CS)"/>
          <w:spacing w:val="-4"/>
          <w:szCs w:val="24"/>
        </w:rPr>
        <w:t xml:space="preserve"> companies are Australian</w:t>
      </w:r>
      <w:r w:rsidR="00F11622" w:rsidRPr="00DB38EF">
        <w:rPr>
          <w:rFonts w:cs="Arial (Body CS)"/>
          <w:spacing w:val="-4"/>
          <w:szCs w:val="24"/>
        </w:rPr>
        <w:t>-</w:t>
      </w:r>
      <w:r w:rsidR="00DE1E64" w:rsidRPr="00DB38EF">
        <w:rPr>
          <w:rFonts w:cs="Arial (Body CS)"/>
          <w:spacing w:val="-4"/>
          <w:szCs w:val="24"/>
        </w:rPr>
        <w:t>owned</w:t>
      </w:r>
      <w:r w:rsidR="003D059A">
        <w:rPr>
          <w:rFonts w:cs="Arial (Body CS)"/>
          <w:spacing w:val="-4"/>
          <w:szCs w:val="24"/>
        </w:rPr>
        <w:t>, and the other that in Germany and the UK some patents may have been filed through the European Patent Office</w:t>
      </w:r>
      <w:r w:rsidR="00DE1E64" w:rsidRPr="00DB38EF">
        <w:rPr>
          <w:rFonts w:cs="Arial (Body CS)"/>
          <w:spacing w:val="-4"/>
          <w:szCs w:val="24"/>
        </w:rPr>
        <w:t>.</w:t>
      </w:r>
      <w:r w:rsidR="004640FD" w:rsidRPr="00DB38EF">
        <w:rPr>
          <w:rFonts w:cs="Arial (Body CS)"/>
          <w:spacing w:val="-4"/>
          <w:szCs w:val="24"/>
        </w:rPr>
        <w:t>)</w:t>
      </w:r>
    </w:p>
    <w:p w14:paraId="660D33EE" w14:textId="612A9BAF" w:rsidR="008C1998" w:rsidRPr="007E6AE3" w:rsidRDefault="5B829B70" w:rsidP="79344E9E">
      <w:pPr>
        <w:rPr>
          <w:szCs w:val="24"/>
        </w:rPr>
      </w:pPr>
      <w:r w:rsidRPr="007E6AE3">
        <w:rPr>
          <w:szCs w:val="24"/>
        </w:rPr>
        <w:t xml:space="preserve">The number of </w:t>
      </w:r>
      <w:r w:rsidR="006B663B" w:rsidRPr="007E6AE3">
        <w:rPr>
          <w:szCs w:val="24"/>
        </w:rPr>
        <w:t>intellectual property (</w:t>
      </w:r>
      <w:r w:rsidRPr="007E6AE3">
        <w:rPr>
          <w:szCs w:val="24"/>
        </w:rPr>
        <w:t>IP</w:t>
      </w:r>
      <w:r w:rsidR="006B663B" w:rsidRPr="007E6AE3">
        <w:rPr>
          <w:szCs w:val="24"/>
        </w:rPr>
        <w:t>)</w:t>
      </w:r>
      <w:r w:rsidRPr="007E6AE3">
        <w:rPr>
          <w:szCs w:val="24"/>
        </w:rPr>
        <w:t xml:space="preserve"> rich companies</w:t>
      </w:r>
      <w:r w:rsidR="330A5074" w:rsidRPr="007E6AE3">
        <w:rPr>
          <w:szCs w:val="24"/>
        </w:rPr>
        <w:t xml:space="preserve"> in Australia</w:t>
      </w:r>
      <w:r w:rsidR="00EB4171" w:rsidRPr="007E6AE3">
        <w:rPr>
          <w:szCs w:val="24"/>
        </w:rPr>
        <w:t xml:space="preserve"> (</w:t>
      </w:r>
      <w:r w:rsidRPr="007E6AE3">
        <w:rPr>
          <w:szCs w:val="24"/>
        </w:rPr>
        <w:t xml:space="preserve">meaning companies which </w:t>
      </w:r>
      <w:r w:rsidR="3961A8C8" w:rsidRPr="007E6AE3">
        <w:rPr>
          <w:szCs w:val="24"/>
        </w:rPr>
        <w:t>house technology innovations of some sort</w:t>
      </w:r>
      <w:r w:rsidR="00EB4171" w:rsidRPr="007E6AE3">
        <w:rPr>
          <w:szCs w:val="24"/>
        </w:rPr>
        <w:t xml:space="preserve">) </w:t>
      </w:r>
      <w:r w:rsidR="3961A8C8" w:rsidRPr="007E6AE3">
        <w:rPr>
          <w:szCs w:val="24"/>
        </w:rPr>
        <w:t>is not known</w:t>
      </w:r>
      <w:r w:rsidR="00EB4171" w:rsidRPr="007E6AE3">
        <w:rPr>
          <w:szCs w:val="24"/>
        </w:rPr>
        <w:t xml:space="preserve"> </w:t>
      </w:r>
      <w:r w:rsidR="00BC3F9C">
        <w:rPr>
          <w:szCs w:val="24"/>
        </w:rPr>
        <w:t>–</w:t>
      </w:r>
      <w:r w:rsidR="00C11A13" w:rsidRPr="007E6AE3">
        <w:rPr>
          <w:szCs w:val="24"/>
        </w:rPr>
        <w:t xml:space="preserve"> </w:t>
      </w:r>
      <w:r w:rsidR="3961A8C8" w:rsidRPr="007E6AE3">
        <w:rPr>
          <w:szCs w:val="24"/>
        </w:rPr>
        <w:t>though one of</w:t>
      </w:r>
      <w:r w:rsidR="6F542C48" w:rsidRPr="007E6AE3">
        <w:rPr>
          <w:szCs w:val="24"/>
        </w:rPr>
        <w:t xml:space="preserve"> </w:t>
      </w:r>
      <w:r w:rsidR="6739CC3C" w:rsidRPr="007E6AE3">
        <w:rPr>
          <w:szCs w:val="24"/>
        </w:rPr>
        <w:t>our</w:t>
      </w:r>
      <w:r w:rsidR="6F542C48" w:rsidRPr="007E6AE3">
        <w:rPr>
          <w:szCs w:val="24"/>
        </w:rPr>
        <w:t xml:space="preserve"> respondents </w:t>
      </w:r>
      <w:r w:rsidR="4C4F52FC" w:rsidRPr="007E6AE3">
        <w:rPr>
          <w:szCs w:val="24"/>
        </w:rPr>
        <w:t>guessed</w:t>
      </w:r>
      <w:r w:rsidR="6F542C48" w:rsidRPr="007E6AE3">
        <w:rPr>
          <w:szCs w:val="24"/>
        </w:rPr>
        <w:t xml:space="preserve"> it </w:t>
      </w:r>
      <w:r w:rsidR="003248AE" w:rsidRPr="007E6AE3">
        <w:rPr>
          <w:szCs w:val="24"/>
        </w:rPr>
        <w:t xml:space="preserve">to be </w:t>
      </w:r>
      <w:r w:rsidR="6F542C48" w:rsidRPr="007E6AE3">
        <w:rPr>
          <w:szCs w:val="24"/>
        </w:rPr>
        <w:t>about 5</w:t>
      </w:r>
      <w:r w:rsidR="0086267C" w:rsidRPr="007E6AE3">
        <w:rPr>
          <w:szCs w:val="24"/>
        </w:rPr>
        <w:t>,</w:t>
      </w:r>
      <w:r w:rsidR="6F542C48" w:rsidRPr="007E6AE3">
        <w:rPr>
          <w:szCs w:val="24"/>
        </w:rPr>
        <w:t>000.</w:t>
      </w:r>
      <w:r w:rsidR="6739CC3C" w:rsidRPr="007E6AE3">
        <w:rPr>
          <w:szCs w:val="24"/>
        </w:rPr>
        <w:t xml:space="preserve"> </w:t>
      </w:r>
      <w:r w:rsidR="008C1998" w:rsidRPr="007E6AE3">
        <w:rPr>
          <w:szCs w:val="24"/>
        </w:rPr>
        <w:t>Getting good data about the population of SMEs that might be candidates for patenting is difficult.</w:t>
      </w:r>
    </w:p>
    <w:p w14:paraId="6F2507B8" w14:textId="2E7731D1" w:rsidR="0078418A" w:rsidRPr="007E6AE3" w:rsidRDefault="0078418A" w:rsidP="79344E9E">
      <w:r w:rsidRPr="72EB7D45">
        <w:t>One method of estimating the number of Australian SMEs that could potentially produce patentable inventions is by identifying innovation-active SMEs also performing research and development (R&amp;D).</w:t>
      </w:r>
      <w:r w:rsidRPr="72EB7D45">
        <w:rPr>
          <w:rStyle w:val="FootnoteReference"/>
        </w:rPr>
        <w:footnoteReference w:id="7"/>
      </w:r>
      <w:r w:rsidRPr="72EB7D45">
        <w:t xml:space="preserve"> By extrapolating the results of SMEs from the </w:t>
      </w:r>
      <w:r w:rsidR="002F112B" w:rsidRPr="72EB7D45">
        <w:t>Business</w:t>
      </w:r>
      <w:r w:rsidR="002F112B">
        <w:t xml:space="preserve"> </w:t>
      </w:r>
      <w:r w:rsidR="002F112B" w:rsidRPr="72EB7D45">
        <w:t>Characteristics</w:t>
      </w:r>
      <w:r w:rsidR="002F112B">
        <w:t xml:space="preserve"> </w:t>
      </w:r>
      <w:r w:rsidR="002F112B" w:rsidRPr="72EB7D45">
        <w:t>Survey</w:t>
      </w:r>
      <w:r w:rsidR="002F112B">
        <w:t xml:space="preserve"> </w:t>
      </w:r>
      <w:r w:rsidRPr="72EB7D45">
        <w:t>(BCS), it is estimated that there were 55,567 SMEs of this type in the 2018-2019 financial year</w:t>
      </w:r>
      <w:r w:rsidR="00FB5352" w:rsidRPr="007E6AE3">
        <w:rPr>
          <w:szCs w:val="24"/>
        </w:rPr>
        <w:t>.</w:t>
      </w:r>
      <w:r w:rsidRPr="72EB7D45">
        <w:rPr>
          <w:rStyle w:val="FootnoteReference"/>
        </w:rPr>
        <w:footnoteReference w:id="8"/>
      </w:r>
      <w:r w:rsidR="003D059A">
        <w:t xml:space="preserve"> It should be noted that this is just an extrapolation. This seems to be an extraordinarily high number, and results from an estimate. </w:t>
      </w:r>
    </w:p>
    <w:p w14:paraId="6BFEB143" w14:textId="269005E0" w:rsidR="00DB38EF" w:rsidRDefault="0078418A" w:rsidP="00DD3C7D">
      <w:pPr>
        <w:rPr>
          <w:rFonts w:cs="Arial (Body CS)"/>
          <w:spacing w:val="-2"/>
          <w:szCs w:val="24"/>
        </w:rPr>
      </w:pPr>
      <w:r w:rsidRPr="00DB38EF">
        <w:rPr>
          <w:rFonts w:cs="Arial (Body CS)"/>
          <w:spacing w:val="-2"/>
          <w:szCs w:val="24"/>
        </w:rPr>
        <w:lastRenderedPageBreak/>
        <w:t>T</w:t>
      </w:r>
      <w:r w:rsidR="008C1998" w:rsidRPr="00DB38EF">
        <w:rPr>
          <w:rFonts w:cs="Arial (Body CS)"/>
          <w:spacing w:val="-2"/>
          <w:szCs w:val="24"/>
        </w:rPr>
        <w:t>he number of Research and Development Tax Incentive (</w:t>
      </w:r>
      <w:r w:rsidR="00553AA2" w:rsidRPr="00DB38EF">
        <w:rPr>
          <w:rFonts w:cs="Arial (Body CS)"/>
          <w:spacing w:val="-2"/>
          <w:szCs w:val="24"/>
        </w:rPr>
        <w:t xml:space="preserve">RDTI) registrations may </w:t>
      </w:r>
      <w:r w:rsidRPr="00DB38EF">
        <w:rPr>
          <w:rFonts w:cs="Arial (Body CS)"/>
          <w:spacing w:val="-2"/>
          <w:szCs w:val="24"/>
        </w:rPr>
        <w:t xml:space="preserve">also </w:t>
      </w:r>
      <w:r w:rsidR="00553AA2" w:rsidRPr="00DB38EF">
        <w:rPr>
          <w:rFonts w:cs="Arial (Body CS)"/>
          <w:spacing w:val="-2"/>
          <w:szCs w:val="24"/>
        </w:rPr>
        <w:t xml:space="preserve">provide a general sense of the number of Australian companies investing in </w:t>
      </w:r>
      <w:r w:rsidR="00562B3A">
        <w:rPr>
          <w:rFonts w:cs="Arial (Body CS)"/>
          <w:spacing w:val="-2"/>
          <w:szCs w:val="24"/>
        </w:rPr>
        <w:t>research and development (</w:t>
      </w:r>
      <w:r w:rsidR="00553AA2" w:rsidRPr="00DB38EF">
        <w:rPr>
          <w:rFonts w:cs="Arial (Body CS)"/>
          <w:spacing w:val="-2"/>
          <w:szCs w:val="24"/>
        </w:rPr>
        <w:t>R&amp;D</w:t>
      </w:r>
      <w:r w:rsidR="00562B3A">
        <w:rPr>
          <w:rFonts w:cs="Arial (Body CS)"/>
          <w:spacing w:val="-2"/>
          <w:szCs w:val="24"/>
        </w:rPr>
        <w:t>)</w:t>
      </w:r>
      <w:r w:rsidR="00553AA2" w:rsidRPr="00DB38EF">
        <w:rPr>
          <w:rFonts w:cs="Arial (Body CS)"/>
          <w:spacing w:val="-2"/>
          <w:szCs w:val="24"/>
        </w:rPr>
        <w:t xml:space="preserve"> in recent years. While we would not expect a one-to-one relationship between RDTI registrations and patent filings, the comparison is worth noting. It is not a perfect comparison, but it may be revealing.</w:t>
      </w:r>
    </w:p>
    <w:p w14:paraId="7BA7E046" w14:textId="27D050E1" w:rsidR="00DE1E64" w:rsidRPr="007E6AE3" w:rsidRDefault="00553AA2" w:rsidP="79344E9E">
      <w:r w:rsidRPr="0C89C1B6">
        <w:t>The RDTI program would suggest that the 5000 businesses (with technological innovations) estimate is low</w:t>
      </w:r>
      <w:r w:rsidR="6351E649" w:rsidRPr="0C89C1B6">
        <w:t>.</w:t>
      </w:r>
      <w:r w:rsidRPr="0C89C1B6">
        <w:rPr>
          <w:rStyle w:val="FootnoteReference"/>
        </w:rPr>
        <w:footnoteReference w:id="9"/>
      </w:r>
      <w:r w:rsidR="58DF90A0" w:rsidRPr="0C89C1B6">
        <w:rPr>
          <w:rStyle w:val="FootnoteReference"/>
        </w:rPr>
        <w:t xml:space="preserve"> </w:t>
      </w:r>
      <w:r w:rsidR="6351E649" w:rsidRPr="0C89C1B6">
        <w:t xml:space="preserve">By the </w:t>
      </w:r>
      <w:r w:rsidR="6BA26313" w:rsidRPr="0C89C1B6">
        <w:t xml:space="preserve">end </w:t>
      </w:r>
      <w:r w:rsidR="6351E649" w:rsidRPr="0C89C1B6">
        <w:t xml:space="preserve">of </w:t>
      </w:r>
      <w:r w:rsidR="6BA26313" w:rsidRPr="0C89C1B6">
        <w:t xml:space="preserve">June </w:t>
      </w:r>
      <w:r w:rsidR="198846E0" w:rsidRPr="0C89C1B6">
        <w:t>2020</w:t>
      </w:r>
      <w:r w:rsidR="6351E649" w:rsidRPr="0C89C1B6">
        <w:t xml:space="preserve"> there were </w:t>
      </w:r>
      <w:r w:rsidR="4A20538B" w:rsidRPr="0C89C1B6">
        <w:t>9,323</w:t>
      </w:r>
      <w:r w:rsidR="72056587" w:rsidRPr="0C89C1B6">
        <w:t xml:space="preserve"> registrations</w:t>
      </w:r>
      <w:r w:rsidR="569A22F9" w:rsidRPr="007E6AE3">
        <w:rPr>
          <w:szCs w:val="24"/>
        </w:rPr>
        <w:t xml:space="preserve"> </w:t>
      </w:r>
      <w:r w:rsidR="198846E0" w:rsidRPr="0C89C1B6">
        <w:t>representing</w:t>
      </w:r>
      <w:r w:rsidR="2C9EC87E" w:rsidRPr="0C89C1B6">
        <w:t xml:space="preserve"> 9</w:t>
      </w:r>
      <w:r w:rsidR="00B9562C" w:rsidRPr="007E6AE3">
        <w:rPr>
          <w:szCs w:val="24"/>
        </w:rPr>
        <w:t>,</w:t>
      </w:r>
      <w:r w:rsidR="2C9EC87E" w:rsidRPr="0C89C1B6">
        <w:t>886 small to medium</w:t>
      </w:r>
      <w:r w:rsidR="00D8715A" w:rsidRPr="0C89C1B6">
        <w:t>-sized</w:t>
      </w:r>
      <w:r w:rsidR="2C9EC87E" w:rsidRPr="007E6AE3">
        <w:rPr>
          <w:szCs w:val="24"/>
        </w:rPr>
        <w:t xml:space="preserve"> </w:t>
      </w:r>
      <w:r w:rsidR="42B63E59" w:rsidRPr="0C89C1B6">
        <w:t>companies</w:t>
      </w:r>
      <w:r w:rsidR="135058C7" w:rsidRPr="0C89C1B6">
        <w:t xml:space="preserve"> participating in the RDTI program</w:t>
      </w:r>
      <w:r w:rsidR="00445824" w:rsidRPr="0C89C1B6">
        <w:t>.</w:t>
      </w:r>
      <w:r w:rsidR="5B829B70" w:rsidRPr="007E6AE3">
        <w:rPr>
          <w:rStyle w:val="FootnoteReference"/>
          <w:szCs w:val="24"/>
        </w:rPr>
        <w:footnoteReference w:id="10"/>
      </w:r>
      <w:r w:rsidR="002F112B">
        <w:t xml:space="preserve"> I</w:t>
      </w:r>
      <w:r w:rsidR="2834C31C" w:rsidRPr="0C89C1B6">
        <w:t>n addition</w:t>
      </w:r>
      <w:r w:rsidR="517C3850" w:rsidRPr="0C89C1B6">
        <w:t>, of these</w:t>
      </w:r>
      <w:r w:rsidR="00422AB4" w:rsidRPr="007E6AE3">
        <w:rPr>
          <w:szCs w:val="24"/>
        </w:rPr>
        <w:t>,</w:t>
      </w:r>
      <w:r w:rsidR="517C3850" w:rsidRPr="0C89C1B6">
        <w:t xml:space="preserve"> 1</w:t>
      </w:r>
      <w:r w:rsidR="00B9562C" w:rsidRPr="007E6AE3">
        <w:rPr>
          <w:szCs w:val="24"/>
        </w:rPr>
        <w:t>,</w:t>
      </w:r>
      <w:r w:rsidR="517C3850" w:rsidRPr="0C89C1B6">
        <w:t xml:space="preserve">990 </w:t>
      </w:r>
      <w:r w:rsidR="3C57CB7D" w:rsidRPr="0C89C1B6">
        <w:t>were new to the program</w:t>
      </w:r>
      <w:r w:rsidR="00427113">
        <w:t>: whilst this figure includes all businesses, not simply SMEs, it points up</w:t>
      </w:r>
      <w:r w:rsidR="00427113" w:rsidRPr="0C89C1B6">
        <w:t xml:space="preserve"> the availability of information about newcomers to the R&amp;D area, and gives a lead for IP</w:t>
      </w:r>
      <w:r w:rsidR="00E00C5D">
        <w:t xml:space="preserve"> or </w:t>
      </w:r>
      <w:r w:rsidR="00427113" w:rsidRPr="0C89C1B6">
        <w:t>commercialisation offers of service</w:t>
      </w:r>
      <w:r w:rsidR="00445824">
        <w:t>.</w:t>
      </w:r>
      <w:r w:rsidR="00D307D8" w:rsidRPr="007E6AE3">
        <w:rPr>
          <w:rStyle w:val="FootnoteReference"/>
          <w:szCs w:val="24"/>
        </w:rPr>
        <w:footnoteReference w:id="11"/>
      </w:r>
      <w:r w:rsidR="5B59F278" w:rsidRPr="007E6AE3">
        <w:rPr>
          <w:szCs w:val="24"/>
        </w:rPr>
        <w:t xml:space="preserve"> </w:t>
      </w:r>
      <w:r w:rsidR="196C57B3" w:rsidRPr="0C89C1B6">
        <w:t>The RDTI is a tax incentive scheme designed to encourage business expenditure on research a</w:t>
      </w:r>
      <w:r w:rsidR="55694061" w:rsidRPr="0C89C1B6">
        <w:t>n</w:t>
      </w:r>
      <w:r w:rsidR="196C57B3" w:rsidRPr="0C89C1B6">
        <w:t>d development:</w:t>
      </w:r>
      <w:r w:rsidR="00861044" w:rsidRPr="007E6AE3">
        <w:rPr>
          <w:szCs w:val="24"/>
        </w:rPr>
        <w:t xml:space="preserve"> </w:t>
      </w:r>
      <w:r w:rsidR="019F442F" w:rsidRPr="0C89C1B6">
        <w:t>t</w:t>
      </w:r>
      <w:r w:rsidR="5B59F278" w:rsidRPr="0C89C1B6">
        <w:t>hese d</w:t>
      </w:r>
      <w:r w:rsidR="4BE20264" w:rsidRPr="0C89C1B6">
        <w:t>a</w:t>
      </w:r>
      <w:r w:rsidR="5B59F278" w:rsidRPr="0C89C1B6">
        <w:t>ta should assist with Recommendat</w:t>
      </w:r>
      <w:r w:rsidR="4BE20264" w:rsidRPr="0C89C1B6">
        <w:t>i</w:t>
      </w:r>
      <w:r w:rsidR="5B59F278" w:rsidRPr="0C89C1B6">
        <w:t xml:space="preserve">ons </w:t>
      </w:r>
      <w:r w:rsidR="1F499C5C" w:rsidRPr="0C89C1B6">
        <w:t>4 and 5</w:t>
      </w:r>
      <w:r w:rsidR="7FB296F0" w:rsidRPr="0C89C1B6">
        <w:t>, on</w:t>
      </w:r>
      <w:r w:rsidR="67C50F24" w:rsidRPr="0C89C1B6">
        <w:t xml:space="preserve"> the importance </w:t>
      </w:r>
      <w:r w:rsidR="2FF893C8" w:rsidRPr="0C89C1B6">
        <w:t>of finding</w:t>
      </w:r>
      <w:r w:rsidR="59954538" w:rsidRPr="0C89C1B6">
        <w:t xml:space="preserve"> and </w:t>
      </w:r>
      <w:r w:rsidR="37B7558C" w:rsidRPr="0C89C1B6">
        <w:t>communicating with</w:t>
      </w:r>
      <w:r w:rsidR="7FB296F0" w:rsidRPr="0C89C1B6">
        <w:t xml:space="preserve"> IP rich companies, and in particular, new ones</w:t>
      </w:r>
      <w:r w:rsidR="1F499C5C">
        <w:t xml:space="preserve">. </w:t>
      </w:r>
    </w:p>
    <w:p w14:paraId="07BEDE74" w14:textId="6EC0E1B1" w:rsidR="00A902E2" w:rsidRPr="007E6AE3" w:rsidRDefault="2EA93FCC" w:rsidP="6E5E0F90">
      <w:pPr>
        <w:rPr>
          <w:szCs w:val="24"/>
        </w:rPr>
      </w:pPr>
      <w:r w:rsidRPr="007E6AE3">
        <w:rPr>
          <w:szCs w:val="24"/>
        </w:rPr>
        <w:t xml:space="preserve">The </w:t>
      </w:r>
      <w:r w:rsidR="0078418A" w:rsidRPr="007E6AE3">
        <w:rPr>
          <w:szCs w:val="24"/>
        </w:rPr>
        <w:t xml:space="preserve">estimated 55,567 SMEs from the BCS and the </w:t>
      </w:r>
      <w:r w:rsidRPr="007E6AE3">
        <w:rPr>
          <w:szCs w:val="24"/>
        </w:rPr>
        <w:t>c. 10</w:t>
      </w:r>
      <w:r w:rsidR="1F61CE27" w:rsidRPr="007E6AE3">
        <w:rPr>
          <w:szCs w:val="24"/>
        </w:rPr>
        <w:t>,</w:t>
      </w:r>
      <w:r w:rsidRPr="007E6AE3">
        <w:rPr>
          <w:szCs w:val="24"/>
        </w:rPr>
        <w:t xml:space="preserve">000 </w:t>
      </w:r>
      <w:r w:rsidR="007347EB" w:rsidRPr="007E6AE3">
        <w:rPr>
          <w:szCs w:val="24"/>
        </w:rPr>
        <w:t xml:space="preserve">SME </w:t>
      </w:r>
      <w:r w:rsidRPr="007E6AE3">
        <w:rPr>
          <w:szCs w:val="24"/>
        </w:rPr>
        <w:t xml:space="preserve">applicants for the RDTI contrast with </w:t>
      </w:r>
      <w:r w:rsidR="00AC6E78" w:rsidRPr="007E6AE3">
        <w:rPr>
          <w:szCs w:val="24"/>
        </w:rPr>
        <w:t xml:space="preserve">fewer </w:t>
      </w:r>
      <w:r w:rsidR="007347EB" w:rsidRPr="007E6AE3">
        <w:rPr>
          <w:szCs w:val="24"/>
        </w:rPr>
        <w:t>than 1</w:t>
      </w:r>
      <w:r w:rsidR="00AC6E78" w:rsidRPr="007E6AE3">
        <w:rPr>
          <w:szCs w:val="24"/>
        </w:rPr>
        <w:t>,</w:t>
      </w:r>
      <w:r w:rsidR="007347EB" w:rsidRPr="007E6AE3">
        <w:rPr>
          <w:szCs w:val="24"/>
        </w:rPr>
        <w:t xml:space="preserve">800 annual </w:t>
      </w:r>
      <w:r w:rsidR="32A5691E" w:rsidRPr="007E6AE3">
        <w:rPr>
          <w:szCs w:val="24"/>
        </w:rPr>
        <w:t xml:space="preserve">patent filings by Australian </w:t>
      </w:r>
      <w:r w:rsidR="007347EB" w:rsidRPr="007E6AE3">
        <w:rPr>
          <w:szCs w:val="24"/>
        </w:rPr>
        <w:t>SMEs between 2015 and</w:t>
      </w:r>
      <w:r w:rsidR="078A4098" w:rsidRPr="007E6AE3">
        <w:rPr>
          <w:szCs w:val="24"/>
        </w:rPr>
        <w:t xml:space="preserve"> </w:t>
      </w:r>
      <w:r w:rsidR="6F0CAB17" w:rsidRPr="007E6AE3">
        <w:rPr>
          <w:szCs w:val="24"/>
        </w:rPr>
        <w:t>2019</w:t>
      </w:r>
      <w:r w:rsidR="3E2AC581" w:rsidRPr="007E6AE3">
        <w:rPr>
          <w:szCs w:val="24"/>
        </w:rPr>
        <w:t>.</w:t>
      </w:r>
      <w:r w:rsidR="00FE66BD" w:rsidRPr="007E6AE3">
        <w:rPr>
          <w:rStyle w:val="FootnoteReference"/>
          <w:szCs w:val="24"/>
        </w:rPr>
        <w:footnoteReference w:id="12"/>
      </w:r>
      <w:r w:rsidR="32A5691E" w:rsidRPr="007E6AE3">
        <w:rPr>
          <w:szCs w:val="24"/>
        </w:rPr>
        <w:t xml:space="preserve"> </w:t>
      </w:r>
      <w:r w:rsidR="2939C0D9" w:rsidRPr="007E6AE3">
        <w:rPr>
          <w:szCs w:val="24"/>
        </w:rPr>
        <w:t xml:space="preserve">It can only be said that the vast number of companies </w:t>
      </w:r>
      <w:r w:rsidR="3895533E" w:rsidRPr="007E6AE3">
        <w:rPr>
          <w:szCs w:val="24"/>
        </w:rPr>
        <w:t xml:space="preserve">attempting to </w:t>
      </w:r>
      <w:r w:rsidR="2939C0D9" w:rsidRPr="007E6AE3">
        <w:rPr>
          <w:szCs w:val="24"/>
        </w:rPr>
        <w:t>produc</w:t>
      </w:r>
      <w:r w:rsidR="3636FA8F" w:rsidRPr="007E6AE3">
        <w:rPr>
          <w:szCs w:val="24"/>
        </w:rPr>
        <w:t>e</w:t>
      </w:r>
      <w:r w:rsidR="2939C0D9" w:rsidRPr="007E6AE3">
        <w:rPr>
          <w:szCs w:val="24"/>
        </w:rPr>
        <w:t xml:space="preserve"> new knowledge</w:t>
      </w:r>
      <w:r w:rsidR="2B3D7836" w:rsidRPr="007E6AE3">
        <w:rPr>
          <w:szCs w:val="24"/>
        </w:rPr>
        <w:t xml:space="preserve"> </w:t>
      </w:r>
      <w:r w:rsidR="004A6305" w:rsidRPr="007E6AE3">
        <w:rPr>
          <w:szCs w:val="24"/>
        </w:rPr>
        <w:t xml:space="preserve">are failing </w:t>
      </w:r>
      <w:r w:rsidR="2B3D7836" w:rsidRPr="007E6AE3">
        <w:rPr>
          <w:szCs w:val="24"/>
        </w:rPr>
        <w:t>to use the IP rights system</w:t>
      </w:r>
      <w:r w:rsidR="3A2BB12B" w:rsidRPr="007E6AE3">
        <w:rPr>
          <w:szCs w:val="24"/>
        </w:rPr>
        <w:t xml:space="preserve"> to secure ownership of this new knowledge</w:t>
      </w:r>
      <w:r w:rsidR="00580651" w:rsidRPr="007E6AE3">
        <w:rPr>
          <w:szCs w:val="24"/>
        </w:rPr>
        <w:t xml:space="preserve"> </w:t>
      </w:r>
      <w:r w:rsidR="00BC3F9C">
        <w:rPr>
          <w:szCs w:val="24"/>
        </w:rPr>
        <w:t>–</w:t>
      </w:r>
      <w:r w:rsidR="00C11A13" w:rsidRPr="007E6AE3">
        <w:rPr>
          <w:szCs w:val="24"/>
        </w:rPr>
        <w:t xml:space="preserve"> </w:t>
      </w:r>
      <w:r w:rsidR="3A2BB12B" w:rsidRPr="007E6AE3">
        <w:rPr>
          <w:szCs w:val="24"/>
        </w:rPr>
        <w:t xml:space="preserve">or </w:t>
      </w:r>
      <w:r w:rsidR="5F993FDC" w:rsidRPr="007E6AE3">
        <w:rPr>
          <w:szCs w:val="24"/>
        </w:rPr>
        <w:t xml:space="preserve">simply </w:t>
      </w:r>
      <w:r w:rsidR="3A2BB12B" w:rsidRPr="007E6AE3">
        <w:rPr>
          <w:szCs w:val="24"/>
        </w:rPr>
        <w:t>fail</w:t>
      </w:r>
      <w:r w:rsidR="00580651" w:rsidRPr="007E6AE3">
        <w:rPr>
          <w:szCs w:val="24"/>
        </w:rPr>
        <w:t>ing</w:t>
      </w:r>
      <w:r w:rsidR="3A2BB12B" w:rsidRPr="007E6AE3">
        <w:rPr>
          <w:szCs w:val="24"/>
        </w:rPr>
        <w:t xml:space="preserve"> to produce it. </w:t>
      </w:r>
      <w:r w:rsidR="5CCBD5B0" w:rsidRPr="007E6AE3">
        <w:rPr>
          <w:szCs w:val="24"/>
        </w:rPr>
        <w:t>Perhaps they avoid</w:t>
      </w:r>
      <w:r w:rsidR="34B516B0" w:rsidRPr="007E6AE3">
        <w:rPr>
          <w:szCs w:val="24"/>
        </w:rPr>
        <w:t xml:space="preserve"> the patent system</w:t>
      </w:r>
      <w:r w:rsidR="61518939" w:rsidRPr="007E6AE3">
        <w:rPr>
          <w:szCs w:val="24"/>
        </w:rPr>
        <w:t>?</w:t>
      </w:r>
      <w:r w:rsidR="26362CAC" w:rsidRPr="007E6AE3">
        <w:rPr>
          <w:szCs w:val="24"/>
        </w:rPr>
        <w:t xml:space="preserve"> </w:t>
      </w:r>
      <w:r w:rsidR="00553AA2" w:rsidRPr="007E6AE3">
        <w:rPr>
          <w:szCs w:val="24"/>
        </w:rPr>
        <w:t xml:space="preserve">They may produce new knowledge that is not patentable. Or the resulting technology may be patentable, but there may be no demand for it in the market. Or it may be that trade secrets or other types of IP are better suited to protect the fruits of their R&amp;D. </w:t>
      </w:r>
      <w:r w:rsidR="5922A547" w:rsidRPr="007E6AE3">
        <w:rPr>
          <w:szCs w:val="24"/>
        </w:rPr>
        <w:t xml:space="preserve">There are </w:t>
      </w:r>
      <w:r w:rsidR="22C0F607" w:rsidRPr="007E6AE3">
        <w:rPr>
          <w:szCs w:val="24"/>
        </w:rPr>
        <w:t xml:space="preserve">indeed </w:t>
      </w:r>
      <w:r w:rsidR="5922A547" w:rsidRPr="007E6AE3">
        <w:rPr>
          <w:szCs w:val="24"/>
        </w:rPr>
        <w:t xml:space="preserve">other options. </w:t>
      </w:r>
      <w:r w:rsidR="00553AA2" w:rsidRPr="007E6AE3">
        <w:rPr>
          <w:szCs w:val="24"/>
        </w:rPr>
        <w:t xml:space="preserve">It should be noted though that the RDTI scheme measures novelty in a somewhat different way from the </w:t>
      </w:r>
      <w:r w:rsidR="006E59C1">
        <w:rPr>
          <w:szCs w:val="24"/>
        </w:rPr>
        <w:t xml:space="preserve">novelty and </w:t>
      </w:r>
      <w:r w:rsidR="00553AA2" w:rsidRPr="007E6AE3">
        <w:rPr>
          <w:szCs w:val="24"/>
        </w:rPr>
        <w:t>inventive step required for patenting.</w:t>
      </w:r>
    </w:p>
    <w:p w14:paraId="51241E9A" w14:textId="06F47FE8" w:rsidR="00DE1E64" w:rsidRDefault="00553AA2" w:rsidP="6E5E0F90">
      <w:pPr>
        <w:rPr>
          <w:szCs w:val="24"/>
        </w:rPr>
      </w:pPr>
      <w:r w:rsidRPr="007E6AE3">
        <w:rPr>
          <w:szCs w:val="24"/>
        </w:rPr>
        <w:t>P</w:t>
      </w:r>
      <w:r w:rsidR="3ED68D1E" w:rsidRPr="007E6AE3">
        <w:rPr>
          <w:szCs w:val="24"/>
        </w:rPr>
        <w:t>erhaps the</w:t>
      </w:r>
      <w:r w:rsidR="005639B3" w:rsidRPr="007E6AE3">
        <w:rPr>
          <w:szCs w:val="24"/>
        </w:rPr>
        <w:t xml:space="preserve"> </w:t>
      </w:r>
      <w:r w:rsidR="3ED68D1E" w:rsidRPr="007E6AE3">
        <w:rPr>
          <w:szCs w:val="24"/>
        </w:rPr>
        <w:t>RDTI scheme has become a standard co</w:t>
      </w:r>
      <w:r w:rsidR="2EFADC0D" w:rsidRPr="007E6AE3">
        <w:rPr>
          <w:szCs w:val="24"/>
        </w:rPr>
        <w:t>r</w:t>
      </w:r>
      <w:r w:rsidR="3ED68D1E" w:rsidRPr="007E6AE3">
        <w:rPr>
          <w:szCs w:val="24"/>
        </w:rPr>
        <w:t>porate subsidy whose pur</w:t>
      </w:r>
      <w:r w:rsidR="6C828130" w:rsidRPr="007E6AE3">
        <w:rPr>
          <w:szCs w:val="24"/>
        </w:rPr>
        <w:t>p</w:t>
      </w:r>
      <w:r w:rsidR="3ED68D1E" w:rsidRPr="007E6AE3">
        <w:rPr>
          <w:szCs w:val="24"/>
        </w:rPr>
        <w:t>ose has been lost.</w:t>
      </w:r>
      <w:r w:rsidR="00861044" w:rsidRPr="007E6AE3">
        <w:rPr>
          <w:szCs w:val="24"/>
        </w:rPr>
        <w:t xml:space="preserve"> </w:t>
      </w:r>
      <w:r w:rsidR="5CF414BE" w:rsidRPr="007E6AE3">
        <w:rPr>
          <w:szCs w:val="24"/>
        </w:rPr>
        <w:t>The gap between RDTI registrations and patent filings over a ten</w:t>
      </w:r>
      <w:r w:rsidR="00457C65" w:rsidRPr="007E6AE3">
        <w:rPr>
          <w:szCs w:val="24"/>
        </w:rPr>
        <w:t>-</w:t>
      </w:r>
      <w:r w:rsidR="5CF414BE" w:rsidRPr="007E6AE3">
        <w:rPr>
          <w:szCs w:val="24"/>
        </w:rPr>
        <w:t xml:space="preserve">year period is </w:t>
      </w:r>
      <w:r w:rsidR="54544A81" w:rsidRPr="007E6AE3">
        <w:rPr>
          <w:szCs w:val="24"/>
        </w:rPr>
        <w:lastRenderedPageBreak/>
        <w:t>s</w:t>
      </w:r>
      <w:r w:rsidR="5CF414BE" w:rsidRPr="007E6AE3">
        <w:rPr>
          <w:szCs w:val="24"/>
        </w:rPr>
        <w:t xml:space="preserve">hown in </w:t>
      </w:r>
      <w:r w:rsidR="54DCEE4B" w:rsidRPr="007E6AE3">
        <w:rPr>
          <w:szCs w:val="24"/>
        </w:rPr>
        <w:t>t</w:t>
      </w:r>
      <w:r w:rsidR="5CF414BE" w:rsidRPr="007E6AE3">
        <w:rPr>
          <w:szCs w:val="24"/>
        </w:rPr>
        <w:t xml:space="preserve">he </w:t>
      </w:r>
      <w:r w:rsidR="3C9F6465" w:rsidRPr="007E6AE3">
        <w:rPr>
          <w:szCs w:val="24"/>
        </w:rPr>
        <w:t>g</w:t>
      </w:r>
      <w:r w:rsidR="5CF414BE" w:rsidRPr="007E6AE3">
        <w:rPr>
          <w:szCs w:val="24"/>
        </w:rPr>
        <w:t>raph below</w:t>
      </w:r>
      <w:r w:rsidR="01F45009" w:rsidRPr="007E6AE3">
        <w:rPr>
          <w:szCs w:val="24"/>
        </w:rPr>
        <w:t>.</w:t>
      </w:r>
      <w:r w:rsidRPr="007E6AE3">
        <w:rPr>
          <w:szCs w:val="24"/>
        </w:rPr>
        <w:t xml:space="preserve"> There are some caveats to be entered about interpreting these data, one being that the gap between discovering something new, and filing for a related patent, may be quite long: and as already noted the kind of novelty sought by the RDTI scheme may not be readily patentable</w:t>
      </w:r>
      <w:r w:rsidR="00FB5352" w:rsidRPr="007E6AE3">
        <w:rPr>
          <w:szCs w:val="24"/>
        </w:rPr>
        <w:t>.</w:t>
      </w:r>
      <w:r w:rsidR="008B5330" w:rsidRPr="007E6AE3">
        <w:rPr>
          <w:rStyle w:val="FootnoteReference"/>
          <w:szCs w:val="24"/>
        </w:rPr>
        <w:footnoteReference w:id="13"/>
      </w:r>
      <w:r w:rsidRPr="007E6AE3">
        <w:rPr>
          <w:szCs w:val="24"/>
        </w:rPr>
        <w:t xml:space="preserve"> Despite all this the gap is huge, and one would expect more spinoff in the patent system. </w:t>
      </w:r>
    </w:p>
    <w:p w14:paraId="777B302B" w14:textId="75812CEA" w:rsidR="1D18D6CD" w:rsidRPr="00350901" w:rsidRDefault="00E95D52" w:rsidP="688CECA2">
      <w:pPr>
        <w:pStyle w:val="Heading2"/>
        <w:rPr>
          <w:sz w:val="28"/>
          <w:szCs w:val="28"/>
        </w:rPr>
      </w:pPr>
      <w:r w:rsidRPr="00660578" w:rsidDel="00E95D52">
        <w:rPr>
          <w:sz w:val="28"/>
          <w:szCs w:val="28"/>
        </w:rPr>
        <w:t xml:space="preserve">Figure 1.1 – RDTI and patent filings by AU residents in </w:t>
      </w:r>
      <w:r w:rsidRPr="00350901">
        <w:rPr>
          <w:sz w:val="28"/>
          <w:szCs w:val="28"/>
        </w:rPr>
        <w:t>20</w:t>
      </w:r>
      <w:r w:rsidR="5554642A" w:rsidRPr="00350901">
        <w:rPr>
          <w:sz w:val="28"/>
          <w:szCs w:val="28"/>
        </w:rPr>
        <w:t>09</w:t>
      </w:r>
      <w:r w:rsidR="008C64BB">
        <w:rPr>
          <w:sz w:val="28"/>
          <w:szCs w:val="28"/>
        </w:rPr>
        <w:t>–</w:t>
      </w:r>
      <w:r w:rsidRPr="00660578">
        <w:rPr>
          <w:sz w:val="28"/>
          <w:szCs w:val="28"/>
        </w:rPr>
        <w:t>10</w:t>
      </w:r>
      <w:r w:rsidR="53D4EBF5" w:rsidRPr="00350901">
        <w:rPr>
          <w:sz w:val="28"/>
          <w:szCs w:val="28"/>
        </w:rPr>
        <w:t xml:space="preserve"> to</w:t>
      </w:r>
      <w:r w:rsidR="33DA40F3" w:rsidRPr="00350901">
        <w:rPr>
          <w:sz w:val="28"/>
          <w:szCs w:val="28"/>
        </w:rPr>
        <w:t xml:space="preserve"> 2018</w:t>
      </w:r>
      <w:r w:rsidR="008C64BB">
        <w:rPr>
          <w:sz w:val="28"/>
          <w:szCs w:val="28"/>
        </w:rPr>
        <w:t>–</w:t>
      </w:r>
      <w:r w:rsidRPr="00CA10D0" w:rsidDel="00E95D52">
        <w:rPr>
          <w:sz w:val="28"/>
          <w:szCs w:val="28"/>
        </w:rPr>
        <w:t>19</w:t>
      </w:r>
      <w:r w:rsidRPr="00660578" w:rsidDel="00E95D52">
        <w:rPr>
          <w:sz w:val="28"/>
          <w:szCs w:val="28"/>
        </w:rPr>
        <w:t xml:space="preserve"> </w:t>
      </w:r>
    </w:p>
    <w:p w14:paraId="12CF974F" w14:textId="3FFD6571" w:rsidR="00B97FBC" w:rsidRDefault="00CCE444" w:rsidP="1D18D6CD">
      <w:pPr>
        <w:jc w:val="center"/>
      </w:pPr>
      <w:r>
        <w:rPr>
          <w:noProof/>
          <w:lang w:eastAsia="en-AU"/>
        </w:rPr>
        <w:drawing>
          <wp:inline distT="0" distB="0" distL="0" distR="0" wp14:anchorId="56B38EF6" wp14:editId="585858B2">
            <wp:extent cx="5617867" cy="3113314"/>
            <wp:effectExtent l="0" t="0" r="0" b="0"/>
            <wp:docPr id="84904287" name="Picture 8490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04287"/>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5619752" cy="3114359"/>
                    </a:xfrm>
                    <a:prstGeom prst="rect">
                      <a:avLst/>
                    </a:prstGeom>
                    <a:ln>
                      <a:noFill/>
                    </a:ln>
                    <a:extLst>
                      <a:ext uri="{53640926-AAD7-44D8-BBD7-CCE9431645EC}">
                        <a14:shadowObscured xmlns:a14="http://schemas.microsoft.com/office/drawing/2010/main"/>
                      </a:ext>
                    </a:extLst>
                  </pic:spPr>
                </pic:pic>
              </a:graphicData>
            </a:graphic>
          </wp:inline>
        </w:drawing>
      </w:r>
    </w:p>
    <w:p w14:paraId="6B8FBA9D" w14:textId="4BE7BDCF" w:rsidR="00FD2A1A" w:rsidRDefault="00FD2A1A" w:rsidP="00817B7F">
      <w:pPr>
        <w:spacing w:after="0" w:line="240" w:lineRule="auto"/>
        <w:rPr>
          <w:rFonts w:ascii="Calibri" w:eastAsia="Times New Roman" w:hAnsi="Calibri" w:cs="Calibri"/>
          <w:color w:val="000000"/>
          <w:lang w:eastAsia="en-AU"/>
        </w:rPr>
      </w:pPr>
      <w:r w:rsidRPr="00660578">
        <w:rPr>
          <w:rFonts w:ascii="Calibri" w:eastAsia="Times New Roman" w:hAnsi="Calibri" w:cs="Calibri"/>
          <w:i/>
          <w:lang w:eastAsia="en-AU"/>
        </w:rPr>
        <w:t>Source</w:t>
      </w:r>
      <w:r w:rsidRPr="00350901">
        <w:rPr>
          <w:rFonts w:ascii="Calibri" w:eastAsia="Times New Roman" w:hAnsi="Calibri" w:cs="Calibri"/>
          <w:lang w:eastAsia="en-AU"/>
        </w:rPr>
        <w:t xml:space="preserve">: </w:t>
      </w:r>
      <w:r w:rsidR="000314F7" w:rsidRPr="00350901">
        <w:rPr>
          <w:rFonts w:ascii="Calibri" w:eastAsia="Times New Roman" w:hAnsi="Calibri" w:cs="Calibri"/>
          <w:color w:val="000000"/>
          <w:lang w:eastAsia="en-AU"/>
        </w:rPr>
        <w:t>IP Aust</w:t>
      </w:r>
      <w:r w:rsidR="000314F7" w:rsidRPr="00335E2D">
        <w:rPr>
          <w:rFonts w:ascii="Calibri" w:eastAsia="Times New Roman" w:hAnsi="Calibri" w:cs="Calibri"/>
          <w:color w:val="000000"/>
          <w:lang w:eastAsia="en-AU"/>
        </w:rPr>
        <w:t>ralia (2021) and DISER (2021)</w:t>
      </w:r>
    </w:p>
    <w:p w14:paraId="3FED5E01" w14:textId="3DC477CA" w:rsidR="008C2D07" w:rsidRPr="00817B7F" w:rsidRDefault="008C2D07" w:rsidP="00817B7F">
      <w:pPr>
        <w:spacing w:after="360"/>
        <w:rPr>
          <w:rFonts w:ascii="Calibri" w:eastAsiaTheme="majorEastAsia" w:hAnsi="Calibri" w:cs="Calibri"/>
        </w:rPr>
      </w:pPr>
      <w:r w:rsidRPr="1B8F542C">
        <w:rPr>
          <w:rStyle w:val="normaltextrun"/>
          <w:rFonts w:ascii="Calibri" w:eastAsiaTheme="majorEastAsia" w:hAnsi="Calibri" w:cs="Calibri"/>
        </w:rPr>
        <w:t xml:space="preserve">Another way to look at the issue is to </w:t>
      </w:r>
      <w:r w:rsidR="00A66273">
        <w:rPr>
          <w:rStyle w:val="normaltextrun"/>
          <w:rFonts w:ascii="Calibri" w:eastAsiaTheme="majorEastAsia" w:hAnsi="Calibri" w:cs="Calibri"/>
        </w:rPr>
        <w:t xml:space="preserve">consider </w:t>
      </w:r>
      <w:r w:rsidRPr="1B8F542C">
        <w:rPr>
          <w:rStyle w:val="normaltextrun"/>
          <w:rFonts w:ascii="Calibri" w:eastAsiaTheme="majorEastAsia" w:hAnsi="Calibri" w:cs="Calibri"/>
        </w:rPr>
        <w:t xml:space="preserve">those SMEs who obtained an R&amp;D tax concession, and see how many of those firms also filed for a patent. </w:t>
      </w:r>
      <w:r w:rsidRPr="1B8F542C">
        <w:rPr>
          <w:rFonts w:ascii="Calibri" w:eastAsiaTheme="majorEastAsia" w:hAnsi="Calibri" w:cs="Calibri"/>
        </w:rPr>
        <w:t>Among Australian SMEs that obtain an R&amp;D tax concession, the share that also filed a patent has declined between 2004-05 and 2016-17.</w:t>
      </w:r>
    </w:p>
    <w:p w14:paraId="103C1F63" w14:textId="77777777" w:rsidR="008C2D07" w:rsidRPr="000F48FC" w:rsidRDefault="008C2D07" w:rsidP="008C2D07">
      <w:pPr>
        <w:keepNext/>
        <w:spacing w:line="240" w:lineRule="auto"/>
        <w:rPr>
          <w:rFonts w:ascii="Calibri" w:eastAsia="Calibri" w:hAnsi="Calibri" w:cs="Times New Roman"/>
          <w:i/>
          <w:color w:val="005677"/>
        </w:rPr>
      </w:pPr>
      <w:r w:rsidRPr="0C89C1B6">
        <w:rPr>
          <w:rFonts w:ascii="Calibri" w:eastAsia="Calibri" w:hAnsi="Calibri" w:cs="Times New Roman"/>
          <w:i/>
          <w:color w:val="005677"/>
        </w:rPr>
        <w:lastRenderedPageBreak/>
        <w:t xml:space="preserve">Table </w:t>
      </w:r>
      <w:r>
        <w:rPr>
          <w:rFonts w:ascii="Calibri" w:eastAsia="Calibri" w:hAnsi="Calibri" w:cs="Times New Roman"/>
          <w:i/>
          <w:color w:val="005677" w:themeColor="text2"/>
        </w:rPr>
        <w:t>1</w:t>
      </w:r>
      <w:r w:rsidRPr="0C89C1B6">
        <w:rPr>
          <w:rFonts w:ascii="Calibri" w:eastAsia="Calibri" w:hAnsi="Calibri" w:cs="Times New Roman"/>
          <w:i/>
          <w:color w:val="005677"/>
        </w:rPr>
        <w:t xml:space="preserve"> – </w:t>
      </w:r>
      <w:r w:rsidRPr="00D363E3">
        <w:rPr>
          <w:rFonts w:ascii="Calibri" w:eastAsia="Calibri" w:hAnsi="Calibri" w:cs="Times New Roman"/>
          <w:i/>
          <w:color w:val="005677"/>
        </w:rPr>
        <w:t>Australian SMEs that obtain an R&amp;D tax concession and which patent, 2004-05 to 2016-17</w:t>
      </w:r>
    </w:p>
    <w:tbl>
      <w:tblPr>
        <w:tblStyle w:val="ListTable3-Accent31"/>
        <w:tblW w:w="8926" w:type="dxa"/>
        <w:tblLook w:val="04A0" w:firstRow="1" w:lastRow="0" w:firstColumn="1" w:lastColumn="0" w:noHBand="0" w:noVBand="1"/>
        <w:tblCaption w:val="Sample table"/>
        <w:tblDescription w:val="Add text broadly describing the table. You do not need to replicate the whole contents."/>
      </w:tblPr>
      <w:tblGrid>
        <w:gridCol w:w="2263"/>
        <w:gridCol w:w="2268"/>
        <w:gridCol w:w="2127"/>
        <w:gridCol w:w="2268"/>
      </w:tblGrid>
      <w:tr w:rsidR="008C2D07" w:rsidRPr="00852CA8" w14:paraId="5CA48E70" w14:textId="77777777" w:rsidTr="008C2D0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3" w:type="dxa"/>
          </w:tcPr>
          <w:p w14:paraId="6D8CD654" w14:textId="77777777" w:rsidR="008C2D07" w:rsidRPr="000F48FC" w:rsidRDefault="008C2D07" w:rsidP="008C2D07">
            <w:pPr>
              <w:rPr>
                <w:rFonts w:ascii="Calibri" w:eastAsia="Calibri" w:hAnsi="Calibri" w:cs="Times New Roman"/>
                <w:szCs w:val="24"/>
              </w:rPr>
            </w:pPr>
            <w:r w:rsidRPr="000F48FC">
              <w:rPr>
                <w:rFonts w:ascii="Calibri" w:eastAsia="Calibri" w:hAnsi="Calibri" w:cs="Times New Roman"/>
                <w:szCs w:val="24"/>
              </w:rPr>
              <w:t>Year</w:t>
            </w:r>
          </w:p>
        </w:tc>
        <w:tc>
          <w:tcPr>
            <w:tcW w:w="2268" w:type="dxa"/>
          </w:tcPr>
          <w:p w14:paraId="4F074BA7" w14:textId="77777777" w:rsidR="008C2D07" w:rsidRPr="000F48FC" w:rsidRDefault="008C2D07" w:rsidP="00B1097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Pr>
                <w:rFonts w:ascii="Calibri" w:eastAsia="Calibri" w:hAnsi="Calibri" w:cs="Times New Roman"/>
                <w:szCs w:val="24"/>
              </w:rPr>
              <w:t>SMEs with an R&amp;D tax concession</w:t>
            </w:r>
          </w:p>
        </w:tc>
        <w:tc>
          <w:tcPr>
            <w:tcW w:w="2127" w:type="dxa"/>
          </w:tcPr>
          <w:p w14:paraId="65EE1850" w14:textId="77777777" w:rsidR="008C2D07" w:rsidRPr="000F48FC" w:rsidRDefault="008C2D07" w:rsidP="00B1097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Pr>
                <w:rFonts w:ascii="Calibri" w:eastAsia="Calibri" w:hAnsi="Calibri" w:cs="Times New Roman"/>
                <w:szCs w:val="24"/>
              </w:rPr>
              <w:t>SMEs with an R&amp;D tax concession that also filed a patent</w:t>
            </w:r>
          </w:p>
        </w:tc>
        <w:tc>
          <w:tcPr>
            <w:tcW w:w="2268" w:type="dxa"/>
          </w:tcPr>
          <w:p w14:paraId="7A279C4F" w14:textId="77777777" w:rsidR="008C2D07" w:rsidRPr="000F48FC" w:rsidRDefault="008C2D07" w:rsidP="00B1097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Pr>
                <w:rFonts w:ascii="Calibri" w:eastAsia="Calibri" w:hAnsi="Calibri" w:cs="Times New Roman"/>
                <w:szCs w:val="24"/>
              </w:rPr>
              <w:t>Percentage share</w:t>
            </w:r>
          </w:p>
        </w:tc>
      </w:tr>
      <w:tr w:rsidR="008C2D07" w:rsidRPr="00852CA8" w14:paraId="25F1DFD3" w14:textId="77777777" w:rsidTr="00B1097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FF955C0" w14:textId="77777777" w:rsidR="008C2D07" w:rsidRPr="00D006EF" w:rsidRDefault="008C2D07" w:rsidP="00B1097E">
            <w:pPr>
              <w:spacing w:before="0" w:after="0"/>
            </w:pPr>
            <w:r w:rsidRPr="00D006EF">
              <w:t xml:space="preserve">2004-05     </w:t>
            </w:r>
          </w:p>
        </w:tc>
        <w:tc>
          <w:tcPr>
            <w:tcW w:w="2268" w:type="dxa"/>
            <w:vAlign w:val="center"/>
          </w:tcPr>
          <w:p w14:paraId="0B5B7248" w14:textId="77777777" w:rsidR="008C2D07" w:rsidRPr="00D006EF"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3 798</w:t>
            </w:r>
          </w:p>
        </w:tc>
        <w:tc>
          <w:tcPr>
            <w:tcW w:w="2127" w:type="dxa"/>
            <w:vAlign w:val="center"/>
          </w:tcPr>
          <w:p w14:paraId="4E3BEB3A" w14:textId="77777777" w:rsidR="008C2D07" w:rsidRPr="00D006EF"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336</w:t>
            </w:r>
          </w:p>
        </w:tc>
        <w:tc>
          <w:tcPr>
            <w:tcW w:w="2268" w:type="dxa"/>
            <w:vAlign w:val="center"/>
          </w:tcPr>
          <w:p w14:paraId="6BBBFD50" w14:textId="77777777" w:rsidR="008C2D07" w:rsidRPr="00A411DB"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A411DB">
              <w:t>8.8%</w:t>
            </w:r>
          </w:p>
        </w:tc>
      </w:tr>
      <w:tr w:rsidR="008C2D07" w:rsidRPr="00852CA8" w14:paraId="1DE66F60" w14:textId="77777777" w:rsidTr="00B1097E">
        <w:trPr>
          <w:trHeight w:val="45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B245B92" w14:textId="77777777" w:rsidR="008C2D07" w:rsidRPr="00D006EF" w:rsidRDefault="008C2D07" w:rsidP="00B1097E">
            <w:pPr>
              <w:spacing w:before="0" w:after="0"/>
            </w:pPr>
            <w:r w:rsidRPr="00D006EF">
              <w:t>2005-06</w:t>
            </w:r>
          </w:p>
        </w:tc>
        <w:tc>
          <w:tcPr>
            <w:tcW w:w="2268" w:type="dxa"/>
            <w:vAlign w:val="center"/>
          </w:tcPr>
          <w:p w14:paraId="4CD9D98A" w14:textId="77777777" w:rsidR="008C2D07" w:rsidRPr="00D006EF"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D006EF">
              <w:t>4 018</w:t>
            </w:r>
          </w:p>
        </w:tc>
        <w:tc>
          <w:tcPr>
            <w:tcW w:w="2127" w:type="dxa"/>
            <w:vAlign w:val="center"/>
          </w:tcPr>
          <w:p w14:paraId="5C7B5361" w14:textId="77777777" w:rsidR="008C2D07" w:rsidRPr="00D006EF"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D006EF">
              <w:t>335</w:t>
            </w:r>
          </w:p>
        </w:tc>
        <w:tc>
          <w:tcPr>
            <w:tcW w:w="2268" w:type="dxa"/>
            <w:vAlign w:val="center"/>
          </w:tcPr>
          <w:p w14:paraId="023A9EB0" w14:textId="77777777" w:rsidR="008C2D07" w:rsidRPr="00A411DB"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A411DB">
              <w:t>8.3%</w:t>
            </w:r>
          </w:p>
        </w:tc>
      </w:tr>
      <w:tr w:rsidR="008C2D07" w:rsidRPr="00852CA8" w14:paraId="4BED5CEC" w14:textId="77777777" w:rsidTr="00B1097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C4B7A83" w14:textId="77777777" w:rsidR="008C2D07" w:rsidRPr="00D006EF" w:rsidRDefault="008C2D07" w:rsidP="00B1097E">
            <w:pPr>
              <w:spacing w:before="0" w:after="0"/>
            </w:pPr>
            <w:r w:rsidRPr="00D006EF">
              <w:t>2006-07</w:t>
            </w:r>
          </w:p>
        </w:tc>
        <w:tc>
          <w:tcPr>
            <w:tcW w:w="2268" w:type="dxa"/>
            <w:vAlign w:val="center"/>
          </w:tcPr>
          <w:p w14:paraId="66A7CCC1" w14:textId="77777777" w:rsidR="008C2D07" w:rsidRPr="00D006EF"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3 926</w:t>
            </w:r>
          </w:p>
        </w:tc>
        <w:tc>
          <w:tcPr>
            <w:tcW w:w="2127" w:type="dxa"/>
            <w:vAlign w:val="center"/>
          </w:tcPr>
          <w:p w14:paraId="4E66E7CC" w14:textId="77777777" w:rsidR="008C2D07" w:rsidRPr="00D006EF"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336</w:t>
            </w:r>
          </w:p>
        </w:tc>
        <w:tc>
          <w:tcPr>
            <w:tcW w:w="2268" w:type="dxa"/>
            <w:vAlign w:val="center"/>
          </w:tcPr>
          <w:p w14:paraId="5CD75539" w14:textId="77777777" w:rsidR="008C2D07" w:rsidRPr="00A411DB"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A411DB">
              <w:t>8.6%</w:t>
            </w:r>
          </w:p>
        </w:tc>
      </w:tr>
      <w:tr w:rsidR="008C2D07" w:rsidRPr="00852CA8" w14:paraId="63281C50" w14:textId="77777777" w:rsidTr="00B1097E">
        <w:trPr>
          <w:trHeight w:val="45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C12B52E" w14:textId="77777777" w:rsidR="008C2D07" w:rsidRPr="00D006EF" w:rsidRDefault="008C2D07" w:rsidP="00B1097E">
            <w:pPr>
              <w:spacing w:before="0" w:after="0"/>
            </w:pPr>
            <w:r w:rsidRPr="00D006EF">
              <w:t>2007-08</w:t>
            </w:r>
          </w:p>
        </w:tc>
        <w:tc>
          <w:tcPr>
            <w:tcW w:w="2268" w:type="dxa"/>
            <w:vAlign w:val="center"/>
          </w:tcPr>
          <w:p w14:paraId="24BD91AF" w14:textId="77777777" w:rsidR="008C2D07" w:rsidRPr="00D006EF"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D006EF">
              <w:t>4 622</w:t>
            </w:r>
          </w:p>
        </w:tc>
        <w:tc>
          <w:tcPr>
            <w:tcW w:w="2127" w:type="dxa"/>
            <w:vAlign w:val="center"/>
          </w:tcPr>
          <w:p w14:paraId="178AB6AD" w14:textId="77777777" w:rsidR="008C2D07" w:rsidRPr="00D006EF"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D006EF">
              <w:t>323</w:t>
            </w:r>
          </w:p>
        </w:tc>
        <w:tc>
          <w:tcPr>
            <w:tcW w:w="2268" w:type="dxa"/>
            <w:vAlign w:val="center"/>
          </w:tcPr>
          <w:p w14:paraId="3F8EC4FE" w14:textId="77777777" w:rsidR="008C2D07" w:rsidRPr="00A411DB"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A411DB">
              <w:t>7.0%</w:t>
            </w:r>
          </w:p>
        </w:tc>
      </w:tr>
      <w:tr w:rsidR="008C2D07" w:rsidRPr="00852CA8" w14:paraId="2ABCE7B7" w14:textId="77777777" w:rsidTr="00B1097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4D31350" w14:textId="77777777" w:rsidR="008C2D07" w:rsidRPr="00D006EF" w:rsidRDefault="008C2D07" w:rsidP="00B1097E">
            <w:pPr>
              <w:spacing w:before="0" w:after="0"/>
            </w:pPr>
            <w:r w:rsidRPr="00D006EF">
              <w:t>2008-09</w:t>
            </w:r>
          </w:p>
        </w:tc>
        <w:tc>
          <w:tcPr>
            <w:tcW w:w="2268" w:type="dxa"/>
            <w:vAlign w:val="center"/>
          </w:tcPr>
          <w:p w14:paraId="0098AD46" w14:textId="77777777" w:rsidR="008C2D07" w:rsidRPr="00D006EF"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5 337</w:t>
            </w:r>
          </w:p>
        </w:tc>
        <w:tc>
          <w:tcPr>
            <w:tcW w:w="2127" w:type="dxa"/>
            <w:vAlign w:val="center"/>
          </w:tcPr>
          <w:p w14:paraId="7C3BF54C" w14:textId="77777777" w:rsidR="008C2D07" w:rsidRPr="00D006EF"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334</w:t>
            </w:r>
          </w:p>
        </w:tc>
        <w:tc>
          <w:tcPr>
            <w:tcW w:w="2268" w:type="dxa"/>
            <w:vAlign w:val="center"/>
          </w:tcPr>
          <w:p w14:paraId="233E5E85" w14:textId="77777777" w:rsidR="008C2D07" w:rsidRPr="00A411DB"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A411DB">
              <w:t>6.3%</w:t>
            </w:r>
          </w:p>
        </w:tc>
      </w:tr>
      <w:tr w:rsidR="008C2D07" w:rsidRPr="00852CA8" w14:paraId="61FF5615" w14:textId="77777777" w:rsidTr="00B1097E">
        <w:trPr>
          <w:trHeight w:val="45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C121154" w14:textId="77777777" w:rsidR="008C2D07" w:rsidRPr="00D006EF" w:rsidRDefault="008C2D07" w:rsidP="00B1097E">
            <w:pPr>
              <w:spacing w:before="0" w:after="0"/>
            </w:pPr>
            <w:r w:rsidRPr="00D006EF">
              <w:t>2009-10</w:t>
            </w:r>
          </w:p>
        </w:tc>
        <w:tc>
          <w:tcPr>
            <w:tcW w:w="2268" w:type="dxa"/>
            <w:vAlign w:val="center"/>
          </w:tcPr>
          <w:p w14:paraId="4C2F7FAF" w14:textId="77777777" w:rsidR="008C2D07" w:rsidRPr="00D006EF"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D006EF">
              <w:t>5 683</w:t>
            </w:r>
          </w:p>
        </w:tc>
        <w:tc>
          <w:tcPr>
            <w:tcW w:w="2127" w:type="dxa"/>
            <w:vAlign w:val="center"/>
          </w:tcPr>
          <w:p w14:paraId="554230F1" w14:textId="77777777" w:rsidR="008C2D07" w:rsidRPr="00D006EF"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D006EF">
              <w:t>336</w:t>
            </w:r>
          </w:p>
        </w:tc>
        <w:tc>
          <w:tcPr>
            <w:tcW w:w="2268" w:type="dxa"/>
            <w:vAlign w:val="center"/>
          </w:tcPr>
          <w:p w14:paraId="675C7B9E" w14:textId="77777777" w:rsidR="008C2D07" w:rsidRPr="00A411DB"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A411DB">
              <w:t>5.9%</w:t>
            </w:r>
          </w:p>
        </w:tc>
      </w:tr>
      <w:tr w:rsidR="008C2D07" w:rsidRPr="00852CA8" w14:paraId="0EB3EA97" w14:textId="77777777" w:rsidTr="00B1097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B963CDF" w14:textId="77777777" w:rsidR="008C2D07" w:rsidRPr="00D006EF" w:rsidRDefault="008C2D07" w:rsidP="00B1097E">
            <w:pPr>
              <w:spacing w:before="0" w:after="0"/>
            </w:pPr>
            <w:r w:rsidRPr="00D006EF">
              <w:t>2010-11</w:t>
            </w:r>
          </w:p>
        </w:tc>
        <w:tc>
          <w:tcPr>
            <w:tcW w:w="2268" w:type="dxa"/>
            <w:vAlign w:val="center"/>
          </w:tcPr>
          <w:p w14:paraId="6DA9F74C" w14:textId="77777777" w:rsidR="008C2D07" w:rsidRPr="00D006EF"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6 015</w:t>
            </w:r>
          </w:p>
        </w:tc>
        <w:tc>
          <w:tcPr>
            <w:tcW w:w="2127" w:type="dxa"/>
            <w:vAlign w:val="center"/>
          </w:tcPr>
          <w:p w14:paraId="2C8118F8" w14:textId="77777777" w:rsidR="008C2D07" w:rsidRPr="00D006EF"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354</w:t>
            </w:r>
          </w:p>
        </w:tc>
        <w:tc>
          <w:tcPr>
            <w:tcW w:w="2268" w:type="dxa"/>
            <w:vAlign w:val="center"/>
          </w:tcPr>
          <w:p w14:paraId="6FA7AD65" w14:textId="77777777" w:rsidR="008C2D07" w:rsidRPr="00A411DB"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A411DB">
              <w:t>5.9%</w:t>
            </w:r>
          </w:p>
        </w:tc>
      </w:tr>
      <w:tr w:rsidR="008C2D07" w:rsidRPr="00852CA8" w14:paraId="2D57F49F" w14:textId="77777777" w:rsidTr="00B1097E">
        <w:trPr>
          <w:trHeight w:val="45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73B4FBD" w14:textId="77777777" w:rsidR="008C2D07" w:rsidRPr="00D006EF" w:rsidRDefault="008C2D07" w:rsidP="00B1097E">
            <w:pPr>
              <w:spacing w:before="0" w:after="0"/>
            </w:pPr>
            <w:r w:rsidRPr="00D006EF">
              <w:t>2011-12</w:t>
            </w:r>
          </w:p>
        </w:tc>
        <w:tc>
          <w:tcPr>
            <w:tcW w:w="2268" w:type="dxa"/>
            <w:vAlign w:val="center"/>
          </w:tcPr>
          <w:p w14:paraId="296ED7EF" w14:textId="77777777" w:rsidR="008C2D07" w:rsidRPr="00D006EF"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D006EF">
              <w:t>6 323</w:t>
            </w:r>
          </w:p>
        </w:tc>
        <w:tc>
          <w:tcPr>
            <w:tcW w:w="2127" w:type="dxa"/>
            <w:vAlign w:val="center"/>
          </w:tcPr>
          <w:p w14:paraId="1C5EB03C" w14:textId="77777777" w:rsidR="008C2D07" w:rsidRPr="00D006EF"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D006EF">
              <w:t>325</w:t>
            </w:r>
          </w:p>
        </w:tc>
        <w:tc>
          <w:tcPr>
            <w:tcW w:w="2268" w:type="dxa"/>
            <w:vAlign w:val="center"/>
          </w:tcPr>
          <w:p w14:paraId="779BC16A" w14:textId="77777777" w:rsidR="008C2D07" w:rsidRPr="00A411DB"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A411DB">
              <w:t>5.1%</w:t>
            </w:r>
          </w:p>
        </w:tc>
      </w:tr>
      <w:tr w:rsidR="008C2D07" w:rsidRPr="00852CA8" w14:paraId="26D66196" w14:textId="77777777" w:rsidTr="00B1097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2504E02" w14:textId="77777777" w:rsidR="008C2D07" w:rsidRPr="00D006EF" w:rsidRDefault="008C2D07" w:rsidP="00B1097E">
            <w:pPr>
              <w:spacing w:before="0" w:after="0"/>
            </w:pPr>
            <w:r w:rsidRPr="00D006EF">
              <w:t>2012-13</w:t>
            </w:r>
          </w:p>
        </w:tc>
        <w:tc>
          <w:tcPr>
            <w:tcW w:w="2268" w:type="dxa"/>
            <w:vAlign w:val="center"/>
          </w:tcPr>
          <w:p w14:paraId="7DCD58D2" w14:textId="77777777" w:rsidR="008C2D07" w:rsidRPr="00D006EF"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7 649</w:t>
            </w:r>
          </w:p>
        </w:tc>
        <w:tc>
          <w:tcPr>
            <w:tcW w:w="2127" w:type="dxa"/>
            <w:vAlign w:val="center"/>
          </w:tcPr>
          <w:p w14:paraId="49D57609" w14:textId="77777777" w:rsidR="008C2D07" w:rsidRPr="00D006EF"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421</w:t>
            </w:r>
          </w:p>
        </w:tc>
        <w:tc>
          <w:tcPr>
            <w:tcW w:w="2268" w:type="dxa"/>
            <w:vAlign w:val="center"/>
          </w:tcPr>
          <w:p w14:paraId="1D1E19F4" w14:textId="77777777" w:rsidR="008C2D07" w:rsidRPr="00A411DB"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A411DB">
              <w:t>5.5%</w:t>
            </w:r>
          </w:p>
        </w:tc>
      </w:tr>
      <w:tr w:rsidR="008C2D07" w:rsidRPr="00852CA8" w14:paraId="60C60634" w14:textId="77777777" w:rsidTr="00B1097E">
        <w:trPr>
          <w:trHeight w:val="45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96A76F6" w14:textId="77777777" w:rsidR="008C2D07" w:rsidRPr="00D006EF" w:rsidRDefault="008C2D07" w:rsidP="00B1097E">
            <w:pPr>
              <w:spacing w:before="0" w:after="0"/>
            </w:pPr>
            <w:r w:rsidRPr="00D006EF">
              <w:t>2013-14</w:t>
            </w:r>
          </w:p>
        </w:tc>
        <w:tc>
          <w:tcPr>
            <w:tcW w:w="2268" w:type="dxa"/>
            <w:vAlign w:val="center"/>
          </w:tcPr>
          <w:p w14:paraId="54626913" w14:textId="77777777" w:rsidR="008C2D07" w:rsidRPr="00D006EF"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D006EF">
              <w:t>8 843</w:t>
            </w:r>
          </w:p>
        </w:tc>
        <w:tc>
          <w:tcPr>
            <w:tcW w:w="2127" w:type="dxa"/>
            <w:vAlign w:val="center"/>
          </w:tcPr>
          <w:p w14:paraId="5E65D019" w14:textId="77777777" w:rsidR="008C2D07" w:rsidRPr="00D006EF"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D006EF">
              <w:t>262</w:t>
            </w:r>
          </w:p>
        </w:tc>
        <w:tc>
          <w:tcPr>
            <w:tcW w:w="2268" w:type="dxa"/>
            <w:vAlign w:val="center"/>
          </w:tcPr>
          <w:p w14:paraId="02ED32E4" w14:textId="77777777" w:rsidR="008C2D07" w:rsidRPr="00A411DB"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A411DB">
              <w:t>3.0%</w:t>
            </w:r>
          </w:p>
        </w:tc>
      </w:tr>
      <w:tr w:rsidR="008C2D07" w:rsidRPr="00852CA8" w14:paraId="5F23CA15" w14:textId="77777777" w:rsidTr="00B1097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7E8EDA2" w14:textId="77777777" w:rsidR="008C2D07" w:rsidRPr="00D006EF" w:rsidRDefault="008C2D07" w:rsidP="00B1097E">
            <w:pPr>
              <w:spacing w:before="0" w:after="0"/>
            </w:pPr>
            <w:r w:rsidRPr="00D006EF">
              <w:t>2014-15</w:t>
            </w:r>
          </w:p>
        </w:tc>
        <w:tc>
          <w:tcPr>
            <w:tcW w:w="2268" w:type="dxa"/>
            <w:vAlign w:val="center"/>
          </w:tcPr>
          <w:p w14:paraId="2DF12A2F" w14:textId="77777777" w:rsidR="008C2D07" w:rsidRPr="00D006EF"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9 841</w:t>
            </w:r>
          </w:p>
        </w:tc>
        <w:tc>
          <w:tcPr>
            <w:tcW w:w="2127" w:type="dxa"/>
            <w:vAlign w:val="center"/>
          </w:tcPr>
          <w:p w14:paraId="17EC07BF" w14:textId="77777777" w:rsidR="008C2D07" w:rsidRPr="00D006EF"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329</w:t>
            </w:r>
          </w:p>
        </w:tc>
        <w:tc>
          <w:tcPr>
            <w:tcW w:w="2268" w:type="dxa"/>
            <w:vAlign w:val="center"/>
          </w:tcPr>
          <w:p w14:paraId="54F1E67A" w14:textId="77777777" w:rsidR="008C2D07" w:rsidRPr="00A411DB"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A411DB">
              <w:t>3.3%</w:t>
            </w:r>
          </w:p>
        </w:tc>
      </w:tr>
      <w:tr w:rsidR="008C2D07" w:rsidRPr="00852CA8" w14:paraId="141EFE7C" w14:textId="77777777" w:rsidTr="00B1097E">
        <w:trPr>
          <w:trHeight w:val="45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B0C79D1" w14:textId="77777777" w:rsidR="008C2D07" w:rsidRPr="00D006EF" w:rsidRDefault="008C2D07" w:rsidP="00B1097E">
            <w:pPr>
              <w:spacing w:before="0" w:after="0"/>
            </w:pPr>
            <w:r w:rsidRPr="00D006EF">
              <w:t>2015-16</w:t>
            </w:r>
          </w:p>
        </w:tc>
        <w:tc>
          <w:tcPr>
            <w:tcW w:w="2268" w:type="dxa"/>
            <w:vAlign w:val="center"/>
          </w:tcPr>
          <w:p w14:paraId="28AA403D" w14:textId="77777777" w:rsidR="008C2D07" w:rsidRPr="00D006EF"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D006EF">
              <w:t>10 350</w:t>
            </w:r>
          </w:p>
        </w:tc>
        <w:tc>
          <w:tcPr>
            <w:tcW w:w="2127" w:type="dxa"/>
            <w:vAlign w:val="center"/>
          </w:tcPr>
          <w:p w14:paraId="266F1AA3" w14:textId="77777777" w:rsidR="008C2D07" w:rsidRPr="00D006EF"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D006EF">
              <w:t>348</w:t>
            </w:r>
          </w:p>
        </w:tc>
        <w:tc>
          <w:tcPr>
            <w:tcW w:w="2268" w:type="dxa"/>
            <w:vAlign w:val="center"/>
          </w:tcPr>
          <w:p w14:paraId="0F5D94B8" w14:textId="77777777" w:rsidR="008C2D07" w:rsidRPr="00A411DB" w:rsidRDefault="008C2D07" w:rsidP="00B1097E">
            <w:pPr>
              <w:spacing w:before="0" w:after="0"/>
              <w:jc w:val="center"/>
              <w:cnfStyle w:val="000000000000" w:firstRow="0" w:lastRow="0" w:firstColumn="0" w:lastColumn="0" w:oddVBand="0" w:evenVBand="0" w:oddHBand="0" w:evenHBand="0" w:firstRowFirstColumn="0" w:firstRowLastColumn="0" w:lastRowFirstColumn="0" w:lastRowLastColumn="0"/>
            </w:pPr>
            <w:r w:rsidRPr="00A411DB">
              <w:t>3.4%</w:t>
            </w:r>
          </w:p>
        </w:tc>
      </w:tr>
      <w:tr w:rsidR="008C2D07" w:rsidRPr="00852CA8" w14:paraId="704B6FB3" w14:textId="77777777" w:rsidTr="00B1097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41591E6" w14:textId="77777777" w:rsidR="008C2D07" w:rsidRPr="00D006EF" w:rsidRDefault="008C2D07" w:rsidP="00B1097E">
            <w:pPr>
              <w:spacing w:before="0" w:after="0"/>
            </w:pPr>
            <w:r w:rsidRPr="00D006EF">
              <w:t>2016-17</w:t>
            </w:r>
          </w:p>
        </w:tc>
        <w:tc>
          <w:tcPr>
            <w:tcW w:w="2268" w:type="dxa"/>
            <w:vAlign w:val="center"/>
          </w:tcPr>
          <w:p w14:paraId="4A8AD688" w14:textId="77777777" w:rsidR="008C2D07" w:rsidRPr="00D006EF"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10 122</w:t>
            </w:r>
          </w:p>
        </w:tc>
        <w:tc>
          <w:tcPr>
            <w:tcW w:w="2127" w:type="dxa"/>
            <w:vAlign w:val="center"/>
          </w:tcPr>
          <w:p w14:paraId="4B54FF2A" w14:textId="77777777" w:rsidR="008C2D07"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D006EF">
              <w:t>371</w:t>
            </w:r>
          </w:p>
        </w:tc>
        <w:tc>
          <w:tcPr>
            <w:tcW w:w="2268" w:type="dxa"/>
            <w:vAlign w:val="center"/>
          </w:tcPr>
          <w:p w14:paraId="16CDCD58" w14:textId="77777777" w:rsidR="008C2D07" w:rsidRDefault="008C2D07" w:rsidP="00B1097E">
            <w:pPr>
              <w:spacing w:before="0" w:after="0"/>
              <w:jc w:val="center"/>
              <w:cnfStyle w:val="000000100000" w:firstRow="0" w:lastRow="0" w:firstColumn="0" w:lastColumn="0" w:oddVBand="0" w:evenVBand="0" w:oddHBand="1" w:evenHBand="0" w:firstRowFirstColumn="0" w:firstRowLastColumn="0" w:lastRowFirstColumn="0" w:lastRowLastColumn="0"/>
            </w:pPr>
            <w:r w:rsidRPr="00A411DB">
              <w:t>3.7%</w:t>
            </w:r>
          </w:p>
        </w:tc>
      </w:tr>
    </w:tbl>
    <w:p w14:paraId="10C6D025" w14:textId="2B485A1D" w:rsidR="008C2D07" w:rsidRPr="00817B7F" w:rsidRDefault="008C2D07" w:rsidP="00B1097E">
      <w:pPr>
        <w:spacing w:after="240"/>
        <w:rPr>
          <w:rFonts w:ascii="Calibri" w:eastAsiaTheme="majorEastAsia" w:hAnsi="Calibri" w:cs="Calibri"/>
        </w:rPr>
      </w:pPr>
      <w:r w:rsidRPr="00D363E3">
        <w:rPr>
          <w:rFonts w:ascii="Calibri" w:eastAsiaTheme="majorEastAsia" w:hAnsi="Calibri" w:cs="Calibri"/>
          <w:i/>
          <w:iCs/>
        </w:rPr>
        <w:t>Source</w:t>
      </w:r>
      <w:r w:rsidRPr="00D363E3">
        <w:rPr>
          <w:rFonts w:ascii="Calibri" w:eastAsiaTheme="majorEastAsia" w:hAnsi="Calibri" w:cs="Calibri"/>
        </w:rPr>
        <w:t>: Business Longitudinal Analysis Data Environment (2020)</w:t>
      </w:r>
      <w:r>
        <w:rPr>
          <w:rFonts w:ascii="Calibri" w:eastAsiaTheme="majorEastAsia" w:hAnsi="Calibri" w:cs="Calibri"/>
        </w:rPr>
        <w:t xml:space="preserve"> unpublished</w:t>
      </w:r>
      <w:r w:rsidRPr="00D363E3">
        <w:rPr>
          <w:rFonts w:ascii="Calibri" w:eastAsiaTheme="majorEastAsia" w:hAnsi="Calibri" w:cs="Calibri"/>
        </w:rPr>
        <w:t>.</w:t>
      </w:r>
      <w:r w:rsidR="00DF66BA">
        <w:rPr>
          <w:rStyle w:val="FootnoteReference"/>
          <w:rFonts w:ascii="Calibri" w:eastAsiaTheme="majorEastAsia" w:hAnsi="Calibri" w:cs="Calibri"/>
        </w:rPr>
        <w:footnoteReference w:id="14"/>
      </w:r>
    </w:p>
    <w:p w14:paraId="697215B0" w14:textId="2109A6F8" w:rsidR="00DB38EF" w:rsidRDefault="00ED2418">
      <w:pPr>
        <w:rPr>
          <w:szCs w:val="24"/>
        </w:rPr>
      </w:pPr>
      <w:r w:rsidRPr="007E6AE3">
        <w:rPr>
          <w:szCs w:val="24"/>
        </w:rPr>
        <w:t>It should also be noted that</w:t>
      </w:r>
      <w:r w:rsidR="00D12437" w:rsidRPr="007E6AE3">
        <w:rPr>
          <w:szCs w:val="24"/>
        </w:rPr>
        <w:t>,</w:t>
      </w:r>
      <w:r w:rsidRPr="007E6AE3">
        <w:rPr>
          <w:szCs w:val="24"/>
        </w:rPr>
        <w:t xml:space="preserve"> whilst we allow multiple </w:t>
      </w:r>
      <w:r w:rsidR="68A4DC22" w:rsidRPr="007E6AE3">
        <w:rPr>
          <w:szCs w:val="24"/>
        </w:rPr>
        <w:t>international</w:t>
      </w:r>
      <w:r w:rsidRPr="007E6AE3">
        <w:rPr>
          <w:szCs w:val="24"/>
        </w:rPr>
        <w:t xml:space="preserve"> businesses to access the Australian market</w:t>
      </w:r>
      <w:r w:rsidR="009578BB" w:rsidRPr="007E6AE3">
        <w:rPr>
          <w:szCs w:val="24"/>
        </w:rPr>
        <w:t xml:space="preserve"> through the patents granted </w:t>
      </w:r>
      <w:r w:rsidR="000105B6" w:rsidRPr="007E6AE3">
        <w:rPr>
          <w:szCs w:val="24"/>
        </w:rPr>
        <w:t>(</w:t>
      </w:r>
      <w:r w:rsidR="009578BB" w:rsidRPr="007E6AE3">
        <w:rPr>
          <w:szCs w:val="24"/>
        </w:rPr>
        <w:t>the 9</w:t>
      </w:r>
      <w:r w:rsidR="00494A7E" w:rsidRPr="007E6AE3">
        <w:rPr>
          <w:szCs w:val="24"/>
        </w:rPr>
        <w:t>5</w:t>
      </w:r>
      <w:r w:rsidR="009578BB" w:rsidRPr="007E6AE3">
        <w:rPr>
          <w:szCs w:val="24"/>
        </w:rPr>
        <w:t>% referred to</w:t>
      </w:r>
      <w:r w:rsidR="00466A98" w:rsidRPr="007E6AE3">
        <w:rPr>
          <w:szCs w:val="24"/>
        </w:rPr>
        <w:t xml:space="preserve"> above</w:t>
      </w:r>
      <w:r w:rsidR="000105B6" w:rsidRPr="007E6AE3">
        <w:rPr>
          <w:szCs w:val="24"/>
        </w:rPr>
        <w:t>)</w:t>
      </w:r>
      <w:r w:rsidR="00D12437" w:rsidRPr="007E6AE3">
        <w:rPr>
          <w:szCs w:val="24"/>
        </w:rPr>
        <w:t>,</w:t>
      </w:r>
      <w:r w:rsidR="009578BB" w:rsidRPr="007E6AE3">
        <w:rPr>
          <w:szCs w:val="24"/>
        </w:rPr>
        <w:t xml:space="preserve"> our own companies are </w:t>
      </w:r>
      <w:r w:rsidR="0096269A" w:rsidRPr="007E6AE3">
        <w:rPr>
          <w:szCs w:val="24"/>
        </w:rPr>
        <w:t xml:space="preserve">also </w:t>
      </w:r>
      <w:r w:rsidR="009578BB" w:rsidRPr="007E6AE3">
        <w:rPr>
          <w:szCs w:val="24"/>
        </w:rPr>
        <w:t>active overseas</w:t>
      </w:r>
      <w:r w:rsidR="00112BFF" w:rsidRPr="007E6AE3">
        <w:rPr>
          <w:szCs w:val="24"/>
        </w:rPr>
        <w:t xml:space="preserve"> securing patents in many </w:t>
      </w:r>
      <w:r w:rsidR="00D12437" w:rsidRPr="007E6AE3">
        <w:rPr>
          <w:szCs w:val="24"/>
        </w:rPr>
        <w:t xml:space="preserve">other </w:t>
      </w:r>
      <w:r w:rsidR="00112BFF" w:rsidRPr="007E6AE3">
        <w:rPr>
          <w:szCs w:val="24"/>
        </w:rPr>
        <w:t>countries</w:t>
      </w:r>
      <w:r w:rsidR="00AB0ECA" w:rsidRPr="007E6AE3">
        <w:rPr>
          <w:szCs w:val="24"/>
        </w:rPr>
        <w:t xml:space="preserve"> </w:t>
      </w:r>
      <w:r w:rsidR="00BC3F9C">
        <w:rPr>
          <w:szCs w:val="24"/>
        </w:rPr>
        <w:t>–</w:t>
      </w:r>
      <w:r w:rsidR="00BF0177" w:rsidRPr="007E6AE3">
        <w:rPr>
          <w:szCs w:val="24"/>
        </w:rPr>
        <w:t xml:space="preserve"> </w:t>
      </w:r>
      <w:r w:rsidR="00112BFF" w:rsidRPr="007E6AE3">
        <w:rPr>
          <w:szCs w:val="24"/>
        </w:rPr>
        <w:t xml:space="preserve">particularly through the </w:t>
      </w:r>
      <w:r w:rsidR="001458AB" w:rsidRPr="007E6AE3">
        <w:rPr>
          <w:szCs w:val="24"/>
        </w:rPr>
        <w:t>P</w:t>
      </w:r>
      <w:r w:rsidR="00112BFF" w:rsidRPr="007E6AE3">
        <w:rPr>
          <w:szCs w:val="24"/>
        </w:rPr>
        <w:t xml:space="preserve">atent </w:t>
      </w:r>
      <w:r w:rsidR="001458AB" w:rsidRPr="007E6AE3">
        <w:rPr>
          <w:szCs w:val="24"/>
        </w:rPr>
        <w:t>C</w:t>
      </w:r>
      <w:r w:rsidR="00112BFF" w:rsidRPr="007E6AE3">
        <w:rPr>
          <w:szCs w:val="24"/>
        </w:rPr>
        <w:t>ooperation Treaty</w:t>
      </w:r>
      <w:r w:rsidR="00B932A8" w:rsidRPr="007E6AE3">
        <w:rPr>
          <w:szCs w:val="24"/>
        </w:rPr>
        <w:t xml:space="preserve"> (PCT)</w:t>
      </w:r>
      <w:r w:rsidR="00112BFF" w:rsidRPr="007E6AE3">
        <w:rPr>
          <w:szCs w:val="24"/>
        </w:rPr>
        <w:t xml:space="preserve"> arrangements</w:t>
      </w:r>
      <w:r w:rsidR="00036F80" w:rsidRPr="007E6AE3">
        <w:rPr>
          <w:szCs w:val="24"/>
        </w:rPr>
        <w:t>. Just as</w:t>
      </w:r>
      <w:r w:rsidR="00112BFF" w:rsidRPr="007E6AE3">
        <w:rPr>
          <w:szCs w:val="24"/>
        </w:rPr>
        <w:t xml:space="preserve"> foreign companies will be benefiting</w:t>
      </w:r>
      <w:r w:rsidR="00B63EE0" w:rsidRPr="007E6AE3">
        <w:rPr>
          <w:szCs w:val="24"/>
        </w:rPr>
        <w:t xml:space="preserve"> from having certain monopolies over technologies in the Australian market, and earning license fees from Australian companies, our own companies are active in international markets</w:t>
      </w:r>
      <w:r w:rsidR="00EB1505" w:rsidRPr="007E6AE3">
        <w:rPr>
          <w:szCs w:val="24"/>
        </w:rPr>
        <w:t xml:space="preserve"> and </w:t>
      </w:r>
      <w:r w:rsidR="00036F80" w:rsidRPr="007E6AE3">
        <w:rPr>
          <w:szCs w:val="24"/>
        </w:rPr>
        <w:t>accrue</w:t>
      </w:r>
      <w:r w:rsidR="00EB1505" w:rsidRPr="007E6AE3">
        <w:rPr>
          <w:szCs w:val="24"/>
        </w:rPr>
        <w:t xml:space="preserve"> revenue from both those activities.</w:t>
      </w:r>
    </w:p>
    <w:p w14:paraId="0C1F4482" w14:textId="1B161994" w:rsidR="003B7643" w:rsidRDefault="00FD549C" w:rsidP="00507191">
      <w:pPr>
        <w:spacing w:before="0" w:after="160"/>
        <w:rPr>
          <w:szCs w:val="24"/>
        </w:rPr>
      </w:pPr>
      <w:r w:rsidRPr="007E6AE3">
        <w:rPr>
          <w:szCs w:val="24"/>
        </w:rPr>
        <w:lastRenderedPageBreak/>
        <w:t>It is known that 9</w:t>
      </w:r>
      <w:r w:rsidR="000A6240" w:rsidRPr="007E6AE3">
        <w:rPr>
          <w:szCs w:val="24"/>
        </w:rPr>
        <w:t>,</w:t>
      </w:r>
      <w:r w:rsidR="007377DB">
        <w:rPr>
          <w:szCs w:val="24"/>
        </w:rPr>
        <w:t>533</w:t>
      </w:r>
      <w:r w:rsidR="007377DB" w:rsidRPr="007E6AE3">
        <w:rPr>
          <w:szCs w:val="24"/>
        </w:rPr>
        <w:t xml:space="preserve"> </w:t>
      </w:r>
      <w:r w:rsidR="007347EB" w:rsidRPr="007E6AE3">
        <w:rPr>
          <w:szCs w:val="24"/>
        </w:rPr>
        <w:t>patent applications were filed by</w:t>
      </w:r>
      <w:r w:rsidRPr="007E6AE3">
        <w:rPr>
          <w:szCs w:val="24"/>
        </w:rPr>
        <w:t xml:space="preserve"> Australian residents for patents overseas in 201</w:t>
      </w:r>
      <w:r w:rsidR="007377DB">
        <w:rPr>
          <w:szCs w:val="24"/>
        </w:rPr>
        <w:t>9</w:t>
      </w:r>
      <w:r w:rsidRPr="007E6AE3">
        <w:rPr>
          <w:szCs w:val="24"/>
        </w:rPr>
        <w:t xml:space="preserve"> and</w:t>
      </w:r>
      <w:r w:rsidR="00D72302" w:rsidRPr="007E6AE3">
        <w:rPr>
          <w:szCs w:val="24"/>
        </w:rPr>
        <w:t>,</w:t>
      </w:r>
      <w:r w:rsidRPr="007E6AE3">
        <w:rPr>
          <w:szCs w:val="24"/>
        </w:rPr>
        <w:t xml:space="preserve"> on average, Australian residents file 3.</w:t>
      </w:r>
      <w:r w:rsidR="007377DB">
        <w:rPr>
          <w:szCs w:val="24"/>
        </w:rPr>
        <w:t>6</w:t>
      </w:r>
      <w:r w:rsidRPr="007E6AE3">
        <w:rPr>
          <w:szCs w:val="24"/>
        </w:rPr>
        <w:t xml:space="preserve"> patent applications overseas for every standard patent application filed in Australia.</w:t>
      </w:r>
      <w:r w:rsidRPr="007E6AE3">
        <w:rPr>
          <w:rStyle w:val="FootnoteReference"/>
          <w:szCs w:val="24"/>
        </w:rPr>
        <w:footnoteReference w:id="15"/>
      </w:r>
      <w:r w:rsidR="00EE07DB" w:rsidRPr="007E6AE3">
        <w:rPr>
          <w:szCs w:val="24"/>
        </w:rPr>
        <w:t xml:space="preserve"> </w:t>
      </w:r>
      <w:r w:rsidR="00ED266B" w:rsidRPr="007E6AE3">
        <w:rPr>
          <w:szCs w:val="24"/>
        </w:rPr>
        <w:t>The top destination</w:t>
      </w:r>
      <w:r w:rsidR="00EE07DB" w:rsidRPr="007E6AE3">
        <w:rPr>
          <w:szCs w:val="24"/>
        </w:rPr>
        <w:t xml:space="preserve"> for ov</w:t>
      </w:r>
      <w:r w:rsidR="00ED266B" w:rsidRPr="007E6AE3">
        <w:rPr>
          <w:szCs w:val="24"/>
        </w:rPr>
        <w:t xml:space="preserve">erseas patent filing by Australians is the </w:t>
      </w:r>
      <w:r w:rsidR="00D72302" w:rsidRPr="007E6AE3">
        <w:rPr>
          <w:szCs w:val="24"/>
        </w:rPr>
        <w:t>United States</w:t>
      </w:r>
      <w:r w:rsidR="00ED266B" w:rsidRPr="007E6AE3">
        <w:rPr>
          <w:szCs w:val="24"/>
        </w:rPr>
        <w:t>.</w:t>
      </w:r>
      <w:r w:rsidR="00ED266B" w:rsidRPr="007E6AE3">
        <w:rPr>
          <w:rStyle w:val="FootnoteReference"/>
          <w:szCs w:val="24"/>
        </w:rPr>
        <w:footnoteReference w:id="16"/>
      </w:r>
      <w:r w:rsidR="00861044" w:rsidRPr="007E6AE3">
        <w:rPr>
          <w:szCs w:val="24"/>
        </w:rPr>
        <w:t xml:space="preserve"> </w:t>
      </w:r>
      <w:r w:rsidR="4F5B7527" w:rsidRPr="007E6AE3">
        <w:rPr>
          <w:szCs w:val="24"/>
        </w:rPr>
        <w:t>Th</w:t>
      </w:r>
      <w:r w:rsidR="00A13AB9" w:rsidRPr="007E6AE3">
        <w:rPr>
          <w:szCs w:val="24"/>
        </w:rPr>
        <w:t>e</w:t>
      </w:r>
      <w:r w:rsidR="4F5B7527" w:rsidRPr="007E6AE3">
        <w:rPr>
          <w:szCs w:val="24"/>
        </w:rPr>
        <w:t xml:space="preserve"> figure of 9</w:t>
      </w:r>
      <w:r w:rsidR="000A6240" w:rsidRPr="007E6AE3">
        <w:rPr>
          <w:szCs w:val="24"/>
        </w:rPr>
        <w:t>,</w:t>
      </w:r>
      <w:r w:rsidR="007377DB">
        <w:rPr>
          <w:szCs w:val="24"/>
        </w:rPr>
        <w:t>533</w:t>
      </w:r>
      <w:r w:rsidR="4F5B7527" w:rsidRPr="007E6AE3">
        <w:rPr>
          <w:szCs w:val="24"/>
        </w:rPr>
        <w:t xml:space="preserve"> filings seems to be a tiny number</w:t>
      </w:r>
      <w:r w:rsidR="00F63027" w:rsidRPr="007E6AE3">
        <w:rPr>
          <w:szCs w:val="24"/>
        </w:rPr>
        <w:t xml:space="preserve"> </w:t>
      </w:r>
      <w:r w:rsidR="00BC3F9C">
        <w:rPr>
          <w:szCs w:val="24"/>
        </w:rPr>
        <w:t>–</w:t>
      </w:r>
      <w:r w:rsidR="00BF0177" w:rsidRPr="007E6AE3">
        <w:rPr>
          <w:szCs w:val="24"/>
        </w:rPr>
        <w:t xml:space="preserve"> </w:t>
      </w:r>
      <w:r w:rsidR="4F5B7527" w:rsidRPr="007E6AE3">
        <w:rPr>
          <w:szCs w:val="24"/>
        </w:rPr>
        <w:t>especially when one considers the multiplier effect</w:t>
      </w:r>
      <w:r w:rsidR="202BB941" w:rsidRPr="007E6AE3">
        <w:rPr>
          <w:szCs w:val="24"/>
        </w:rPr>
        <w:t xml:space="preserve"> of the </w:t>
      </w:r>
      <w:r w:rsidR="00B932A8" w:rsidRPr="007E6AE3">
        <w:rPr>
          <w:szCs w:val="24"/>
        </w:rPr>
        <w:t>PCT</w:t>
      </w:r>
      <w:r w:rsidR="202BB941" w:rsidRPr="007E6AE3">
        <w:rPr>
          <w:szCs w:val="24"/>
        </w:rPr>
        <w:t>, wher</w:t>
      </w:r>
      <w:r w:rsidR="6109D24B" w:rsidRPr="007E6AE3">
        <w:rPr>
          <w:szCs w:val="24"/>
        </w:rPr>
        <w:t>e</w:t>
      </w:r>
      <w:r w:rsidR="202BB941" w:rsidRPr="007E6AE3">
        <w:rPr>
          <w:szCs w:val="24"/>
        </w:rPr>
        <w:t xml:space="preserve">by a single patent </w:t>
      </w:r>
      <w:r w:rsidR="003E251D">
        <w:rPr>
          <w:szCs w:val="24"/>
        </w:rPr>
        <w:t xml:space="preserve">application </w:t>
      </w:r>
      <w:r w:rsidR="202BB941" w:rsidRPr="007E6AE3">
        <w:rPr>
          <w:szCs w:val="24"/>
        </w:rPr>
        <w:t xml:space="preserve">can be </w:t>
      </w:r>
      <w:r w:rsidR="003E251D">
        <w:rPr>
          <w:szCs w:val="24"/>
        </w:rPr>
        <w:t>made</w:t>
      </w:r>
      <w:r w:rsidR="003E251D" w:rsidRPr="007E6AE3">
        <w:rPr>
          <w:szCs w:val="24"/>
        </w:rPr>
        <w:t xml:space="preserve"> </w:t>
      </w:r>
      <w:r w:rsidR="202BB941" w:rsidRPr="007E6AE3">
        <w:rPr>
          <w:szCs w:val="24"/>
        </w:rPr>
        <w:t>in a</w:t>
      </w:r>
      <w:r w:rsidR="201551E9" w:rsidRPr="007E6AE3">
        <w:rPr>
          <w:szCs w:val="24"/>
        </w:rPr>
        <w:t xml:space="preserve"> </w:t>
      </w:r>
      <w:r w:rsidR="202BB941" w:rsidRPr="007E6AE3">
        <w:rPr>
          <w:szCs w:val="24"/>
        </w:rPr>
        <w:t xml:space="preserve">number of countries at once. </w:t>
      </w:r>
    </w:p>
    <w:p w14:paraId="33D82BA6" w14:textId="6D25D341" w:rsidR="00664BCB" w:rsidRPr="007E6AE3" w:rsidRDefault="00EB1505" w:rsidP="79344E9E">
      <w:pPr>
        <w:rPr>
          <w:szCs w:val="24"/>
        </w:rPr>
      </w:pPr>
      <w:r w:rsidRPr="007E6AE3">
        <w:rPr>
          <w:szCs w:val="24"/>
        </w:rPr>
        <w:t>Th</w:t>
      </w:r>
      <w:r w:rsidR="5F717C1A" w:rsidRPr="007E6AE3">
        <w:rPr>
          <w:szCs w:val="24"/>
        </w:rPr>
        <w:t>is</w:t>
      </w:r>
      <w:r w:rsidR="001846BF" w:rsidRPr="007E6AE3">
        <w:rPr>
          <w:szCs w:val="24"/>
        </w:rPr>
        <w:t xml:space="preserve"> </w:t>
      </w:r>
      <w:r w:rsidR="00664BCB" w:rsidRPr="007E6AE3">
        <w:rPr>
          <w:szCs w:val="24"/>
        </w:rPr>
        <w:t>‘</w:t>
      </w:r>
      <w:r w:rsidR="001846BF" w:rsidRPr="007E6AE3">
        <w:rPr>
          <w:szCs w:val="24"/>
        </w:rPr>
        <w:t>balance of payments</w:t>
      </w:r>
      <w:r w:rsidR="00664BCB" w:rsidRPr="007E6AE3">
        <w:rPr>
          <w:szCs w:val="24"/>
        </w:rPr>
        <w:t>’</w:t>
      </w:r>
      <w:r w:rsidR="001846BF" w:rsidRPr="007E6AE3">
        <w:rPr>
          <w:szCs w:val="24"/>
        </w:rPr>
        <w:t xml:space="preserve"> question</w:t>
      </w:r>
      <w:r w:rsidR="00F63027" w:rsidRPr="007E6AE3">
        <w:rPr>
          <w:szCs w:val="24"/>
        </w:rPr>
        <w:t xml:space="preserve"> </w:t>
      </w:r>
      <w:r w:rsidR="00BC3F9C">
        <w:rPr>
          <w:szCs w:val="24"/>
        </w:rPr>
        <w:t>–</w:t>
      </w:r>
      <w:r w:rsidR="00BF0177" w:rsidRPr="007E6AE3">
        <w:rPr>
          <w:szCs w:val="24"/>
        </w:rPr>
        <w:t xml:space="preserve"> </w:t>
      </w:r>
      <w:r w:rsidR="001846BF" w:rsidRPr="007E6AE3">
        <w:rPr>
          <w:szCs w:val="24"/>
        </w:rPr>
        <w:t xml:space="preserve">as to whether access to our market </w:t>
      </w:r>
      <w:r w:rsidR="00152850" w:rsidRPr="007E6AE3">
        <w:rPr>
          <w:szCs w:val="24"/>
        </w:rPr>
        <w:t xml:space="preserve">through </w:t>
      </w:r>
      <w:r w:rsidR="00F035E6" w:rsidRPr="007E6AE3">
        <w:rPr>
          <w:szCs w:val="24"/>
        </w:rPr>
        <w:t>securing</w:t>
      </w:r>
      <w:r w:rsidR="00B5136E" w:rsidRPr="007E6AE3">
        <w:rPr>
          <w:szCs w:val="24"/>
        </w:rPr>
        <w:t xml:space="preserve"> Australian</w:t>
      </w:r>
      <w:r w:rsidR="00F035E6" w:rsidRPr="007E6AE3">
        <w:rPr>
          <w:szCs w:val="24"/>
        </w:rPr>
        <w:t xml:space="preserve"> IP rights enriches </w:t>
      </w:r>
      <w:r w:rsidR="7159E575" w:rsidRPr="007E6AE3">
        <w:rPr>
          <w:szCs w:val="24"/>
        </w:rPr>
        <w:t>international</w:t>
      </w:r>
      <w:r w:rsidR="001846BF" w:rsidRPr="007E6AE3">
        <w:rPr>
          <w:szCs w:val="24"/>
        </w:rPr>
        <w:t xml:space="preserve"> companies</w:t>
      </w:r>
      <w:r w:rsidR="00F035E6" w:rsidRPr="007E6AE3">
        <w:rPr>
          <w:szCs w:val="24"/>
        </w:rPr>
        <w:t xml:space="preserve"> more than our own companies</w:t>
      </w:r>
      <w:r w:rsidR="00BA5E6D" w:rsidRPr="007E6AE3">
        <w:rPr>
          <w:szCs w:val="24"/>
        </w:rPr>
        <w:t xml:space="preserve"> </w:t>
      </w:r>
      <w:r w:rsidR="00EE3365" w:rsidRPr="007E6AE3">
        <w:rPr>
          <w:szCs w:val="24"/>
        </w:rPr>
        <w:t xml:space="preserve">which </w:t>
      </w:r>
      <w:r w:rsidR="00BA5E6D" w:rsidRPr="007E6AE3">
        <w:rPr>
          <w:szCs w:val="24"/>
        </w:rPr>
        <w:t xml:space="preserve">secure IP rights </w:t>
      </w:r>
      <w:r w:rsidR="003F5231" w:rsidRPr="007E6AE3">
        <w:rPr>
          <w:szCs w:val="24"/>
        </w:rPr>
        <w:t>abroad</w:t>
      </w:r>
      <w:r w:rsidR="00F63027" w:rsidRPr="007E6AE3">
        <w:rPr>
          <w:szCs w:val="24"/>
        </w:rPr>
        <w:t xml:space="preserve"> </w:t>
      </w:r>
      <w:r w:rsidR="00BC3F9C">
        <w:rPr>
          <w:szCs w:val="24"/>
        </w:rPr>
        <w:t>–</w:t>
      </w:r>
      <w:r w:rsidR="00BF0177" w:rsidRPr="007E6AE3">
        <w:rPr>
          <w:szCs w:val="24"/>
        </w:rPr>
        <w:t xml:space="preserve"> </w:t>
      </w:r>
      <w:r w:rsidR="00BA5E6D" w:rsidRPr="007E6AE3">
        <w:rPr>
          <w:szCs w:val="24"/>
        </w:rPr>
        <w:t>is one which is worthy of constant monitoring. We have data</w:t>
      </w:r>
      <w:r w:rsidR="004518D1" w:rsidRPr="007E6AE3">
        <w:rPr>
          <w:szCs w:val="24"/>
        </w:rPr>
        <w:t xml:space="preserve"> </w:t>
      </w:r>
      <w:r w:rsidR="00C16092" w:rsidRPr="007E6AE3">
        <w:rPr>
          <w:szCs w:val="24"/>
        </w:rPr>
        <w:t xml:space="preserve">from </w:t>
      </w:r>
      <w:r w:rsidR="004518D1" w:rsidRPr="007E6AE3">
        <w:rPr>
          <w:szCs w:val="24"/>
        </w:rPr>
        <w:t xml:space="preserve">the </w:t>
      </w:r>
      <w:r w:rsidR="00EE3365" w:rsidRPr="007E6AE3">
        <w:rPr>
          <w:szCs w:val="24"/>
        </w:rPr>
        <w:t>Productivity Commission (</w:t>
      </w:r>
      <w:r w:rsidR="00C16092" w:rsidRPr="007E6AE3">
        <w:rPr>
          <w:szCs w:val="24"/>
        </w:rPr>
        <w:t>PC</w:t>
      </w:r>
      <w:r w:rsidR="00EE3365" w:rsidRPr="007E6AE3">
        <w:rPr>
          <w:szCs w:val="24"/>
        </w:rPr>
        <w:t>)</w:t>
      </w:r>
      <w:r w:rsidR="004518D1" w:rsidRPr="007E6AE3">
        <w:rPr>
          <w:szCs w:val="24"/>
        </w:rPr>
        <w:t xml:space="preserve"> and the World Bank, but these data include large companies as well as SMEs.</w:t>
      </w:r>
      <w:r w:rsidR="00CE4C05" w:rsidRPr="007E6AE3">
        <w:rPr>
          <w:szCs w:val="24"/>
        </w:rPr>
        <w:t xml:space="preserve"> It would be advantageous to know whether the SME position, in terms of</w:t>
      </w:r>
      <w:r w:rsidR="00DF0B3B" w:rsidRPr="007E6AE3">
        <w:rPr>
          <w:szCs w:val="24"/>
        </w:rPr>
        <w:t xml:space="preserve"> revenue balance, is different from </w:t>
      </w:r>
      <w:r w:rsidR="00664BCB" w:rsidRPr="007E6AE3">
        <w:rPr>
          <w:szCs w:val="24"/>
        </w:rPr>
        <w:t>that</w:t>
      </w:r>
      <w:r w:rsidR="00F63027" w:rsidRPr="007E6AE3">
        <w:rPr>
          <w:szCs w:val="24"/>
        </w:rPr>
        <w:t xml:space="preserve"> of large companies: t</w:t>
      </w:r>
      <w:r w:rsidR="4E2D3332" w:rsidRPr="007E6AE3">
        <w:rPr>
          <w:szCs w:val="24"/>
        </w:rPr>
        <w:t xml:space="preserve">his </w:t>
      </w:r>
      <w:r w:rsidR="00664BCB" w:rsidRPr="007E6AE3">
        <w:rPr>
          <w:szCs w:val="24"/>
        </w:rPr>
        <w:t xml:space="preserve">information </w:t>
      </w:r>
      <w:r w:rsidR="4E2D3332" w:rsidRPr="007E6AE3">
        <w:rPr>
          <w:szCs w:val="24"/>
        </w:rPr>
        <w:t>should influence policy settings.</w:t>
      </w:r>
      <w:r w:rsidR="00861044" w:rsidRPr="007E6AE3">
        <w:rPr>
          <w:szCs w:val="24"/>
        </w:rPr>
        <w:t xml:space="preserve"> </w:t>
      </w:r>
    </w:p>
    <w:p w14:paraId="752352F4" w14:textId="2600594E" w:rsidR="00EB1505" w:rsidRPr="007E6AE3" w:rsidRDefault="629832E0" w:rsidP="003B7643">
      <w:pPr>
        <w:pStyle w:val="ListParagraph"/>
        <w:numPr>
          <w:ilvl w:val="0"/>
          <w:numId w:val="49"/>
        </w:numPr>
        <w:spacing w:after="240"/>
        <w:ind w:left="714" w:right="522" w:hanging="357"/>
        <w:rPr>
          <w:szCs w:val="24"/>
        </w:rPr>
      </w:pPr>
      <w:r w:rsidRPr="007E6AE3">
        <w:rPr>
          <w:szCs w:val="24"/>
        </w:rPr>
        <w:t>This is a major question: the strength of Australia’s IP export indu</w:t>
      </w:r>
      <w:r w:rsidR="4D2971AC" w:rsidRPr="007E6AE3">
        <w:rPr>
          <w:szCs w:val="24"/>
        </w:rPr>
        <w:t>s</w:t>
      </w:r>
      <w:r w:rsidRPr="007E6AE3">
        <w:rPr>
          <w:szCs w:val="24"/>
        </w:rPr>
        <w:t>try is the issue</w:t>
      </w:r>
      <w:r w:rsidR="388FECDF" w:rsidRPr="007E6AE3">
        <w:rPr>
          <w:szCs w:val="24"/>
        </w:rPr>
        <w:t>, and the picture looks grim.</w:t>
      </w:r>
      <w:r w:rsidR="00861044" w:rsidRPr="007E6AE3">
        <w:rPr>
          <w:szCs w:val="24"/>
        </w:rPr>
        <w:t xml:space="preserve"> </w:t>
      </w:r>
      <w:r w:rsidR="00664BCB" w:rsidRPr="007E6AE3">
        <w:rPr>
          <w:szCs w:val="24"/>
        </w:rPr>
        <w:t>(</w:t>
      </w:r>
      <w:r w:rsidR="7F925E41" w:rsidRPr="007E6AE3">
        <w:rPr>
          <w:szCs w:val="24"/>
        </w:rPr>
        <w:t xml:space="preserve">See </w:t>
      </w:r>
      <w:r w:rsidR="7F925E41" w:rsidRPr="007E6AE3">
        <w:rPr>
          <w:b/>
          <w:szCs w:val="24"/>
        </w:rPr>
        <w:t>Appendix</w:t>
      </w:r>
      <w:r w:rsidR="7F925E41" w:rsidRPr="007E6AE3">
        <w:rPr>
          <w:bCs/>
          <w:szCs w:val="24"/>
        </w:rPr>
        <w:t xml:space="preserve"> </w:t>
      </w:r>
      <w:r w:rsidR="00697354" w:rsidRPr="007E6AE3">
        <w:rPr>
          <w:b/>
          <w:szCs w:val="24"/>
        </w:rPr>
        <w:t>F</w:t>
      </w:r>
      <w:r w:rsidR="7F925E41" w:rsidRPr="007E6AE3">
        <w:rPr>
          <w:szCs w:val="24"/>
        </w:rPr>
        <w:t>.</w:t>
      </w:r>
      <w:r w:rsidR="00664BCB" w:rsidRPr="007E6AE3">
        <w:rPr>
          <w:szCs w:val="24"/>
        </w:rPr>
        <w:t>)</w:t>
      </w:r>
    </w:p>
    <w:p w14:paraId="6E9AE86F" w14:textId="109AAD2A" w:rsidR="00A76C4B" w:rsidRPr="00FD549C" w:rsidRDefault="00A76C4B" w:rsidP="009B44A0">
      <w:pPr>
        <w:pStyle w:val="Heading2"/>
        <w:rPr>
          <w:sz w:val="36"/>
          <w:szCs w:val="36"/>
        </w:rPr>
      </w:pPr>
      <w:r w:rsidRPr="00585B6B">
        <w:rPr>
          <w:sz w:val="36"/>
          <w:szCs w:val="36"/>
        </w:rPr>
        <w:t xml:space="preserve">(i) </w:t>
      </w:r>
      <w:r w:rsidR="005505A9" w:rsidRPr="00585B6B">
        <w:rPr>
          <w:sz w:val="36"/>
          <w:szCs w:val="36"/>
        </w:rPr>
        <w:t>New research on SMEs and the patent system</w:t>
      </w:r>
    </w:p>
    <w:p w14:paraId="31812E0B" w14:textId="621918DB" w:rsidR="00686E06" w:rsidRPr="007E6AE3" w:rsidRDefault="00231581" w:rsidP="009E76F8">
      <w:pPr>
        <w:rPr>
          <w:szCs w:val="24"/>
        </w:rPr>
      </w:pPr>
      <w:r w:rsidRPr="007E6AE3">
        <w:rPr>
          <w:szCs w:val="24"/>
        </w:rPr>
        <w:t>Preliminary findings from a forthcoming economic research paper further fill out the picture of how SMEs engage with the patent system.</w:t>
      </w:r>
      <w:r w:rsidRPr="007E6AE3">
        <w:rPr>
          <w:rStyle w:val="FootnoteReference"/>
          <w:szCs w:val="24"/>
        </w:rPr>
        <w:footnoteReference w:id="17"/>
      </w:r>
      <w:r w:rsidRPr="007E6AE3">
        <w:rPr>
          <w:szCs w:val="24"/>
        </w:rPr>
        <w:t xml:space="preserve"> </w:t>
      </w:r>
      <w:r w:rsidR="00686E06" w:rsidRPr="007E6AE3">
        <w:rPr>
          <w:szCs w:val="24"/>
        </w:rPr>
        <w:t>Th</w:t>
      </w:r>
      <w:r w:rsidR="000E549C" w:rsidRPr="007E6AE3">
        <w:rPr>
          <w:szCs w:val="24"/>
        </w:rPr>
        <w:t>is</w:t>
      </w:r>
      <w:r w:rsidR="00686E06" w:rsidRPr="007E6AE3">
        <w:rPr>
          <w:szCs w:val="24"/>
        </w:rPr>
        <w:t xml:space="preserve"> research looks at SME usage of the IP system during the period between 2001</w:t>
      </w:r>
      <w:r w:rsidR="00457C65" w:rsidRPr="007E6AE3">
        <w:rPr>
          <w:szCs w:val="24"/>
        </w:rPr>
        <w:t>–</w:t>
      </w:r>
      <w:r w:rsidR="00686E06" w:rsidRPr="007E6AE3">
        <w:rPr>
          <w:szCs w:val="24"/>
        </w:rPr>
        <w:t>02 and 2016</w:t>
      </w:r>
      <w:r w:rsidR="00457C65" w:rsidRPr="007E6AE3">
        <w:rPr>
          <w:szCs w:val="24"/>
        </w:rPr>
        <w:t>–</w:t>
      </w:r>
      <w:r w:rsidR="00686E06" w:rsidRPr="007E6AE3">
        <w:rPr>
          <w:szCs w:val="24"/>
        </w:rPr>
        <w:t xml:space="preserve">17. </w:t>
      </w:r>
    </w:p>
    <w:p w14:paraId="4F6A565D" w14:textId="0F93E054" w:rsidR="00231581" w:rsidRPr="007E6AE3" w:rsidRDefault="005505A9" w:rsidP="009E76F8">
      <w:pPr>
        <w:rPr>
          <w:szCs w:val="24"/>
        </w:rPr>
      </w:pPr>
      <w:r w:rsidRPr="007E6AE3">
        <w:rPr>
          <w:szCs w:val="24"/>
        </w:rPr>
        <w:t>Th</w:t>
      </w:r>
      <w:r w:rsidR="000E549C" w:rsidRPr="007E6AE3">
        <w:rPr>
          <w:szCs w:val="24"/>
        </w:rPr>
        <w:t>is</w:t>
      </w:r>
      <w:r w:rsidRPr="007E6AE3">
        <w:rPr>
          <w:szCs w:val="24"/>
        </w:rPr>
        <w:t xml:space="preserve"> research confirms that few Australian SMEs use the patent system. </w:t>
      </w:r>
      <w:r w:rsidR="00686E06" w:rsidRPr="007E6AE3">
        <w:rPr>
          <w:szCs w:val="24"/>
        </w:rPr>
        <w:t xml:space="preserve">The number of Australian SMEs owning patents has been stagnant and their </w:t>
      </w:r>
      <w:r w:rsidR="00105D55" w:rsidRPr="007E6AE3">
        <w:rPr>
          <w:szCs w:val="24"/>
        </w:rPr>
        <w:t xml:space="preserve">proportion </w:t>
      </w:r>
      <w:r w:rsidR="00686E06" w:rsidRPr="007E6AE3">
        <w:rPr>
          <w:szCs w:val="24"/>
        </w:rPr>
        <w:t>of total SMEs is small</w:t>
      </w:r>
      <w:r w:rsidR="00105D55" w:rsidRPr="007E6AE3">
        <w:rPr>
          <w:szCs w:val="24"/>
        </w:rPr>
        <w:t xml:space="preserve"> </w:t>
      </w:r>
      <w:r w:rsidR="00BC3F9C">
        <w:rPr>
          <w:szCs w:val="24"/>
        </w:rPr>
        <w:t>–</w:t>
      </w:r>
      <w:r w:rsidR="00BF0177" w:rsidRPr="007E6AE3">
        <w:rPr>
          <w:szCs w:val="24"/>
        </w:rPr>
        <w:t xml:space="preserve"> </w:t>
      </w:r>
      <w:r w:rsidR="00686E06" w:rsidRPr="007E6AE3">
        <w:rPr>
          <w:szCs w:val="24"/>
        </w:rPr>
        <w:t xml:space="preserve">with about 1,400 Australian SMEs owning at least one patent in each year during the study period. This accounts for about 0.2 per cent of the total active SMEs </w:t>
      </w:r>
      <w:r w:rsidR="00BC3F9C">
        <w:rPr>
          <w:szCs w:val="24"/>
        </w:rPr>
        <w:t>–</w:t>
      </w:r>
      <w:r w:rsidR="00BF0177" w:rsidRPr="007E6AE3">
        <w:rPr>
          <w:szCs w:val="24"/>
        </w:rPr>
        <w:t xml:space="preserve"> </w:t>
      </w:r>
      <w:r w:rsidR="00E712A4" w:rsidRPr="007E6AE3">
        <w:rPr>
          <w:szCs w:val="24"/>
        </w:rPr>
        <w:t>a</w:t>
      </w:r>
      <w:r w:rsidR="00686E06" w:rsidRPr="007E6AE3">
        <w:rPr>
          <w:szCs w:val="24"/>
        </w:rPr>
        <w:t xml:space="preserve"> ratio </w:t>
      </w:r>
      <w:r w:rsidR="00E712A4" w:rsidRPr="007E6AE3">
        <w:rPr>
          <w:szCs w:val="24"/>
        </w:rPr>
        <w:t xml:space="preserve">which </w:t>
      </w:r>
      <w:r w:rsidR="00686E06" w:rsidRPr="007E6AE3">
        <w:rPr>
          <w:szCs w:val="24"/>
        </w:rPr>
        <w:t xml:space="preserve">remained stagnant over the study period. The larger an SME becomes, the more likely it </w:t>
      </w:r>
      <w:r w:rsidR="00105D55" w:rsidRPr="007E6AE3">
        <w:rPr>
          <w:szCs w:val="24"/>
        </w:rPr>
        <w:t xml:space="preserve">is to </w:t>
      </w:r>
      <w:r w:rsidR="00686E06" w:rsidRPr="007E6AE3">
        <w:rPr>
          <w:szCs w:val="24"/>
        </w:rPr>
        <w:t xml:space="preserve">become a patent owner: </w:t>
      </w:r>
      <w:r w:rsidRPr="007E6AE3">
        <w:rPr>
          <w:szCs w:val="24"/>
        </w:rPr>
        <w:t>the average ratio of patent owners to non-patent owners during</w:t>
      </w:r>
      <w:r w:rsidR="002A1BF1">
        <w:rPr>
          <w:szCs w:val="24"/>
        </w:rPr>
        <w:t xml:space="preserve"> </w:t>
      </w:r>
      <w:r w:rsidRPr="007E6AE3">
        <w:rPr>
          <w:szCs w:val="24"/>
        </w:rPr>
        <w:t>the study period was 0.1% for micro businesses, 0.4</w:t>
      </w:r>
      <w:r w:rsidR="009B25A2" w:rsidRPr="007E6AE3">
        <w:rPr>
          <w:szCs w:val="24"/>
        </w:rPr>
        <w:t>%</w:t>
      </w:r>
      <w:r w:rsidRPr="007E6AE3">
        <w:rPr>
          <w:szCs w:val="24"/>
        </w:rPr>
        <w:t xml:space="preserve"> for small businesses, and 2% for medium businesses</w:t>
      </w:r>
      <w:r w:rsidR="001310AE" w:rsidRPr="007E6AE3">
        <w:rPr>
          <w:szCs w:val="24"/>
        </w:rPr>
        <w:t>.</w:t>
      </w:r>
      <w:r w:rsidRPr="007E6AE3">
        <w:rPr>
          <w:szCs w:val="24"/>
        </w:rPr>
        <w:t xml:space="preserve"> (</w:t>
      </w:r>
      <w:r w:rsidR="001310AE" w:rsidRPr="007E6AE3">
        <w:rPr>
          <w:szCs w:val="24"/>
        </w:rPr>
        <w:t>F</w:t>
      </w:r>
      <w:r w:rsidRPr="007E6AE3">
        <w:rPr>
          <w:szCs w:val="24"/>
        </w:rPr>
        <w:t>or comparison</w:t>
      </w:r>
      <w:r w:rsidR="001310AE" w:rsidRPr="007E6AE3">
        <w:rPr>
          <w:szCs w:val="24"/>
        </w:rPr>
        <w:t>,</w:t>
      </w:r>
      <w:r w:rsidRPr="007E6AE3">
        <w:rPr>
          <w:szCs w:val="24"/>
        </w:rPr>
        <w:t xml:space="preserve"> the ratio is </w:t>
      </w:r>
      <w:r w:rsidR="00A33743" w:rsidRPr="007E6AE3">
        <w:rPr>
          <w:szCs w:val="24"/>
        </w:rPr>
        <w:t>9.7</w:t>
      </w:r>
      <w:r w:rsidRPr="007E6AE3">
        <w:rPr>
          <w:szCs w:val="24"/>
        </w:rPr>
        <w:t>% for large businesses).</w:t>
      </w:r>
      <w:r w:rsidRPr="007E6AE3">
        <w:rPr>
          <w:rStyle w:val="FootnoteReference"/>
          <w:szCs w:val="24"/>
        </w:rPr>
        <w:footnoteReference w:id="18"/>
      </w:r>
    </w:p>
    <w:p w14:paraId="030975BE" w14:textId="2182C4C5" w:rsidR="003B7643" w:rsidRDefault="002216B4" w:rsidP="79344E9E">
      <w:pPr>
        <w:rPr>
          <w:szCs w:val="24"/>
        </w:rPr>
      </w:pPr>
      <w:r w:rsidRPr="007E6AE3">
        <w:rPr>
          <w:szCs w:val="24"/>
        </w:rPr>
        <w:lastRenderedPageBreak/>
        <w:t xml:space="preserve">Of those SMEs </w:t>
      </w:r>
      <w:r w:rsidR="001310AE" w:rsidRPr="007E6AE3">
        <w:rPr>
          <w:szCs w:val="24"/>
        </w:rPr>
        <w:t xml:space="preserve">that </w:t>
      </w:r>
      <w:r w:rsidRPr="007E6AE3">
        <w:rPr>
          <w:szCs w:val="24"/>
        </w:rPr>
        <w:t>do own patent</w:t>
      </w:r>
      <w:r w:rsidR="006D1422" w:rsidRPr="007E6AE3">
        <w:rPr>
          <w:szCs w:val="24"/>
        </w:rPr>
        <w:t>s</w:t>
      </w:r>
      <w:r w:rsidRPr="007E6AE3">
        <w:rPr>
          <w:szCs w:val="24"/>
        </w:rPr>
        <w:t xml:space="preserve">, 44% are in </w:t>
      </w:r>
      <w:r w:rsidR="001310AE" w:rsidRPr="007E6AE3">
        <w:rPr>
          <w:szCs w:val="24"/>
        </w:rPr>
        <w:t>m</w:t>
      </w:r>
      <w:r w:rsidRPr="007E6AE3">
        <w:rPr>
          <w:szCs w:val="24"/>
        </w:rPr>
        <w:t xml:space="preserve">anufacturing and a further 19% are in </w:t>
      </w:r>
      <w:r w:rsidR="001310AE" w:rsidRPr="007E6AE3">
        <w:rPr>
          <w:szCs w:val="24"/>
        </w:rPr>
        <w:t>p</w:t>
      </w:r>
      <w:r w:rsidRPr="007E6AE3">
        <w:rPr>
          <w:szCs w:val="24"/>
        </w:rPr>
        <w:t xml:space="preserve">rofessional, </w:t>
      </w:r>
      <w:r w:rsidR="001310AE" w:rsidRPr="007E6AE3">
        <w:rPr>
          <w:szCs w:val="24"/>
        </w:rPr>
        <w:t>s</w:t>
      </w:r>
      <w:r w:rsidRPr="007E6AE3">
        <w:rPr>
          <w:szCs w:val="24"/>
        </w:rPr>
        <w:t xml:space="preserve">cientific and </w:t>
      </w:r>
      <w:r w:rsidR="001310AE" w:rsidRPr="007E6AE3">
        <w:rPr>
          <w:szCs w:val="24"/>
        </w:rPr>
        <w:t>t</w:t>
      </w:r>
      <w:r w:rsidRPr="007E6AE3">
        <w:rPr>
          <w:szCs w:val="24"/>
        </w:rPr>
        <w:t>echnical industr</w:t>
      </w:r>
      <w:r w:rsidR="001310AE" w:rsidRPr="007E6AE3">
        <w:rPr>
          <w:szCs w:val="24"/>
        </w:rPr>
        <w:t>ies</w:t>
      </w:r>
      <w:r w:rsidRPr="007E6AE3">
        <w:rPr>
          <w:szCs w:val="24"/>
        </w:rPr>
        <w:t>. However, even then</w:t>
      </w:r>
      <w:r w:rsidR="003E71C6" w:rsidRPr="007E6AE3">
        <w:rPr>
          <w:szCs w:val="24"/>
        </w:rPr>
        <w:t>,</w:t>
      </w:r>
      <w:r w:rsidRPr="007E6AE3">
        <w:rPr>
          <w:szCs w:val="24"/>
        </w:rPr>
        <w:t xml:space="preserve"> the proportion of SMEs owning patents is still small</w:t>
      </w:r>
      <w:r w:rsidR="003E71C6" w:rsidRPr="007E6AE3">
        <w:rPr>
          <w:szCs w:val="24"/>
        </w:rPr>
        <w:t>,</w:t>
      </w:r>
      <w:r w:rsidRPr="007E6AE3">
        <w:rPr>
          <w:szCs w:val="24"/>
        </w:rPr>
        <w:t xml:space="preserve"> at 1.5%</w:t>
      </w:r>
      <w:r w:rsidR="5568BF82" w:rsidRPr="007E6AE3">
        <w:rPr>
          <w:szCs w:val="24"/>
        </w:rPr>
        <w:t xml:space="preserve"> overall</w:t>
      </w:r>
      <w:r w:rsidRPr="007E6AE3">
        <w:rPr>
          <w:szCs w:val="24"/>
        </w:rPr>
        <w:t xml:space="preserve">. </w:t>
      </w:r>
      <w:r w:rsidR="6AAC5D94" w:rsidRPr="007E6AE3">
        <w:rPr>
          <w:szCs w:val="24"/>
        </w:rPr>
        <w:t>Despite the overall low participation numbers, it is encouraging to see that the manufacturing sector (</w:t>
      </w:r>
      <w:r w:rsidR="1B450D4F" w:rsidRPr="007E6AE3">
        <w:rPr>
          <w:szCs w:val="24"/>
        </w:rPr>
        <w:t>o</w:t>
      </w:r>
      <w:r w:rsidR="6AAC5D94" w:rsidRPr="007E6AE3">
        <w:rPr>
          <w:szCs w:val="24"/>
        </w:rPr>
        <w:t xml:space="preserve">ften populated by </w:t>
      </w:r>
      <w:r w:rsidR="438FFE26" w:rsidRPr="007E6AE3">
        <w:rPr>
          <w:szCs w:val="24"/>
        </w:rPr>
        <w:t>VET</w:t>
      </w:r>
      <w:r w:rsidR="003E71C6" w:rsidRPr="007E6AE3">
        <w:rPr>
          <w:szCs w:val="24"/>
        </w:rPr>
        <w:t>-</w:t>
      </w:r>
      <w:r w:rsidR="6AAC5D94" w:rsidRPr="007E6AE3">
        <w:rPr>
          <w:szCs w:val="24"/>
        </w:rPr>
        <w:t>sector graduates) is in the lead in terms of SME pat</w:t>
      </w:r>
      <w:r w:rsidR="69DC1D8F" w:rsidRPr="007E6AE3">
        <w:rPr>
          <w:szCs w:val="24"/>
        </w:rPr>
        <w:t xml:space="preserve">ent </w:t>
      </w:r>
      <w:r w:rsidR="6AAC5D94" w:rsidRPr="007E6AE3">
        <w:rPr>
          <w:szCs w:val="24"/>
        </w:rPr>
        <w:t>use.</w:t>
      </w:r>
      <w:r w:rsidR="610CDDA5" w:rsidRPr="007E6AE3">
        <w:rPr>
          <w:szCs w:val="24"/>
        </w:rPr>
        <w:t xml:space="preserve"> </w:t>
      </w:r>
    </w:p>
    <w:p w14:paraId="37C4ABFE" w14:textId="099B0484" w:rsidR="002216B4" w:rsidRDefault="610CDDA5" w:rsidP="79344E9E">
      <w:r w:rsidRPr="72EB7D45">
        <w:t>B</w:t>
      </w:r>
      <w:r w:rsidR="0003EB22" w:rsidRPr="72EB7D45">
        <w:t xml:space="preserve">ut, as noted, the overall picture is not strong: a report from the </w:t>
      </w:r>
      <w:r w:rsidR="776B5142" w:rsidRPr="72EB7D45">
        <w:t>European</w:t>
      </w:r>
      <w:r w:rsidR="0003EB22" w:rsidRPr="007E6AE3">
        <w:rPr>
          <w:szCs w:val="24"/>
        </w:rPr>
        <w:t xml:space="preserve"> </w:t>
      </w:r>
      <w:r w:rsidR="2EBD43A1" w:rsidRPr="72EB7D45">
        <w:t>U</w:t>
      </w:r>
      <w:r w:rsidR="0003EB22" w:rsidRPr="72EB7D45">
        <w:t xml:space="preserve">nion </w:t>
      </w:r>
      <w:r w:rsidR="4B3453A7" w:rsidRPr="72EB7D45">
        <w:t>I</w:t>
      </w:r>
      <w:r w:rsidR="0003EB22" w:rsidRPr="72EB7D45">
        <w:t xml:space="preserve">ntellectual </w:t>
      </w:r>
      <w:r w:rsidR="1E395D59" w:rsidRPr="72EB7D45">
        <w:t>P</w:t>
      </w:r>
      <w:r w:rsidR="0003EB22" w:rsidRPr="72EB7D45">
        <w:t xml:space="preserve">roperty </w:t>
      </w:r>
      <w:r w:rsidR="74B51BA5" w:rsidRPr="72EB7D45">
        <w:t>O</w:t>
      </w:r>
      <w:r w:rsidR="0003EB22" w:rsidRPr="72EB7D45">
        <w:t>ffice</w:t>
      </w:r>
      <w:r w:rsidR="1B534669" w:rsidRPr="72EB7D45">
        <w:t xml:space="preserve"> in 2019</w:t>
      </w:r>
      <w:r w:rsidR="516DA085" w:rsidRPr="007E6AE3">
        <w:rPr>
          <w:szCs w:val="24"/>
        </w:rPr>
        <w:t xml:space="preserve"> </w:t>
      </w:r>
      <w:r w:rsidR="5B79245D" w:rsidRPr="72EB7D45">
        <w:t>s</w:t>
      </w:r>
      <w:r w:rsidR="516DA085" w:rsidRPr="72EB7D45">
        <w:t>hows that SME</w:t>
      </w:r>
      <w:r w:rsidR="1180522B" w:rsidRPr="72EB7D45">
        <w:t xml:space="preserve"> use</w:t>
      </w:r>
      <w:r w:rsidR="516DA085" w:rsidRPr="007E6AE3">
        <w:rPr>
          <w:szCs w:val="24"/>
        </w:rPr>
        <w:t xml:space="preserve"> </w:t>
      </w:r>
      <w:r w:rsidR="2F4A870B" w:rsidRPr="72EB7D45">
        <w:t xml:space="preserve">of </w:t>
      </w:r>
      <w:r w:rsidR="516DA085" w:rsidRPr="72EB7D45">
        <w:t xml:space="preserve">the patent system in the manufacturing sector in Europe is about four times that </w:t>
      </w:r>
      <w:r w:rsidR="5401D72E" w:rsidRPr="72EB7D45">
        <w:t>of</w:t>
      </w:r>
      <w:r w:rsidR="516DA085" w:rsidRPr="72EB7D45">
        <w:t xml:space="preserve"> Australia</w:t>
      </w:r>
      <w:r w:rsidR="7A085A48" w:rsidRPr="72EB7D45">
        <w:t>,</w:t>
      </w:r>
      <w:r w:rsidRPr="0C89C1B6">
        <w:rPr>
          <w:rStyle w:val="FootnoteReference"/>
        </w:rPr>
        <w:footnoteReference w:id="19"/>
      </w:r>
      <w:r w:rsidR="516DA085" w:rsidRPr="72EB7D45">
        <w:t xml:space="preserve"> 4.6% </w:t>
      </w:r>
      <w:r w:rsidR="003E71C6" w:rsidRPr="72EB7D45">
        <w:t xml:space="preserve">of </w:t>
      </w:r>
      <w:r w:rsidR="605088E4" w:rsidRPr="72EB7D45">
        <w:t xml:space="preserve">SME patent holders </w:t>
      </w:r>
      <w:r w:rsidR="00A17835" w:rsidRPr="72EB7D45">
        <w:t xml:space="preserve">in Europe </w:t>
      </w:r>
      <w:r w:rsidR="516DA085" w:rsidRPr="72EB7D45">
        <w:t>as opposed to 1.2%</w:t>
      </w:r>
      <w:r w:rsidR="00A17835" w:rsidRPr="72EB7D45">
        <w:t xml:space="preserve"> in Australia</w:t>
      </w:r>
      <w:r w:rsidR="5DF6F87E" w:rsidRPr="007E6AE3">
        <w:rPr>
          <w:szCs w:val="24"/>
        </w:rPr>
        <w:t>.</w:t>
      </w:r>
      <w:r w:rsidR="0085216A" w:rsidRPr="72EB7D45">
        <w:rPr>
          <w:rStyle w:val="FootnoteReference"/>
        </w:rPr>
        <w:footnoteReference w:id="20"/>
      </w:r>
    </w:p>
    <w:p w14:paraId="7BC46923" w14:textId="1707C9B1" w:rsidR="004C37D5" w:rsidRPr="007E6AE3" w:rsidRDefault="006A55E3" w:rsidP="79344E9E">
      <w:r>
        <w:t xml:space="preserve">Australia’s industry mix does not lend itself to large numbers of patent filings. While manufacturing involves higher innovation spending and patenting, it comprises a smaller share of the Australian economy than in peer economies. The Modern Manufacturing Strategy’s vision is for Australia to be recognised as a high-quality and sustainable manufacturing nation. As a consequence, more Australian firms may choose to pursue IP rights, including an increase in patents. </w:t>
      </w:r>
    </w:p>
    <w:p w14:paraId="33F2D746" w14:textId="250D8E16" w:rsidR="00DF0B3B" w:rsidRPr="00585B6B" w:rsidRDefault="002B17A9" w:rsidP="79344E9E">
      <w:pPr>
        <w:pStyle w:val="Heading2"/>
        <w:rPr>
          <w:sz w:val="36"/>
          <w:szCs w:val="36"/>
        </w:rPr>
      </w:pPr>
      <w:r w:rsidRPr="00585B6B">
        <w:rPr>
          <w:sz w:val="36"/>
          <w:szCs w:val="36"/>
        </w:rPr>
        <w:t xml:space="preserve">(ii) </w:t>
      </w:r>
      <w:r w:rsidR="224D9992" w:rsidRPr="00585B6B">
        <w:rPr>
          <w:sz w:val="36"/>
          <w:szCs w:val="36"/>
        </w:rPr>
        <w:t>Export:</w:t>
      </w:r>
      <w:r w:rsidRPr="00585B6B">
        <w:rPr>
          <w:sz w:val="36"/>
          <w:szCs w:val="36"/>
        </w:rPr>
        <w:t xml:space="preserve"> data on SME use </w:t>
      </w:r>
      <w:r w:rsidR="2CD45B2E" w:rsidRPr="00585B6B">
        <w:rPr>
          <w:sz w:val="36"/>
          <w:szCs w:val="36"/>
        </w:rPr>
        <w:t>of international patents.</w:t>
      </w:r>
    </w:p>
    <w:p w14:paraId="3368F153" w14:textId="4718977E" w:rsidR="00FC3DEC" w:rsidRPr="00DB38EF" w:rsidRDefault="2CD45B2E" w:rsidP="00364441">
      <w:pPr>
        <w:rPr>
          <w:rFonts w:cs="Arial (Body CS)"/>
          <w:spacing w:val="-2"/>
          <w:szCs w:val="24"/>
        </w:rPr>
      </w:pPr>
      <w:r w:rsidRPr="00DB38EF">
        <w:rPr>
          <w:rFonts w:cs="Arial (Body CS)"/>
          <w:spacing w:val="-2"/>
          <w:szCs w:val="24"/>
        </w:rPr>
        <w:t>Qu</w:t>
      </w:r>
      <w:r w:rsidR="00DF0B3B" w:rsidRPr="00DB38EF">
        <w:rPr>
          <w:rFonts w:cs="Arial (Body CS)"/>
          <w:spacing w:val="-2"/>
          <w:szCs w:val="24"/>
        </w:rPr>
        <w:t>een Elizabeth I</w:t>
      </w:r>
      <w:r w:rsidR="00796783" w:rsidRPr="00DB38EF">
        <w:rPr>
          <w:rFonts w:cs="Arial (Body CS)"/>
          <w:spacing w:val="-2"/>
          <w:szCs w:val="24"/>
        </w:rPr>
        <w:t xml:space="preserve"> sought to enrich the British economy by distributing monopolies, often to foreign craftsmen</w:t>
      </w:r>
      <w:r w:rsidR="001E038A" w:rsidRPr="00DB38EF">
        <w:rPr>
          <w:rFonts w:cs="Arial (Body CS)"/>
          <w:spacing w:val="-2"/>
          <w:szCs w:val="24"/>
        </w:rPr>
        <w:t xml:space="preserve"> who brought new technologies</w:t>
      </w:r>
      <w:r w:rsidR="00A17835" w:rsidRPr="00DB38EF">
        <w:rPr>
          <w:rFonts w:cs="Arial (Body CS)"/>
          <w:spacing w:val="-2"/>
          <w:szCs w:val="24"/>
        </w:rPr>
        <w:t xml:space="preserve"> (and </w:t>
      </w:r>
      <w:r w:rsidR="009D4A91" w:rsidRPr="00DB38EF">
        <w:rPr>
          <w:rFonts w:cs="Arial (Body CS)"/>
          <w:spacing w:val="-2"/>
          <w:szCs w:val="24"/>
        </w:rPr>
        <w:t>also</w:t>
      </w:r>
      <w:r w:rsidR="00796783" w:rsidRPr="00DB38EF">
        <w:rPr>
          <w:rFonts w:cs="Arial (Body CS)"/>
          <w:spacing w:val="-2"/>
          <w:szCs w:val="24"/>
        </w:rPr>
        <w:t xml:space="preserve"> provid</w:t>
      </w:r>
      <w:r w:rsidR="007E321C" w:rsidRPr="00DB38EF">
        <w:rPr>
          <w:rFonts w:cs="Arial (Body CS)"/>
          <w:spacing w:val="-2"/>
          <w:szCs w:val="24"/>
        </w:rPr>
        <w:t>ed</w:t>
      </w:r>
      <w:r w:rsidR="009D4A91" w:rsidRPr="00DB38EF">
        <w:rPr>
          <w:rFonts w:cs="Arial (Body CS)"/>
          <w:spacing w:val="-2"/>
          <w:szCs w:val="24"/>
        </w:rPr>
        <w:t xml:space="preserve"> a</w:t>
      </w:r>
      <w:r w:rsidR="00796783" w:rsidRPr="00DB38EF">
        <w:rPr>
          <w:rFonts w:cs="Arial (Body CS)"/>
          <w:spacing w:val="-2"/>
          <w:szCs w:val="24"/>
        </w:rPr>
        <w:t xml:space="preserve"> source of taxation revenue</w:t>
      </w:r>
      <w:r w:rsidR="00A17835" w:rsidRPr="00DB38EF">
        <w:rPr>
          <w:rFonts w:cs="Arial (Body CS)"/>
          <w:spacing w:val="-2"/>
          <w:szCs w:val="24"/>
        </w:rPr>
        <w:t xml:space="preserve">) </w:t>
      </w:r>
      <w:r w:rsidR="00BC3F9C">
        <w:rPr>
          <w:rFonts w:cs="Arial (Body CS)"/>
          <w:spacing w:val="-2"/>
          <w:szCs w:val="24"/>
        </w:rPr>
        <w:t>–</w:t>
      </w:r>
      <w:r w:rsidR="00BF0177" w:rsidRPr="00DB38EF">
        <w:rPr>
          <w:rFonts w:cs="Arial (Body CS)"/>
          <w:spacing w:val="-2"/>
          <w:szCs w:val="24"/>
        </w:rPr>
        <w:t xml:space="preserve"> </w:t>
      </w:r>
      <w:r w:rsidR="00233DDF" w:rsidRPr="00DB38EF">
        <w:rPr>
          <w:rFonts w:cs="Arial (Body CS)"/>
          <w:spacing w:val="-2"/>
          <w:szCs w:val="24"/>
        </w:rPr>
        <w:t xml:space="preserve">but it might appear that we </w:t>
      </w:r>
      <w:r w:rsidR="00964E3A" w:rsidRPr="00DB38EF">
        <w:rPr>
          <w:rFonts w:cs="Arial (Body CS)"/>
          <w:spacing w:val="-2"/>
          <w:szCs w:val="24"/>
        </w:rPr>
        <w:t xml:space="preserve">in Australia </w:t>
      </w:r>
      <w:r w:rsidR="00233DDF" w:rsidRPr="00DB38EF">
        <w:rPr>
          <w:rFonts w:cs="Arial (Body CS)"/>
          <w:spacing w:val="-2"/>
          <w:szCs w:val="24"/>
        </w:rPr>
        <w:t xml:space="preserve">are using the IP rights system to enrich </w:t>
      </w:r>
      <w:r w:rsidR="00964E3A" w:rsidRPr="00DB38EF">
        <w:rPr>
          <w:rFonts w:cs="Arial (Body CS)"/>
          <w:spacing w:val="-2"/>
          <w:szCs w:val="24"/>
        </w:rPr>
        <w:t xml:space="preserve">other </w:t>
      </w:r>
      <w:r w:rsidR="00233DDF" w:rsidRPr="00DB38EF">
        <w:rPr>
          <w:rFonts w:cs="Arial (Body CS)"/>
          <w:spacing w:val="-2"/>
          <w:szCs w:val="24"/>
        </w:rPr>
        <w:t>countries</w:t>
      </w:r>
      <w:r w:rsidR="00FC3DEC" w:rsidRPr="00DB38EF">
        <w:rPr>
          <w:rFonts w:cs="Arial (Body CS)"/>
          <w:spacing w:val="-2"/>
          <w:szCs w:val="24"/>
        </w:rPr>
        <w:t>,</w:t>
      </w:r>
      <w:r w:rsidR="00233DDF" w:rsidRPr="00DB38EF">
        <w:rPr>
          <w:rFonts w:cs="Arial (Body CS)"/>
          <w:spacing w:val="-2"/>
          <w:szCs w:val="24"/>
        </w:rPr>
        <w:t xml:space="preserve"> if we</w:t>
      </w:r>
      <w:r w:rsidR="0023303F" w:rsidRPr="00DB38EF">
        <w:rPr>
          <w:rFonts w:cs="Arial (Body CS)"/>
          <w:spacing w:val="-2"/>
          <w:szCs w:val="24"/>
        </w:rPr>
        <w:t xml:space="preserve"> take the 9</w:t>
      </w:r>
      <w:r w:rsidR="005C01D7" w:rsidRPr="00DB38EF">
        <w:rPr>
          <w:rFonts w:cs="Arial (Body CS)"/>
          <w:spacing w:val="-2"/>
          <w:szCs w:val="24"/>
        </w:rPr>
        <w:t>5</w:t>
      </w:r>
      <w:r w:rsidR="0023303F" w:rsidRPr="00DB38EF">
        <w:rPr>
          <w:rFonts w:cs="Arial (Body CS)"/>
          <w:spacing w:val="-2"/>
          <w:szCs w:val="24"/>
        </w:rPr>
        <w:t xml:space="preserve">% </w:t>
      </w:r>
      <w:r w:rsidR="7D74BC22" w:rsidRPr="00DB38EF">
        <w:rPr>
          <w:rFonts w:cs="Arial (Body CS)"/>
          <w:spacing w:val="-2"/>
          <w:szCs w:val="24"/>
        </w:rPr>
        <w:t xml:space="preserve">international patents </w:t>
      </w:r>
      <w:r w:rsidR="0023303F" w:rsidRPr="00DB38EF">
        <w:rPr>
          <w:rFonts w:cs="Arial (Body CS)"/>
          <w:spacing w:val="-2"/>
          <w:szCs w:val="24"/>
        </w:rPr>
        <w:t>figure as indicative o</w:t>
      </w:r>
      <w:r w:rsidR="00964E3A" w:rsidRPr="00DB38EF">
        <w:rPr>
          <w:rFonts w:cs="Arial (Body CS)"/>
          <w:spacing w:val="-2"/>
          <w:szCs w:val="24"/>
        </w:rPr>
        <w:t>n</w:t>
      </w:r>
      <w:r w:rsidR="0023303F" w:rsidRPr="00DB38EF">
        <w:rPr>
          <w:rFonts w:cs="Arial (Body CS)"/>
          <w:spacing w:val="-2"/>
          <w:szCs w:val="24"/>
        </w:rPr>
        <w:t xml:space="preserve"> that question</w:t>
      </w:r>
      <w:r w:rsidR="00FC3DEC" w:rsidRPr="00DB38EF">
        <w:rPr>
          <w:rFonts w:cs="Arial (Body CS)"/>
          <w:spacing w:val="-2"/>
          <w:szCs w:val="24"/>
        </w:rPr>
        <w:t xml:space="preserve">. </w:t>
      </w:r>
    </w:p>
    <w:p w14:paraId="533C0313" w14:textId="37DC00A4" w:rsidR="00AC70FB" w:rsidRPr="007E6AE3" w:rsidRDefault="002C4FCE" w:rsidP="00DB38EF">
      <w:pPr>
        <w:rPr>
          <w:szCs w:val="24"/>
        </w:rPr>
      </w:pPr>
      <w:r w:rsidRPr="007E6AE3">
        <w:rPr>
          <w:szCs w:val="24"/>
        </w:rPr>
        <w:t xml:space="preserve">However, </w:t>
      </w:r>
      <w:r w:rsidR="0023303F" w:rsidRPr="007E6AE3">
        <w:rPr>
          <w:szCs w:val="24"/>
        </w:rPr>
        <w:t>we cannot</w:t>
      </w:r>
      <w:r w:rsidR="00816A3F" w:rsidRPr="007E6AE3">
        <w:rPr>
          <w:szCs w:val="24"/>
        </w:rPr>
        <w:t xml:space="preserve"> progress with this without comparing the wealth offered to foreign SMEs</w:t>
      </w:r>
      <w:r w:rsidR="009B0B0C" w:rsidRPr="007E6AE3">
        <w:rPr>
          <w:szCs w:val="24"/>
        </w:rPr>
        <w:t xml:space="preserve"> </w:t>
      </w:r>
      <w:r w:rsidR="00863BB5" w:rsidRPr="007E6AE3">
        <w:rPr>
          <w:szCs w:val="24"/>
        </w:rPr>
        <w:t>(</w:t>
      </w:r>
      <w:r w:rsidR="009B0B0C" w:rsidRPr="007E6AE3">
        <w:rPr>
          <w:szCs w:val="24"/>
        </w:rPr>
        <w:t xml:space="preserve">through </w:t>
      </w:r>
      <w:r w:rsidR="000F59C0" w:rsidRPr="007E6AE3">
        <w:rPr>
          <w:szCs w:val="24"/>
        </w:rPr>
        <w:t xml:space="preserve">the </w:t>
      </w:r>
      <w:r w:rsidR="009B0B0C" w:rsidRPr="007E6AE3">
        <w:rPr>
          <w:szCs w:val="24"/>
        </w:rPr>
        <w:t>large number of patents awarded to them</w:t>
      </w:r>
      <w:r w:rsidR="00863BB5" w:rsidRPr="007E6AE3">
        <w:rPr>
          <w:szCs w:val="24"/>
        </w:rPr>
        <w:t>)</w:t>
      </w:r>
      <w:r w:rsidR="009B0B0C" w:rsidRPr="007E6AE3">
        <w:rPr>
          <w:szCs w:val="24"/>
        </w:rPr>
        <w:t xml:space="preserve">, with the wealth </w:t>
      </w:r>
      <w:r w:rsidR="65A409ED" w:rsidRPr="007E6AE3">
        <w:rPr>
          <w:szCs w:val="24"/>
        </w:rPr>
        <w:t>accrued</w:t>
      </w:r>
      <w:r w:rsidR="009B0B0C" w:rsidRPr="007E6AE3">
        <w:rPr>
          <w:szCs w:val="24"/>
        </w:rPr>
        <w:t xml:space="preserve"> by our own SMEs working in other countries.</w:t>
      </w:r>
      <w:r w:rsidR="000273F1" w:rsidRPr="007E6AE3">
        <w:rPr>
          <w:szCs w:val="24"/>
        </w:rPr>
        <w:t xml:space="preserve"> </w:t>
      </w:r>
    </w:p>
    <w:p w14:paraId="778564A9" w14:textId="77777777" w:rsidR="00B1097E" w:rsidRDefault="00B1097E" w:rsidP="00364441">
      <w:pPr>
        <w:rPr>
          <w:szCs w:val="24"/>
        </w:rPr>
      </w:pPr>
      <w:r>
        <w:rPr>
          <w:szCs w:val="24"/>
        </w:rPr>
        <w:br w:type="page"/>
      </w:r>
    </w:p>
    <w:p w14:paraId="4DCDC99E" w14:textId="626FD684" w:rsidR="00DF0B3B" w:rsidRPr="007E6AE3" w:rsidRDefault="000273F1" w:rsidP="00364441">
      <w:pPr>
        <w:rPr>
          <w:szCs w:val="24"/>
        </w:rPr>
      </w:pPr>
      <w:r w:rsidRPr="007E6AE3">
        <w:rPr>
          <w:szCs w:val="24"/>
        </w:rPr>
        <w:lastRenderedPageBreak/>
        <w:t xml:space="preserve">Queen Elizabeth </w:t>
      </w:r>
      <w:r w:rsidR="00047F28" w:rsidRPr="007E6AE3">
        <w:rPr>
          <w:szCs w:val="24"/>
        </w:rPr>
        <w:t xml:space="preserve">I </w:t>
      </w:r>
      <w:r w:rsidR="00A671F8" w:rsidRPr="007E6AE3">
        <w:rPr>
          <w:szCs w:val="24"/>
        </w:rPr>
        <w:t>did not live</w:t>
      </w:r>
      <w:r w:rsidR="005656E9" w:rsidRPr="007E6AE3">
        <w:rPr>
          <w:szCs w:val="24"/>
        </w:rPr>
        <w:t xml:space="preserve"> in an era of world trade agreements</w:t>
      </w:r>
      <w:r w:rsidR="00806A9A" w:rsidRPr="007E6AE3">
        <w:rPr>
          <w:szCs w:val="24"/>
        </w:rPr>
        <w:t xml:space="preserve">, but we now have </w:t>
      </w:r>
      <w:r w:rsidR="009E23A3" w:rsidRPr="007E6AE3">
        <w:rPr>
          <w:szCs w:val="24"/>
        </w:rPr>
        <w:t>to balance a relatively open economy with the</w:t>
      </w:r>
      <w:r w:rsidR="00C16E39" w:rsidRPr="007E6AE3">
        <w:rPr>
          <w:szCs w:val="24"/>
        </w:rPr>
        <w:t xml:space="preserve"> kind of </w:t>
      </w:r>
      <w:r w:rsidR="00B77F5F" w:rsidRPr="007E6AE3">
        <w:rPr>
          <w:szCs w:val="24"/>
        </w:rPr>
        <w:t>prot</w:t>
      </w:r>
      <w:r w:rsidR="00340704" w:rsidRPr="007E6AE3">
        <w:rPr>
          <w:szCs w:val="24"/>
        </w:rPr>
        <w:t>e</w:t>
      </w:r>
      <w:r w:rsidR="00B77F5F" w:rsidRPr="007E6AE3">
        <w:rPr>
          <w:szCs w:val="24"/>
        </w:rPr>
        <w:t xml:space="preserve">ctionism inherent in </w:t>
      </w:r>
      <w:r w:rsidR="00C6661A" w:rsidRPr="007E6AE3">
        <w:rPr>
          <w:szCs w:val="24"/>
        </w:rPr>
        <w:t>t</w:t>
      </w:r>
      <w:r w:rsidR="00B77F5F" w:rsidRPr="007E6AE3">
        <w:rPr>
          <w:szCs w:val="24"/>
        </w:rPr>
        <w:t xml:space="preserve">he patent system: we grant patents in Australia </w:t>
      </w:r>
      <w:r w:rsidR="0052555F" w:rsidRPr="007E6AE3">
        <w:rPr>
          <w:szCs w:val="24"/>
        </w:rPr>
        <w:t xml:space="preserve">both </w:t>
      </w:r>
      <w:r w:rsidR="00B77F5F" w:rsidRPr="007E6AE3">
        <w:rPr>
          <w:szCs w:val="24"/>
        </w:rPr>
        <w:t xml:space="preserve">to </w:t>
      </w:r>
      <w:r w:rsidR="00C6661A" w:rsidRPr="007E6AE3">
        <w:rPr>
          <w:szCs w:val="24"/>
        </w:rPr>
        <w:t>Australian</w:t>
      </w:r>
      <w:r w:rsidR="0077756D" w:rsidRPr="007E6AE3">
        <w:rPr>
          <w:szCs w:val="24"/>
        </w:rPr>
        <w:t>s</w:t>
      </w:r>
      <w:r w:rsidR="00710311" w:rsidRPr="007E6AE3">
        <w:rPr>
          <w:szCs w:val="24"/>
        </w:rPr>
        <w:t xml:space="preserve"> and</w:t>
      </w:r>
      <w:r w:rsidR="007871A7" w:rsidRPr="007E6AE3">
        <w:rPr>
          <w:szCs w:val="24"/>
        </w:rPr>
        <w:t xml:space="preserve"> to </w:t>
      </w:r>
      <w:r w:rsidR="0A795285" w:rsidRPr="007E6AE3">
        <w:rPr>
          <w:szCs w:val="24"/>
        </w:rPr>
        <w:t>international</w:t>
      </w:r>
      <w:r w:rsidR="00B77F5F" w:rsidRPr="007E6AE3">
        <w:rPr>
          <w:szCs w:val="24"/>
        </w:rPr>
        <w:t xml:space="preserve"> entities</w:t>
      </w:r>
      <w:r w:rsidR="00863BB5" w:rsidRPr="007E6AE3">
        <w:rPr>
          <w:szCs w:val="24"/>
        </w:rPr>
        <w:t xml:space="preserve"> </w:t>
      </w:r>
      <w:r w:rsidR="00BC3F9C">
        <w:rPr>
          <w:szCs w:val="24"/>
        </w:rPr>
        <w:t>–</w:t>
      </w:r>
      <w:r w:rsidR="00BF0177" w:rsidRPr="007E6AE3">
        <w:rPr>
          <w:szCs w:val="24"/>
        </w:rPr>
        <w:t xml:space="preserve"> </w:t>
      </w:r>
      <w:r w:rsidR="00B77F5F" w:rsidRPr="007E6AE3">
        <w:rPr>
          <w:szCs w:val="24"/>
        </w:rPr>
        <w:t xml:space="preserve">but we also </w:t>
      </w:r>
      <w:r w:rsidR="00964C6C" w:rsidRPr="007E6AE3">
        <w:rPr>
          <w:szCs w:val="24"/>
        </w:rPr>
        <w:t xml:space="preserve">successfully seek </w:t>
      </w:r>
      <w:r w:rsidR="00B77F5F" w:rsidRPr="007E6AE3">
        <w:rPr>
          <w:szCs w:val="24"/>
        </w:rPr>
        <w:t>them abroad.</w:t>
      </w:r>
      <w:r w:rsidR="00732FAC" w:rsidRPr="007E6AE3">
        <w:rPr>
          <w:szCs w:val="24"/>
        </w:rPr>
        <w:t xml:space="preserve"> </w:t>
      </w:r>
      <w:r w:rsidR="00C000A0" w:rsidRPr="007E6AE3">
        <w:rPr>
          <w:szCs w:val="24"/>
        </w:rPr>
        <w:t>W</w:t>
      </w:r>
      <w:r w:rsidR="00732FAC" w:rsidRPr="007E6AE3">
        <w:rPr>
          <w:szCs w:val="24"/>
        </w:rPr>
        <w:t xml:space="preserve">e should be vigilant about the </w:t>
      </w:r>
      <w:r w:rsidR="00FE1328">
        <w:rPr>
          <w:szCs w:val="24"/>
        </w:rPr>
        <w:br/>
      </w:r>
      <w:r w:rsidR="00732FAC" w:rsidRPr="007E6AE3">
        <w:rPr>
          <w:szCs w:val="24"/>
        </w:rPr>
        <w:t>balance</w:t>
      </w:r>
      <w:r w:rsidR="00863BB5" w:rsidRPr="007E6AE3">
        <w:rPr>
          <w:szCs w:val="24"/>
        </w:rPr>
        <w:t>-</w:t>
      </w:r>
      <w:r w:rsidR="00BF738D" w:rsidRPr="007E6AE3">
        <w:rPr>
          <w:szCs w:val="24"/>
        </w:rPr>
        <w:t>of</w:t>
      </w:r>
      <w:r w:rsidR="00863BB5" w:rsidRPr="007E6AE3">
        <w:rPr>
          <w:szCs w:val="24"/>
        </w:rPr>
        <w:t>-</w:t>
      </w:r>
      <w:r w:rsidR="00BF738D" w:rsidRPr="007E6AE3">
        <w:rPr>
          <w:szCs w:val="24"/>
        </w:rPr>
        <w:t>payments</w:t>
      </w:r>
      <w:r w:rsidR="00732FAC" w:rsidRPr="007E6AE3">
        <w:rPr>
          <w:szCs w:val="24"/>
        </w:rPr>
        <w:t xml:space="preserve"> question</w:t>
      </w:r>
      <w:r w:rsidR="00E441D5" w:rsidRPr="007E6AE3">
        <w:rPr>
          <w:szCs w:val="24"/>
        </w:rPr>
        <w:t xml:space="preserve">, and whether </w:t>
      </w:r>
      <w:r w:rsidR="00E96D4E" w:rsidRPr="007E6AE3">
        <w:rPr>
          <w:szCs w:val="24"/>
        </w:rPr>
        <w:t>we see a net be</w:t>
      </w:r>
      <w:r w:rsidR="00A814EA" w:rsidRPr="007E6AE3">
        <w:rPr>
          <w:szCs w:val="24"/>
        </w:rPr>
        <w:t>ne</w:t>
      </w:r>
      <w:r w:rsidR="00AD2622" w:rsidRPr="007E6AE3">
        <w:rPr>
          <w:szCs w:val="24"/>
        </w:rPr>
        <w:t>fit f</w:t>
      </w:r>
      <w:r w:rsidR="00C3717D" w:rsidRPr="007E6AE3">
        <w:rPr>
          <w:szCs w:val="24"/>
        </w:rPr>
        <w:t>rom</w:t>
      </w:r>
      <w:r w:rsidR="00AD2622" w:rsidRPr="007E6AE3">
        <w:rPr>
          <w:szCs w:val="24"/>
        </w:rPr>
        <w:t xml:space="preserve"> this exchange</w:t>
      </w:r>
      <w:r w:rsidR="00732FAC" w:rsidRPr="007E6AE3">
        <w:rPr>
          <w:szCs w:val="24"/>
        </w:rPr>
        <w:t>.</w:t>
      </w:r>
    </w:p>
    <w:p w14:paraId="6F1A01D8" w14:textId="31D65F3E" w:rsidR="00600F48" w:rsidRPr="00600F48" w:rsidRDefault="00600F48" w:rsidP="003B7643">
      <w:pPr>
        <w:pStyle w:val="Quote"/>
        <w:rPr>
          <w:szCs w:val="28"/>
        </w:rPr>
      </w:pPr>
      <w:r w:rsidRPr="79344E9E">
        <w:t>The USA, Germany and Korea are net exporters of IP and Australia is a net importer of IP. It’s a problem.</w:t>
      </w:r>
    </w:p>
    <w:p w14:paraId="723EB3AA" w14:textId="2911F4B5" w:rsidR="00722E83" w:rsidRPr="007E6AE3" w:rsidRDefault="00722E83" w:rsidP="79344E9E">
      <w:pPr>
        <w:rPr>
          <w:szCs w:val="24"/>
        </w:rPr>
      </w:pPr>
      <w:r w:rsidRPr="007E6AE3">
        <w:rPr>
          <w:szCs w:val="24"/>
        </w:rPr>
        <w:t>Critics of the patent system are very numerous</w:t>
      </w:r>
      <w:r w:rsidR="00863BB5" w:rsidRPr="007E6AE3">
        <w:rPr>
          <w:szCs w:val="24"/>
        </w:rPr>
        <w:t xml:space="preserve"> </w:t>
      </w:r>
      <w:r w:rsidR="00BC3F9C">
        <w:rPr>
          <w:szCs w:val="24"/>
        </w:rPr>
        <w:t>–</w:t>
      </w:r>
      <w:r w:rsidR="00BF0177" w:rsidRPr="007E6AE3">
        <w:rPr>
          <w:szCs w:val="24"/>
        </w:rPr>
        <w:t xml:space="preserve"> </w:t>
      </w:r>
      <w:r w:rsidR="00CE6B34" w:rsidRPr="007E6AE3">
        <w:rPr>
          <w:szCs w:val="24"/>
        </w:rPr>
        <w:t>from the human rights sid</w:t>
      </w:r>
      <w:r w:rsidR="00FD549C" w:rsidRPr="007E6AE3">
        <w:rPr>
          <w:szCs w:val="24"/>
        </w:rPr>
        <w:t xml:space="preserve">e and from the competition law </w:t>
      </w:r>
      <w:r w:rsidR="00CE6B34" w:rsidRPr="007E6AE3">
        <w:rPr>
          <w:szCs w:val="24"/>
        </w:rPr>
        <w:t>side</w:t>
      </w:r>
      <w:r w:rsidR="00863BB5" w:rsidRPr="007E6AE3">
        <w:rPr>
          <w:szCs w:val="24"/>
        </w:rPr>
        <w:t xml:space="preserve"> </w:t>
      </w:r>
      <w:r w:rsidR="00BC3F9C">
        <w:rPr>
          <w:szCs w:val="24"/>
        </w:rPr>
        <w:t>–</w:t>
      </w:r>
      <w:r w:rsidR="00BF0177" w:rsidRPr="007E6AE3">
        <w:rPr>
          <w:szCs w:val="24"/>
        </w:rPr>
        <w:t xml:space="preserve"> </w:t>
      </w:r>
      <w:r w:rsidR="0041283D" w:rsidRPr="007E6AE3">
        <w:rPr>
          <w:szCs w:val="24"/>
        </w:rPr>
        <w:t>but it is the system we have all over the world</w:t>
      </w:r>
      <w:r w:rsidR="00863BB5" w:rsidRPr="007E6AE3">
        <w:rPr>
          <w:szCs w:val="24"/>
        </w:rPr>
        <w:t>. T</w:t>
      </w:r>
      <w:r w:rsidR="0041283D" w:rsidRPr="007E6AE3">
        <w:rPr>
          <w:szCs w:val="24"/>
        </w:rPr>
        <w:t>his being the case</w:t>
      </w:r>
      <w:r w:rsidR="00863BB5" w:rsidRPr="007E6AE3">
        <w:rPr>
          <w:szCs w:val="24"/>
        </w:rPr>
        <w:t>,</w:t>
      </w:r>
      <w:r w:rsidR="0041283D" w:rsidRPr="007E6AE3">
        <w:rPr>
          <w:szCs w:val="24"/>
        </w:rPr>
        <w:t xml:space="preserve"> we should at least ensure that it is working for </w:t>
      </w:r>
      <w:r w:rsidR="006A7701" w:rsidRPr="007E6AE3">
        <w:rPr>
          <w:szCs w:val="24"/>
        </w:rPr>
        <w:t xml:space="preserve">Australia. </w:t>
      </w:r>
    </w:p>
    <w:p w14:paraId="222DE75F" w14:textId="30E58983" w:rsidR="003B7643" w:rsidRDefault="00C75C2E" w:rsidP="79344E9E">
      <w:pPr>
        <w:rPr>
          <w:szCs w:val="24"/>
        </w:rPr>
      </w:pPr>
      <w:r w:rsidRPr="007E6AE3">
        <w:rPr>
          <w:szCs w:val="24"/>
        </w:rPr>
        <w:t>The collection of data on the comparative situation of Australia in the world of IP could well be crucial in policy development and lead to change in the future</w:t>
      </w:r>
      <w:r w:rsidR="006E7731" w:rsidRPr="007E6AE3">
        <w:rPr>
          <w:szCs w:val="24"/>
        </w:rPr>
        <w:t xml:space="preserve"> </w:t>
      </w:r>
      <w:r w:rsidR="00BC3F9C">
        <w:rPr>
          <w:szCs w:val="24"/>
        </w:rPr>
        <w:t>–</w:t>
      </w:r>
      <w:r w:rsidR="00BF0177" w:rsidRPr="007E6AE3">
        <w:rPr>
          <w:szCs w:val="24"/>
        </w:rPr>
        <w:t xml:space="preserve"> </w:t>
      </w:r>
      <w:r w:rsidR="00FF3FB5" w:rsidRPr="007E6AE3">
        <w:rPr>
          <w:szCs w:val="24"/>
        </w:rPr>
        <w:t>for example</w:t>
      </w:r>
      <w:r w:rsidR="00122F06" w:rsidRPr="007E6AE3">
        <w:rPr>
          <w:szCs w:val="24"/>
        </w:rPr>
        <w:t>, if the data permits,</w:t>
      </w:r>
      <w:r w:rsidR="00FF3FB5" w:rsidRPr="007E6AE3">
        <w:rPr>
          <w:szCs w:val="24"/>
        </w:rPr>
        <w:t xml:space="preserve"> </w:t>
      </w:r>
      <w:r w:rsidR="006E7731" w:rsidRPr="007E6AE3">
        <w:rPr>
          <w:szCs w:val="24"/>
        </w:rPr>
        <w:t xml:space="preserve">to </w:t>
      </w:r>
      <w:r w:rsidR="00FC1EF4" w:rsidRPr="007E6AE3">
        <w:rPr>
          <w:szCs w:val="24"/>
        </w:rPr>
        <w:t>a new focus on enabling the internationalisation of Australian IP</w:t>
      </w:r>
      <w:r w:rsidRPr="007E6AE3">
        <w:rPr>
          <w:szCs w:val="24"/>
        </w:rPr>
        <w:t>.</w:t>
      </w:r>
    </w:p>
    <w:p w14:paraId="764E0624" w14:textId="25F91BB1" w:rsidR="003B7643" w:rsidRDefault="003B7643">
      <w:pPr>
        <w:rPr>
          <w:szCs w:val="24"/>
        </w:rPr>
      </w:pPr>
    </w:p>
    <w:p w14:paraId="75C0AA48" w14:textId="77777777" w:rsidR="003B7643" w:rsidRPr="0080588A" w:rsidRDefault="003B7643" w:rsidP="003B7643">
      <w:pPr>
        <w:pStyle w:val="Calloutbox"/>
        <w:rPr>
          <w:color w:val="276C6C" w:themeColor="accent4" w:themeShade="80"/>
          <w:sz w:val="28"/>
        </w:rPr>
      </w:pPr>
      <w:r w:rsidRPr="0080588A">
        <w:rPr>
          <w:color w:val="276C6C" w:themeColor="accent4" w:themeShade="80"/>
          <w:sz w:val="28"/>
        </w:rPr>
        <w:t>Recommendation 1:</w:t>
      </w:r>
    </w:p>
    <w:p w14:paraId="7B517E32" w14:textId="33CB634F" w:rsidR="003B7643" w:rsidRPr="009740B6" w:rsidRDefault="003B7643" w:rsidP="003B7643">
      <w:pPr>
        <w:pStyle w:val="Calloutbox"/>
        <w:rPr>
          <w:color w:val="000000" w:themeColor="text1"/>
          <w:sz w:val="28"/>
        </w:rPr>
      </w:pPr>
      <w:r w:rsidRPr="009740B6">
        <w:rPr>
          <w:b w:val="0"/>
          <w:bCs/>
          <w:color w:val="000000" w:themeColor="text1"/>
          <w:sz w:val="28"/>
        </w:rPr>
        <w:t>Focussing particularly on the export of intellectual property (IP)</w:t>
      </w:r>
      <w:r w:rsidR="00C13620">
        <w:rPr>
          <w:b w:val="0"/>
          <w:bCs/>
          <w:color w:val="000000" w:themeColor="text1"/>
          <w:sz w:val="28"/>
        </w:rPr>
        <w:t xml:space="preserve"> in the form of patents</w:t>
      </w:r>
      <w:r w:rsidRPr="009740B6">
        <w:rPr>
          <w:b w:val="0"/>
          <w:bCs/>
          <w:color w:val="000000" w:themeColor="text1"/>
          <w:sz w:val="28"/>
        </w:rPr>
        <w:t>, that the Australian Government seek to collect and monitor data on small to medium enterprise (SME) use of the international IP system, and on the resulting revenue, comparing it with international SME use of the Australian IP system and its revenue.</w:t>
      </w:r>
    </w:p>
    <w:p w14:paraId="52D2C5EF" w14:textId="03B6AE4E" w:rsidR="00214D45" w:rsidRPr="001107FD" w:rsidRDefault="00083A52" w:rsidP="7A33F704">
      <w:pPr>
        <w:rPr>
          <w:rFonts w:asciiTheme="majorHAnsi" w:eastAsiaTheme="majorEastAsia" w:hAnsiTheme="majorHAnsi" w:cstheme="majorBidi"/>
          <w:color w:val="005677" w:themeColor="text2"/>
          <w:sz w:val="32"/>
          <w:szCs w:val="32"/>
        </w:rPr>
      </w:pPr>
      <w:r w:rsidRPr="7A33F704">
        <w:rPr>
          <w:sz w:val="32"/>
          <w:szCs w:val="32"/>
        </w:rPr>
        <w:br w:type="page"/>
      </w:r>
    </w:p>
    <w:p w14:paraId="7778EA45" w14:textId="6AF18DA9" w:rsidR="00214D45" w:rsidRPr="001107FD" w:rsidRDefault="00B212FE" w:rsidP="00102432">
      <w:pPr>
        <w:pStyle w:val="Heading1"/>
      </w:pPr>
      <w:bookmarkStart w:id="188" w:name="_Toc59109340"/>
      <w:bookmarkStart w:id="189" w:name="_Toc60760627"/>
      <w:bookmarkStart w:id="190" w:name="_Toc60834813"/>
      <w:bookmarkStart w:id="191" w:name="_Toc60836763"/>
      <w:bookmarkStart w:id="192" w:name="_Toc60997751"/>
      <w:bookmarkStart w:id="193" w:name="_Toc61015565"/>
      <w:bookmarkStart w:id="194" w:name="_Toc61269597"/>
      <w:bookmarkStart w:id="195" w:name="_Toc61356705"/>
      <w:bookmarkStart w:id="196" w:name="_Toc65159315"/>
      <w:r>
        <w:lastRenderedPageBreak/>
        <w:t>5</w:t>
      </w:r>
      <w:r w:rsidR="54A33947">
        <w:t xml:space="preserve"> Costs of obtaining patent protection</w:t>
      </w:r>
      <w:bookmarkEnd w:id="188"/>
      <w:bookmarkEnd w:id="189"/>
      <w:bookmarkEnd w:id="190"/>
      <w:bookmarkEnd w:id="191"/>
      <w:bookmarkEnd w:id="192"/>
      <w:bookmarkEnd w:id="193"/>
      <w:bookmarkEnd w:id="194"/>
      <w:bookmarkEnd w:id="195"/>
      <w:bookmarkEnd w:id="196"/>
    </w:p>
    <w:p w14:paraId="3E22F410" w14:textId="60FC406D" w:rsidR="00276D67" w:rsidRDefault="00276D67" w:rsidP="00276D67">
      <w:pPr>
        <w:pStyle w:val="Heading2"/>
        <w:rPr>
          <w:sz w:val="36"/>
          <w:szCs w:val="36"/>
        </w:rPr>
      </w:pPr>
      <w:r w:rsidRPr="00585B6B">
        <w:rPr>
          <w:sz w:val="36"/>
          <w:szCs w:val="36"/>
        </w:rPr>
        <w:t xml:space="preserve">(i) </w:t>
      </w:r>
      <w:r w:rsidR="00A76C4B" w:rsidRPr="00585B6B">
        <w:rPr>
          <w:sz w:val="36"/>
          <w:szCs w:val="36"/>
        </w:rPr>
        <w:t>IP Australia charges</w:t>
      </w:r>
    </w:p>
    <w:bookmarkEnd w:id="184"/>
    <w:bookmarkEnd w:id="185"/>
    <w:bookmarkEnd w:id="186"/>
    <w:bookmarkEnd w:id="187"/>
    <w:p w14:paraId="691BF610" w14:textId="50E9409B" w:rsidR="00B212FE" w:rsidRPr="00C327A2" w:rsidRDefault="00B212FE" w:rsidP="00585B6B">
      <w:pPr>
        <w:pStyle w:val="Quote"/>
      </w:pPr>
      <w:r w:rsidRPr="00C327A2">
        <w:t>Application fees are the thin edge of the wedge. Most costs are the attorney fees.</w:t>
      </w:r>
    </w:p>
    <w:p w14:paraId="43AE20AF" w14:textId="3CD388C6" w:rsidR="00214D45" w:rsidRPr="007E6AE3" w:rsidRDefault="00A76C4B" w:rsidP="00943BD7">
      <w:pPr>
        <w:rPr>
          <w:szCs w:val="24"/>
        </w:rPr>
      </w:pPr>
      <w:r w:rsidRPr="007E6AE3">
        <w:rPr>
          <w:szCs w:val="24"/>
        </w:rPr>
        <w:t>A</w:t>
      </w:r>
      <w:r w:rsidR="008F2F17" w:rsidRPr="007E6AE3">
        <w:rPr>
          <w:szCs w:val="24"/>
        </w:rPr>
        <w:t xml:space="preserve"> tiny minority of respondents considered that the administrative fees levied by </w:t>
      </w:r>
      <w:r w:rsidR="007208F7" w:rsidRPr="007E6AE3">
        <w:rPr>
          <w:szCs w:val="24"/>
        </w:rPr>
        <w:t xml:space="preserve">IP Australia for patent filings and subsequent expenses were too high. Most said that these were not </w:t>
      </w:r>
      <w:r w:rsidR="00336912" w:rsidRPr="007E6AE3">
        <w:rPr>
          <w:szCs w:val="24"/>
        </w:rPr>
        <w:t xml:space="preserve">a difficulty and a number said that they were modest in comparison with international fees for the same services; some complained that </w:t>
      </w:r>
      <w:r w:rsidR="00E42490" w:rsidRPr="007E6AE3">
        <w:rPr>
          <w:szCs w:val="24"/>
        </w:rPr>
        <w:t>other countries were exploiting the</w:t>
      </w:r>
      <w:r w:rsidR="001107FD" w:rsidRPr="007E6AE3">
        <w:rPr>
          <w:szCs w:val="24"/>
        </w:rPr>
        <w:t>ir own</w:t>
      </w:r>
      <w:r w:rsidR="00646B42" w:rsidRPr="007E6AE3">
        <w:rPr>
          <w:szCs w:val="24"/>
        </w:rPr>
        <w:t xml:space="preserve"> rights</w:t>
      </w:r>
      <w:r w:rsidR="00E42490" w:rsidRPr="007E6AE3">
        <w:rPr>
          <w:szCs w:val="24"/>
        </w:rPr>
        <w:t xml:space="preserve"> system to </w:t>
      </w:r>
      <w:r w:rsidR="00646B42" w:rsidRPr="007E6AE3">
        <w:rPr>
          <w:szCs w:val="24"/>
        </w:rPr>
        <w:t>obtain</w:t>
      </w:r>
      <w:r w:rsidR="00E42490" w:rsidRPr="007E6AE3">
        <w:rPr>
          <w:szCs w:val="24"/>
        </w:rPr>
        <w:t xml:space="preserve"> revenue through patent </w:t>
      </w:r>
      <w:r w:rsidR="00646B42" w:rsidRPr="007E6AE3">
        <w:rPr>
          <w:szCs w:val="24"/>
        </w:rPr>
        <w:t>applications.</w:t>
      </w:r>
    </w:p>
    <w:p w14:paraId="0E436738" w14:textId="2D35B0AE" w:rsidR="00276D67" w:rsidRDefault="00A76C4B" w:rsidP="00A76C4B">
      <w:pPr>
        <w:pStyle w:val="Heading2"/>
        <w:rPr>
          <w:sz w:val="36"/>
          <w:szCs w:val="36"/>
        </w:rPr>
      </w:pPr>
      <w:r w:rsidRPr="00585B6B">
        <w:rPr>
          <w:sz w:val="36"/>
          <w:szCs w:val="36"/>
        </w:rPr>
        <w:t xml:space="preserve">(ii) </w:t>
      </w:r>
      <w:r w:rsidR="009935D4" w:rsidRPr="00585B6B">
        <w:rPr>
          <w:sz w:val="36"/>
          <w:szCs w:val="36"/>
        </w:rPr>
        <w:t>Other Costs</w:t>
      </w:r>
    </w:p>
    <w:p w14:paraId="0629F476" w14:textId="6788F566" w:rsidR="00A76C4B" w:rsidRPr="007E6AE3" w:rsidRDefault="00A76C4B" w:rsidP="00A76C4B">
      <w:pPr>
        <w:rPr>
          <w:szCs w:val="24"/>
        </w:rPr>
      </w:pPr>
      <w:r w:rsidRPr="007E6AE3">
        <w:rPr>
          <w:szCs w:val="24"/>
        </w:rPr>
        <w:t>T</w:t>
      </w:r>
      <w:r w:rsidR="001663CB" w:rsidRPr="007E6AE3">
        <w:rPr>
          <w:szCs w:val="24"/>
        </w:rPr>
        <w:t xml:space="preserve">he costs begin to mount up </w:t>
      </w:r>
      <w:r w:rsidR="00F32201" w:rsidRPr="007E6AE3">
        <w:rPr>
          <w:szCs w:val="24"/>
        </w:rPr>
        <w:t xml:space="preserve">with </w:t>
      </w:r>
      <w:r w:rsidR="001663CB" w:rsidRPr="007E6AE3">
        <w:rPr>
          <w:szCs w:val="24"/>
        </w:rPr>
        <w:t>the professional fees of patent attorneys and IP lawyers whose advice is sought</w:t>
      </w:r>
      <w:r w:rsidR="008C54FD" w:rsidRPr="007E6AE3">
        <w:rPr>
          <w:szCs w:val="24"/>
        </w:rPr>
        <w:t xml:space="preserve"> in the process of preparing a patent application, and then</w:t>
      </w:r>
      <w:r w:rsidR="00B92B5D" w:rsidRPr="007E6AE3">
        <w:rPr>
          <w:szCs w:val="24"/>
        </w:rPr>
        <w:t>,</w:t>
      </w:r>
      <w:r w:rsidR="008C54FD" w:rsidRPr="007E6AE3">
        <w:rPr>
          <w:szCs w:val="24"/>
        </w:rPr>
        <w:t xml:space="preserve"> when going international</w:t>
      </w:r>
      <w:r w:rsidR="00B92B5D" w:rsidRPr="007E6AE3">
        <w:rPr>
          <w:szCs w:val="24"/>
        </w:rPr>
        <w:t>,</w:t>
      </w:r>
      <w:r w:rsidR="008C54FD" w:rsidRPr="007E6AE3">
        <w:rPr>
          <w:szCs w:val="24"/>
        </w:rPr>
        <w:t xml:space="preserve"> a company faces</w:t>
      </w:r>
      <w:r w:rsidR="00011539" w:rsidRPr="007E6AE3">
        <w:rPr>
          <w:szCs w:val="24"/>
        </w:rPr>
        <w:t xml:space="preserve"> escalating costs</w:t>
      </w:r>
      <w:r w:rsidR="00991CD0" w:rsidRPr="007E6AE3">
        <w:rPr>
          <w:szCs w:val="24"/>
        </w:rPr>
        <w:t xml:space="preserve"> again</w:t>
      </w:r>
      <w:r w:rsidR="00F25E6C" w:rsidRPr="007E6AE3">
        <w:rPr>
          <w:szCs w:val="24"/>
        </w:rPr>
        <w:t>. S</w:t>
      </w:r>
      <w:r w:rsidR="00011539" w:rsidRPr="007E6AE3">
        <w:rPr>
          <w:szCs w:val="24"/>
        </w:rPr>
        <w:t xml:space="preserve">eeking patent recognition in a variety of other countries, through the </w:t>
      </w:r>
      <w:r w:rsidR="005443F8" w:rsidRPr="007E6AE3">
        <w:rPr>
          <w:szCs w:val="24"/>
        </w:rPr>
        <w:t>Patent Cooperation Treaty (</w:t>
      </w:r>
      <w:r w:rsidR="00B932A8" w:rsidRPr="007E6AE3">
        <w:rPr>
          <w:szCs w:val="24"/>
        </w:rPr>
        <w:t>PCT</w:t>
      </w:r>
      <w:r w:rsidR="005443F8" w:rsidRPr="007E6AE3">
        <w:rPr>
          <w:szCs w:val="24"/>
        </w:rPr>
        <w:t>)</w:t>
      </w:r>
      <w:r w:rsidR="00011539" w:rsidRPr="007E6AE3">
        <w:rPr>
          <w:szCs w:val="24"/>
        </w:rPr>
        <w:t xml:space="preserve"> provisions for example</w:t>
      </w:r>
      <w:r w:rsidR="00991CD0" w:rsidRPr="007E6AE3">
        <w:rPr>
          <w:szCs w:val="24"/>
        </w:rPr>
        <w:t xml:space="preserve">, </w:t>
      </w:r>
      <w:r w:rsidR="003F2F4D" w:rsidRPr="007E6AE3">
        <w:rPr>
          <w:szCs w:val="24"/>
        </w:rPr>
        <w:t>begins to cause costs to accu</w:t>
      </w:r>
      <w:r w:rsidR="00656B49" w:rsidRPr="007E6AE3">
        <w:rPr>
          <w:szCs w:val="24"/>
        </w:rPr>
        <w:t>mu</w:t>
      </w:r>
      <w:r w:rsidR="003F2F4D" w:rsidRPr="007E6AE3">
        <w:rPr>
          <w:szCs w:val="24"/>
        </w:rPr>
        <w:t>l</w:t>
      </w:r>
      <w:r w:rsidR="00656B49" w:rsidRPr="007E6AE3">
        <w:rPr>
          <w:szCs w:val="24"/>
        </w:rPr>
        <w:t>a</w:t>
      </w:r>
      <w:r w:rsidR="003F2F4D" w:rsidRPr="007E6AE3">
        <w:rPr>
          <w:szCs w:val="24"/>
        </w:rPr>
        <w:t>te</w:t>
      </w:r>
      <w:r w:rsidR="00011539" w:rsidRPr="007E6AE3">
        <w:rPr>
          <w:szCs w:val="24"/>
        </w:rPr>
        <w:t>.</w:t>
      </w:r>
      <w:r w:rsidR="00C956D9" w:rsidRPr="007E6AE3">
        <w:rPr>
          <w:szCs w:val="24"/>
        </w:rPr>
        <w:t xml:space="preserve"> We were informed</w:t>
      </w:r>
      <w:r w:rsidR="0047229F" w:rsidRPr="007E6AE3">
        <w:rPr>
          <w:szCs w:val="24"/>
        </w:rPr>
        <w:t xml:space="preserve"> that patent attorneys </w:t>
      </w:r>
      <w:r w:rsidR="00CA271E" w:rsidRPr="007E6AE3">
        <w:rPr>
          <w:szCs w:val="24"/>
        </w:rPr>
        <w:t xml:space="preserve">in Australia </w:t>
      </w:r>
      <w:r w:rsidR="0047229F" w:rsidRPr="007E6AE3">
        <w:rPr>
          <w:szCs w:val="24"/>
        </w:rPr>
        <w:t xml:space="preserve">charge </w:t>
      </w:r>
      <w:r w:rsidR="0046273C" w:rsidRPr="007E6AE3">
        <w:rPr>
          <w:szCs w:val="24"/>
        </w:rPr>
        <w:t>between</w:t>
      </w:r>
      <w:r w:rsidR="0047229F" w:rsidRPr="007E6AE3">
        <w:rPr>
          <w:szCs w:val="24"/>
        </w:rPr>
        <w:t xml:space="preserve"> </w:t>
      </w:r>
      <w:r w:rsidR="008E2878" w:rsidRPr="007E6AE3">
        <w:rPr>
          <w:szCs w:val="24"/>
        </w:rPr>
        <w:t>A</w:t>
      </w:r>
      <w:r w:rsidR="0047229F" w:rsidRPr="007E6AE3">
        <w:rPr>
          <w:szCs w:val="24"/>
        </w:rPr>
        <w:t>$400</w:t>
      </w:r>
      <w:r w:rsidR="0046273C" w:rsidRPr="007E6AE3">
        <w:rPr>
          <w:szCs w:val="24"/>
        </w:rPr>
        <w:t xml:space="preserve"> and </w:t>
      </w:r>
      <w:r w:rsidR="008E2878" w:rsidRPr="007E6AE3">
        <w:rPr>
          <w:szCs w:val="24"/>
        </w:rPr>
        <w:t>A</w:t>
      </w:r>
      <w:r w:rsidR="0047229F" w:rsidRPr="007E6AE3">
        <w:rPr>
          <w:szCs w:val="24"/>
        </w:rPr>
        <w:t xml:space="preserve">$700 per hour, </w:t>
      </w:r>
      <w:r w:rsidR="001E7324" w:rsidRPr="007E6AE3">
        <w:rPr>
          <w:szCs w:val="24"/>
        </w:rPr>
        <w:t xml:space="preserve">whereas </w:t>
      </w:r>
      <w:r w:rsidR="0047229F" w:rsidRPr="007E6AE3">
        <w:rPr>
          <w:szCs w:val="24"/>
        </w:rPr>
        <w:t xml:space="preserve">in New York </w:t>
      </w:r>
      <w:r w:rsidR="00B979C6" w:rsidRPr="007E6AE3">
        <w:rPr>
          <w:szCs w:val="24"/>
        </w:rPr>
        <w:t xml:space="preserve">the fee </w:t>
      </w:r>
      <w:r w:rsidR="0047229F" w:rsidRPr="007E6AE3">
        <w:rPr>
          <w:szCs w:val="24"/>
        </w:rPr>
        <w:t>is</w:t>
      </w:r>
      <w:r w:rsidR="00BB04A6" w:rsidRPr="007E6AE3">
        <w:rPr>
          <w:szCs w:val="24"/>
        </w:rPr>
        <w:t xml:space="preserve"> usually around </w:t>
      </w:r>
      <w:r w:rsidR="008E2878" w:rsidRPr="007E6AE3">
        <w:rPr>
          <w:szCs w:val="24"/>
        </w:rPr>
        <w:t>US</w:t>
      </w:r>
      <w:r w:rsidR="00BB04A6" w:rsidRPr="007E6AE3">
        <w:rPr>
          <w:szCs w:val="24"/>
        </w:rPr>
        <w:t xml:space="preserve">$800 per hour. Some </w:t>
      </w:r>
      <w:r w:rsidR="008E2878" w:rsidRPr="007E6AE3">
        <w:rPr>
          <w:szCs w:val="24"/>
        </w:rPr>
        <w:t xml:space="preserve">clients </w:t>
      </w:r>
      <w:r w:rsidR="00BB04A6" w:rsidRPr="007E6AE3">
        <w:rPr>
          <w:szCs w:val="24"/>
        </w:rPr>
        <w:t>prefer to go straight to</w:t>
      </w:r>
      <w:r w:rsidR="00A52BD2" w:rsidRPr="007E6AE3">
        <w:rPr>
          <w:szCs w:val="24"/>
        </w:rPr>
        <w:t xml:space="preserve"> the US despite the extra costs, as it is considered to be economical in the </w:t>
      </w:r>
      <w:r w:rsidR="00B979C6" w:rsidRPr="007E6AE3">
        <w:rPr>
          <w:szCs w:val="24"/>
        </w:rPr>
        <w:t>l</w:t>
      </w:r>
      <w:r w:rsidR="00A52BD2" w:rsidRPr="007E6AE3">
        <w:rPr>
          <w:szCs w:val="24"/>
        </w:rPr>
        <w:t>ong run i</w:t>
      </w:r>
      <w:r w:rsidR="002241D0" w:rsidRPr="007E6AE3">
        <w:rPr>
          <w:szCs w:val="24"/>
        </w:rPr>
        <w:t>f</w:t>
      </w:r>
      <w:r w:rsidR="00A52BD2" w:rsidRPr="007E6AE3">
        <w:rPr>
          <w:szCs w:val="24"/>
        </w:rPr>
        <w:t xml:space="preserve"> seeking international patent</w:t>
      </w:r>
      <w:r w:rsidR="00797879" w:rsidRPr="007E6AE3">
        <w:rPr>
          <w:szCs w:val="24"/>
        </w:rPr>
        <w:t xml:space="preserve"> </w:t>
      </w:r>
      <w:r w:rsidR="002241D0" w:rsidRPr="007E6AE3">
        <w:rPr>
          <w:szCs w:val="24"/>
        </w:rPr>
        <w:t>r</w:t>
      </w:r>
      <w:r w:rsidR="00797879" w:rsidRPr="007E6AE3">
        <w:rPr>
          <w:szCs w:val="24"/>
        </w:rPr>
        <w:t>ecognition.</w:t>
      </w:r>
    </w:p>
    <w:p w14:paraId="72B71317" w14:textId="5A2846FB" w:rsidR="00B212FE" w:rsidRPr="00B212FE" w:rsidRDefault="00B212FE" w:rsidP="00585B6B">
      <w:pPr>
        <w:pStyle w:val="Quote"/>
        <w:rPr>
          <w:szCs w:val="28"/>
        </w:rPr>
      </w:pPr>
      <w:r w:rsidRPr="00BD6B25">
        <w:rPr>
          <w:szCs w:val="28"/>
        </w:rPr>
        <w:t xml:space="preserve">It’s worth investing in a good patent attorney. We used to file in US, but now invest in good attorneys in Australia. All are expensive, but it’s a necessary cost. </w:t>
      </w:r>
    </w:p>
    <w:p w14:paraId="2242CC42" w14:textId="13E175FF" w:rsidR="00FF6831" w:rsidRPr="007E6AE3" w:rsidRDefault="00B24B56" w:rsidP="00943BD7">
      <w:pPr>
        <w:rPr>
          <w:szCs w:val="24"/>
        </w:rPr>
      </w:pPr>
      <w:r w:rsidRPr="007E6AE3">
        <w:rPr>
          <w:szCs w:val="24"/>
        </w:rPr>
        <w:t>Despite this</w:t>
      </w:r>
      <w:r w:rsidR="001E4E74" w:rsidRPr="007E6AE3">
        <w:rPr>
          <w:szCs w:val="24"/>
        </w:rPr>
        <w:t>,</w:t>
      </w:r>
      <w:r w:rsidRPr="007E6AE3">
        <w:rPr>
          <w:szCs w:val="24"/>
        </w:rPr>
        <w:t xml:space="preserve"> v</w:t>
      </w:r>
      <w:r w:rsidR="00FF6831" w:rsidRPr="007E6AE3">
        <w:rPr>
          <w:szCs w:val="24"/>
        </w:rPr>
        <w:t>ery few respondents</w:t>
      </w:r>
      <w:r w:rsidR="003D6963" w:rsidRPr="007E6AE3">
        <w:rPr>
          <w:szCs w:val="24"/>
        </w:rPr>
        <w:t xml:space="preserve"> complained about Australian patent attorney fees, and some observed </w:t>
      </w:r>
      <w:r w:rsidR="00D33BEF" w:rsidRPr="007E6AE3">
        <w:rPr>
          <w:szCs w:val="24"/>
        </w:rPr>
        <w:t>th</w:t>
      </w:r>
      <w:r w:rsidR="003D6963" w:rsidRPr="007E6AE3">
        <w:rPr>
          <w:szCs w:val="24"/>
        </w:rPr>
        <w:t xml:space="preserve">at the attorneys </w:t>
      </w:r>
      <w:r w:rsidR="00D33BEF" w:rsidRPr="007E6AE3">
        <w:rPr>
          <w:szCs w:val="24"/>
        </w:rPr>
        <w:t>were</w:t>
      </w:r>
      <w:r w:rsidR="003D6963" w:rsidRPr="007E6AE3">
        <w:rPr>
          <w:szCs w:val="24"/>
        </w:rPr>
        <w:t xml:space="preserve"> very highly skilled and added a great deal of value to their proposal.</w:t>
      </w:r>
      <w:r w:rsidR="00A41190" w:rsidRPr="007E6AE3">
        <w:rPr>
          <w:szCs w:val="24"/>
        </w:rPr>
        <w:t xml:space="preserve"> Some recognised that point</w:t>
      </w:r>
      <w:r w:rsidR="002241D0" w:rsidRPr="007E6AE3">
        <w:rPr>
          <w:szCs w:val="24"/>
        </w:rPr>
        <w:t>,</w:t>
      </w:r>
      <w:r w:rsidR="00A41190" w:rsidRPr="007E6AE3">
        <w:rPr>
          <w:szCs w:val="24"/>
        </w:rPr>
        <w:t xml:space="preserve"> whilst also saying that these costs came as a great shock to them</w:t>
      </w:r>
      <w:r w:rsidR="00E2699F" w:rsidRPr="007E6AE3">
        <w:rPr>
          <w:szCs w:val="24"/>
        </w:rPr>
        <w:t>, and that they were unprepared</w:t>
      </w:r>
      <w:r w:rsidR="002241D0" w:rsidRPr="007E6AE3">
        <w:rPr>
          <w:szCs w:val="24"/>
        </w:rPr>
        <w:t xml:space="preserve"> for</w:t>
      </w:r>
      <w:r w:rsidR="00E2699F" w:rsidRPr="007E6AE3">
        <w:rPr>
          <w:szCs w:val="24"/>
        </w:rPr>
        <w:t xml:space="preserve"> what lay ahead. This led some to call for </w:t>
      </w:r>
      <w:r w:rsidR="002E39B7" w:rsidRPr="007E6AE3">
        <w:rPr>
          <w:szCs w:val="24"/>
        </w:rPr>
        <w:t>capped f</w:t>
      </w:r>
      <w:r w:rsidR="00E2699F" w:rsidRPr="007E6AE3">
        <w:rPr>
          <w:szCs w:val="24"/>
        </w:rPr>
        <w:t>ees</w:t>
      </w:r>
      <w:r w:rsidR="005160C0" w:rsidRPr="007E6AE3">
        <w:rPr>
          <w:szCs w:val="24"/>
        </w:rPr>
        <w:t xml:space="preserve">, so that patent attorney </w:t>
      </w:r>
      <w:r w:rsidR="002241D0" w:rsidRPr="007E6AE3">
        <w:rPr>
          <w:szCs w:val="24"/>
        </w:rPr>
        <w:t>costs</w:t>
      </w:r>
      <w:r w:rsidR="005160C0" w:rsidRPr="007E6AE3">
        <w:rPr>
          <w:szCs w:val="24"/>
        </w:rPr>
        <w:t xml:space="preserve"> could not endlessly blow out</w:t>
      </w:r>
      <w:r w:rsidR="00FC6EFB" w:rsidRPr="007E6AE3">
        <w:rPr>
          <w:szCs w:val="24"/>
        </w:rPr>
        <w:t xml:space="preserve"> as more and more communication took place.</w:t>
      </w:r>
    </w:p>
    <w:p w14:paraId="74926D67" w14:textId="0D72ED39" w:rsidR="00A01925" w:rsidRPr="007E6AE3" w:rsidRDefault="77099356" w:rsidP="79344E9E">
      <w:pPr>
        <w:rPr>
          <w:szCs w:val="24"/>
        </w:rPr>
      </w:pPr>
      <w:r w:rsidRPr="007E6AE3">
        <w:rPr>
          <w:szCs w:val="24"/>
        </w:rPr>
        <w:lastRenderedPageBreak/>
        <w:t xml:space="preserve">Some complained about the search for </w:t>
      </w:r>
      <w:r w:rsidR="0065408F" w:rsidRPr="007E6AE3">
        <w:rPr>
          <w:szCs w:val="24"/>
        </w:rPr>
        <w:t>‘</w:t>
      </w:r>
      <w:r w:rsidRPr="007E6AE3">
        <w:rPr>
          <w:szCs w:val="24"/>
        </w:rPr>
        <w:t>prior art</w:t>
      </w:r>
      <w:r w:rsidR="0065408F" w:rsidRPr="007E6AE3">
        <w:rPr>
          <w:szCs w:val="24"/>
        </w:rPr>
        <w:t>’</w:t>
      </w:r>
      <w:r w:rsidRPr="007E6AE3">
        <w:rPr>
          <w:szCs w:val="24"/>
        </w:rPr>
        <w:t xml:space="preserve"> (th</w:t>
      </w:r>
      <w:r w:rsidR="20C5B3A5" w:rsidRPr="007E6AE3">
        <w:rPr>
          <w:szCs w:val="24"/>
        </w:rPr>
        <w:t>e</w:t>
      </w:r>
      <w:r w:rsidRPr="007E6AE3">
        <w:rPr>
          <w:szCs w:val="24"/>
        </w:rPr>
        <w:t xml:space="preserve"> i</w:t>
      </w:r>
      <w:r w:rsidR="678630F1" w:rsidRPr="007E6AE3">
        <w:rPr>
          <w:szCs w:val="24"/>
        </w:rPr>
        <w:t>s</w:t>
      </w:r>
      <w:r w:rsidRPr="007E6AE3">
        <w:rPr>
          <w:szCs w:val="24"/>
        </w:rPr>
        <w:t>sue of whether the inv</w:t>
      </w:r>
      <w:r w:rsidR="40CF13E5" w:rsidRPr="007E6AE3">
        <w:rPr>
          <w:szCs w:val="24"/>
        </w:rPr>
        <w:t>e</w:t>
      </w:r>
      <w:r w:rsidRPr="007E6AE3">
        <w:rPr>
          <w:szCs w:val="24"/>
        </w:rPr>
        <w:t>ntion has been thought of already, o</w:t>
      </w:r>
      <w:r w:rsidR="5F9A503B" w:rsidRPr="007E6AE3">
        <w:rPr>
          <w:szCs w:val="24"/>
        </w:rPr>
        <w:t xml:space="preserve">r </w:t>
      </w:r>
      <w:r w:rsidR="5826C56F" w:rsidRPr="007E6AE3">
        <w:rPr>
          <w:szCs w:val="24"/>
        </w:rPr>
        <w:t>e</w:t>
      </w:r>
      <w:r w:rsidR="5F9A503B" w:rsidRPr="007E6AE3">
        <w:rPr>
          <w:szCs w:val="24"/>
        </w:rPr>
        <w:t xml:space="preserve">ven patented </w:t>
      </w:r>
      <w:r w:rsidR="5BC1686D" w:rsidRPr="007E6AE3">
        <w:rPr>
          <w:szCs w:val="24"/>
        </w:rPr>
        <w:t>already)</w:t>
      </w:r>
      <w:r w:rsidR="0065408F" w:rsidRPr="007E6AE3">
        <w:rPr>
          <w:szCs w:val="24"/>
        </w:rPr>
        <w:t>,</w:t>
      </w:r>
      <w:r w:rsidRPr="007E6AE3">
        <w:rPr>
          <w:szCs w:val="24"/>
        </w:rPr>
        <w:t xml:space="preserve"> </w:t>
      </w:r>
      <w:r w:rsidR="1D8637AE" w:rsidRPr="007E6AE3">
        <w:rPr>
          <w:szCs w:val="24"/>
        </w:rPr>
        <w:t xml:space="preserve">suggesting that patent attorneys </w:t>
      </w:r>
      <w:r w:rsidR="38DAA72D" w:rsidRPr="007E6AE3">
        <w:rPr>
          <w:szCs w:val="24"/>
        </w:rPr>
        <w:t>had</w:t>
      </w:r>
      <w:r w:rsidR="1D8637AE" w:rsidRPr="007E6AE3">
        <w:rPr>
          <w:szCs w:val="24"/>
        </w:rPr>
        <w:t xml:space="preserve"> a ves</w:t>
      </w:r>
      <w:r w:rsidR="5DBDFC11" w:rsidRPr="007E6AE3">
        <w:rPr>
          <w:szCs w:val="24"/>
        </w:rPr>
        <w:t>t</w:t>
      </w:r>
      <w:r w:rsidR="1D8637AE" w:rsidRPr="007E6AE3">
        <w:rPr>
          <w:szCs w:val="24"/>
        </w:rPr>
        <w:t>ed interest in not being able to fi</w:t>
      </w:r>
      <w:r w:rsidR="4ABF9E1B" w:rsidRPr="007E6AE3">
        <w:rPr>
          <w:szCs w:val="24"/>
        </w:rPr>
        <w:t>nd</w:t>
      </w:r>
      <w:r w:rsidR="1D8637AE" w:rsidRPr="007E6AE3">
        <w:rPr>
          <w:szCs w:val="24"/>
        </w:rPr>
        <w:t xml:space="preserve"> any</w:t>
      </w:r>
      <w:r w:rsidR="20600BF3" w:rsidRPr="007E6AE3">
        <w:rPr>
          <w:szCs w:val="24"/>
        </w:rPr>
        <w:t>,</w:t>
      </w:r>
      <w:r w:rsidR="1D8637AE" w:rsidRPr="007E6AE3">
        <w:rPr>
          <w:szCs w:val="24"/>
        </w:rPr>
        <w:t xml:space="preserve"> and that </w:t>
      </w:r>
      <w:r w:rsidR="008B4254" w:rsidRPr="007E6AE3">
        <w:rPr>
          <w:szCs w:val="24"/>
        </w:rPr>
        <w:t>an SME with I</w:t>
      </w:r>
      <w:r w:rsidR="008E2878" w:rsidRPr="007E6AE3">
        <w:rPr>
          <w:szCs w:val="24"/>
        </w:rPr>
        <w:t>P</w:t>
      </w:r>
      <w:r w:rsidR="008B4254" w:rsidRPr="007E6AE3">
        <w:rPr>
          <w:szCs w:val="24"/>
        </w:rPr>
        <w:t xml:space="preserve"> to protect would be </w:t>
      </w:r>
      <w:r w:rsidR="1D8637AE" w:rsidRPr="007E6AE3">
        <w:rPr>
          <w:szCs w:val="24"/>
        </w:rPr>
        <w:t>better off using a separate patent se</w:t>
      </w:r>
      <w:r w:rsidR="43EBA468" w:rsidRPr="007E6AE3">
        <w:rPr>
          <w:szCs w:val="24"/>
        </w:rPr>
        <w:t>arch firm</w:t>
      </w:r>
      <w:r w:rsidR="08B7F07B" w:rsidRPr="007E6AE3">
        <w:rPr>
          <w:szCs w:val="24"/>
        </w:rPr>
        <w:t>.</w:t>
      </w:r>
      <w:r w:rsidR="00A01925">
        <w:rPr>
          <w:szCs w:val="24"/>
        </w:rPr>
        <w:t xml:space="preserve"> It should be noted that IP Australia offers a modestly priced prior art search service.</w:t>
      </w:r>
      <w:r w:rsidR="00A01925" w:rsidRPr="004068D8">
        <w:rPr>
          <w:rStyle w:val="FootnoteReference"/>
          <w:szCs w:val="24"/>
        </w:rPr>
        <w:footnoteReference w:id="21"/>
      </w:r>
    </w:p>
    <w:p w14:paraId="6658BFE6" w14:textId="4E9FD2DA" w:rsidR="009935D4" w:rsidRPr="009C464A" w:rsidRDefault="00A4290B" w:rsidP="00DB38EF">
      <w:pPr>
        <w:rPr>
          <w:rFonts w:cs="Arial (Body CS)"/>
          <w:spacing w:val="-4"/>
          <w:szCs w:val="24"/>
        </w:rPr>
      </w:pPr>
      <w:r w:rsidRPr="009C464A">
        <w:rPr>
          <w:rFonts w:cs="Arial (Body CS)"/>
          <w:spacing w:val="-4"/>
          <w:szCs w:val="24"/>
        </w:rPr>
        <w:t>Whilst the</w:t>
      </w:r>
      <w:r w:rsidR="00494CE9">
        <w:rPr>
          <w:rFonts w:cs="Arial (Body CS)"/>
          <w:spacing w:val="-4"/>
          <w:szCs w:val="24"/>
        </w:rPr>
        <w:t xml:space="preserve"> IP Australia</w:t>
      </w:r>
      <w:r w:rsidRPr="009C464A">
        <w:rPr>
          <w:rFonts w:cs="Arial (Body CS)"/>
          <w:spacing w:val="-4"/>
          <w:szCs w:val="24"/>
        </w:rPr>
        <w:t xml:space="preserve"> filing fees are not considered to be a significant financial</w:t>
      </w:r>
      <w:r w:rsidR="006F3D7F" w:rsidRPr="009C464A">
        <w:rPr>
          <w:rFonts w:cs="Arial (Body CS)"/>
          <w:spacing w:val="-4"/>
          <w:szCs w:val="24"/>
        </w:rPr>
        <w:t xml:space="preserve"> impediment, many </w:t>
      </w:r>
      <w:r w:rsidR="004D582B" w:rsidRPr="009C464A">
        <w:rPr>
          <w:rFonts w:cs="Arial (Body CS)"/>
          <w:spacing w:val="-4"/>
          <w:szCs w:val="24"/>
        </w:rPr>
        <w:t xml:space="preserve">SME </w:t>
      </w:r>
      <w:r w:rsidR="006F3D7F" w:rsidRPr="009C464A">
        <w:rPr>
          <w:rFonts w:cs="Arial (Body CS)"/>
          <w:spacing w:val="-4"/>
          <w:szCs w:val="24"/>
        </w:rPr>
        <w:t>participants were unaware of how</w:t>
      </w:r>
      <w:r w:rsidR="00693E4B" w:rsidRPr="009C464A">
        <w:rPr>
          <w:rFonts w:cs="Arial (Body CS)"/>
          <w:spacing w:val="-4"/>
          <w:szCs w:val="24"/>
        </w:rPr>
        <w:t xml:space="preserve"> the fees for patent protection would mount up, especially when export was envisaged, and </w:t>
      </w:r>
      <w:r w:rsidR="008B4254" w:rsidRPr="009C464A">
        <w:rPr>
          <w:rFonts w:cs="Arial (Body CS)"/>
          <w:spacing w:val="-4"/>
          <w:szCs w:val="24"/>
        </w:rPr>
        <w:t xml:space="preserve">when </w:t>
      </w:r>
      <w:r w:rsidR="00693E4B" w:rsidRPr="009C464A">
        <w:rPr>
          <w:rFonts w:cs="Arial (Body CS)"/>
          <w:spacing w:val="-4"/>
          <w:szCs w:val="24"/>
        </w:rPr>
        <w:t xml:space="preserve">activity </w:t>
      </w:r>
      <w:r w:rsidR="008B4254" w:rsidRPr="009C464A">
        <w:rPr>
          <w:rFonts w:cs="Arial (Body CS)"/>
          <w:spacing w:val="-4"/>
          <w:szCs w:val="24"/>
        </w:rPr>
        <w:t xml:space="preserve">would occur </w:t>
      </w:r>
      <w:r w:rsidR="00693E4B" w:rsidRPr="009C464A">
        <w:rPr>
          <w:rFonts w:cs="Arial (Body CS)"/>
          <w:spacing w:val="-4"/>
          <w:szCs w:val="24"/>
        </w:rPr>
        <w:t xml:space="preserve">in </w:t>
      </w:r>
      <w:r w:rsidR="008B4254" w:rsidRPr="009C464A">
        <w:rPr>
          <w:rFonts w:cs="Arial (Body CS)"/>
          <w:spacing w:val="-4"/>
          <w:szCs w:val="24"/>
        </w:rPr>
        <w:t xml:space="preserve">a number of </w:t>
      </w:r>
      <w:r w:rsidR="00693E4B" w:rsidRPr="009C464A">
        <w:rPr>
          <w:rFonts w:cs="Arial (Body CS)"/>
          <w:spacing w:val="-4"/>
          <w:szCs w:val="24"/>
        </w:rPr>
        <w:t>international markets.</w:t>
      </w:r>
      <w:r w:rsidR="00303B16" w:rsidRPr="009C464A">
        <w:rPr>
          <w:rFonts w:cs="Arial (Body CS)"/>
          <w:spacing w:val="-4"/>
          <w:szCs w:val="24"/>
        </w:rPr>
        <w:t xml:space="preserve"> There was clearly a degree of anxiety about how to control this, with the multiplying fees from</w:t>
      </w:r>
      <w:r w:rsidR="00375159" w:rsidRPr="009C464A">
        <w:rPr>
          <w:rFonts w:cs="Arial (Body CS)"/>
          <w:spacing w:val="-4"/>
          <w:szCs w:val="24"/>
        </w:rPr>
        <w:t xml:space="preserve"> different national jurisdictions, but</w:t>
      </w:r>
      <w:r w:rsidR="006F4BF8" w:rsidRPr="009C464A">
        <w:rPr>
          <w:rFonts w:cs="Arial (Body CS)"/>
          <w:spacing w:val="-4"/>
          <w:szCs w:val="24"/>
        </w:rPr>
        <w:t xml:space="preserve"> also the increasing professional services fees.</w:t>
      </w:r>
      <w:r w:rsidR="00A01925">
        <w:rPr>
          <w:rFonts w:cs="Arial (Body CS)"/>
          <w:spacing w:val="-4"/>
          <w:szCs w:val="24"/>
        </w:rPr>
        <w:t xml:space="preserve"> </w:t>
      </w:r>
    </w:p>
    <w:p w14:paraId="34185017" w14:textId="77777777" w:rsidR="00A76C4B" w:rsidRPr="009935D4" w:rsidRDefault="00A76C4B" w:rsidP="009F3EFF">
      <w:pPr>
        <w:rPr>
          <w:sz w:val="28"/>
          <w:szCs w:val="28"/>
        </w:rPr>
      </w:pPr>
    </w:p>
    <w:p w14:paraId="79F32823" w14:textId="77777777" w:rsidR="009C464A" w:rsidRPr="0080588A" w:rsidRDefault="009C464A" w:rsidP="009C464A">
      <w:pPr>
        <w:pStyle w:val="Calloutbox"/>
        <w:rPr>
          <w:color w:val="276C6C" w:themeColor="accent4" w:themeShade="80"/>
          <w:sz w:val="28"/>
        </w:rPr>
      </w:pPr>
      <w:bookmarkStart w:id="197" w:name="_Toc51682549"/>
      <w:bookmarkStart w:id="198" w:name="_Toc51685669"/>
      <w:bookmarkStart w:id="199" w:name="_Toc51688748"/>
      <w:bookmarkStart w:id="200" w:name="_Toc51759072"/>
      <w:r w:rsidRPr="0080588A">
        <w:rPr>
          <w:color w:val="276C6C" w:themeColor="accent4" w:themeShade="80"/>
          <w:sz w:val="28"/>
        </w:rPr>
        <w:t>Finding 1:</w:t>
      </w:r>
    </w:p>
    <w:p w14:paraId="0C2F766F" w14:textId="0057C306" w:rsidR="006A47C2" w:rsidRPr="004F2757" w:rsidRDefault="009C464A" w:rsidP="009C464A">
      <w:pPr>
        <w:pStyle w:val="Calloutbox"/>
        <w:rPr>
          <w:b w:val="0"/>
          <w:sz w:val="28"/>
          <w:szCs w:val="28"/>
        </w:rPr>
      </w:pPr>
      <w:r w:rsidRPr="009740B6">
        <w:rPr>
          <w:b w:val="0"/>
          <w:bCs/>
          <w:color w:val="000000" w:themeColor="text1"/>
          <w:sz w:val="28"/>
        </w:rPr>
        <w:t>IP Australia costs are not a significant obstacle to small to medium enterprises. Professional fees are in many cases unexpectedly high.</w:t>
      </w:r>
      <w:r w:rsidR="00C956D9">
        <w:rPr>
          <w:b w:val="0"/>
          <w:sz w:val="28"/>
          <w:szCs w:val="28"/>
        </w:rPr>
        <w:t xml:space="preserve"> </w:t>
      </w:r>
    </w:p>
    <w:p w14:paraId="122929F7" w14:textId="77777777" w:rsidR="00B83F32" w:rsidRPr="004F2757" w:rsidRDefault="00B83F32">
      <w:pPr>
        <w:rPr>
          <w:rFonts w:asciiTheme="majorHAnsi" w:eastAsiaTheme="majorEastAsia" w:hAnsiTheme="majorHAnsi" w:cstheme="majorBidi"/>
          <w:color w:val="005677" w:themeColor="text2"/>
          <w:sz w:val="48"/>
          <w:szCs w:val="48"/>
        </w:rPr>
      </w:pPr>
      <w:r w:rsidRPr="004F2757">
        <w:br w:type="page"/>
      </w:r>
    </w:p>
    <w:p w14:paraId="3DC29D61" w14:textId="0D939137" w:rsidR="006C2AF2" w:rsidRDefault="00B212FE" w:rsidP="00102432">
      <w:pPr>
        <w:pStyle w:val="Heading1"/>
      </w:pPr>
      <w:bookmarkStart w:id="201" w:name="_Toc59109341"/>
      <w:bookmarkStart w:id="202" w:name="_Toc60760628"/>
      <w:bookmarkStart w:id="203" w:name="_Toc60834814"/>
      <w:bookmarkStart w:id="204" w:name="_Toc60836764"/>
      <w:bookmarkStart w:id="205" w:name="_Toc60997752"/>
      <w:bookmarkStart w:id="206" w:name="_Toc61015566"/>
      <w:bookmarkStart w:id="207" w:name="_Toc61269598"/>
      <w:bookmarkStart w:id="208" w:name="_Toc61356706"/>
      <w:bookmarkStart w:id="209" w:name="_Toc65159316"/>
      <w:bookmarkEnd w:id="197"/>
      <w:bookmarkEnd w:id="198"/>
      <w:bookmarkEnd w:id="199"/>
      <w:bookmarkEnd w:id="200"/>
      <w:r>
        <w:lastRenderedPageBreak/>
        <w:t>6</w:t>
      </w:r>
      <w:r w:rsidR="00A76C4B">
        <w:t xml:space="preserve"> </w:t>
      </w:r>
      <w:r w:rsidR="009935D4">
        <w:t>Processing times for patents applications</w:t>
      </w:r>
      <w:bookmarkEnd w:id="201"/>
      <w:bookmarkEnd w:id="202"/>
      <w:bookmarkEnd w:id="203"/>
      <w:bookmarkEnd w:id="204"/>
      <w:bookmarkEnd w:id="205"/>
      <w:bookmarkEnd w:id="206"/>
      <w:bookmarkEnd w:id="207"/>
      <w:bookmarkEnd w:id="208"/>
      <w:bookmarkEnd w:id="209"/>
    </w:p>
    <w:p w14:paraId="55DD0F96" w14:textId="5AF6B575" w:rsidR="00924B8D" w:rsidRPr="007E6AE3" w:rsidRDefault="00DE3FA4" w:rsidP="00F31B73">
      <w:pPr>
        <w:rPr>
          <w:szCs w:val="24"/>
        </w:rPr>
      </w:pPr>
      <w:bookmarkStart w:id="210" w:name="_Toc51682550"/>
      <w:bookmarkStart w:id="211" w:name="_Toc51685670"/>
      <w:bookmarkStart w:id="212" w:name="_Toc51688749"/>
      <w:bookmarkStart w:id="213" w:name="_Toc51759073"/>
      <w:r w:rsidRPr="007E6AE3">
        <w:rPr>
          <w:szCs w:val="24"/>
        </w:rPr>
        <w:t>T</w:t>
      </w:r>
      <w:r w:rsidR="00E32519" w:rsidRPr="007E6AE3">
        <w:rPr>
          <w:szCs w:val="24"/>
        </w:rPr>
        <w:t>he processing times required by IP Australia to turn around a standard</w:t>
      </w:r>
      <w:r w:rsidR="009F1046" w:rsidRPr="007E6AE3">
        <w:rPr>
          <w:szCs w:val="24"/>
        </w:rPr>
        <w:t xml:space="preserve"> patent application were generally regarded as satisfactory. The fact that expedited review is available upon request, at no extra cost,</w:t>
      </w:r>
      <w:r w:rsidR="006A12CF" w:rsidRPr="007E6AE3">
        <w:rPr>
          <w:szCs w:val="24"/>
        </w:rPr>
        <w:t xml:space="preserve"> provides a kind of antidote to any claim that delays are excessive.</w:t>
      </w:r>
      <w:r w:rsidR="00924B8D" w:rsidRPr="007E6AE3">
        <w:rPr>
          <w:szCs w:val="24"/>
        </w:rPr>
        <w:t xml:space="preserve"> This is a most important aspect of the </w:t>
      </w:r>
      <w:r w:rsidR="00D8715A" w:rsidRPr="007E6AE3">
        <w:rPr>
          <w:szCs w:val="24"/>
        </w:rPr>
        <w:t>service and</w:t>
      </w:r>
      <w:r w:rsidR="00924B8D" w:rsidRPr="007E6AE3">
        <w:rPr>
          <w:szCs w:val="24"/>
        </w:rPr>
        <w:t xml:space="preserve"> needs to be maintained and developed.</w:t>
      </w:r>
    </w:p>
    <w:p w14:paraId="5097D9FE" w14:textId="3FA18B35" w:rsidR="00B212FE" w:rsidRPr="00C327A2" w:rsidRDefault="00B212FE" w:rsidP="00B212FE">
      <w:pPr>
        <w:pStyle w:val="Quote"/>
        <w:rPr>
          <w:szCs w:val="28"/>
        </w:rPr>
      </w:pPr>
      <w:r w:rsidRPr="00C327A2">
        <w:rPr>
          <w:szCs w:val="28"/>
        </w:rPr>
        <w:t xml:space="preserve">Australia is amongst the fastest jurisdictions in the world. </w:t>
      </w:r>
    </w:p>
    <w:p w14:paraId="2DF03C9A" w14:textId="4D92F42D" w:rsidR="00B212FE" w:rsidRPr="00C327A2" w:rsidRDefault="00B212FE" w:rsidP="00585B6B">
      <w:pPr>
        <w:pStyle w:val="Quote"/>
        <w:rPr>
          <w:sz w:val="24"/>
          <w:szCs w:val="28"/>
        </w:rPr>
      </w:pPr>
      <w:r w:rsidRPr="00C327A2">
        <w:rPr>
          <w:szCs w:val="28"/>
        </w:rPr>
        <w:t>This is a red herring. SMEs applications shouldn't be dealt with quickly. … It’s important to defer prosecution costs.</w:t>
      </w:r>
    </w:p>
    <w:p w14:paraId="65376C79" w14:textId="493E6188" w:rsidR="00F31B73" w:rsidRPr="007E6AE3" w:rsidRDefault="00EE37CC" w:rsidP="61A61053">
      <w:pPr>
        <w:rPr>
          <w:szCs w:val="24"/>
        </w:rPr>
      </w:pPr>
      <w:r w:rsidRPr="007E6AE3">
        <w:rPr>
          <w:szCs w:val="24"/>
        </w:rPr>
        <w:t xml:space="preserve">The </w:t>
      </w:r>
      <w:r w:rsidR="0007418D" w:rsidRPr="007E6AE3">
        <w:rPr>
          <w:szCs w:val="24"/>
        </w:rPr>
        <w:t>standard</w:t>
      </w:r>
      <w:r w:rsidRPr="007E6AE3">
        <w:rPr>
          <w:szCs w:val="24"/>
        </w:rPr>
        <w:t xml:space="preserve"> turnaround time for a patent examination report is one year, and whilst some said that this was not a problem to them</w:t>
      </w:r>
      <w:r w:rsidR="00604176" w:rsidRPr="007E6AE3">
        <w:rPr>
          <w:szCs w:val="24"/>
        </w:rPr>
        <w:t>, and others said that this delay was even useful as costs were postponed, others did say that this is too slow</w:t>
      </w:r>
      <w:r w:rsidR="0061593E" w:rsidRPr="007E6AE3">
        <w:rPr>
          <w:szCs w:val="24"/>
        </w:rPr>
        <w:t xml:space="preserve"> </w:t>
      </w:r>
      <w:r w:rsidR="00283BAF" w:rsidRPr="007E6AE3">
        <w:rPr>
          <w:szCs w:val="24"/>
        </w:rPr>
        <w:t xml:space="preserve">during </w:t>
      </w:r>
      <w:r w:rsidR="0061593E" w:rsidRPr="007E6AE3">
        <w:rPr>
          <w:szCs w:val="24"/>
        </w:rPr>
        <w:t>a period of ferment in terms of scientific discovery and invention. A few</w:t>
      </w:r>
      <w:r w:rsidR="0056545E" w:rsidRPr="007E6AE3">
        <w:rPr>
          <w:szCs w:val="24"/>
        </w:rPr>
        <w:t xml:space="preserve"> respondents spoke of the need to use </w:t>
      </w:r>
      <w:r w:rsidR="009503D2" w:rsidRPr="007E6AE3">
        <w:rPr>
          <w:szCs w:val="24"/>
        </w:rPr>
        <w:t>Artificial Intelligence (</w:t>
      </w:r>
      <w:r w:rsidR="0056545E" w:rsidRPr="007E6AE3">
        <w:rPr>
          <w:szCs w:val="24"/>
        </w:rPr>
        <w:t>AI</w:t>
      </w:r>
      <w:r w:rsidR="009503D2" w:rsidRPr="007E6AE3">
        <w:rPr>
          <w:szCs w:val="24"/>
        </w:rPr>
        <w:t>)</w:t>
      </w:r>
      <w:r w:rsidR="0056545E" w:rsidRPr="007E6AE3">
        <w:rPr>
          <w:szCs w:val="24"/>
        </w:rPr>
        <w:t xml:space="preserve"> techniques to dispose of preliminary matters</w:t>
      </w:r>
      <w:r w:rsidR="004520EB" w:rsidRPr="007E6AE3">
        <w:rPr>
          <w:szCs w:val="24"/>
        </w:rPr>
        <w:t>, and while most of us are aware of some successful uses of A</w:t>
      </w:r>
      <w:r w:rsidR="00DE3FA4" w:rsidRPr="007E6AE3">
        <w:rPr>
          <w:szCs w:val="24"/>
        </w:rPr>
        <w:t>I</w:t>
      </w:r>
      <w:r w:rsidR="004520EB" w:rsidRPr="007E6AE3">
        <w:rPr>
          <w:szCs w:val="24"/>
        </w:rPr>
        <w:t xml:space="preserve"> techniques in response</w:t>
      </w:r>
      <w:r w:rsidR="00283BAF" w:rsidRPr="007E6AE3">
        <w:rPr>
          <w:szCs w:val="24"/>
        </w:rPr>
        <w:t>-</w:t>
      </w:r>
      <w:r w:rsidR="004520EB" w:rsidRPr="007E6AE3">
        <w:rPr>
          <w:szCs w:val="24"/>
        </w:rPr>
        <w:t>management</w:t>
      </w:r>
      <w:r w:rsidR="00B84EA6" w:rsidRPr="007E6AE3">
        <w:rPr>
          <w:szCs w:val="24"/>
        </w:rPr>
        <w:t>, most of us have also suffered from this</w:t>
      </w:r>
      <w:r w:rsidR="00DE3FA4" w:rsidRPr="007E6AE3">
        <w:rPr>
          <w:szCs w:val="24"/>
        </w:rPr>
        <w:t>.</w:t>
      </w:r>
      <w:r w:rsidR="00B84EA6" w:rsidRPr="007E6AE3">
        <w:rPr>
          <w:szCs w:val="24"/>
        </w:rPr>
        <w:t xml:space="preserve"> </w:t>
      </w:r>
      <w:r w:rsidR="00DE3FA4" w:rsidRPr="007E6AE3">
        <w:rPr>
          <w:szCs w:val="24"/>
        </w:rPr>
        <w:t>I</w:t>
      </w:r>
      <w:r w:rsidR="00B84EA6" w:rsidRPr="007E6AE3">
        <w:rPr>
          <w:szCs w:val="24"/>
        </w:rPr>
        <w:t>t may be that in the fullness of time much patent examination can be</w:t>
      </w:r>
      <w:r w:rsidR="00F121FC" w:rsidRPr="007E6AE3">
        <w:rPr>
          <w:szCs w:val="24"/>
        </w:rPr>
        <w:t xml:space="preserve"> resolved in this way, but not yet.</w:t>
      </w:r>
    </w:p>
    <w:p w14:paraId="2C2AC008" w14:textId="63ECF380" w:rsidR="00C77D28" w:rsidRDefault="009D3F68" w:rsidP="00891089">
      <w:pPr>
        <w:rPr>
          <w:szCs w:val="24"/>
        </w:rPr>
      </w:pPr>
      <w:r w:rsidRPr="007E6AE3">
        <w:rPr>
          <w:szCs w:val="24"/>
        </w:rPr>
        <w:t xml:space="preserve">There were a few submissions on the issue of the phased removal of the </w:t>
      </w:r>
      <w:r w:rsidR="009E3AB2" w:rsidRPr="007E6AE3">
        <w:rPr>
          <w:szCs w:val="24"/>
        </w:rPr>
        <w:t>I</w:t>
      </w:r>
      <w:r w:rsidRPr="007E6AE3">
        <w:rPr>
          <w:szCs w:val="24"/>
        </w:rPr>
        <w:t>n</w:t>
      </w:r>
      <w:r w:rsidR="009E3AB2" w:rsidRPr="007E6AE3">
        <w:rPr>
          <w:szCs w:val="24"/>
        </w:rPr>
        <w:t>n</w:t>
      </w:r>
      <w:r w:rsidRPr="007E6AE3">
        <w:rPr>
          <w:szCs w:val="24"/>
        </w:rPr>
        <w:t xml:space="preserve">ovation </w:t>
      </w:r>
      <w:r w:rsidR="009E3AB2" w:rsidRPr="007E6AE3">
        <w:rPr>
          <w:szCs w:val="24"/>
        </w:rPr>
        <w:t>P</w:t>
      </w:r>
      <w:r w:rsidRPr="007E6AE3">
        <w:rPr>
          <w:szCs w:val="24"/>
        </w:rPr>
        <w:t>atent</w:t>
      </w:r>
      <w:r w:rsidR="008548C6" w:rsidRPr="007E6AE3">
        <w:rPr>
          <w:szCs w:val="24"/>
        </w:rPr>
        <w:t xml:space="preserve"> from August 2021.</w:t>
      </w:r>
      <w:r w:rsidR="008E2878" w:rsidRPr="007E6AE3">
        <w:rPr>
          <w:rStyle w:val="FootnoteReference"/>
          <w:szCs w:val="24"/>
        </w:rPr>
        <w:footnoteReference w:id="22"/>
      </w:r>
      <w:r w:rsidR="00FD549C" w:rsidRPr="007E6AE3">
        <w:rPr>
          <w:szCs w:val="24"/>
        </w:rPr>
        <w:t xml:space="preserve"> </w:t>
      </w:r>
      <w:r w:rsidR="008960E6" w:rsidRPr="007E6AE3">
        <w:rPr>
          <w:szCs w:val="24"/>
        </w:rPr>
        <w:t>This option is being removed</w:t>
      </w:r>
      <w:r w:rsidR="00AB3170" w:rsidRPr="007E6AE3">
        <w:rPr>
          <w:szCs w:val="24"/>
        </w:rPr>
        <w:t xml:space="preserve"> because the </w:t>
      </w:r>
      <w:r w:rsidR="00F404FD" w:rsidRPr="007E6AE3">
        <w:rPr>
          <w:szCs w:val="24"/>
        </w:rPr>
        <w:t>I</w:t>
      </w:r>
      <w:r w:rsidR="00AB3170" w:rsidRPr="007E6AE3">
        <w:rPr>
          <w:szCs w:val="24"/>
        </w:rPr>
        <w:t xml:space="preserve">nnovation </w:t>
      </w:r>
      <w:r w:rsidR="00F404FD" w:rsidRPr="007E6AE3">
        <w:rPr>
          <w:szCs w:val="24"/>
        </w:rPr>
        <w:t>P</w:t>
      </w:r>
      <w:r w:rsidR="00AB3170" w:rsidRPr="007E6AE3">
        <w:rPr>
          <w:szCs w:val="24"/>
        </w:rPr>
        <w:t xml:space="preserve">atent was ineffective in various ways, often not </w:t>
      </w:r>
      <w:r w:rsidR="00C90CCC" w:rsidRPr="007E6AE3">
        <w:rPr>
          <w:szCs w:val="24"/>
        </w:rPr>
        <w:t xml:space="preserve">reaching </w:t>
      </w:r>
      <w:r w:rsidR="2CEAE3CE" w:rsidRPr="007E6AE3">
        <w:rPr>
          <w:szCs w:val="24"/>
        </w:rPr>
        <w:t>finality</w:t>
      </w:r>
      <w:r w:rsidR="00AB3170" w:rsidRPr="007E6AE3">
        <w:rPr>
          <w:szCs w:val="24"/>
        </w:rPr>
        <w:t xml:space="preserve"> </w:t>
      </w:r>
      <w:r w:rsidR="00D479F8" w:rsidRPr="007E6AE3">
        <w:rPr>
          <w:szCs w:val="24"/>
        </w:rPr>
        <w:t>with</w:t>
      </w:r>
      <w:r w:rsidR="00AB3170" w:rsidRPr="007E6AE3">
        <w:rPr>
          <w:szCs w:val="24"/>
        </w:rPr>
        <w:t xml:space="preserve"> the examination phase, and being</w:t>
      </w:r>
      <w:r w:rsidR="00C074FB" w:rsidRPr="007E6AE3">
        <w:rPr>
          <w:szCs w:val="24"/>
        </w:rPr>
        <w:t xml:space="preserve"> misused by many foreign applicants. Notwithstanding</w:t>
      </w:r>
      <w:r w:rsidR="009A51B6" w:rsidRPr="007E6AE3">
        <w:rPr>
          <w:szCs w:val="24"/>
        </w:rPr>
        <w:t xml:space="preserve"> this</w:t>
      </w:r>
      <w:r w:rsidR="00B375EA" w:rsidRPr="007E6AE3">
        <w:rPr>
          <w:szCs w:val="24"/>
        </w:rPr>
        <w:t>,</w:t>
      </w:r>
      <w:r w:rsidR="00C074FB" w:rsidRPr="007E6AE3">
        <w:rPr>
          <w:szCs w:val="24"/>
        </w:rPr>
        <w:t xml:space="preserve"> some see a gap left by its absence, particularly</w:t>
      </w:r>
      <w:r w:rsidR="00B1647C" w:rsidRPr="007E6AE3">
        <w:rPr>
          <w:szCs w:val="24"/>
        </w:rPr>
        <w:t xml:space="preserve"> in relation to speedy responses, but also in relation to its usefulness for incremental advances in a particular technology.</w:t>
      </w:r>
      <w:r w:rsidR="000D6AA7" w:rsidRPr="007E6AE3">
        <w:rPr>
          <w:szCs w:val="24"/>
        </w:rPr>
        <w:t xml:space="preserve"> Some also saw it </w:t>
      </w:r>
      <w:r w:rsidR="00EC5625" w:rsidRPr="007E6AE3">
        <w:rPr>
          <w:szCs w:val="24"/>
        </w:rPr>
        <w:t>as a way of famil</w:t>
      </w:r>
      <w:r w:rsidR="00927E6B" w:rsidRPr="007E6AE3">
        <w:rPr>
          <w:szCs w:val="24"/>
        </w:rPr>
        <w:t>i</w:t>
      </w:r>
      <w:r w:rsidR="00EC5625" w:rsidRPr="007E6AE3">
        <w:rPr>
          <w:szCs w:val="24"/>
        </w:rPr>
        <w:t xml:space="preserve">arising </w:t>
      </w:r>
      <w:r w:rsidR="00A3187D" w:rsidRPr="007E6AE3">
        <w:rPr>
          <w:szCs w:val="24"/>
        </w:rPr>
        <w:t xml:space="preserve">new participants in </w:t>
      </w:r>
      <w:r w:rsidR="00EC5625" w:rsidRPr="007E6AE3">
        <w:rPr>
          <w:szCs w:val="24"/>
        </w:rPr>
        <w:t>the enterpr</w:t>
      </w:r>
      <w:r w:rsidR="002528A1" w:rsidRPr="007E6AE3">
        <w:rPr>
          <w:szCs w:val="24"/>
        </w:rPr>
        <w:t>ise</w:t>
      </w:r>
      <w:r w:rsidR="00EC5625" w:rsidRPr="007E6AE3">
        <w:rPr>
          <w:szCs w:val="24"/>
        </w:rPr>
        <w:t xml:space="preserve"> culture</w:t>
      </w:r>
      <w:r w:rsidR="002528A1" w:rsidRPr="007E6AE3">
        <w:rPr>
          <w:szCs w:val="24"/>
        </w:rPr>
        <w:t xml:space="preserve"> with the patent system, helping </w:t>
      </w:r>
      <w:r w:rsidR="004D05F9" w:rsidRPr="007E6AE3">
        <w:rPr>
          <w:szCs w:val="24"/>
        </w:rPr>
        <w:t>business to get</w:t>
      </w:r>
      <w:r w:rsidR="00903E65" w:rsidRPr="007E6AE3">
        <w:rPr>
          <w:szCs w:val="24"/>
        </w:rPr>
        <w:t xml:space="preserve"> </w:t>
      </w:r>
      <w:r w:rsidR="004D05F9" w:rsidRPr="007E6AE3">
        <w:rPr>
          <w:szCs w:val="24"/>
        </w:rPr>
        <w:t>a feel for it in a non-onerous way.</w:t>
      </w:r>
    </w:p>
    <w:p w14:paraId="2D52EF9E" w14:textId="77777777" w:rsidR="00B1097E" w:rsidRDefault="00B1097E" w:rsidP="79344E9E">
      <w:r>
        <w:br w:type="page"/>
      </w:r>
    </w:p>
    <w:p w14:paraId="58FDCEC4" w14:textId="149B853B" w:rsidR="00A75FD5" w:rsidRPr="007E6AE3" w:rsidRDefault="00E9623B" w:rsidP="79344E9E">
      <w:r w:rsidRPr="72EB7D45">
        <w:lastRenderedPageBreak/>
        <w:t>Whilst the speed and quick access to the innovation patent might be missed,</w:t>
      </w:r>
      <w:r w:rsidR="00494CE9">
        <w:t xml:space="preserve"> IP Australia</w:t>
      </w:r>
      <w:r w:rsidR="00643FA0" w:rsidRPr="72EB7D45">
        <w:t xml:space="preserve"> now stresses its expedite</w:t>
      </w:r>
      <w:r w:rsidR="009A7C7A" w:rsidRPr="72EB7D45">
        <w:t>d</w:t>
      </w:r>
      <w:r w:rsidR="00643FA0" w:rsidRPr="72EB7D45">
        <w:t xml:space="preserve"> review service</w:t>
      </w:r>
      <w:r w:rsidR="003829D4" w:rsidRPr="007E6AE3">
        <w:rPr>
          <w:szCs w:val="24"/>
        </w:rPr>
        <w:t xml:space="preserve"> </w:t>
      </w:r>
      <w:r w:rsidR="00A12B17" w:rsidRPr="72EB7D45">
        <w:t>for the Standard Patent</w:t>
      </w:r>
      <w:r w:rsidR="00927E6B" w:rsidRPr="007E6AE3">
        <w:rPr>
          <w:szCs w:val="24"/>
        </w:rPr>
        <w:t>,</w:t>
      </w:r>
      <w:r w:rsidR="00640F0A" w:rsidRPr="72EB7D45">
        <w:rPr>
          <w:rStyle w:val="FootnoteReference"/>
        </w:rPr>
        <w:footnoteReference w:id="23"/>
      </w:r>
      <w:r w:rsidR="009A7C7A" w:rsidRPr="72EB7D45">
        <w:t xml:space="preserve"> and suggests that its speed matches that available to </w:t>
      </w:r>
      <w:r w:rsidR="00640F0A" w:rsidRPr="72EB7D45">
        <w:t>Innovation Patent applicants.</w:t>
      </w:r>
      <w:r w:rsidR="009A7C7A" w:rsidRPr="007E6AE3">
        <w:rPr>
          <w:szCs w:val="24"/>
        </w:rPr>
        <w:t xml:space="preserve"> </w:t>
      </w:r>
      <w:r w:rsidR="00650B4B">
        <w:t>Where the cost of entry into the system is</w:t>
      </w:r>
      <w:r w:rsidR="00997E89" w:rsidRPr="72EB7D45">
        <w:t xml:space="preserve"> concerned, it recommends the use o</w:t>
      </w:r>
      <w:r w:rsidR="00A62F78" w:rsidRPr="72EB7D45">
        <w:t>f the provisional patent</w:t>
      </w:r>
      <w:r w:rsidR="00EB63F8" w:rsidRPr="007E6AE3">
        <w:rPr>
          <w:szCs w:val="24"/>
        </w:rPr>
        <w:t xml:space="preserve"> </w:t>
      </w:r>
      <w:r w:rsidR="00650B4B">
        <w:t xml:space="preserve">as a </w:t>
      </w:r>
      <w:r w:rsidR="00650B4B" w:rsidRPr="00350901">
        <w:t>l</w:t>
      </w:r>
      <w:r w:rsidR="00FE320E" w:rsidRPr="00350901">
        <w:t>o</w:t>
      </w:r>
      <w:r w:rsidR="00FE320E">
        <w:t>w</w:t>
      </w:r>
      <w:r w:rsidR="00650B4B">
        <w:t xml:space="preserve"> cost route.</w:t>
      </w:r>
      <w:r w:rsidRPr="72EB7D45">
        <w:rPr>
          <w:rStyle w:val="FootnoteReference"/>
        </w:rPr>
        <w:footnoteReference w:id="24"/>
      </w:r>
      <w:r w:rsidR="00650B4B">
        <w:t xml:space="preserve"> Where incremental changes are concerned, IP Australia</w:t>
      </w:r>
      <w:r w:rsidR="00EB63F8" w:rsidRPr="72EB7D45">
        <w:t xml:space="preserve"> notes that </w:t>
      </w:r>
      <w:r w:rsidR="00650B4B">
        <w:t>patents of addition allow additional protection to</w:t>
      </w:r>
      <w:r w:rsidR="00EB63F8" w:rsidRPr="72EB7D45">
        <w:t xml:space="preserve"> be introduced </w:t>
      </w:r>
      <w:r w:rsidR="00650B4B">
        <w:t xml:space="preserve">as part of </w:t>
      </w:r>
      <w:r w:rsidR="00EB63F8" w:rsidRPr="72EB7D45">
        <w:t>the patent process</w:t>
      </w:r>
      <w:r w:rsidR="00A62F78" w:rsidRPr="007E6AE3">
        <w:rPr>
          <w:szCs w:val="24"/>
        </w:rPr>
        <w:t>.</w:t>
      </w:r>
      <w:r w:rsidRPr="72EB7D45">
        <w:rPr>
          <w:rStyle w:val="FootnoteReference"/>
        </w:rPr>
        <w:footnoteReference w:id="25"/>
      </w:r>
    </w:p>
    <w:p w14:paraId="21A42A2D" w14:textId="2662340F" w:rsidR="00B1647C" w:rsidRPr="007E6AE3" w:rsidRDefault="00A75FD5" w:rsidP="008D232D">
      <w:pPr>
        <w:rPr>
          <w:szCs w:val="24"/>
        </w:rPr>
      </w:pPr>
      <w:r w:rsidRPr="007E6AE3">
        <w:rPr>
          <w:szCs w:val="24"/>
        </w:rPr>
        <w:t xml:space="preserve">The Australian </w:t>
      </w:r>
      <w:r w:rsidR="00152002" w:rsidRPr="007E6AE3">
        <w:rPr>
          <w:szCs w:val="24"/>
        </w:rPr>
        <w:t>G</w:t>
      </w:r>
      <w:r w:rsidRPr="007E6AE3">
        <w:rPr>
          <w:szCs w:val="24"/>
        </w:rPr>
        <w:t xml:space="preserve">overnment </w:t>
      </w:r>
      <w:r w:rsidR="003F1686" w:rsidRPr="007E6AE3">
        <w:rPr>
          <w:szCs w:val="24"/>
        </w:rPr>
        <w:t>has opted for a high-quality standard patent as the principal vehicle for IP rights in technology,</w:t>
      </w:r>
      <w:r w:rsidR="007E0270" w:rsidRPr="007E6AE3">
        <w:rPr>
          <w:szCs w:val="24"/>
        </w:rPr>
        <w:t xml:space="preserve"> but th</w:t>
      </w:r>
      <w:r w:rsidR="001D5400" w:rsidRPr="007E6AE3">
        <w:rPr>
          <w:szCs w:val="24"/>
        </w:rPr>
        <w:t xml:space="preserve">e standard patent </w:t>
      </w:r>
      <w:r w:rsidR="007E0270" w:rsidRPr="007E6AE3">
        <w:rPr>
          <w:szCs w:val="24"/>
        </w:rPr>
        <w:t>ought not to be allowed to become a solution which is too hard for the average SME.</w:t>
      </w:r>
      <w:r w:rsidR="00E73F1A" w:rsidRPr="007E6AE3">
        <w:rPr>
          <w:szCs w:val="24"/>
        </w:rPr>
        <w:t xml:space="preserve"> </w:t>
      </w:r>
    </w:p>
    <w:p w14:paraId="1254BBF9" w14:textId="78421AF7" w:rsidR="007D6CC4" w:rsidRDefault="00B501E8" w:rsidP="00F31B73">
      <w:pPr>
        <w:rPr>
          <w:sz w:val="28"/>
          <w:szCs w:val="28"/>
        </w:rPr>
      </w:pPr>
      <w:r w:rsidRPr="007E6AE3">
        <w:rPr>
          <w:szCs w:val="24"/>
        </w:rPr>
        <w:t>I</w:t>
      </w:r>
      <w:r w:rsidR="007D6CC4" w:rsidRPr="007E6AE3">
        <w:rPr>
          <w:szCs w:val="24"/>
        </w:rPr>
        <w:t>n the end the offer of expedited review is there</w:t>
      </w:r>
      <w:r w:rsidR="009A441D" w:rsidRPr="007E6AE3">
        <w:rPr>
          <w:szCs w:val="24"/>
        </w:rPr>
        <w:t xml:space="preserve">, </w:t>
      </w:r>
      <w:r w:rsidR="009D3D68" w:rsidRPr="007E6AE3">
        <w:rPr>
          <w:szCs w:val="24"/>
        </w:rPr>
        <w:t xml:space="preserve">and </w:t>
      </w:r>
      <w:r w:rsidR="59E56659" w:rsidRPr="007E6AE3">
        <w:rPr>
          <w:szCs w:val="24"/>
        </w:rPr>
        <w:t>provides</w:t>
      </w:r>
      <w:r w:rsidR="009D3D68" w:rsidRPr="007E6AE3">
        <w:rPr>
          <w:szCs w:val="24"/>
        </w:rPr>
        <w:t xml:space="preserve"> the solution</w:t>
      </w:r>
      <w:r w:rsidR="003F1E9C" w:rsidRPr="007E6AE3">
        <w:rPr>
          <w:szCs w:val="24"/>
        </w:rPr>
        <w:t xml:space="preserve">, </w:t>
      </w:r>
      <w:r w:rsidR="009A441D" w:rsidRPr="007E6AE3">
        <w:rPr>
          <w:szCs w:val="24"/>
        </w:rPr>
        <w:t>though many were not aware of it.</w:t>
      </w:r>
      <w:r w:rsidR="00FD549C">
        <w:rPr>
          <w:sz w:val="28"/>
          <w:szCs w:val="28"/>
        </w:rPr>
        <w:t xml:space="preserve"> </w:t>
      </w:r>
    </w:p>
    <w:p w14:paraId="3D4D28F2" w14:textId="464F2425" w:rsidR="004901AC" w:rsidRDefault="004901AC" w:rsidP="004901AC"/>
    <w:p w14:paraId="36CEAEF9" w14:textId="77777777" w:rsidR="009C464A" w:rsidRDefault="009C464A" w:rsidP="009C464A">
      <w:pPr>
        <w:pStyle w:val="Calloutbox"/>
        <w:rPr>
          <w:sz w:val="28"/>
        </w:rPr>
      </w:pPr>
      <w:bookmarkStart w:id="214" w:name="_Toc59109342"/>
      <w:r w:rsidRPr="00D4757B">
        <w:rPr>
          <w:sz w:val="28"/>
        </w:rPr>
        <w:t>Recommendation 2:</w:t>
      </w:r>
    </w:p>
    <w:p w14:paraId="35C47F30" w14:textId="321B4998" w:rsidR="00A76C4B" w:rsidRPr="00A76C4B" w:rsidRDefault="009C464A" w:rsidP="009C464A">
      <w:pPr>
        <w:pStyle w:val="Calloutbox"/>
        <w:rPr>
          <w:b w:val="0"/>
          <w:sz w:val="28"/>
          <w:szCs w:val="28"/>
        </w:rPr>
      </w:pPr>
      <w:r w:rsidRPr="009740B6">
        <w:rPr>
          <w:b w:val="0"/>
          <w:bCs/>
          <w:color w:val="000000" w:themeColor="text1"/>
          <w:sz w:val="28"/>
        </w:rPr>
        <w:t>That processing times for the standard patent be continually monitored, and that the expedited examination be maintained as a priority.</w:t>
      </w:r>
    </w:p>
    <w:p w14:paraId="7D335189" w14:textId="77777777" w:rsidR="00A76C4B" w:rsidRDefault="00A76C4B" w:rsidP="00A76C4B">
      <w:pPr>
        <w:rPr>
          <w:rFonts w:asciiTheme="majorHAnsi" w:eastAsiaTheme="majorEastAsia" w:hAnsiTheme="majorHAnsi" w:cstheme="majorBidi"/>
          <w:color w:val="005677" w:themeColor="text2"/>
          <w:sz w:val="48"/>
          <w:szCs w:val="32"/>
        </w:rPr>
      </w:pPr>
      <w:r>
        <w:br w:type="page"/>
      </w:r>
    </w:p>
    <w:p w14:paraId="21455783" w14:textId="264D6C80" w:rsidR="00787835" w:rsidRDefault="00B212FE" w:rsidP="00102432">
      <w:pPr>
        <w:pStyle w:val="Heading1"/>
      </w:pPr>
      <w:bookmarkStart w:id="215" w:name="_Toc60760629"/>
      <w:bookmarkStart w:id="216" w:name="_Toc60834815"/>
      <w:bookmarkStart w:id="217" w:name="_Toc60836765"/>
      <w:bookmarkStart w:id="218" w:name="_Toc60997753"/>
      <w:bookmarkStart w:id="219" w:name="_Toc61015567"/>
      <w:bookmarkStart w:id="220" w:name="_Toc61269599"/>
      <w:bookmarkStart w:id="221" w:name="_Toc61356707"/>
      <w:bookmarkStart w:id="222" w:name="_Toc65159317"/>
      <w:r>
        <w:lastRenderedPageBreak/>
        <w:t>7</w:t>
      </w:r>
      <w:r w:rsidR="00A76C4B">
        <w:t xml:space="preserve"> </w:t>
      </w:r>
      <w:r w:rsidR="313F7643">
        <w:t xml:space="preserve">Education </w:t>
      </w:r>
      <w:r w:rsidR="00D02086">
        <w:t>p</w:t>
      </w:r>
      <w:r w:rsidR="313F7643">
        <w:t xml:space="preserve">rograms and </w:t>
      </w:r>
      <w:r w:rsidR="007627AC">
        <w:t>a</w:t>
      </w:r>
      <w:r w:rsidR="313F7643">
        <w:t>wareness</w:t>
      </w:r>
      <w:bookmarkStart w:id="223" w:name="_Toc51682551"/>
      <w:bookmarkStart w:id="224" w:name="_Toc51685671"/>
      <w:bookmarkStart w:id="225" w:name="_Toc51688750"/>
      <w:bookmarkStart w:id="226" w:name="_Toc51759074"/>
      <w:bookmarkEnd w:id="210"/>
      <w:bookmarkEnd w:id="211"/>
      <w:bookmarkEnd w:id="212"/>
      <w:bookmarkEnd w:id="213"/>
      <w:bookmarkEnd w:id="214"/>
      <w:bookmarkEnd w:id="215"/>
      <w:bookmarkEnd w:id="216"/>
      <w:bookmarkEnd w:id="217"/>
      <w:bookmarkEnd w:id="218"/>
      <w:bookmarkEnd w:id="219"/>
      <w:bookmarkEnd w:id="220"/>
      <w:bookmarkEnd w:id="221"/>
      <w:bookmarkEnd w:id="222"/>
    </w:p>
    <w:p w14:paraId="6EC51C38" w14:textId="57E31E90" w:rsidR="00055655" w:rsidRPr="007E6AE3" w:rsidRDefault="00BB00B7" w:rsidP="004D285D">
      <w:pPr>
        <w:rPr>
          <w:szCs w:val="24"/>
        </w:rPr>
      </w:pPr>
      <w:r w:rsidRPr="007E6AE3">
        <w:rPr>
          <w:szCs w:val="24"/>
        </w:rPr>
        <w:t xml:space="preserve">IP Australia has gone to great lengths in recent years to develop its information programs and the level of assistance which it provides. </w:t>
      </w:r>
      <w:r w:rsidR="00954934" w:rsidRPr="007E6AE3">
        <w:rPr>
          <w:szCs w:val="24"/>
        </w:rPr>
        <w:t>Nevertheless</w:t>
      </w:r>
      <w:r w:rsidR="007537FE" w:rsidRPr="007E6AE3">
        <w:rPr>
          <w:szCs w:val="24"/>
        </w:rPr>
        <w:t>,</w:t>
      </w:r>
      <w:r w:rsidR="00954934" w:rsidRPr="007E6AE3">
        <w:rPr>
          <w:szCs w:val="24"/>
        </w:rPr>
        <w:t xml:space="preserve"> </w:t>
      </w:r>
      <w:r w:rsidR="0099012F" w:rsidRPr="007E6AE3">
        <w:rPr>
          <w:szCs w:val="24"/>
        </w:rPr>
        <w:t>i</w:t>
      </w:r>
      <w:r w:rsidR="00116D2C" w:rsidRPr="007E6AE3">
        <w:rPr>
          <w:szCs w:val="24"/>
        </w:rPr>
        <w:t>t was striking</w:t>
      </w:r>
      <w:r w:rsidR="00E27506" w:rsidRPr="007E6AE3">
        <w:rPr>
          <w:szCs w:val="24"/>
        </w:rPr>
        <w:t xml:space="preserve"> to note how few of the respondents</w:t>
      </w:r>
      <w:r w:rsidR="007537FE" w:rsidRPr="007E6AE3">
        <w:rPr>
          <w:szCs w:val="24"/>
        </w:rPr>
        <w:t xml:space="preserve"> </w:t>
      </w:r>
      <w:r w:rsidR="00BC3F9C">
        <w:rPr>
          <w:szCs w:val="24"/>
        </w:rPr>
        <w:t>–</w:t>
      </w:r>
      <w:r w:rsidR="00BF0177" w:rsidRPr="007E6AE3">
        <w:rPr>
          <w:szCs w:val="24"/>
        </w:rPr>
        <w:t xml:space="preserve"> </w:t>
      </w:r>
      <w:r w:rsidR="00E27506" w:rsidRPr="007E6AE3">
        <w:rPr>
          <w:szCs w:val="24"/>
        </w:rPr>
        <w:t xml:space="preserve">particularly those actually in </w:t>
      </w:r>
      <w:r w:rsidR="005443F8" w:rsidRPr="007E6AE3">
        <w:rPr>
          <w:szCs w:val="24"/>
        </w:rPr>
        <w:t>small to medium enterprises (</w:t>
      </w:r>
      <w:r w:rsidR="00E27506" w:rsidRPr="007E6AE3">
        <w:rPr>
          <w:szCs w:val="24"/>
        </w:rPr>
        <w:t>SMEs</w:t>
      </w:r>
      <w:r w:rsidR="005443F8" w:rsidRPr="007E6AE3">
        <w:rPr>
          <w:szCs w:val="24"/>
        </w:rPr>
        <w:t>)</w:t>
      </w:r>
      <w:r w:rsidR="007537FE" w:rsidRPr="007E6AE3">
        <w:rPr>
          <w:szCs w:val="24"/>
        </w:rPr>
        <w:t xml:space="preserve"> </w:t>
      </w:r>
      <w:r w:rsidR="00BC3F9C">
        <w:rPr>
          <w:szCs w:val="24"/>
        </w:rPr>
        <w:t>–</w:t>
      </w:r>
      <w:r w:rsidR="00BF0177" w:rsidRPr="007E6AE3">
        <w:rPr>
          <w:szCs w:val="24"/>
        </w:rPr>
        <w:t xml:space="preserve"> </w:t>
      </w:r>
      <w:r w:rsidR="00E27506" w:rsidRPr="007E6AE3">
        <w:rPr>
          <w:szCs w:val="24"/>
        </w:rPr>
        <w:t>were aware of the</w:t>
      </w:r>
      <w:r w:rsidR="00494CE9">
        <w:rPr>
          <w:szCs w:val="24"/>
        </w:rPr>
        <w:t xml:space="preserve"> IP Australia</w:t>
      </w:r>
      <w:r w:rsidR="003A29D9" w:rsidRPr="007E6AE3">
        <w:rPr>
          <w:szCs w:val="24"/>
        </w:rPr>
        <w:t xml:space="preserve"> outreach programs. These </w:t>
      </w:r>
      <w:r w:rsidR="00937FE9" w:rsidRPr="007E6AE3">
        <w:rPr>
          <w:szCs w:val="24"/>
        </w:rPr>
        <w:t xml:space="preserve">programs </w:t>
      </w:r>
      <w:r w:rsidR="003A29D9" w:rsidRPr="007E6AE3">
        <w:rPr>
          <w:szCs w:val="24"/>
        </w:rPr>
        <w:t xml:space="preserve">are </w:t>
      </w:r>
      <w:r w:rsidR="00954934" w:rsidRPr="007E6AE3">
        <w:rPr>
          <w:szCs w:val="24"/>
        </w:rPr>
        <w:t xml:space="preserve">now </w:t>
      </w:r>
      <w:r w:rsidR="003A29D9" w:rsidRPr="007E6AE3">
        <w:rPr>
          <w:szCs w:val="24"/>
        </w:rPr>
        <w:t>extensive and are available online through the</w:t>
      </w:r>
      <w:r w:rsidR="00494CE9">
        <w:rPr>
          <w:szCs w:val="24"/>
        </w:rPr>
        <w:t xml:space="preserve"> IP Australia</w:t>
      </w:r>
      <w:r w:rsidR="003A29D9" w:rsidRPr="007E6AE3">
        <w:rPr>
          <w:szCs w:val="24"/>
        </w:rPr>
        <w:t xml:space="preserve"> website. </w:t>
      </w:r>
    </w:p>
    <w:p w14:paraId="085F6290" w14:textId="4533C97A" w:rsidR="003A29D9" w:rsidRPr="007E6AE3" w:rsidRDefault="003A29D9" w:rsidP="004D285D">
      <w:pPr>
        <w:rPr>
          <w:szCs w:val="24"/>
        </w:rPr>
      </w:pPr>
      <w:r w:rsidRPr="007E6AE3">
        <w:rPr>
          <w:szCs w:val="24"/>
        </w:rPr>
        <w:t>They include:</w:t>
      </w:r>
    </w:p>
    <w:p w14:paraId="5686026D" w14:textId="648017A4" w:rsidR="00C225B7" w:rsidRPr="007E6AE3" w:rsidRDefault="00C225B7" w:rsidP="009C464A">
      <w:pPr>
        <w:pStyle w:val="ListParagraph"/>
        <w:numPr>
          <w:ilvl w:val="0"/>
          <w:numId w:val="7"/>
        </w:numPr>
        <w:spacing w:before="0" w:after="0"/>
      </w:pPr>
      <w:r w:rsidRPr="0C89C1B6">
        <w:t xml:space="preserve">SME Portal: digital material </w:t>
      </w:r>
      <w:r w:rsidR="00055655" w:rsidRPr="0C89C1B6">
        <w:t xml:space="preserve">tailored </w:t>
      </w:r>
      <w:r w:rsidRPr="0C89C1B6">
        <w:t>to SME needs</w:t>
      </w:r>
      <w:r w:rsidRPr="0C89C1B6">
        <w:rPr>
          <w:rStyle w:val="FootnoteReference"/>
        </w:rPr>
        <w:footnoteReference w:id="26"/>
      </w:r>
      <w:r w:rsidRPr="007E6AE3">
        <w:rPr>
          <w:szCs w:val="24"/>
        </w:rPr>
        <w:t xml:space="preserve"> </w:t>
      </w:r>
    </w:p>
    <w:p w14:paraId="6E17FEF0" w14:textId="0CE2B53E" w:rsidR="00C225B7" w:rsidRPr="007E6AE3" w:rsidRDefault="00055655" w:rsidP="009C464A">
      <w:pPr>
        <w:pStyle w:val="ListParagraph"/>
        <w:numPr>
          <w:ilvl w:val="0"/>
          <w:numId w:val="7"/>
        </w:numPr>
        <w:spacing w:before="0" w:after="0"/>
      </w:pPr>
      <w:r>
        <w:t>t</w:t>
      </w:r>
      <w:r w:rsidR="00C225B7">
        <w:t>he posting of an IP Counsellor to China</w:t>
      </w:r>
    </w:p>
    <w:p w14:paraId="299C3A3F" w14:textId="6B09ECED" w:rsidR="00C225B7" w:rsidRPr="007E6AE3" w:rsidRDefault="008673EF" w:rsidP="009C464A">
      <w:pPr>
        <w:pStyle w:val="ListParagraph"/>
        <w:numPr>
          <w:ilvl w:val="0"/>
          <w:numId w:val="7"/>
        </w:numPr>
        <w:spacing w:before="0" w:after="0"/>
      </w:pPr>
      <w:r>
        <w:t>d</w:t>
      </w:r>
      <w:r w:rsidR="00C225B7">
        <w:t xml:space="preserve">evelopment of a virtual assistant </w:t>
      </w:r>
      <w:r w:rsidR="00C9377A">
        <w:t>(</w:t>
      </w:r>
      <w:r w:rsidR="00D576AF">
        <w:t>‘</w:t>
      </w:r>
      <w:r w:rsidR="00C225B7">
        <w:t>Alex</w:t>
      </w:r>
      <w:r w:rsidR="00C9377A">
        <w:t>’)</w:t>
      </w:r>
      <w:r w:rsidR="005A241A">
        <w:t xml:space="preserve"> </w:t>
      </w:r>
      <w:r w:rsidR="00C225B7">
        <w:t>to assist with inquiries</w:t>
      </w:r>
      <w:r w:rsidR="005A241A">
        <w:t>,</w:t>
      </w:r>
      <w:r w:rsidR="00C225B7">
        <w:t xml:space="preserve"> including out</w:t>
      </w:r>
      <w:r w:rsidR="005A241A">
        <w:t>-</w:t>
      </w:r>
      <w:r w:rsidR="00C225B7">
        <w:t>of</w:t>
      </w:r>
      <w:r w:rsidR="005A241A">
        <w:t>-</w:t>
      </w:r>
      <w:r w:rsidR="00C225B7">
        <w:t>hours inquiries</w:t>
      </w:r>
    </w:p>
    <w:p w14:paraId="69733C81" w14:textId="32EC902E" w:rsidR="00C225B7" w:rsidRPr="007E6AE3" w:rsidRDefault="008673EF" w:rsidP="009C464A">
      <w:pPr>
        <w:pStyle w:val="ListParagraph"/>
        <w:numPr>
          <w:ilvl w:val="0"/>
          <w:numId w:val="7"/>
        </w:numPr>
        <w:spacing w:before="0" w:after="0"/>
      </w:pPr>
      <w:r w:rsidRPr="72EB7D45">
        <w:t>p</w:t>
      </w:r>
      <w:r w:rsidR="00C225B7" w:rsidRPr="72EB7D45">
        <w:t>ilot case</w:t>
      </w:r>
      <w:r w:rsidR="00D94D91" w:rsidRPr="007E6AE3">
        <w:rPr>
          <w:szCs w:val="24"/>
        </w:rPr>
        <w:t>-</w:t>
      </w:r>
      <w:r w:rsidR="00C225B7" w:rsidRPr="72EB7D45">
        <w:t>manager scheme: individual case managers may be allocated on request</w:t>
      </w:r>
      <w:r w:rsidR="00C225B7" w:rsidRPr="72EB7D45">
        <w:rPr>
          <w:rStyle w:val="FootnoteReference"/>
        </w:rPr>
        <w:footnoteReference w:id="27"/>
      </w:r>
      <w:r w:rsidR="00861044" w:rsidRPr="007E6AE3">
        <w:rPr>
          <w:szCs w:val="24"/>
        </w:rPr>
        <w:t xml:space="preserve"> </w:t>
      </w:r>
    </w:p>
    <w:p w14:paraId="04E514DB" w14:textId="0AB2B1E9" w:rsidR="00C225B7" w:rsidRPr="007E6AE3" w:rsidRDefault="00C225B7" w:rsidP="009C464A">
      <w:pPr>
        <w:pStyle w:val="ListParagraph"/>
        <w:numPr>
          <w:ilvl w:val="0"/>
          <w:numId w:val="7"/>
        </w:numPr>
        <w:spacing w:before="0" w:after="0"/>
      </w:pPr>
      <w:r w:rsidRPr="0F7A0311">
        <w:rPr>
          <w:i/>
        </w:rPr>
        <w:t>Engaging an attorney toolkit</w:t>
      </w:r>
      <w:r w:rsidRPr="72EB7D45">
        <w:rPr>
          <w:rStyle w:val="FootnoteReference"/>
        </w:rPr>
        <w:footnoteReference w:id="28"/>
      </w:r>
    </w:p>
    <w:p w14:paraId="635DCFED" w14:textId="7862D8F1" w:rsidR="00C225B7" w:rsidRPr="007E6AE3" w:rsidRDefault="00C225B7" w:rsidP="009C464A">
      <w:pPr>
        <w:pStyle w:val="ListParagraph"/>
        <w:numPr>
          <w:ilvl w:val="0"/>
          <w:numId w:val="7"/>
        </w:numPr>
        <w:spacing w:before="0" w:after="0"/>
      </w:pPr>
      <w:r w:rsidRPr="72EB7D45">
        <w:t>IP for digital business assistance for SMEs</w:t>
      </w:r>
      <w:r w:rsidRPr="72EB7D45">
        <w:rPr>
          <w:rStyle w:val="FootnoteReference"/>
        </w:rPr>
        <w:footnoteReference w:id="29"/>
      </w:r>
      <w:r w:rsidRPr="007E6AE3">
        <w:rPr>
          <w:szCs w:val="24"/>
        </w:rPr>
        <w:t xml:space="preserve"> </w:t>
      </w:r>
    </w:p>
    <w:p w14:paraId="0FAB2C00" w14:textId="45AC7C52" w:rsidR="00C225B7" w:rsidRPr="007E6AE3" w:rsidRDefault="008E1481" w:rsidP="009C464A">
      <w:pPr>
        <w:pStyle w:val="ListParagraph"/>
        <w:numPr>
          <w:ilvl w:val="0"/>
          <w:numId w:val="7"/>
        </w:numPr>
        <w:spacing w:before="0" w:after="0"/>
      </w:pPr>
      <w:r w:rsidRPr="72EB7D45">
        <w:t>c</w:t>
      </w:r>
      <w:r w:rsidR="00C225B7" w:rsidRPr="72EB7D45">
        <w:t>ase studies of successful patents and commercialisation</w:t>
      </w:r>
      <w:r w:rsidR="00C225B7" w:rsidRPr="72EB7D45">
        <w:rPr>
          <w:rStyle w:val="FootnoteReference"/>
        </w:rPr>
        <w:footnoteReference w:id="30"/>
      </w:r>
    </w:p>
    <w:p w14:paraId="2D14E43F" w14:textId="27D65A80" w:rsidR="00F23B99" w:rsidRPr="007E6AE3" w:rsidRDefault="00C225B7" w:rsidP="009C464A">
      <w:pPr>
        <w:pStyle w:val="ListParagraph"/>
        <w:numPr>
          <w:ilvl w:val="0"/>
          <w:numId w:val="7"/>
        </w:numPr>
        <w:spacing w:before="0" w:after="360"/>
      </w:pPr>
      <w:r w:rsidRPr="74A8E8D3">
        <w:rPr>
          <w:i/>
        </w:rPr>
        <w:t>IP Toolkit for Collaboration</w:t>
      </w:r>
      <w:r w:rsidRPr="72EB7D45">
        <w:t>: a resource to simplify the management of IP in collaborations between researchers and business</w:t>
      </w:r>
      <w:r w:rsidRPr="72EB7D45">
        <w:rPr>
          <w:rStyle w:val="FootnoteReference"/>
        </w:rPr>
        <w:footnoteReference w:id="31"/>
      </w:r>
    </w:p>
    <w:p w14:paraId="744040AE" w14:textId="61BF494D" w:rsidR="00B212FE" w:rsidRPr="009C464A" w:rsidRDefault="00B212FE" w:rsidP="00B1097E">
      <w:pPr>
        <w:pStyle w:val="Quote"/>
        <w:ind w:left="567" w:right="521"/>
        <w:rPr>
          <w:szCs w:val="28"/>
        </w:rPr>
      </w:pPr>
      <w:r w:rsidRPr="009C464A">
        <w:rPr>
          <w:szCs w:val="28"/>
        </w:rPr>
        <w:t>IP Australia has a good package of information available, better than most other patent offices. The real problem that IP Australia has</w:t>
      </w:r>
      <w:r w:rsidR="0047117E" w:rsidRPr="009C464A">
        <w:rPr>
          <w:szCs w:val="28"/>
        </w:rPr>
        <w:t xml:space="preserve"> [is that] </w:t>
      </w:r>
      <w:r w:rsidRPr="009C464A">
        <w:rPr>
          <w:szCs w:val="28"/>
        </w:rPr>
        <w:t>by the time that someone engages with IP Australia and discovers any of these resources that are available to them, that’s a person who’s already thinking about IP and what to do about it. There’s this huge mass out there that don’t have any awareness at all.</w:t>
      </w:r>
    </w:p>
    <w:p w14:paraId="2A837616" w14:textId="794B861F" w:rsidR="00F23B99" w:rsidRPr="007E6AE3" w:rsidRDefault="00F23B99" w:rsidP="004D285D">
      <w:pPr>
        <w:rPr>
          <w:szCs w:val="24"/>
        </w:rPr>
      </w:pPr>
      <w:r w:rsidRPr="007E6AE3">
        <w:rPr>
          <w:szCs w:val="24"/>
        </w:rPr>
        <w:lastRenderedPageBreak/>
        <w:t>Quite a few respondents only became aware of the</w:t>
      </w:r>
      <w:r w:rsidR="007D4390" w:rsidRPr="007E6AE3">
        <w:rPr>
          <w:szCs w:val="24"/>
        </w:rPr>
        <w:t>se products</w:t>
      </w:r>
      <w:r w:rsidR="00AE1481" w:rsidRPr="007E6AE3">
        <w:rPr>
          <w:szCs w:val="24"/>
        </w:rPr>
        <w:t xml:space="preserve"> </w:t>
      </w:r>
      <w:r w:rsidRPr="007E6AE3">
        <w:rPr>
          <w:szCs w:val="24"/>
        </w:rPr>
        <w:t>through our contact</w:t>
      </w:r>
      <w:r w:rsidR="00A61613" w:rsidRPr="007E6AE3">
        <w:rPr>
          <w:szCs w:val="24"/>
        </w:rPr>
        <w:t xml:space="preserve"> and questioning, and once alerted, were very positive about what they found in them. The fact is that</w:t>
      </w:r>
      <w:r w:rsidR="003417EE" w:rsidRPr="007E6AE3">
        <w:rPr>
          <w:szCs w:val="24"/>
        </w:rPr>
        <w:t xml:space="preserve"> many steps have been taken in recent years to provide introductory material for those</w:t>
      </w:r>
      <w:r w:rsidR="004008FA" w:rsidRPr="007E6AE3">
        <w:rPr>
          <w:szCs w:val="24"/>
        </w:rPr>
        <w:t xml:space="preserve"> wrestling with the question of whether to patent, or how to patent.</w:t>
      </w:r>
      <w:r w:rsidR="00861044" w:rsidRPr="007E6AE3">
        <w:rPr>
          <w:szCs w:val="24"/>
        </w:rPr>
        <w:t xml:space="preserve"> </w:t>
      </w:r>
      <w:r w:rsidR="16F87F40" w:rsidRPr="007E6AE3">
        <w:rPr>
          <w:szCs w:val="24"/>
        </w:rPr>
        <w:t>(</w:t>
      </w:r>
      <w:r w:rsidR="004008FA" w:rsidRPr="007E6AE3">
        <w:rPr>
          <w:szCs w:val="24"/>
        </w:rPr>
        <w:t>Of course</w:t>
      </w:r>
      <w:r w:rsidR="001D0405" w:rsidRPr="007E6AE3">
        <w:rPr>
          <w:szCs w:val="24"/>
        </w:rPr>
        <w:t>,</w:t>
      </w:r>
      <w:r w:rsidR="004008FA" w:rsidRPr="007E6AE3">
        <w:rPr>
          <w:szCs w:val="24"/>
        </w:rPr>
        <w:t xml:space="preserve"> </w:t>
      </w:r>
      <w:r w:rsidR="00ED27A5" w:rsidRPr="007E6AE3">
        <w:rPr>
          <w:szCs w:val="24"/>
        </w:rPr>
        <w:t>t</w:t>
      </w:r>
      <w:r w:rsidR="004008FA" w:rsidRPr="007E6AE3">
        <w:rPr>
          <w:szCs w:val="24"/>
        </w:rPr>
        <w:t xml:space="preserve">hese programs also include introductory material on </w:t>
      </w:r>
      <w:r w:rsidR="002753DA">
        <w:rPr>
          <w:szCs w:val="24"/>
        </w:rPr>
        <w:t>t</w:t>
      </w:r>
      <w:r w:rsidR="004008FA" w:rsidRPr="007E6AE3">
        <w:rPr>
          <w:szCs w:val="24"/>
        </w:rPr>
        <w:t xml:space="preserve">rade </w:t>
      </w:r>
      <w:r w:rsidR="002753DA">
        <w:rPr>
          <w:szCs w:val="24"/>
        </w:rPr>
        <w:t>m</w:t>
      </w:r>
      <w:r w:rsidR="004008FA" w:rsidRPr="007E6AE3">
        <w:rPr>
          <w:szCs w:val="24"/>
        </w:rPr>
        <w:t>arks</w:t>
      </w:r>
      <w:r w:rsidR="5627FC92" w:rsidRPr="007E6AE3">
        <w:rPr>
          <w:szCs w:val="24"/>
        </w:rPr>
        <w:t xml:space="preserve"> and other IP</w:t>
      </w:r>
      <w:r w:rsidR="004008FA" w:rsidRPr="007E6AE3">
        <w:rPr>
          <w:szCs w:val="24"/>
        </w:rPr>
        <w:t>.</w:t>
      </w:r>
      <w:r w:rsidR="0A0EC83B" w:rsidRPr="007E6AE3">
        <w:rPr>
          <w:szCs w:val="24"/>
        </w:rPr>
        <w:t>)</w:t>
      </w:r>
    </w:p>
    <w:p w14:paraId="74CB4DAE" w14:textId="77777777" w:rsidR="00FB7C2C" w:rsidRPr="009C464A" w:rsidRDefault="007B4618" w:rsidP="004D285D">
      <w:pPr>
        <w:rPr>
          <w:rFonts w:cs="Arial (Body CS)"/>
          <w:spacing w:val="-2"/>
          <w:szCs w:val="24"/>
        </w:rPr>
      </w:pPr>
      <w:r w:rsidRPr="009C464A">
        <w:rPr>
          <w:rFonts w:cs="Arial (Body CS)"/>
          <w:spacing w:val="-2"/>
          <w:szCs w:val="24"/>
        </w:rPr>
        <w:t>Later in this report, it will be noted that fear of litigation is a major factor in avoiding the patent system</w:t>
      </w:r>
      <w:r w:rsidR="00877415" w:rsidRPr="009C464A">
        <w:rPr>
          <w:rFonts w:cs="Arial (Body CS)"/>
          <w:spacing w:val="-2"/>
          <w:szCs w:val="24"/>
        </w:rPr>
        <w:t xml:space="preserve">, but under this present heading it should be noted that many </w:t>
      </w:r>
      <w:r w:rsidR="00FB7C2C" w:rsidRPr="009C464A">
        <w:rPr>
          <w:rFonts w:cs="Arial (Body CS)"/>
          <w:spacing w:val="-2"/>
          <w:szCs w:val="24"/>
        </w:rPr>
        <w:t xml:space="preserve">respondents </w:t>
      </w:r>
      <w:r w:rsidR="00877415" w:rsidRPr="009C464A">
        <w:rPr>
          <w:rFonts w:cs="Arial (Body CS)"/>
          <w:spacing w:val="-2"/>
          <w:szCs w:val="24"/>
        </w:rPr>
        <w:t xml:space="preserve">asserted that ignorance is </w:t>
      </w:r>
      <w:r w:rsidR="16895EF5" w:rsidRPr="009C464A">
        <w:rPr>
          <w:rFonts w:cs="Arial (Body CS)"/>
          <w:spacing w:val="-2"/>
          <w:szCs w:val="24"/>
        </w:rPr>
        <w:t>a</w:t>
      </w:r>
      <w:r w:rsidR="00877415" w:rsidRPr="009C464A">
        <w:rPr>
          <w:rFonts w:cs="Arial (Body CS)"/>
          <w:spacing w:val="-2"/>
          <w:szCs w:val="24"/>
        </w:rPr>
        <w:t xml:space="preserve"> major problem: ignorance of</w:t>
      </w:r>
      <w:r w:rsidR="004E17B9" w:rsidRPr="009C464A">
        <w:rPr>
          <w:rFonts w:cs="Arial (Body CS)"/>
          <w:spacing w:val="-2"/>
          <w:szCs w:val="24"/>
        </w:rPr>
        <w:t xml:space="preserve"> the principles of </w:t>
      </w:r>
      <w:r w:rsidR="00D67EF6" w:rsidRPr="009C464A">
        <w:rPr>
          <w:rFonts w:cs="Arial (Body CS)"/>
          <w:spacing w:val="-2"/>
          <w:szCs w:val="24"/>
        </w:rPr>
        <w:t>IP</w:t>
      </w:r>
      <w:r w:rsidR="004E17B9" w:rsidRPr="009C464A">
        <w:rPr>
          <w:rFonts w:cs="Arial (Body CS)"/>
          <w:spacing w:val="-2"/>
          <w:szCs w:val="24"/>
        </w:rPr>
        <w:t xml:space="preserve"> management, of the leading principles of IP law, and of the risks of not understanding basic</w:t>
      </w:r>
      <w:r w:rsidR="00833522" w:rsidRPr="009C464A">
        <w:rPr>
          <w:rFonts w:cs="Arial (Body CS)"/>
          <w:spacing w:val="-2"/>
          <w:szCs w:val="24"/>
        </w:rPr>
        <w:t xml:space="preserve"> IP law where one’s company is developing new technology without</w:t>
      </w:r>
      <w:r w:rsidR="0061335A" w:rsidRPr="009C464A">
        <w:rPr>
          <w:rFonts w:cs="Arial (Body CS)"/>
          <w:spacing w:val="-2"/>
          <w:szCs w:val="24"/>
        </w:rPr>
        <w:t xml:space="preserve"> the protection of IP rights being granted. </w:t>
      </w:r>
    </w:p>
    <w:p w14:paraId="4E4BDB66" w14:textId="4AB4D435" w:rsidR="00F2211E" w:rsidRPr="007E6AE3" w:rsidRDefault="00FB7C2C" w:rsidP="004D285D">
      <w:pPr>
        <w:rPr>
          <w:szCs w:val="24"/>
        </w:rPr>
      </w:pPr>
      <w:r w:rsidRPr="007E6AE3">
        <w:rPr>
          <w:szCs w:val="24"/>
        </w:rPr>
        <w:t xml:space="preserve">We should </w:t>
      </w:r>
      <w:r w:rsidR="001966AA" w:rsidRPr="007E6AE3">
        <w:rPr>
          <w:szCs w:val="24"/>
        </w:rPr>
        <w:t>then ask</w:t>
      </w:r>
      <w:r w:rsidR="0061335A" w:rsidRPr="007E6AE3">
        <w:rPr>
          <w:szCs w:val="24"/>
        </w:rPr>
        <w:t xml:space="preserve"> whether </w:t>
      </w:r>
      <w:r w:rsidR="001966AA" w:rsidRPr="007E6AE3">
        <w:rPr>
          <w:szCs w:val="24"/>
        </w:rPr>
        <w:t xml:space="preserve">it is </w:t>
      </w:r>
      <w:r w:rsidR="0061335A" w:rsidRPr="007E6AE3">
        <w:rPr>
          <w:szCs w:val="24"/>
        </w:rPr>
        <w:t>ignorance</w:t>
      </w:r>
      <w:r w:rsidR="001C02A5" w:rsidRPr="007E6AE3">
        <w:rPr>
          <w:szCs w:val="24"/>
        </w:rPr>
        <w:t xml:space="preserve"> or fear </w:t>
      </w:r>
      <w:r w:rsidR="001966AA" w:rsidRPr="007E6AE3">
        <w:rPr>
          <w:szCs w:val="24"/>
        </w:rPr>
        <w:t xml:space="preserve">that </w:t>
      </w:r>
      <w:r w:rsidR="001C02A5" w:rsidRPr="007E6AE3">
        <w:rPr>
          <w:szCs w:val="24"/>
        </w:rPr>
        <w:t>is the main inhibiting factor.</w:t>
      </w:r>
      <w:r w:rsidR="001966AA" w:rsidRPr="007E6AE3">
        <w:rPr>
          <w:szCs w:val="24"/>
        </w:rPr>
        <w:t xml:space="preserve"> </w:t>
      </w:r>
      <w:r w:rsidR="00DB3978" w:rsidRPr="007E6AE3">
        <w:rPr>
          <w:szCs w:val="24"/>
        </w:rPr>
        <w:t>If we look at ignorance for the moment</w:t>
      </w:r>
      <w:r w:rsidR="00DF598B" w:rsidRPr="007E6AE3">
        <w:rPr>
          <w:szCs w:val="24"/>
        </w:rPr>
        <w:t>, there are several parts to this. The more knowing and experienced of those in the SME sector</w:t>
      </w:r>
      <w:r w:rsidR="005B67C2" w:rsidRPr="007E6AE3">
        <w:rPr>
          <w:szCs w:val="24"/>
        </w:rPr>
        <w:t xml:space="preserve"> had got over the </w:t>
      </w:r>
      <w:r w:rsidR="001966AA" w:rsidRPr="007E6AE3">
        <w:rPr>
          <w:szCs w:val="24"/>
        </w:rPr>
        <w:t>‘</w:t>
      </w:r>
      <w:r w:rsidR="005B67C2" w:rsidRPr="007E6AE3">
        <w:rPr>
          <w:szCs w:val="24"/>
        </w:rPr>
        <w:t>ignorance</w:t>
      </w:r>
      <w:r w:rsidR="001966AA" w:rsidRPr="007E6AE3">
        <w:rPr>
          <w:szCs w:val="24"/>
        </w:rPr>
        <w:t>’</w:t>
      </w:r>
      <w:r w:rsidR="005B67C2" w:rsidRPr="007E6AE3">
        <w:rPr>
          <w:szCs w:val="24"/>
        </w:rPr>
        <w:t xml:space="preserve"> phase by several mechanisms</w:t>
      </w:r>
      <w:r w:rsidR="00F2211E" w:rsidRPr="007E6AE3">
        <w:rPr>
          <w:szCs w:val="24"/>
        </w:rPr>
        <w:t>:</w:t>
      </w:r>
    </w:p>
    <w:p w14:paraId="16FF3D1C" w14:textId="77777777" w:rsidR="00927A33" w:rsidRPr="007E6AE3" w:rsidRDefault="00F2211E" w:rsidP="009C464A">
      <w:pPr>
        <w:pStyle w:val="ListParagraph"/>
        <w:numPr>
          <w:ilvl w:val="0"/>
          <w:numId w:val="6"/>
        </w:numPr>
        <w:spacing w:before="0" w:after="0"/>
        <w:ind w:left="357" w:hanging="357"/>
        <w:rPr>
          <w:szCs w:val="24"/>
        </w:rPr>
      </w:pPr>
      <w:r w:rsidRPr="007E6AE3">
        <w:rPr>
          <w:szCs w:val="24"/>
        </w:rPr>
        <w:t>the appointment of somebody</w:t>
      </w:r>
      <w:r w:rsidR="00927A33" w:rsidRPr="007E6AE3">
        <w:rPr>
          <w:szCs w:val="24"/>
        </w:rPr>
        <w:t xml:space="preserve"> highly experienced in these issues as chair or in a senior position</w:t>
      </w:r>
    </w:p>
    <w:p w14:paraId="63D9F897" w14:textId="77777777" w:rsidR="001966AA" w:rsidRPr="007E6AE3" w:rsidRDefault="001966AA" w:rsidP="009C464A">
      <w:pPr>
        <w:pStyle w:val="ListParagraph"/>
        <w:numPr>
          <w:ilvl w:val="0"/>
          <w:numId w:val="6"/>
        </w:numPr>
        <w:spacing w:before="0" w:after="0"/>
        <w:ind w:left="357" w:hanging="357"/>
        <w:rPr>
          <w:szCs w:val="24"/>
        </w:rPr>
      </w:pPr>
      <w:r w:rsidRPr="007E6AE3">
        <w:rPr>
          <w:szCs w:val="24"/>
        </w:rPr>
        <w:t>having the advantage of a commercialisation specialist giving advice</w:t>
      </w:r>
    </w:p>
    <w:p w14:paraId="492D9749" w14:textId="5AF40C43" w:rsidR="00927A33" w:rsidRPr="007E6AE3" w:rsidRDefault="00927A33" w:rsidP="009C464A">
      <w:pPr>
        <w:pStyle w:val="ListParagraph"/>
        <w:numPr>
          <w:ilvl w:val="0"/>
          <w:numId w:val="6"/>
        </w:numPr>
        <w:spacing w:before="0" w:after="0"/>
        <w:ind w:left="357" w:hanging="357"/>
        <w:rPr>
          <w:szCs w:val="24"/>
        </w:rPr>
      </w:pPr>
      <w:r w:rsidRPr="007E6AE3">
        <w:rPr>
          <w:szCs w:val="24"/>
        </w:rPr>
        <w:t xml:space="preserve">living through </w:t>
      </w:r>
      <w:r w:rsidR="001966AA" w:rsidRPr="007E6AE3">
        <w:rPr>
          <w:szCs w:val="24"/>
        </w:rPr>
        <w:t>‘</w:t>
      </w:r>
      <w:r w:rsidRPr="007E6AE3">
        <w:rPr>
          <w:szCs w:val="24"/>
        </w:rPr>
        <w:t>the school of hard knocks</w:t>
      </w:r>
      <w:r w:rsidR="001966AA" w:rsidRPr="007E6AE3">
        <w:rPr>
          <w:szCs w:val="24"/>
        </w:rPr>
        <w:t>’</w:t>
      </w:r>
    </w:p>
    <w:p w14:paraId="256D59DC" w14:textId="660B1B2C" w:rsidR="001C02A5" w:rsidRPr="007E6AE3" w:rsidRDefault="00627A53" w:rsidP="009C464A">
      <w:pPr>
        <w:pStyle w:val="ListParagraph"/>
        <w:numPr>
          <w:ilvl w:val="0"/>
          <w:numId w:val="6"/>
        </w:numPr>
        <w:spacing w:before="0" w:after="360"/>
        <w:rPr>
          <w:szCs w:val="24"/>
        </w:rPr>
      </w:pPr>
      <w:r w:rsidRPr="007E6AE3">
        <w:rPr>
          <w:szCs w:val="24"/>
        </w:rPr>
        <w:t xml:space="preserve">learning from the experience of dealing with patent attorneys, or </w:t>
      </w:r>
      <w:r w:rsidR="002207CA" w:rsidRPr="007E6AE3">
        <w:rPr>
          <w:szCs w:val="24"/>
        </w:rPr>
        <w:t>IP lawyers</w:t>
      </w:r>
      <w:r w:rsidR="005A4AD1" w:rsidRPr="007E6AE3">
        <w:rPr>
          <w:szCs w:val="24"/>
        </w:rPr>
        <w:t xml:space="preserve">, and </w:t>
      </w:r>
      <w:r w:rsidRPr="007E6AE3">
        <w:rPr>
          <w:szCs w:val="24"/>
        </w:rPr>
        <w:t>particularly from the familiarisation seminars and newsletters</w:t>
      </w:r>
      <w:r w:rsidR="00E55761" w:rsidRPr="007E6AE3">
        <w:rPr>
          <w:szCs w:val="24"/>
        </w:rPr>
        <w:t xml:space="preserve"> provided by them.</w:t>
      </w:r>
    </w:p>
    <w:p w14:paraId="48FB32A2" w14:textId="60FB7803" w:rsidR="00D97839" w:rsidRPr="007E6AE3" w:rsidRDefault="00E55761" w:rsidP="00E55761">
      <w:pPr>
        <w:rPr>
          <w:szCs w:val="24"/>
        </w:rPr>
      </w:pPr>
      <w:r w:rsidRPr="007E6AE3">
        <w:rPr>
          <w:szCs w:val="24"/>
        </w:rPr>
        <w:t>Clearly there are multiple sources of</w:t>
      </w:r>
      <w:r w:rsidR="00153A7F" w:rsidRPr="007E6AE3">
        <w:rPr>
          <w:szCs w:val="24"/>
        </w:rPr>
        <w:t xml:space="preserve"> education and training for would-be entrepreneurs</w:t>
      </w:r>
      <w:r w:rsidR="00082527" w:rsidRPr="007E6AE3">
        <w:rPr>
          <w:szCs w:val="24"/>
        </w:rPr>
        <w:t xml:space="preserve">, and the network of professional services firms is </w:t>
      </w:r>
      <w:r w:rsidR="002236B1" w:rsidRPr="007E6AE3">
        <w:rPr>
          <w:szCs w:val="24"/>
        </w:rPr>
        <w:t xml:space="preserve">very </w:t>
      </w:r>
      <w:r w:rsidR="00082527" w:rsidRPr="007E6AE3">
        <w:rPr>
          <w:szCs w:val="24"/>
        </w:rPr>
        <w:t>important in providing</w:t>
      </w:r>
      <w:r w:rsidR="00EC3348" w:rsidRPr="007E6AE3">
        <w:rPr>
          <w:szCs w:val="24"/>
        </w:rPr>
        <w:t xml:space="preserve"> such services. One university referred to the pro bono work done by a patent attorney firm, which offers to mentor student</w:t>
      </w:r>
      <w:r w:rsidR="00382A55" w:rsidRPr="007E6AE3">
        <w:rPr>
          <w:szCs w:val="24"/>
        </w:rPr>
        <w:t xml:space="preserve"> business start-ups in the principles of </w:t>
      </w:r>
      <w:r w:rsidR="00D67EF6" w:rsidRPr="007E6AE3">
        <w:rPr>
          <w:szCs w:val="24"/>
        </w:rPr>
        <w:t>IP</w:t>
      </w:r>
      <w:r w:rsidR="00382A55" w:rsidRPr="007E6AE3">
        <w:rPr>
          <w:szCs w:val="24"/>
        </w:rPr>
        <w:t xml:space="preserve"> </w:t>
      </w:r>
      <w:r w:rsidR="000517A6" w:rsidRPr="007E6AE3">
        <w:rPr>
          <w:szCs w:val="24"/>
        </w:rPr>
        <w:t>ownership.</w:t>
      </w:r>
      <w:r w:rsidR="00382A55" w:rsidRPr="007E6AE3">
        <w:rPr>
          <w:szCs w:val="24"/>
        </w:rPr>
        <w:t xml:space="preserve"> </w:t>
      </w:r>
    </w:p>
    <w:p w14:paraId="3A4BD952" w14:textId="62FA777A" w:rsidR="00E0314F" w:rsidRPr="007E6AE3" w:rsidRDefault="00E0314F" w:rsidP="79344E9E">
      <w:pPr>
        <w:rPr>
          <w:szCs w:val="24"/>
        </w:rPr>
      </w:pPr>
      <w:r w:rsidRPr="007E6AE3">
        <w:rPr>
          <w:szCs w:val="24"/>
        </w:rPr>
        <w:t>T</w:t>
      </w:r>
      <w:r w:rsidR="00D97839" w:rsidRPr="007E6AE3">
        <w:rPr>
          <w:szCs w:val="24"/>
        </w:rPr>
        <w:t xml:space="preserve">hese multiple sources of education </w:t>
      </w:r>
      <w:r w:rsidRPr="007E6AE3">
        <w:rPr>
          <w:szCs w:val="24"/>
        </w:rPr>
        <w:t xml:space="preserve">are highly valuable and </w:t>
      </w:r>
      <w:r w:rsidR="0026377E" w:rsidRPr="007E6AE3">
        <w:rPr>
          <w:szCs w:val="24"/>
        </w:rPr>
        <w:t>form an importan</w:t>
      </w:r>
      <w:r w:rsidR="557056CB" w:rsidRPr="007E6AE3">
        <w:rPr>
          <w:szCs w:val="24"/>
        </w:rPr>
        <w:t>t</w:t>
      </w:r>
      <w:r w:rsidR="3AE62D0A" w:rsidRPr="007E6AE3">
        <w:rPr>
          <w:szCs w:val="24"/>
        </w:rPr>
        <w:t xml:space="preserve"> part of the IP</w:t>
      </w:r>
      <w:r w:rsidR="009C464A">
        <w:rPr>
          <w:szCs w:val="24"/>
        </w:rPr>
        <w:t> </w:t>
      </w:r>
      <w:r w:rsidR="3AE62D0A" w:rsidRPr="007E6AE3">
        <w:rPr>
          <w:szCs w:val="24"/>
        </w:rPr>
        <w:t>ecosystem.</w:t>
      </w:r>
    </w:p>
    <w:p w14:paraId="73D26368" w14:textId="6C29D670" w:rsidR="009C464A" w:rsidRDefault="3AE62D0A" w:rsidP="79344E9E">
      <w:pPr>
        <w:rPr>
          <w:szCs w:val="24"/>
        </w:rPr>
      </w:pPr>
      <w:r w:rsidRPr="007E6AE3">
        <w:rPr>
          <w:szCs w:val="24"/>
        </w:rPr>
        <w:t xml:space="preserve">In terms of general community awareness of IP management principles, there seems to be room, at </w:t>
      </w:r>
      <w:r w:rsidR="00BB6DFF" w:rsidRPr="007E6AE3">
        <w:rPr>
          <w:szCs w:val="24"/>
        </w:rPr>
        <w:t>u</w:t>
      </w:r>
      <w:r w:rsidRPr="007E6AE3">
        <w:rPr>
          <w:szCs w:val="24"/>
        </w:rPr>
        <w:t xml:space="preserve">niversity level, for a </w:t>
      </w:r>
      <w:r w:rsidR="00BB6DFF" w:rsidRPr="007E6AE3">
        <w:rPr>
          <w:szCs w:val="24"/>
        </w:rPr>
        <w:t>G</w:t>
      </w:r>
      <w:r w:rsidRPr="007E6AE3">
        <w:rPr>
          <w:szCs w:val="24"/>
        </w:rPr>
        <w:t xml:space="preserve">raduate </w:t>
      </w:r>
      <w:r w:rsidR="00BB6DFF" w:rsidRPr="007E6AE3">
        <w:rPr>
          <w:szCs w:val="24"/>
        </w:rPr>
        <w:t>C</w:t>
      </w:r>
      <w:r w:rsidRPr="007E6AE3">
        <w:rPr>
          <w:szCs w:val="24"/>
        </w:rPr>
        <w:t xml:space="preserve">ertificate in </w:t>
      </w:r>
      <w:r w:rsidR="00BB6DFF" w:rsidRPr="007E6AE3">
        <w:rPr>
          <w:szCs w:val="24"/>
        </w:rPr>
        <w:t>I</w:t>
      </w:r>
      <w:r w:rsidRPr="007E6AE3">
        <w:rPr>
          <w:szCs w:val="24"/>
        </w:rPr>
        <w:t xml:space="preserve">ntellectual </w:t>
      </w:r>
      <w:r w:rsidR="00BB6DFF" w:rsidRPr="007E6AE3">
        <w:rPr>
          <w:szCs w:val="24"/>
        </w:rPr>
        <w:t>P</w:t>
      </w:r>
      <w:r w:rsidRPr="007E6AE3">
        <w:rPr>
          <w:szCs w:val="24"/>
        </w:rPr>
        <w:t xml:space="preserve">roperty </w:t>
      </w:r>
      <w:r w:rsidR="00BB6DFF" w:rsidRPr="007E6AE3">
        <w:rPr>
          <w:szCs w:val="24"/>
        </w:rPr>
        <w:t>M</w:t>
      </w:r>
      <w:r w:rsidRPr="007E6AE3">
        <w:rPr>
          <w:szCs w:val="24"/>
        </w:rPr>
        <w:t>anagement. This program could centre partly on law, but mainly on strategic business management</w:t>
      </w:r>
      <w:r w:rsidR="001966AA" w:rsidRPr="007E6AE3">
        <w:rPr>
          <w:szCs w:val="24"/>
        </w:rPr>
        <w:t xml:space="preserve">; </w:t>
      </w:r>
      <w:r w:rsidRPr="007E6AE3">
        <w:rPr>
          <w:szCs w:val="24"/>
        </w:rPr>
        <w:t>on issues such as whether to seek protection for some IP, or not to</w:t>
      </w:r>
      <w:r w:rsidR="001966AA" w:rsidRPr="007E6AE3">
        <w:rPr>
          <w:szCs w:val="24"/>
        </w:rPr>
        <w:t xml:space="preserve">; </w:t>
      </w:r>
      <w:r w:rsidRPr="007E6AE3">
        <w:rPr>
          <w:szCs w:val="24"/>
        </w:rPr>
        <w:t>business strategy</w:t>
      </w:r>
      <w:r w:rsidR="001966AA" w:rsidRPr="007E6AE3">
        <w:rPr>
          <w:szCs w:val="24"/>
        </w:rPr>
        <w:t>;</w:t>
      </w:r>
      <w:r w:rsidRPr="007E6AE3">
        <w:rPr>
          <w:szCs w:val="24"/>
        </w:rPr>
        <w:t xml:space="preserve"> and delineation of business purpose. This could be a business school program. The economic history of patenting is rich with case studies</w:t>
      </w:r>
      <w:r w:rsidR="001966AA" w:rsidRPr="007E6AE3">
        <w:rPr>
          <w:szCs w:val="24"/>
        </w:rPr>
        <w:t>,</w:t>
      </w:r>
      <w:r w:rsidRPr="007E6AE3">
        <w:rPr>
          <w:szCs w:val="24"/>
        </w:rPr>
        <w:t xml:space="preserve"> both in Australia and abroad, and </w:t>
      </w:r>
      <w:r w:rsidR="001966AA" w:rsidRPr="007E6AE3">
        <w:rPr>
          <w:szCs w:val="24"/>
        </w:rPr>
        <w:t xml:space="preserve">with </w:t>
      </w:r>
      <w:r w:rsidRPr="007E6AE3">
        <w:rPr>
          <w:szCs w:val="24"/>
        </w:rPr>
        <w:t>lessons to be learnt, going back to the use of monopolies by Queen Elizabeth I.</w:t>
      </w:r>
      <w:r w:rsidR="009C464A">
        <w:rPr>
          <w:szCs w:val="24"/>
        </w:rPr>
        <w:br w:type="page"/>
      </w:r>
    </w:p>
    <w:p w14:paraId="1CD9B383" w14:textId="74DAB107" w:rsidR="3AE62D0A" w:rsidRPr="009C464A" w:rsidRDefault="3AE62D0A" w:rsidP="79344E9E">
      <w:pPr>
        <w:rPr>
          <w:rFonts w:cs="Arial (Body CS)"/>
          <w:spacing w:val="-2"/>
          <w:szCs w:val="24"/>
          <w:highlight w:val="yellow"/>
        </w:rPr>
      </w:pPr>
      <w:r w:rsidRPr="009C464A">
        <w:rPr>
          <w:rFonts w:cs="Arial (Body CS)"/>
          <w:spacing w:val="-2"/>
          <w:szCs w:val="24"/>
        </w:rPr>
        <w:lastRenderedPageBreak/>
        <w:t>The Vocational Education Training (VET) sector has had some excellent programmes in IP management training. These have lapsed owing to low enrolments, but their content would certainly be useful to</w:t>
      </w:r>
      <w:r w:rsidR="00494CE9">
        <w:rPr>
          <w:rFonts w:cs="Arial (Body CS)"/>
          <w:spacing w:val="-2"/>
          <w:szCs w:val="24"/>
        </w:rPr>
        <w:t xml:space="preserve"> IP Australia</w:t>
      </w:r>
      <w:r w:rsidRPr="009C464A">
        <w:rPr>
          <w:rFonts w:cs="Arial (Body CS)"/>
          <w:spacing w:val="-2"/>
          <w:szCs w:val="24"/>
        </w:rPr>
        <w:t xml:space="preserve"> and Aus</w:t>
      </w:r>
      <w:r w:rsidR="00DF6BBA" w:rsidRPr="009C464A">
        <w:rPr>
          <w:rFonts w:cs="Arial (Body CS)"/>
          <w:spacing w:val="-2"/>
          <w:szCs w:val="24"/>
        </w:rPr>
        <w:t>I</w:t>
      </w:r>
      <w:r w:rsidRPr="009C464A">
        <w:rPr>
          <w:rFonts w:cs="Arial (Body CS)"/>
          <w:spacing w:val="-2"/>
          <w:szCs w:val="24"/>
        </w:rPr>
        <w:t xml:space="preserve">ndustry. </w:t>
      </w:r>
      <w:r w:rsidR="462DF3CA" w:rsidRPr="009C464A">
        <w:rPr>
          <w:rFonts w:cs="Arial (Body CS)"/>
          <w:spacing w:val="-2"/>
          <w:szCs w:val="24"/>
        </w:rPr>
        <w:t>They should not be lost to community knowledge.</w:t>
      </w:r>
    </w:p>
    <w:p w14:paraId="4EA97A54" w14:textId="42B927F3" w:rsidR="5B858157" w:rsidRPr="007E6AE3" w:rsidRDefault="5B858157" w:rsidP="79344E9E">
      <w:r w:rsidRPr="72EB7D45">
        <w:t>Incidentally</w:t>
      </w:r>
      <w:r w:rsidR="001966AA" w:rsidRPr="007E6AE3">
        <w:rPr>
          <w:szCs w:val="24"/>
        </w:rPr>
        <w:t>,</w:t>
      </w:r>
      <w:r w:rsidRPr="72EB7D45">
        <w:t xml:space="preserve"> it</w:t>
      </w:r>
      <w:r w:rsidR="462DF3CA" w:rsidRPr="72EB7D45">
        <w:t xml:space="preserve"> is</w:t>
      </w:r>
      <w:r w:rsidR="4BD10F19" w:rsidRPr="72EB7D45">
        <w:t xml:space="preserve"> noted that</w:t>
      </w:r>
      <w:r w:rsidR="1B6F315F" w:rsidRPr="72EB7D45">
        <w:t xml:space="preserve"> s</w:t>
      </w:r>
      <w:r w:rsidR="20DB9C99" w:rsidRPr="72EB7D45">
        <w:t xml:space="preserve">ignificantly more managers in </w:t>
      </w:r>
      <w:r w:rsidR="070A9E9E" w:rsidRPr="72EB7D45">
        <w:t>i</w:t>
      </w:r>
      <w:r w:rsidR="20DB9C99" w:rsidRPr="72EB7D45">
        <w:t xml:space="preserve">ndustries such as manufacturing reported </w:t>
      </w:r>
      <w:r w:rsidR="001966AA" w:rsidRPr="72EB7D45">
        <w:t xml:space="preserve">having </w:t>
      </w:r>
      <w:r w:rsidR="20DB9C99" w:rsidRPr="72EB7D45">
        <w:t>VET</w:t>
      </w:r>
      <w:r w:rsidR="001966AA" w:rsidRPr="007E6AE3">
        <w:rPr>
          <w:szCs w:val="24"/>
        </w:rPr>
        <w:t>-</w:t>
      </w:r>
      <w:r w:rsidR="20DB9C99" w:rsidRPr="72EB7D45">
        <w:t>level education</w:t>
      </w:r>
      <w:r w:rsidR="001966AA" w:rsidRPr="007E6AE3">
        <w:rPr>
          <w:szCs w:val="24"/>
        </w:rPr>
        <w:t>,</w:t>
      </w:r>
      <w:r w:rsidR="20DB9C99" w:rsidRPr="72EB7D45">
        <w:t xml:space="preserve"> compared </w:t>
      </w:r>
      <w:r w:rsidR="001966AA" w:rsidRPr="72EB7D45">
        <w:t xml:space="preserve">with </w:t>
      </w:r>
      <w:r w:rsidR="20DB9C99" w:rsidRPr="72EB7D45">
        <w:t>university education</w:t>
      </w:r>
      <w:r w:rsidR="20DB9C99" w:rsidRPr="007E6AE3">
        <w:rPr>
          <w:szCs w:val="24"/>
        </w:rPr>
        <w:t xml:space="preserve"> </w:t>
      </w:r>
      <w:r w:rsidR="00BC3F9C">
        <w:t>–</w:t>
      </w:r>
      <w:r w:rsidR="00BF0177">
        <w:t xml:space="preserve"> </w:t>
      </w:r>
      <w:r w:rsidR="341AB8A7" w:rsidRPr="72EB7D45">
        <w:t>and manufacturing tends to patent more than other sectors.</w:t>
      </w:r>
      <w:r w:rsidR="00861044" w:rsidRPr="007E6AE3">
        <w:rPr>
          <w:szCs w:val="24"/>
        </w:rPr>
        <w:t xml:space="preserve"> </w:t>
      </w:r>
      <w:r w:rsidRPr="72EB7D45">
        <w:rPr>
          <w:rStyle w:val="FootnoteReference"/>
        </w:rPr>
        <w:footnoteReference w:id="32"/>
      </w:r>
    </w:p>
    <w:p w14:paraId="5FF52839" w14:textId="6EA35E4D" w:rsidR="10193185" w:rsidRPr="009C464A" w:rsidRDefault="10193185" w:rsidP="79344E9E">
      <w:pPr>
        <w:rPr>
          <w:rFonts w:cs="Arial (Body CS)"/>
          <w:spacing w:val="-4"/>
          <w:szCs w:val="24"/>
        </w:rPr>
      </w:pPr>
      <w:r w:rsidRPr="009C464A">
        <w:rPr>
          <w:rFonts w:cs="Arial (Body CS)"/>
          <w:spacing w:val="-4"/>
          <w:szCs w:val="24"/>
        </w:rPr>
        <w:t xml:space="preserve">There is room for cooperation between the </w:t>
      </w:r>
      <w:r w:rsidR="705E9EE9" w:rsidRPr="009C464A">
        <w:rPr>
          <w:rFonts w:cs="Arial (Body CS)"/>
          <w:spacing w:val="-4"/>
          <w:szCs w:val="24"/>
        </w:rPr>
        <w:t>VET</w:t>
      </w:r>
      <w:r w:rsidRPr="009C464A">
        <w:rPr>
          <w:rFonts w:cs="Arial (Body CS)"/>
          <w:spacing w:val="-4"/>
          <w:szCs w:val="24"/>
        </w:rPr>
        <w:t xml:space="preserve"> and university sector</w:t>
      </w:r>
      <w:r w:rsidR="001966AA" w:rsidRPr="009C464A">
        <w:rPr>
          <w:rFonts w:cs="Arial (Body CS)"/>
          <w:spacing w:val="-4"/>
          <w:szCs w:val="24"/>
        </w:rPr>
        <w:t>s</w:t>
      </w:r>
      <w:r w:rsidRPr="009C464A">
        <w:rPr>
          <w:rFonts w:cs="Arial (Body CS)"/>
          <w:spacing w:val="-4"/>
          <w:szCs w:val="24"/>
        </w:rPr>
        <w:t xml:space="preserve">, and </w:t>
      </w:r>
      <w:r w:rsidR="3ECBEBA7" w:rsidRPr="009C464A">
        <w:rPr>
          <w:rFonts w:cs="Arial (Body CS)"/>
          <w:spacing w:val="-4"/>
          <w:szCs w:val="24"/>
        </w:rPr>
        <w:t>Aus</w:t>
      </w:r>
      <w:r w:rsidR="00733094" w:rsidRPr="009C464A">
        <w:rPr>
          <w:rFonts w:cs="Arial (Body CS)"/>
          <w:spacing w:val="-4"/>
          <w:szCs w:val="24"/>
        </w:rPr>
        <w:t>I</w:t>
      </w:r>
      <w:r w:rsidRPr="009C464A">
        <w:rPr>
          <w:rFonts w:cs="Arial (Body CS)"/>
          <w:spacing w:val="-4"/>
          <w:szCs w:val="24"/>
        </w:rPr>
        <w:t>ndustry and IP</w:t>
      </w:r>
      <w:r w:rsidR="007A4CD4">
        <w:rPr>
          <w:rFonts w:cs="Arial (Body CS)"/>
          <w:spacing w:val="-4"/>
          <w:szCs w:val="24"/>
        </w:rPr>
        <w:t> </w:t>
      </w:r>
      <w:r w:rsidRPr="009C464A">
        <w:rPr>
          <w:rFonts w:cs="Arial (Body CS)"/>
          <w:spacing w:val="-4"/>
          <w:szCs w:val="24"/>
        </w:rPr>
        <w:t>Australia in developing joint education programs.</w:t>
      </w:r>
      <w:r w:rsidR="71DAAD54" w:rsidRPr="009C464A">
        <w:rPr>
          <w:rFonts w:cs="Arial (Body CS)"/>
          <w:spacing w:val="-4"/>
          <w:szCs w:val="24"/>
        </w:rPr>
        <w:t xml:space="preserve"> </w:t>
      </w:r>
      <w:r w:rsidR="6BC273B4" w:rsidRPr="009C464A">
        <w:rPr>
          <w:rFonts w:cs="Arial (Body CS)"/>
          <w:spacing w:val="-4"/>
          <w:szCs w:val="24"/>
        </w:rPr>
        <w:t xml:space="preserve">In the </w:t>
      </w:r>
      <w:r w:rsidR="56296A72" w:rsidRPr="009C464A">
        <w:rPr>
          <w:rFonts w:cs="Arial (Body CS)"/>
          <w:spacing w:val="-4"/>
          <w:szCs w:val="24"/>
        </w:rPr>
        <w:t>era</w:t>
      </w:r>
      <w:r w:rsidR="6BC273B4" w:rsidRPr="009C464A">
        <w:rPr>
          <w:rFonts w:cs="Arial (Body CS)"/>
          <w:spacing w:val="-4"/>
          <w:szCs w:val="24"/>
        </w:rPr>
        <w:t xml:space="preserve"> of micro</w:t>
      </w:r>
      <w:r w:rsidR="004E6DEF" w:rsidRPr="009C464A">
        <w:rPr>
          <w:rFonts w:cs="Arial (Body CS)"/>
          <w:spacing w:val="-4"/>
          <w:szCs w:val="24"/>
        </w:rPr>
        <w:t>-</w:t>
      </w:r>
      <w:r w:rsidR="6BC273B4" w:rsidRPr="009C464A">
        <w:rPr>
          <w:rFonts w:cs="Arial (Body CS)"/>
          <w:spacing w:val="-4"/>
          <w:szCs w:val="24"/>
        </w:rPr>
        <w:t>credentials, or modules, there is plenty of opportunity for constructive collaboration between the four parties</w:t>
      </w:r>
      <w:r w:rsidR="1602C625" w:rsidRPr="009C464A">
        <w:rPr>
          <w:rFonts w:cs="Arial (Body CS)"/>
          <w:spacing w:val="-4"/>
          <w:szCs w:val="24"/>
        </w:rPr>
        <w:t>.</w:t>
      </w:r>
    </w:p>
    <w:p w14:paraId="665CE72B" w14:textId="42E3A8CE" w:rsidR="4E5C8A6D" w:rsidRPr="007E6AE3" w:rsidRDefault="4E5C8A6D" w:rsidP="79344E9E">
      <w:pPr>
        <w:rPr>
          <w:szCs w:val="24"/>
        </w:rPr>
      </w:pPr>
      <w:r w:rsidRPr="007E6AE3">
        <w:rPr>
          <w:szCs w:val="24"/>
        </w:rPr>
        <w:t>The specialists in commercialisation with whom we spoke</w:t>
      </w:r>
      <w:r w:rsidR="001422EA" w:rsidRPr="007E6AE3">
        <w:rPr>
          <w:szCs w:val="24"/>
        </w:rPr>
        <w:t xml:space="preserve"> </w:t>
      </w:r>
      <w:r w:rsidR="00B77C40" w:rsidRPr="007E6AE3">
        <w:rPr>
          <w:szCs w:val="24"/>
        </w:rPr>
        <w:t>(</w:t>
      </w:r>
      <w:r w:rsidRPr="007E6AE3">
        <w:rPr>
          <w:szCs w:val="24"/>
        </w:rPr>
        <w:t>noting that these were not specialist patent attorneys or lawyers, but commercialisation experts</w:t>
      </w:r>
      <w:r w:rsidR="00B77C40" w:rsidRPr="007E6AE3">
        <w:rPr>
          <w:szCs w:val="24"/>
        </w:rPr>
        <w:t>)</w:t>
      </w:r>
      <w:r w:rsidR="001422EA" w:rsidRPr="007E6AE3">
        <w:rPr>
          <w:szCs w:val="24"/>
        </w:rPr>
        <w:t xml:space="preserve"> </w:t>
      </w:r>
      <w:r w:rsidRPr="007E6AE3">
        <w:rPr>
          <w:szCs w:val="24"/>
        </w:rPr>
        <w:t>emphasised the need for a patent strategy to be housed within an overall commercial strategy: that one could not have a patent strategy by itself. The advice is as follows: establish the purpose and goals of your business first, and then see how or whether IP rights fit into this.</w:t>
      </w:r>
      <w:r w:rsidR="00861044" w:rsidRPr="007E6AE3">
        <w:rPr>
          <w:szCs w:val="24"/>
        </w:rPr>
        <w:t xml:space="preserve"> </w:t>
      </w:r>
      <w:r w:rsidRPr="007E6AE3">
        <w:rPr>
          <w:szCs w:val="24"/>
        </w:rPr>
        <w:t xml:space="preserve">This was echoed by some experienced members of the </w:t>
      </w:r>
      <w:r w:rsidR="00BB6DFF" w:rsidRPr="007E6AE3">
        <w:rPr>
          <w:szCs w:val="24"/>
        </w:rPr>
        <w:t>SME</w:t>
      </w:r>
      <w:r w:rsidRPr="007E6AE3">
        <w:rPr>
          <w:szCs w:val="24"/>
        </w:rPr>
        <w:t xml:space="preserve"> community.</w:t>
      </w:r>
      <w:r w:rsidR="00861044" w:rsidRPr="007E6AE3">
        <w:rPr>
          <w:szCs w:val="24"/>
        </w:rPr>
        <w:t xml:space="preserve"> </w:t>
      </w:r>
      <w:r w:rsidRPr="007E6AE3">
        <w:rPr>
          <w:szCs w:val="24"/>
        </w:rPr>
        <w:t>A commercialisation advisor said that</w:t>
      </w:r>
      <w:r w:rsidR="00CB2DDC" w:rsidRPr="007E6AE3">
        <w:rPr>
          <w:szCs w:val="24"/>
        </w:rPr>
        <w:t>,</w:t>
      </w:r>
      <w:r w:rsidRPr="007E6AE3">
        <w:rPr>
          <w:szCs w:val="24"/>
        </w:rPr>
        <w:t xml:space="preserve"> when asked about the advisability of patenting or not, he would always ask the question </w:t>
      </w:r>
      <w:r w:rsidR="000D6268" w:rsidRPr="007E6AE3">
        <w:rPr>
          <w:i/>
          <w:iCs/>
          <w:szCs w:val="24"/>
        </w:rPr>
        <w:t>‘</w:t>
      </w:r>
      <w:r w:rsidR="00CB2DDC" w:rsidRPr="007E6AE3">
        <w:rPr>
          <w:i/>
          <w:iCs/>
          <w:szCs w:val="24"/>
        </w:rPr>
        <w:t>W</w:t>
      </w:r>
      <w:r w:rsidRPr="007E6AE3">
        <w:rPr>
          <w:i/>
          <w:iCs/>
          <w:szCs w:val="24"/>
        </w:rPr>
        <w:t>hat are you seeking to prevent?</w:t>
      </w:r>
      <w:r w:rsidR="000D6268" w:rsidRPr="007E6AE3">
        <w:rPr>
          <w:i/>
          <w:iCs/>
          <w:szCs w:val="24"/>
        </w:rPr>
        <w:t>’</w:t>
      </w:r>
    </w:p>
    <w:p w14:paraId="41979D8B" w14:textId="32CFC9D1" w:rsidR="00637B06" w:rsidRPr="007E6AE3" w:rsidRDefault="4E5C8A6D" w:rsidP="79344E9E">
      <w:pPr>
        <w:rPr>
          <w:i/>
          <w:iCs/>
          <w:szCs w:val="24"/>
        </w:rPr>
      </w:pPr>
      <w:r w:rsidRPr="007E6AE3">
        <w:rPr>
          <w:szCs w:val="24"/>
        </w:rPr>
        <w:t xml:space="preserve">One respondent said </w:t>
      </w:r>
      <w:r w:rsidR="000D6268" w:rsidRPr="007E6AE3">
        <w:rPr>
          <w:i/>
          <w:iCs/>
          <w:szCs w:val="24"/>
        </w:rPr>
        <w:t>‘</w:t>
      </w:r>
      <w:r w:rsidRPr="007E6AE3">
        <w:rPr>
          <w:i/>
          <w:iCs/>
          <w:szCs w:val="24"/>
        </w:rPr>
        <w:t>If you just have a patent strategy you’ll go down in flames.</w:t>
      </w:r>
      <w:r w:rsidR="00252F44" w:rsidRPr="007E6AE3">
        <w:rPr>
          <w:i/>
          <w:iCs/>
          <w:szCs w:val="24"/>
        </w:rPr>
        <w:t>’</w:t>
      </w:r>
      <w:r w:rsidRPr="007E6AE3">
        <w:rPr>
          <w:i/>
          <w:iCs/>
          <w:szCs w:val="24"/>
        </w:rPr>
        <w:t xml:space="preserve"> </w:t>
      </w:r>
    </w:p>
    <w:p w14:paraId="5E44BBFD" w14:textId="687E2EBD" w:rsidR="4E5C8A6D" w:rsidRPr="007E6AE3" w:rsidRDefault="4E5C8A6D" w:rsidP="79344E9E">
      <w:pPr>
        <w:rPr>
          <w:i/>
          <w:iCs/>
          <w:szCs w:val="24"/>
        </w:rPr>
      </w:pPr>
      <w:r w:rsidRPr="007E6AE3">
        <w:rPr>
          <w:szCs w:val="24"/>
        </w:rPr>
        <w:t xml:space="preserve">Another said: </w:t>
      </w:r>
      <w:r w:rsidR="00637B06" w:rsidRPr="007E6AE3">
        <w:rPr>
          <w:i/>
          <w:iCs/>
          <w:szCs w:val="24"/>
        </w:rPr>
        <w:t>‘</w:t>
      </w:r>
      <w:r w:rsidRPr="007E6AE3">
        <w:rPr>
          <w:i/>
          <w:iCs/>
          <w:szCs w:val="24"/>
        </w:rPr>
        <w:t>If you have a scientist that doesn’t have a strong business acumen, you end up missing strategy</w:t>
      </w:r>
      <w:r w:rsidR="000D6268" w:rsidRPr="007E6AE3">
        <w:rPr>
          <w:i/>
          <w:iCs/>
          <w:szCs w:val="24"/>
        </w:rPr>
        <w:t>.’</w:t>
      </w:r>
    </w:p>
    <w:p w14:paraId="70C2F538" w14:textId="4BD4045E" w:rsidR="00CB2DDC" w:rsidRPr="007E6AE3" w:rsidRDefault="4E5C8A6D" w:rsidP="79344E9E">
      <w:pPr>
        <w:rPr>
          <w:szCs w:val="24"/>
        </w:rPr>
      </w:pPr>
      <w:r w:rsidRPr="007E6AE3">
        <w:rPr>
          <w:szCs w:val="24"/>
        </w:rPr>
        <w:t>There are two points here</w:t>
      </w:r>
      <w:r w:rsidR="00CB2DDC" w:rsidRPr="007E6AE3">
        <w:rPr>
          <w:szCs w:val="24"/>
        </w:rPr>
        <w:t>:</w:t>
      </w:r>
    </w:p>
    <w:p w14:paraId="61A41E53" w14:textId="0081177C" w:rsidR="00CB2DDC" w:rsidRPr="007E6AE3" w:rsidRDefault="4E5C8A6D" w:rsidP="008100E0">
      <w:pPr>
        <w:pStyle w:val="ListParagraph"/>
        <w:rPr>
          <w:szCs w:val="24"/>
        </w:rPr>
      </w:pPr>
      <w:r w:rsidRPr="007E6AE3">
        <w:rPr>
          <w:szCs w:val="24"/>
        </w:rPr>
        <w:t>Ideally</w:t>
      </w:r>
      <w:r w:rsidR="001966AA" w:rsidRPr="007E6AE3">
        <w:rPr>
          <w:szCs w:val="24"/>
        </w:rPr>
        <w:t>,</w:t>
      </w:r>
      <w:r w:rsidRPr="007E6AE3">
        <w:rPr>
          <w:szCs w:val="24"/>
        </w:rPr>
        <w:t xml:space="preserve"> education in IP rights must be accompanied by, or contained within, education in commercial strategy. </w:t>
      </w:r>
    </w:p>
    <w:p w14:paraId="18712132" w14:textId="741D522D" w:rsidR="4E5C8A6D" w:rsidRPr="007E6AE3" w:rsidRDefault="4E5C8A6D" w:rsidP="008100E0">
      <w:pPr>
        <w:pStyle w:val="ListParagraph"/>
        <w:rPr>
          <w:szCs w:val="24"/>
        </w:rPr>
      </w:pPr>
      <w:r w:rsidRPr="007E6AE3">
        <w:rPr>
          <w:szCs w:val="24"/>
        </w:rPr>
        <w:t>Secondly, the educational programs must reach the appropriate audience. Lack of awareness of</w:t>
      </w:r>
      <w:r w:rsidR="00494CE9">
        <w:rPr>
          <w:szCs w:val="24"/>
        </w:rPr>
        <w:t xml:space="preserve"> IP Australia</w:t>
      </w:r>
      <w:r w:rsidRPr="007E6AE3">
        <w:rPr>
          <w:szCs w:val="24"/>
        </w:rPr>
        <w:t xml:space="preserve"> educational programs appears to be widespread, despite</w:t>
      </w:r>
      <w:r w:rsidR="00494CE9">
        <w:rPr>
          <w:szCs w:val="24"/>
        </w:rPr>
        <w:t xml:space="preserve"> IP</w:t>
      </w:r>
      <w:r w:rsidR="007A4CD4">
        <w:rPr>
          <w:szCs w:val="24"/>
        </w:rPr>
        <w:t> </w:t>
      </w:r>
      <w:r w:rsidR="00494CE9">
        <w:rPr>
          <w:szCs w:val="24"/>
        </w:rPr>
        <w:t>Australia</w:t>
      </w:r>
      <w:r w:rsidR="00DC1378" w:rsidRPr="007E6AE3">
        <w:rPr>
          <w:szCs w:val="24"/>
        </w:rPr>
        <w:t xml:space="preserve">’s </w:t>
      </w:r>
      <w:r w:rsidRPr="007E6AE3">
        <w:rPr>
          <w:szCs w:val="24"/>
        </w:rPr>
        <w:t>enormous efforts to reach this target audience.</w:t>
      </w:r>
    </w:p>
    <w:p w14:paraId="72BA1A9D" w14:textId="77777777" w:rsidR="003F612E" w:rsidRDefault="003F612E">
      <w:pPr>
        <w:rPr>
          <w:rFonts w:asciiTheme="majorHAnsi" w:eastAsiaTheme="majorEastAsia" w:hAnsiTheme="majorHAnsi" w:cstheme="majorBidi"/>
          <w:color w:val="005677" w:themeColor="text2"/>
          <w:sz w:val="48"/>
          <w:szCs w:val="32"/>
        </w:rPr>
      </w:pPr>
      <w:bookmarkStart w:id="227" w:name="_Toc60760630"/>
      <w:bookmarkStart w:id="228" w:name="_Toc60834816"/>
      <w:bookmarkStart w:id="229" w:name="_Toc60836766"/>
      <w:bookmarkStart w:id="230" w:name="_Toc60997754"/>
      <w:bookmarkStart w:id="231" w:name="_Toc61015568"/>
      <w:r>
        <w:br w:type="page"/>
      </w:r>
    </w:p>
    <w:p w14:paraId="768EC7B1" w14:textId="732522EF" w:rsidR="00A76C4B" w:rsidRDefault="00B212FE" w:rsidP="00102432">
      <w:pPr>
        <w:pStyle w:val="Heading1"/>
      </w:pPr>
      <w:bookmarkStart w:id="232" w:name="_Toc61269600"/>
      <w:bookmarkStart w:id="233" w:name="_Toc61356708"/>
      <w:bookmarkStart w:id="234" w:name="_Toc65159318"/>
      <w:r>
        <w:lastRenderedPageBreak/>
        <w:t>8</w:t>
      </w:r>
      <w:r w:rsidR="00A76C4B">
        <w:t xml:space="preserve"> </w:t>
      </w:r>
      <w:r w:rsidR="004F0485" w:rsidRPr="00121AF7">
        <w:t>IP is scary</w:t>
      </w:r>
      <w:bookmarkEnd w:id="227"/>
      <w:bookmarkEnd w:id="228"/>
      <w:bookmarkEnd w:id="229"/>
      <w:bookmarkEnd w:id="230"/>
      <w:bookmarkEnd w:id="231"/>
      <w:bookmarkEnd w:id="232"/>
      <w:bookmarkEnd w:id="233"/>
      <w:bookmarkEnd w:id="234"/>
    </w:p>
    <w:p w14:paraId="4BD03218" w14:textId="06F336DB" w:rsidR="004F0485" w:rsidRPr="00D570E5" w:rsidRDefault="004F0485" w:rsidP="00585B6B">
      <w:pPr>
        <w:pStyle w:val="Quote"/>
      </w:pPr>
      <w:r w:rsidRPr="00D570E5">
        <w:t>I'm a clinician and I think both in the clinical sciences and biomedical scien</w:t>
      </w:r>
      <w:r w:rsidR="00587709">
        <w:t>ces, I think genuinely there's</w:t>
      </w:r>
      <w:r w:rsidRPr="00D570E5">
        <w:t xml:space="preserve"> almost a complete lack of understanding of the </w:t>
      </w:r>
      <w:r w:rsidRPr="00176125">
        <w:rPr>
          <w:szCs w:val="28"/>
        </w:rPr>
        <w:t>whole</w:t>
      </w:r>
      <w:r w:rsidRPr="00B938F1">
        <w:rPr>
          <w:szCs w:val="28"/>
        </w:rPr>
        <w:t xml:space="preserve"> </w:t>
      </w:r>
      <w:r w:rsidRPr="00D570E5">
        <w:t>[patent] process.</w:t>
      </w:r>
      <w:r w:rsidR="00BB6DFF">
        <w:t xml:space="preserve"> </w:t>
      </w:r>
      <w:r w:rsidRPr="00D570E5">
        <w:t>IP is scary. The thought of a patent...there's just generally a lack of understanding and I think that applies to many researcher</w:t>
      </w:r>
      <w:r w:rsidR="00D570E5">
        <w:t>s</w:t>
      </w:r>
      <w:r w:rsidR="004C29CC" w:rsidRPr="00D570E5">
        <w:t>.</w:t>
      </w:r>
    </w:p>
    <w:p w14:paraId="2B67C4D5" w14:textId="03F6776D" w:rsidR="00E91439" w:rsidRPr="007E6AE3" w:rsidRDefault="002F7B89" w:rsidP="00A67616">
      <w:pPr>
        <w:spacing w:before="240" w:after="240"/>
        <w:rPr>
          <w:szCs w:val="24"/>
        </w:rPr>
      </w:pPr>
      <w:r w:rsidRPr="007E6AE3">
        <w:rPr>
          <w:szCs w:val="24"/>
        </w:rPr>
        <w:t>A</w:t>
      </w:r>
      <w:r w:rsidR="00ED59FF" w:rsidRPr="007E6AE3">
        <w:rPr>
          <w:szCs w:val="24"/>
        </w:rPr>
        <w:t xml:space="preserve"> particular problem is the</w:t>
      </w:r>
      <w:r w:rsidR="00A26E3B" w:rsidRPr="007E6AE3">
        <w:rPr>
          <w:szCs w:val="24"/>
        </w:rPr>
        <w:t xml:space="preserve"> difficulty </w:t>
      </w:r>
      <w:r w:rsidR="00A03A50" w:rsidRPr="007E6AE3">
        <w:rPr>
          <w:szCs w:val="24"/>
        </w:rPr>
        <w:t>STEM</w:t>
      </w:r>
      <w:r w:rsidR="0095738B">
        <w:rPr>
          <w:szCs w:val="24"/>
        </w:rPr>
        <w:t xml:space="preserve"> (</w:t>
      </w:r>
      <w:r w:rsidR="003D25C3">
        <w:rPr>
          <w:szCs w:val="24"/>
        </w:rPr>
        <w:t>science, technology, engineering</w:t>
      </w:r>
      <w:r w:rsidR="00A26E3B" w:rsidRPr="007E6AE3">
        <w:rPr>
          <w:szCs w:val="24"/>
        </w:rPr>
        <w:t xml:space="preserve"> and </w:t>
      </w:r>
      <w:r w:rsidR="003D25C3">
        <w:rPr>
          <w:szCs w:val="24"/>
        </w:rPr>
        <w:t>mathematics</w:t>
      </w:r>
      <w:r w:rsidR="0095738B">
        <w:rPr>
          <w:szCs w:val="24"/>
        </w:rPr>
        <w:t>)</w:t>
      </w:r>
      <w:r w:rsidR="003D25C3" w:rsidRPr="007E6AE3">
        <w:rPr>
          <w:szCs w:val="24"/>
        </w:rPr>
        <w:t xml:space="preserve"> </w:t>
      </w:r>
      <w:r w:rsidR="00A26E3B" w:rsidRPr="007E6AE3">
        <w:rPr>
          <w:szCs w:val="24"/>
        </w:rPr>
        <w:t>graduates have with legal thinking and terminology</w:t>
      </w:r>
      <w:r w:rsidR="00266FE1" w:rsidRPr="007E6AE3">
        <w:rPr>
          <w:szCs w:val="24"/>
        </w:rPr>
        <w:t>.</w:t>
      </w:r>
      <w:r w:rsidR="00F83B6A" w:rsidRPr="007E6AE3">
        <w:rPr>
          <w:szCs w:val="24"/>
        </w:rPr>
        <w:t xml:space="preserve"> It appears to be unfamiliar terrain for many, despite the many excellent initiatives which universities </w:t>
      </w:r>
      <w:r w:rsidR="00435440" w:rsidRPr="007E6AE3">
        <w:rPr>
          <w:szCs w:val="24"/>
        </w:rPr>
        <w:t>have</w:t>
      </w:r>
      <w:r w:rsidR="00F83B6A" w:rsidRPr="007E6AE3">
        <w:rPr>
          <w:szCs w:val="24"/>
        </w:rPr>
        <w:t xml:space="preserve"> undertaken in recent years</w:t>
      </w:r>
      <w:r w:rsidR="00627B64" w:rsidRPr="007E6AE3">
        <w:rPr>
          <w:szCs w:val="24"/>
        </w:rPr>
        <w:t xml:space="preserve"> to integrate the </w:t>
      </w:r>
      <w:r w:rsidR="006642BF" w:rsidRPr="007E6AE3">
        <w:rPr>
          <w:szCs w:val="24"/>
        </w:rPr>
        <w:t xml:space="preserve">different </w:t>
      </w:r>
      <w:r w:rsidR="00627B64" w:rsidRPr="007E6AE3">
        <w:rPr>
          <w:szCs w:val="24"/>
        </w:rPr>
        <w:t>types of training</w:t>
      </w:r>
      <w:r w:rsidR="00372648" w:rsidRPr="007E6AE3">
        <w:rPr>
          <w:szCs w:val="24"/>
        </w:rPr>
        <w:t xml:space="preserve">: </w:t>
      </w:r>
      <w:r w:rsidR="006642BF" w:rsidRPr="007E6AE3">
        <w:rPr>
          <w:szCs w:val="24"/>
        </w:rPr>
        <w:t>legal and scientific</w:t>
      </w:r>
      <w:r w:rsidR="00627B64" w:rsidRPr="007E6AE3">
        <w:rPr>
          <w:szCs w:val="24"/>
        </w:rPr>
        <w:t>.</w:t>
      </w:r>
      <w:r w:rsidR="00BA22AC" w:rsidRPr="007E6AE3">
        <w:rPr>
          <w:szCs w:val="24"/>
        </w:rPr>
        <w:t xml:space="preserve"> </w:t>
      </w:r>
      <w:r w:rsidR="00970F42" w:rsidRPr="007E6AE3">
        <w:rPr>
          <w:szCs w:val="24"/>
        </w:rPr>
        <w:t xml:space="preserve">It seems that </w:t>
      </w:r>
      <w:r w:rsidR="00CB333E" w:rsidRPr="007E6AE3">
        <w:rPr>
          <w:szCs w:val="24"/>
        </w:rPr>
        <w:t>legal terminology has a particular migraine</w:t>
      </w:r>
      <w:r w:rsidR="00372648" w:rsidRPr="007E6AE3">
        <w:rPr>
          <w:szCs w:val="24"/>
        </w:rPr>
        <w:t>-</w:t>
      </w:r>
      <w:r w:rsidR="00CB333E" w:rsidRPr="007E6AE3">
        <w:rPr>
          <w:szCs w:val="24"/>
        </w:rPr>
        <w:t xml:space="preserve">inducing capacity </w:t>
      </w:r>
      <w:r w:rsidR="00F502B3" w:rsidRPr="007E6AE3">
        <w:rPr>
          <w:szCs w:val="24"/>
        </w:rPr>
        <w:t xml:space="preserve">and represents an unfamiliar kind of abstraction for those who are used to </w:t>
      </w:r>
      <w:r w:rsidR="00E91439" w:rsidRPr="007E6AE3">
        <w:rPr>
          <w:szCs w:val="24"/>
        </w:rPr>
        <w:t>watching ho</w:t>
      </w:r>
      <w:r w:rsidR="00F3106E" w:rsidRPr="007E6AE3">
        <w:rPr>
          <w:szCs w:val="24"/>
        </w:rPr>
        <w:t>w the physical world plays out.</w:t>
      </w:r>
      <w:r w:rsidR="00DF6BBA" w:rsidRPr="007E6AE3">
        <w:rPr>
          <w:szCs w:val="24"/>
        </w:rPr>
        <w:t xml:space="preserve"> </w:t>
      </w:r>
      <w:r w:rsidR="00B74178" w:rsidRPr="007E6AE3">
        <w:rPr>
          <w:szCs w:val="24"/>
        </w:rPr>
        <w:t xml:space="preserve">This means that </w:t>
      </w:r>
      <w:r w:rsidR="00176742" w:rsidRPr="007E6AE3">
        <w:rPr>
          <w:szCs w:val="24"/>
        </w:rPr>
        <w:t xml:space="preserve">significant </w:t>
      </w:r>
      <w:r w:rsidR="00AA492B" w:rsidRPr="007E6AE3">
        <w:rPr>
          <w:szCs w:val="24"/>
        </w:rPr>
        <w:t xml:space="preserve">thought and expertise has to go into communication </w:t>
      </w:r>
      <w:r w:rsidR="00CA6C26" w:rsidRPr="007E6AE3">
        <w:rPr>
          <w:szCs w:val="24"/>
        </w:rPr>
        <w:t>about</w:t>
      </w:r>
      <w:r w:rsidR="00461DE5" w:rsidRPr="007E6AE3">
        <w:rPr>
          <w:szCs w:val="24"/>
        </w:rPr>
        <w:t xml:space="preserve"> the work of</w:t>
      </w:r>
      <w:r w:rsidR="00494CE9">
        <w:rPr>
          <w:szCs w:val="24"/>
        </w:rPr>
        <w:t xml:space="preserve"> IP Australia</w:t>
      </w:r>
      <w:r w:rsidR="1A5DD045" w:rsidRPr="007E6AE3">
        <w:rPr>
          <w:szCs w:val="24"/>
        </w:rPr>
        <w:t>, Aus</w:t>
      </w:r>
      <w:r w:rsidR="00BB6DFF" w:rsidRPr="007E6AE3">
        <w:rPr>
          <w:szCs w:val="24"/>
        </w:rPr>
        <w:t>I</w:t>
      </w:r>
      <w:r w:rsidR="1A5DD045" w:rsidRPr="007E6AE3">
        <w:rPr>
          <w:szCs w:val="24"/>
        </w:rPr>
        <w:t>ndustry</w:t>
      </w:r>
      <w:r w:rsidR="00461DE5" w:rsidRPr="007E6AE3">
        <w:rPr>
          <w:szCs w:val="24"/>
        </w:rPr>
        <w:t xml:space="preserve"> and </w:t>
      </w:r>
      <w:r w:rsidR="00CA6C26" w:rsidRPr="007E6AE3">
        <w:rPr>
          <w:szCs w:val="24"/>
        </w:rPr>
        <w:t xml:space="preserve">the </w:t>
      </w:r>
      <w:r w:rsidR="005038DD" w:rsidRPr="007E6AE3">
        <w:rPr>
          <w:szCs w:val="24"/>
        </w:rPr>
        <w:t>Department of Industry, Science, Energy and Resources (DISER)</w:t>
      </w:r>
      <w:r w:rsidR="00461DE5" w:rsidRPr="007E6AE3">
        <w:rPr>
          <w:szCs w:val="24"/>
        </w:rPr>
        <w:t xml:space="preserve"> generally.</w:t>
      </w:r>
    </w:p>
    <w:p w14:paraId="38BC3321" w14:textId="4B2945A0" w:rsidR="002817BE" w:rsidRPr="00A607DE" w:rsidRDefault="002817BE" w:rsidP="00585B6B">
      <w:pPr>
        <w:pStyle w:val="Quote"/>
      </w:pPr>
      <w:r w:rsidRPr="00A607DE">
        <w:t>…most researchers have very limited exposure to business or</w:t>
      </w:r>
      <w:r w:rsidR="00CA6C26">
        <w:t>,</w:t>
      </w:r>
      <w:r w:rsidRPr="00A607DE">
        <w:t xml:space="preserve"> you know</w:t>
      </w:r>
      <w:r w:rsidR="00CA6C26">
        <w:t>,</w:t>
      </w:r>
      <w:r w:rsidRPr="00A607DE">
        <w:t xml:space="preserve"> what I used to call "the real world”.</w:t>
      </w:r>
    </w:p>
    <w:p w14:paraId="46AB0665" w14:textId="2A2A3480" w:rsidR="00221554" w:rsidRDefault="00221554" w:rsidP="00585B6B">
      <w:pPr>
        <w:pStyle w:val="Quote"/>
      </w:pPr>
      <w:r w:rsidRPr="00A607DE">
        <w:t xml:space="preserve"> IP education is a big problem amongst the biomedical research community and particularly the clinical research community. I don't think health services across the</w:t>
      </w:r>
      <w:r w:rsidRPr="00221554">
        <w:t xml:space="preserve"> country are even very good at </w:t>
      </w:r>
      <w:r w:rsidRPr="00DA56A2">
        <w:t>understanding</w:t>
      </w:r>
      <w:r w:rsidRPr="00221554">
        <w:t xml:space="preserve"> that</w:t>
      </w:r>
      <w:r w:rsidR="00BB6DFF">
        <w:t>.</w:t>
      </w:r>
    </w:p>
    <w:p w14:paraId="2FEBE90A" w14:textId="03D7F7AC" w:rsidR="00B212FE" w:rsidRDefault="0059516B" w:rsidP="00585B6B">
      <w:pPr>
        <w:pStyle w:val="Quote"/>
        <w:rPr>
          <w:rFonts w:asciiTheme="majorHAnsi" w:eastAsiaTheme="majorEastAsia" w:hAnsiTheme="majorHAnsi" w:cstheme="majorBidi"/>
          <w:color w:val="005677" w:themeColor="text2"/>
          <w:sz w:val="48"/>
          <w:szCs w:val="48"/>
        </w:rPr>
      </w:pPr>
      <w:r w:rsidRPr="003F2713">
        <w:t>…</w:t>
      </w:r>
      <w:r w:rsidRPr="0059516B">
        <w:t>while the universit</w:t>
      </w:r>
      <w:r>
        <w:t>ies</w:t>
      </w:r>
      <w:r w:rsidRPr="0059516B">
        <w:t xml:space="preserve"> will actually assist and can use grant funds for researchers at a university to pay for patent application and patent</w:t>
      </w:r>
      <w:r w:rsidR="00CA6C26">
        <w:t>-</w:t>
      </w:r>
      <w:r w:rsidRPr="0059516B">
        <w:t>associated costs, the clinicians don't get that same support from hospitals.</w:t>
      </w:r>
    </w:p>
    <w:p w14:paraId="13571DD2" w14:textId="77777777" w:rsidR="007E660C" w:rsidRDefault="007E660C">
      <w:pPr>
        <w:rPr>
          <w:rFonts w:asciiTheme="majorHAnsi" w:eastAsiaTheme="majorEastAsia" w:hAnsiTheme="majorHAnsi" w:cstheme="majorBidi"/>
          <w:color w:val="005677" w:themeColor="text2"/>
          <w:sz w:val="48"/>
          <w:szCs w:val="32"/>
        </w:rPr>
      </w:pPr>
      <w:bookmarkStart w:id="235" w:name="_Toc60760631"/>
      <w:bookmarkStart w:id="236" w:name="_Toc60834817"/>
      <w:bookmarkStart w:id="237" w:name="_Toc60836767"/>
      <w:bookmarkStart w:id="238" w:name="_Toc60997755"/>
      <w:bookmarkStart w:id="239" w:name="_Toc61015569"/>
      <w:bookmarkStart w:id="240" w:name="_Toc61269601"/>
      <w:bookmarkStart w:id="241" w:name="_Toc61356709"/>
      <w:r>
        <w:br w:type="page"/>
      </w:r>
    </w:p>
    <w:p w14:paraId="7B86EABE" w14:textId="5FE98FAB" w:rsidR="016FEE4E" w:rsidRDefault="00B212FE" w:rsidP="00102432">
      <w:pPr>
        <w:pStyle w:val="Heading1"/>
      </w:pPr>
      <w:bookmarkStart w:id="242" w:name="_Toc65159319"/>
      <w:r>
        <w:lastRenderedPageBreak/>
        <w:t xml:space="preserve">9 </w:t>
      </w:r>
      <w:r w:rsidR="2929DB9A" w:rsidRPr="79344E9E">
        <w:t xml:space="preserve">Three </w:t>
      </w:r>
      <w:r w:rsidR="00CA6C26">
        <w:t>i</w:t>
      </w:r>
      <w:r w:rsidR="07CE6C89" w:rsidRPr="79344E9E">
        <w:t>nvent</w:t>
      </w:r>
      <w:r w:rsidR="3207B63D" w:rsidRPr="79344E9E">
        <w:t>or</w:t>
      </w:r>
      <w:r w:rsidR="00CA6C26">
        <w:t>-</w:t>
      </w:r>
      <w:r w:rsidR="07CE6C89" w:rsidRPr="00585B6B">
        <w:t>generated</w:t>
      </w:r>
      <w:r w:rsidR="07CE6C89" w:rsidRPr="79344E9E">
        <w:t xml:space="preserve"> difficulties</w:t>
      </w:r>
      <w:bookmarkEnd w:id="235"/>
      <w:bookmarkEnd w:id="236"/>
      <w:bookmarkEnd w:id="237"/>
      <w:bookmarkEnd w:id="238"/>
      <w:bookmarkEnd w:id="239"/>
      <w:bookmarkEnd w:id="240"/>
      <w:bookmarkEnd w:id="241"/>
      <w:bookmarkEnd w:id="242"/>
    </w:p>
    <w:p w14:paraId="3FE31DC1" w14:textId="515CAD10" w:rsidR="001966AA" w:rsidRPr="007E6AE3" w:rsidRDefault="07CE6C89" w:rsidP="79344E9E">
      <w:pPr>
        <w:rPr>
          <w:szCs w:val="24"/>
        </w:rPr>
      </w:pPr>
      <w:r w:rsidRPr="007E6AE3">
        <w:rPr>
          <w:szCs w:val="24"/>
        </w:rPr>
        <w:t>It is important</w:t>
      </w:r>
      <w:r w:rsidR="0F20F4FD" w:rsidRPr="007E6AE3">
        <w:rPr>
          <w:szCs w:val="24"/>
        </w:rPr>
        <w:t xml:space="preserve"> t</w:t>
      </w:r>
      <w:r w:rsidRPr="007E6AE3">
        <w:rPr>
          <w:szCs w:val="24"/>
        </w:rPr>
        <w:t xml:space="preserve">o note that not all difficulties will come from government institutions or from </w:t>
      </w:r>
      <w:r w:rsidR="00363BBD">
        <w:rPr>
          <w:szCs w:val="24"/>
        </w:rPr>
        <w:t xml:space="preserve">challenges in obtaining </w:t>
      </w:r>
      <w:r w:rsidRPr="007E6AE3">
        <w:rPr>
          <w:szCs w:val="24"/>
        </w:rPr>
        <w:t>venture capital funds.</w:t>
      </w:r>
      <w:r w:rsidR="3A2A5714" w:rsidRPr="007E6AE3">
        <w:rPr>
          <w:szCs w:val="24"/>
        </w:rPr>
        <w:t xml:space="preserve"> The inventors themselves supply a significant number of difficulties</w:t>
      </w:r>
      <w:r w:rsidR="54D72FBB" w:rsidRPr="007E6AE3">
        <w:rPr>
          <w:szCs w:val="24"/>
        </w:rPr>
        <w:t>,</w:t>
      </w:r>
      <w:r w:rsidR="3A2A5714" w:rsidRPr="007E6AE3">
        <w:rPr>
          <w:szCs w:val="24"/>
        </w:rPr>
        <w:t xml:space="preserve"> which render the commercialisation task all the more difficult. </w:t>
      </w:r>
    </w:p>
    <w:p w14:paraId="2379B4B8" w14:textId="77777777" w:rsidR="001966AA" w:rsidRPr="007E6AE3" w:rsidRDefault="3A2A5714" w:rsidP="79344E9E">
      <w:pPr>
        <w:rPr>
          <w:szCs w:val="24"/>
        </w:rPr>
      </w:pPr>
      <w:r w:rsidRPr="007E6AE3">
        <w:rPr>
          <w:szCs w:val="24"/>
        </w:rPr>
        <w:t xml:space="preserve">The first of these is </w:t>
      </w:r>
      <w:r w:rsidRPr="007E6AE3">
        <w:rPr>
          <w:b/>
          <w:bCs/>
          <w:szCs w:val="24"/>
        </w:rPr>
        <w:t>inventor infatuation:</w:t>
      </w:r>
      <w:r w:rsidR="093E90BB" w:rsidRPr="007E6AE3">
        <w:rPr>
          <w:b/>
          <w:bCs/>
          <w:szCs w:val="24"/>
        </w:rPr>
        <w:t xml:space="preserve"> </w:t>
      </w:r>
      <w:r w:rsidR="093E90BB" w:rsidRPr="007E6AE3">
        <w:rPr>
          <w:szCs w:val="24"/>
        </w:rPr>
        <w:t>t</w:t>
      </w:r>
      <w:r w:rsidRPr="007E6AE3">
        <w:rPr>
          <w:szCs w:val="24"/>
        </w:rPr>
        <w:t>hose who create</w:t>
      </w:r>
      <w:r w:rsidR="4090ED78" w:rsidRPr="007E6AE3">
        <w:rPr>
          <w:szCs w:val="24"/>
        </w:rPr>
        <w:t xml:space="preserve"> some new technology have a tendency to fall in love with it, and to be blinded by love</w:t>
      </w:r>
      <w:r w:rsidR="40194E41" w:rsidRPr="007E6AE3">
        <w:rPr>
          <w:szCs w:val="24"/>
        </w:rPr>
        <w:t xml:space="preserve"> for it</w:t>
      </w:r>
      <w:r w:rsidR="4090ED78" w:rsidRPr="007E6AE3">
        <w:rPr>
          <w:szCs w:val="24"/>
        </w:rPr>
        <w:t>. That is</w:t>
      </w:r>
      <w:r w:rsidR="7C1EDE99" w:rsidRPr="007E6AE3">
        <w:rPr>
          <w:szCs w:val="24"/>
        </w:rPr>
        <w:t>,</w:t>
      </w:r>
      <w:r w:rsidR="4090ED78" w:rsidRPr="007E6AE3">
        <w:rPr>
          <w:szCs w:val="24"/>
        </w:rPr>
        <w:t xml:space="preserve"> they tend not see its limitations, that it may be technically limited,</w:t>
      </w:r>
      <w:r w:rsidR="5821AEDE" w:rsidRPr="007E6AE3">
        <w:rPr>
          <w:szCs w:val="24"/>
        </w:rPr>
        <w:t xml:space="preserve"> or that it may not succeed in the market through lack of demand, or through pricing difficulties. </w:t>
      </w:r>
    </w:p>
    <w:p w14:paraId="51FDD700" w14:textId="42818DA9" w:rsidR="001966AA" w:rsidRPr="007E6AE3" w:rsidRDefault="5821AEDE" w:rsidP="79344E9E">
      <w:pPr>
        <w:rPr>
          <w:szCs w:val="24"/>
        </w:rPr>
      </w:pPr>
      <w:r w:rsidRPr="007E6AE3">
        <w:rPr>
          <w:szCs w:val="24"/>
        </w:rPr>
        <w:t xml:space="preserve">The second is </w:t>
      </w:r>
      <w:r w:rsidR="4FFF0E07" w:rsidRPr="007E6AE3">
        <w:rPr>
          <w:b/>
          <w:bCs/>
          <w:szCs w:val="24"/>
        </w:rPr>
        <w:t>inventor</w:t>
      </w:r>
      <w:r w:rsidRPr="007E6AE3">
        <w:rPr>
          <w:b/>
          <w:bCs/>
          <w:szCs w:val="24"/>
        </w:rPr>
        <w:t xml:space="preserve"> hubris</w:t>
      </w:r>
      <w:r w:rsidRPr="007E6AE3">
        <w:rPr>
          <w:szCs w:val="24"/>
        </w:rPr>
        <w:t>, meaning that the inventor thinks that the invention itself is the most difficult piece in the puzzle</w:t>
      </w:r>
      <w:r w:rsidR="5E884542" w:rsidRPr="007E6AE3">
        <w:rPr>
          <w:szCs w:val="24"/>
        </w:rPr>
        <w:t>, and that everything to do with commercialisation</w:t>
      </w:r>
      <w:r w:rsidR="001966AA" w:rsidRPr="007E6AE3">
        <w:rPr>
          <w:szCs w:val="24"/>
        </w:rPr>
        <w:t xml:space="preserve"> </w:t>
      </w:r>
      <w:r w:rsidR="00BC3F9C">
        <w:rPr>
          <w:szCs w:val="24"/>
        </w:rPr>
        <w:t>–</w:t>
      </w:r>
      <w:r w:rsidR="00BF0177" w:rsidRPr="007E6AE3">
        <w:rPr>
          <w:szCs w:val="24"/>
        </w:rPr>
        <w:t xml:space="preserve"> </w:t>
      </w:r>
      <w:r w:rsidR="5E884542" w:rsidRPr="007E6AE3">
        <w:rPr>
          <w:szCs w:val="24"/>
        </w:rPr>
        <w:t>such as financing, marketing or distribution</w:t>
      </w:r>
      <w:r w:rsidR="001966AA" w:rsidRPr="007E6AE3">
        <w:rPr>
          <w:szCs w:val="24"/>
        </w:rPr>
        <w:t xml:space="preserve"> </w:t>
      </w:r>
      <w:r w:rsidR="00BC3F9C">
        <w:rPr>
          <w:szCs w:val="24"/>
        </w:rPr>
        <w:t>–</w:t>
      </w:r>
      <w:r w:rsidR="00BF0177" w:rsidRPr="007E6AE3">
        <w:rPr>
          <w:szCs w:val="24"/>
        </w:rPr>
        <w:t xml:space="preserve"> </w:t>
      </w:r>
      <w:r w:rsidR="5E884542" w:rsidRPr="007E6AE3">
        <w:rPr>
          <w:szCs w:val="24"/>
        </w:rPr>
        <w:t xml:space="preserve">is </w:t>
      </w:r>
      <w:r w:rsidR="4DA9214C" w:rsidRPr="007E6AE3">
        <w:rPr>
          <w:szCs w:val="24"/>
        </w:rPr>
        <w:t xml:space="preserve">a </w:t>
      </w:r>
      <w:r w:rsidR="5E884542" w:rsidRPr="007E6AE3">
        <w:rPr>
          <w:szCs w:val="24"/>
        </w:rPr>
        <w:t>simple matter</w:t>
      </w:r>
      <w:r w:rsidR="001966AA" w:rsidRPr="007E6AE3">
        <w:rPr>
          <w:szCs w:val="24"/>
        </w:rPr>
        <w:t xml:space="preserve"> that</w:t>
      </w:r>
      <w:r w:rsidR="5E884542" w:rsidRPr="007E6AE3">
        <w:rPr>
          <w:szCs w:val="24"/>
        </w:rPr>
        <w:t xml:space="preserve"> can be dealt with by googling. The assumption here is that the moment of genius which produced the invention will carry them through</w:t>
      </w:r>
      <w:r w:rsidR="1D2D2A74" w:rsidRPr="007E6AE3">
        <w:rPr>
          <w:szCs w:val="24"/>
        </w:rPr>
        <w:t xml:space="preserve"> the commercialisation process, and that they will quickly be able to learn the </w:t>
      </w:r>
      <w:r w:rsidR="001966AA" w:rsidRPr="007E6AE3">
        <w:rPr>
          <w:szCs w:val="24"/>
        </w:rPr>
        <w:t>‘</w:t>
      </w:r>
      <w:r w:rsidR="1D2D2A74" w:rsidRPr="007E6AE3">
        <w:rPr>
          <w:szCs w:val="24"/>
        </w:rPr>
        <w:t>easy</w:t>
      </w:r>
      <w:r w:rsidR="001966AA" w:rsidRPr="007E6AE3">
        <w:rPr>
          <w:szCs w:val="24"/>
        </w:rPr>
        <w:t>’</w:t>
      </w:r>
      <w:r w:rsidR="1D2D2A74" w:rsidRPr="007E6AE3">
        <w:rPr>
          <w:szCs w:val="24"/>
        </w:rPr>
        <w:t xml:space="preserve"> bits </w:t>
      </w:r>
      <w:r w:rsidR="001966AA" w:rsidRPr="007E6AE3">
        <w:rPr>
          <w:szCs w:val="24"/>
        </w:rPr>
        <w:t xml:space="preserve">that </w:t>
      </w:r>
      <w:r w:rsidR="1D2D2A74" w:rsidRPr="007E6AE3">
        <w:rPr>
          <w:szCs w:val="24"/>
        </w:rPr>
        <w:t xml:space="preserve">are </w:t>
      </w:r>
      <w:r w:rsidR="2D184CC7" w:rsidRPr="007E6AE3">
        <w:rPr>
          <w:szCs w:val="24"/>
        </w:rPr>
        <w:t>involved</w:t>
      </w:r>
      <w:r w:rsidR="1D2D2A74" w:rsidRPr="007E6AE3">
        <w:rPr>
          <w:szCs w:val="24"/>
        </w:rPr>
        <w:t xml:space="preserve"> in successful market entry. </w:t>
      </w:r>
      <w:r w:rsidR="001966AA" w:rsidRPr="007E6AE3">
        <w:rPr>
          <w:szCs w:val="24"/>
        </w:rPr>
        <w:t>(</w:t>
      </w:r>
      <w:r w:rsidR="1D2D2A74" w:rsidRPr="007E6AE3">
        <w:rPr>
          <w:szCs w:val="24"/>
        </w:rPr>
        <w:t xml:space="preserve">Those who actually try to sell things will </w:t>
      </w:r>
      <w:r w:rsidR="1C5FD2A2" w:rsidRPr="007E6AE3">
        <w:rPr>
          <w:szCs w:val="24"/>
        </w:rPr>
        <w:t xml:space="preserve">of course </w:t>
      </w:r>
      <w:r w:rsidR="1D2D2A74" w:rsidRPr="007E6AE3">
        <w:rPr>
          <w:szCs w:val="24"/>
        </w:rPr>
        <w:t>despair at</w:t>
      </w:r>
      <w:r w:rsidR="4D4FE126" w:rsidRPr="007E6AE3">
        <w:rPr>
          <w:szCs w:val="24"/>
        </w:rPr>
        <w:t xml:space="preserve"> this business </w:t>
      </w:r>
      <w:r w:rsidR="4E411BC5" w:rsidRPr="007E6AE3">
        <w:rPr>
          <w:szCs w:val="24"/>
        </w:rPr>
        <w:t>naivety.</w:t>
      </w:r>
      <w:r w:rsidR="001966AA" w:rsidRPr="007E6AE3">
        <w:rPr>
          <w:szCs w:val="24"/>
        </w:rPr>
        <w:t>)</w:t>
      </w:r>
      <w:r w:rsidR="4D4FE126" w:rsidRPr="007E6AE3">
        <w:rPr>
          <w:szCs w:val="24"/>
        </w:rPr>
        <w:t xml:space="preserve"> </w:t>
      </w:r>
    </w:p>
    <w:p w14:paraId="1651B127" w14:textId="4D88BF9A" w:rsidR="001966AA" w:rsidRPr="007E6AE3" w:rsidRDefault="4D4FE126" w:rsidP="79344E9E">
      <w:pPr>
        <w:rPr>
          <w:szCs w:val="24"/>
        </w:rPr>
      </w:pPr>
      <w:r w:rsidRPr="007E6AE3">
        <w:rPr>
          <w:szCs w:val="24"/>
        </w:rPr>
        <w:t>The third major difficult</w:t>
      </w:r>
      <w:r w:rsidR="420111AA" w:rsidRPr="007E6AE3">
        <w:rPr>
          <w:szCs w:val="24"/>
        </w:rPr>
        <w:t>y</w:t>
      </w:r>
      <w:r w:rsidRPr="007E6AE3">
        <w:rPr>
          <w:szCs w:val="24"/>
        </w:rPr>
        <w:t xml:space="preserve"> with the behaviour of inventors is the </w:t>
      </w:r>
      <w:r w:rsidR="725DAD39" w:rsidRPr="007E6AE3">
        <w:rPr>
          <w:szCs w:val="24"/>
        </w:rPr>
        <w:t>phenomenon</w:t>
      </w:r>
      <w:r w:rsidRPr="007E6AE3">
        <w:rPr>
          <w:szCs w:val="24"/>
        </w:rPr>
        <w:t xml:space="preserve"> of</w:t>
      </w:r>
      <w:r w:rsidR="43AACDC1" w:rsidRPr="007E6AE3">
        <w:rPr>
          <w:szCs w:val="24"/>
        </w:rPr>
        <w:t xml:space="preserve"> </w:t>
      </w:r>
      <w:r w:rsidR="43AACDC1" w:rsidRPr="007E6AE3">
        <w:rPr>
          <w:b/>
          <w:bCs/>
          <w:szCs w:val="24"/>
        </w:rPr>
        <w:t>inventor possessiveness</w:t>
      </w:r>
      <w:r w:rsidRPr="007E6AE3">
        <w:rPr>
          <w:szCs w:val="24"/>
        </w:rPr>
        <w:t xml:space="preserve">: </w:t>
      </w:r>
      <w:r w:rsidR="7C33538C" w:rsidRPr="007E6AE3">
        <w:rPr>
          <w:szCs w:val="24"/>
        </w:rPr>
        <w:t>a number of</w:t>
      </w:r>
      <w:r w:rsidRPr="007E6AE3">
        <w:rPr>
          <w:szCs w:val="24"/>
        </w:rPr>
        <w:t xml:space="preserve"> people </w:t>
      </w:r>
      <w:r w:rsidR="5B85C625" w:rsidRPr="007E6AE3">
        <w:rPr>
          <w:szCs w:val="24"/>
        </w:rPr>
        <w:t xml:space="preserve">may </w:t>
      </w:r>
      <w:r w:rsidRPr="007E6AE3">
        <w:rPr>
          <w:szCs w:val="24"/>
        </w:rPr>
        <w:t xml:space="preserve">think that they have had the idea </w:t>
      </w:r>
      <w:r w:rsidR="001966AA" w:rsidRPr="007E6AE3">
        <w:rPr>
          <w:szCs w:val="24"/>
        </w:rPr>
        <w:t xml:space="preserve">that </w:t>
      </w:r>
      <w:r w:rsidRPr="007E6AE3">
        <w:rPr>
          <w:szCs w:val="24"/>
        </w:rPr>
        <w:t xml:space="preserve">has become central </w:t>
      </w:r>
      <w:r w:rsidR="6DF665D1" w:rsidRPr="007E6AE3">
        <w:rPr>
          <w:szCs w:val="24"/>
        </w:rPr>
        <w:t>in</w:t>
      </w:r>
      <w:r w:rsidRPr="007E6AE3">
        <w:rPr>
          <w:szCs w:val="24"/>
        </w:rPr>
        <w:t xml:space="preserve"> the project</w:t>
      </w:r>
      <w:r w:rsidR="001966AA" w:rsidRPr="007E6AE3">
        <w:rPr>
          <w:szCs w:val="24"/>
        </w:rPr>
        <w:t xml:space="preserve"> and </w:t>
      </w:r>
      <w:r w:rsidRPr="007E6AE3">
        <w:rPr>
          <w:szCs w:val="24"/>
        </w:rPr>
        <w:t xml:space="preserve">that they made the crucial suggestion </w:t>
      </w:r>
      <w:r w:rsidR="001966AA" w:rsidRPr="007E6AE3">
        <w:rPr>
          <w:szCs w:val="24"/>
        </w:rPr>
        <w:t xml:space="preserve">that </w:t>
      </w:r>
      <w:r w:rsidRPr="007E6AE3">
        <w:rPr>
          <w:szCs w:val="24"/>
        </w:rPr>
        <w:t>tip</w:t>
      </w:r>
      <w:r w:rsidR="2C45379C" w:rsidRPr="007E6AE3">
        <w:rPr>
          <w:szCs w:val="24"/>
        </w:rPr>
        <w:t>ped</w:t>
      </w:r>
      <w:r w:rsidRPr="007E6AE3">
        <w:rPr>
          <w:szCs w:val="24"/>
        </w:rPr>
        <w:t xml:space="preserve"> the balance</w:t>
      </w:r>
      <w:r w:rsidR="001966AA" w:rsidRPr="007E6AE3">
        <w:rPr>
          <w:szCs w:val="24"/>
        </w:rPr>
        <w:t>. As a consequence,</w:t>
      </w:r>
      <w:r w:rsidR="5E7A0C28" w:rsidRPr="007E6AE3">
        <w:rPr>
          <w:szCs w:val="24"/>
        </w:rPr>
        <w:t xml:space="preserve"> sorting out ownership questions becomes one of the most difficult parts of the initial stages of commercialisation. </w:t>
      </w:r>
    </w:p>
    <w:p w14:paraId="3366AE51" w14:textId="623A1517" w:rsidR="07CE6C89" w:rsidRPr="007E6AE3" w:rsidRDefault="091DC96C" w:rsidP="00176125">
      <w:pPr>
        <w:pStyle w:val="ListParagraph"/>
        <w:numPr>
          <w:ilvl w:val="0"/>
          <w:numId w:val="49"/>
        </w:numPr>
        <w:ind w:right="662"/>
        <w:rPr>
          <w:b/>
          <w:bCs/>
          <w:szCs w:val="24"/>
        </w:rPr>
      </w:pPr>
      <w:r w:rsidRPr="007E6AE3">
        <w:rPr>
          <w:szCs w:val="24"/>
        </w:rPr>
        <w:t xml:space="preserve">It </w:t>
      </w:r>
      <w:r w:rsidR="0BABAC9C" w:rsidRPr="007E6AE3">
        <w:rPr>
          <w:szCs w:val="24"/>
        </w:rPr>
        <w:t>is</w:t>
      </w:r>
      <w:r w:rsidRPr="007E6AE3">
        <w:rPr>
          <w:szCs w:val="24"/>
        </w:rPr>
        <w:t xml:space="preserve"> </w:t>
      </w:r>
      <w:r w:rsidR="001966AA" w:rsidRPr="007E6AE3">
        <w:rPr>
          <w:szCs w:val="24"/>
        </w:rPr>
        <w:t xml:space="preserve">often </w:t>
      </w:r>
      <w:r w:rsidRPr="007E6AE3">
        <w:rPr>
          <w:szCs w:val="24"/>
        </w:rPr>
        <w:t xml:space="preserve">said that </w:t>
      </w:r>
      <w:r w:rsidR="001966AA" w:rsidRPr="007E6AE3">
        <w:rPr>
          <w:szCs w:val="24"/>
        </w:rPr>
        <w:t>‘</w:t>
      </w:r>
      <w:r w:rsidRPr="007E6AE3">
        <w:rPr>
          <w:szCs w:val="24"/>
        </w:rPr>
        <w:t xml:space="preserve">success has many </w:t>
      </w:r>
      <w:r w:rsidR="20B2993F" w:rsidRPr="007E6AE3">
        <w:rPr>
          <w:szCs w:val="24"/>
        </w:rPr>
        <w:t>parents</w:t>
      </w:r>
      <w:r w:rsidR="001966AA" w:rsidRPr="007E6AE3">
        <w:rPr>
          <w:szCs w:val="24"/>
        </w:rPr>
        <w:t>’</w:t>
      </w:r>
      <w:r w:rsidRPr="007E6AE3">
        <w:rPr>
          <w:szCs w:val="24"/>
        </w:rPr>
        <w:t>, and t</w:t>
      </w:r>
      <w:r w:rsidR="5E7A0C28" w:rsidRPr="007E6AE3">
        <w:rPr>
          <w:szCs w:val="24"/>
        </w:rPr>
        <w:t xml:space="preserve">he maxim </w:t>
      </w:r>
      <w:r w:rsidR="001966AA" w:rsidRPr="007E6AE3">
        <w:rPr>
          <w:szCs w:val="24"/>
        </w:rPr>
        <w:t>for IP should be</w:t>
      </w:r>
      <w:r w:rsidR="5E7A0C28" w:rsidRPr="007E6AE3">
        <w:rPr>
          <w:szCs w:val="24"/>
        </w:rPr>
        <w:t xml:space="preserve"> that </w:t>
      </w:r>
      <w:r w:rsidR="001966AA" w:rsidRPr="007E6AE3">
        <w:rPr>
          <w:szCs w:val="24"/>
        </w:rPr>
        <w:t>‘</w:t>
      </w:r>
      <w:r w:rsidR="5E7A0C28" w:rsidRPr="007E6AE3">
        <w:rPr>
          <w:szCs w:val="24"/>
        </w:rPr>
        <w:t>IP ownership rights must be settled at the outset, before there is any money involved</w:t>
      </w:r>
      <w:r w:rsidR="001966AA" w:rsidRPr="007E6AE3">
        <w:rPr>
          <w:szCs w:val="24"/>
        </w:rPr>
        <w:t>’</w:t>
      </w:r>
      <w:r w:rsidR="5E7A0C28" w:rsidRPr="007E6AE3">
        <w:rPr>
          <w:szCs w:val="24"/>
        </w:rPr>
        <w:t>.</w:t>
      </w:r>
    </w:p>
    <w:p w14:paraId="1CA33308" w14:textId="1D903756" w:rsidR="003C6363" w:rsidRDefault="5E7A0C28">
      <w:pPr>
        <w:rPr>
          <w:rFonts w:asciiTheme="majorHAnsi" w:eastAsiaTheme="majorEastAsia" w:hAnsiTheme="majorHAnsi" w:cstheme="majorBidi"/>
          <w:color w:val="005677" w:themeColor="text2"/>
          <w:sz w:val="48"/>
          <w:szCs w:val="32"/>
        </w:rPr>
      </w:pPr>
      <w:r w:rsidRPr="007E6AE3">
        <w:rPr>
          <w:szCs w:val="24"/>
        </w:rPr>
        <w:t xml:space="preserve">In dealing with small business and the patent system, </w:t>
      </w:r>
      <w:r w:rsidR="001966AA" w:rsidRPr="007E6AE3">
        <w:rPr>
          <w:szCs w:val="24"/>
        </w:rPr>
        <w:t xml:space="preserve">not everything is the fault of external parties (such as government): </w:t>
      </w:r>
      <w:r w:rsidRPr="007E6AE3">
        <w:rPr>
          <w:szCs w:val="24"/>
        </w:rPr>
        <w:t>the behavioural problems</w:t>
      </w:r>
      <w:r w:rsidR="001A5571" w:rsidRPr="007E6AE3">
        <w:rPr>
          <w:szCs w:val="24"/>
        </w:rPr>
        <w:t xml:space="preserve"> described</w:t>
      </w:r>
      <w:r w:rsidRPr="007E6AE3">
        <w:rPr>
          <w:szCs w:val="24"/>
        </w:rPr>
        <w:t xml:space="preserve"> </w:t>
      </w:r>
      <w:r w:rsidR="001A5571" w:rsidRPr="007E6AE3">
        <w:rPr>
          <w:szCs w:val="24"/>
        </w:rPr>
        <w:t xml:space="preserve">above </w:t>
      </w:r>
      <w:r w:rsidRPr="007E6AE3">
        <w:rPr>
          <w:szCs w:val="24"/>
        </w:rPr>
        <w:t>have to be recognised and dealt with.</w:t>
      </w:r>
      <w:r w:rsidR="11D021DE" w:rsidRPr="007E6AE3">
        <w:rPr>
          <w:szCs w:val="24"/>
        </w:rPr>
        <w:t xml:space="preserve"> There is a psychological or counselling element in the commercialisation process</w:t>
      </w:r>
      <w:r w:rsidR="7DEFEF33" w:rsidRPr="007E6AE3">
        <w:rPr>
          <w:szCs w:val="24"/>
        </w:rPr>
        <w:t xml:space="preserve">: </w:t>
      </w:r>
      <w:r w:rsidR="001966AA" w:rsidRPr="007E6AE3">
        <w:rPr>
          <w:szCs w:val="24"/>
        </w:rPr>
        <w:t xml:space="preserve">as </w:t>
      </w:r>
      <w:r w:rsidR="7DEFEF33" w:rsidRPr="007E6AE3">
        <w:rPr>
          <w:szCs w:val="24"/>
        </w:rPr>
        <w:t>one respondent said</w:t>
      </w:r>
      <w:r w:rsidR="001966AA" w:rsidRPr="007E6AE3">
        <w:rPr>
          <w:szCs w:val="24"/>
        </w:rPr>
        <w:t>,</w:t>
      </w:r>
      <w:r w:rsidR="7DEFEF33" w:rsidRPr="007E6AE3">
        <w:rPr>
          <w:szCs w:val="24"/>
        </w:rPr>
        <w:t xml:space="preserve"> there is a need for</w:t>
      </w:r>
      <w:r w:rsidR="00124CBB" w:rsidRPr="007E6AE3">
        <w:rPr>
          <w:szCs w:val="24"/>
        </w:rPr>
        <w:t xml:space="preserve"> ‘</w:t>
      </w:r>
      <w:r w:rsidR="7DEFEF33" w:rsidRPr="007E6AE3">
        <w:rPr>
          <w:szCs w:val="24"/>
        </w:rPr>
        <w:t>curation</w:t>
      </w:r>
      <w:r w:rsidR="00124CBB" w:rsidRPr="007E6AE3">
        <w:rPr>
          <w:szCs w:val="24"/>
        </w:rPr>
        <w:t>’</w:t>
      </w:r>
      <w:r w:rsidR="7DEFEF33" w:rsidRPr="007E6AE3">
        <w:rPr>
          <w:szCs w:val="24"/>
        </w:rPr>
        <w:t xml:space="preserve"> </w:t>
      </w:r>
      <w:r w:rsidR="00EC4C9D" w:rsidRPr="007E6AE3">
        <w:rPr>
          <w:szCs w:val="24"/>
        </w:rPr>
        <w:t>(</w:t>
      </w:r>
      <w:r w:rsidR="7DEFEF33" w:rsidRPr="007E6AE3">
        <w:rPr>
          <w:szCs w:val="24"/>
        </w:rPr>
        <w:t>meaning to re</w:t>
      </w:r>
      <w:r w:rsidR="329346B2" w:rsidRPr="007E6AE3">
        <w:rPr>
          <w:szCs w:val="24"/>
        </w:rPr>
        <w:t>fer</w:t>
      </w:r>
      <w:r w:rsidR="7DEFEF33" w:rsidRPr="007E6AE3">
        <w:rPr>
          <w:szCs w:val="24"/>
        </w:rPr>
        <w:t xml:space="preserve"> to this kind of f</w:t>
      </w:r>
      <w:r w:rsidR="30C8DB83" w:rsidRPr="007E6AE3">
        <w:rPr>
          <w:szCs w:val="24"/>
        </w:rPr>
        <w:t>actor</w:t>
      </w:r>
      <w:r w:rsidR="00EC4C9D" w:rsidRPr="007E6AE3">
        <w:rPr>
          <w:szCs w:val="24"/>
        </w:rPr>
        <w:t>)</w:t>
      </w:r>
      <w:r w:rsidR="30C8DB83" w:rsidRPr="007E6AE3">
        <w:rPr>
          <w:szCs w:val="24"/>
        </w:rPr>
        <w:t>.</w:t>
      </w:r>
      <w:r w:rsidR="00A21E41" w:rsidRPr="007E6AE3">
        <w:rPr>
          <w:szCs w:val="24"/>
        </w:rPr>
        <w:t xml:space="preserve"> </w:t>
      </w:r>
      <w:r w:rsidR="0A14D2A5" w:rsidRPr="007E6AE3">
        <w:rPr>
          <w:szCs w:val="24"/>
        </w:rPr>
        <w:t>These factors are a barrier to the creation and success of new IP rich SME’s</w:t>
      </w:r>
      <w:r w:rsidR="009E6904" w:rsidRPr="007E6AE3">
        <w:rPr>
          <w:szCs w:val="24"/>
        </w:rPr>
        <w:t>, and need to be dealt with in any comprehensive approach to this issue</w:t>
      </w:r>
      <w:r w:rsidR="0A14D2A5" w:rsidRPr="007E6AE3">
        <w:rPr>
          <w:szCs w:val="24"/>
        </w:rPr>
        <w:t>.</w:t>
      </w:r>
      <w:bookmarkStart w:id="243" w:name="_Toc60760632"/>
      <w:bookmarkStart w:id="244" w:name="_Toc60834818"/>
      <w:bookmarkStart w:id="245" w:name="_Toc60836768"/>
      <w:bookmarkStart w:id="246" w:name="_Toc60997756"/>
      <w:bookmarkStart w:id="247" w:name="_Toc61015570"/>
      <w:bookmarkStart w:id="248" w:name="_Toc61269602"/>
      <w:bookmarkStart w:id="249" w:name="_Toc61356710"/>
      <w:r w:rsidR="003C6363">
        <w:br w:type="page"/>
      </w:r>
    </w:p>
    <w:p w14:paraId="7DF87378" w14:textId="4A681DAE" w:rsidR="006A6831" w:rsidRDefault="00A76C4B" w:rsidP="00102432">
      <w:pPr>
        <w:pStyle w:val="Heading1"/>
      </w:pPr>
      <w:bookmarkStart w:id="250" w:name="_Toc65159320"/>
      <w:r w:rsidRPr="00001B22">
        <w:lastRenderedPageBreak/>
        <w:t>1</w:t>
      </w:r>
      <w:r w:rsidR="00DF6BBA" w:rsidRPr="00001B22">
        <w:t>0</w:t>
      </w:r>
      <w:r w:rsidRPr="00001B22">
        <w:t xml:space="preserve"> </w:t>
      </w:r>
      <w:r w:rsidR="006A6831" w:rsidRPr="00001B22">
        <w:t>Hospital</w:t>
      </w:r>
      <w:r w:rsidR="5FEE7CA7">
        <w:t>,</w:t>
      </w:r>
      <w:r w:rsidR="006A6831">
        <w:t xml:space="preserve"> </w:t>
      </w:r>
      <w:r w:rsidR="004E3C05">
        <w:t>c</w:t>
      </w:r>
      <w:r w:rsidR="006A6831">
        <w:t>linical</w:t>
      </w:r>
      <w:r w:rsidR="0AC50BBF">
        <w:t xml:space="preserve"> and </w:t>
      </w:r>
      <w:r w:rsidR="004E3C05">
        <w:t>a</w:t>
      </w:r>
      <w:r w:rsidR="0AC50BBF">
        <w:t>gribusiness</w:t>
      </w:r>
      <w:bookmarkEnd w:id="243"/>
      <w:bookmarkEnd w:id="244"/>
      <w:bookmarkEnd w:id="245"/>
      <w:bookmarkEnd w:id="246"/>
      <w:bookmarkEnd w:id="247"/>
      <w:bookmarkEnd w:id="248"/>
      <w:bookmarkEnd w:id="249"/>
      <w:bookmarkEnd w:id="250"/>
    </w:p>
    <w:p w14:paraId="4D6CA836" w14:textId="01901F0E" w:rsidR="00FF2D8B" w:rsidRPr="007E6AE3" w:rsidRDefault="4ACEFE69" w:rsidP="003E5185">
      <w:pPr>
        <w:rPr>
          <w:szCs w:val="24"/>
        </w:rPr>
      </w:pPr>
      <w:r w:rsidRPr="007E6AE3">
        <w:rPr>
          <w:szCs w:val="24"/>
        </w:rPr>
        <w:t xml:space="preserve">This section </w:t>
      </w:r>
      <w:r w:rsidR="00D10970">
        <w:rPr>
          <w:szCs w:val="24"/>
        </w:rPr>
        <w:t>has been</w:t>
      </w:r>
      <w:r w:rsidR="00FF2D8B" w:rsidRPr="007E6AE3">
        <w:rPr>
          <w:szCs w:val="24"/>
        </w:rPr>
        <w:t xml:space="preserve"> developed</w:t>
      </w:r>
      <w:r w:rsidR="47E3A3E1" w:rsidRPr="007E6AE3">
        <w:rPr>
          <w:szCs w:val="24"/>
        </w:rPr>
        <w:t xml:space="preserve"> not only</w:t>
      </w:r>
      <w:r w:rsidR="05958C94" w:rsidRPr="007E6AE3">
        <w:rPr>
          <w:szCs w:val="24"/>
        </w:rPr>
        <w:t xml:space="preserve"> </w:t>
      </w:r>
      <w:r w:rsidR="4D1D9BBA" w:rsidRPr="007E6AE3">
        <w:rPr>
          <w:szCs w:val="24"/>
        </w:rPr>
        <w:t>because these issues were rai</w:t>
      </w:r>
      <w:r w:rsidR="03A6E8D1" w:rsidRPr="007E6AE3">
        <w:rPr>
          <w:szCs w:val="24"/>
        </w:rPr>
        <w:t>s</w:t>
      </w:r>
      <w:r w:rsidR="4D1D9BBA" w:rsidRPr="007E6AE3">
        <w:rPr>
          <w:szCs w:val="24"/>
        </w:rPr>
        <w:t>ed by re</w:t>
      </w:r>
      <w:r w:rsidR="6314D12C" w:rsidRPr="007E6AE3">
        <w:rPr>
          <w:szCs w:val="24"/>
        </w:rPr>
        <w:t>s</w:t>
      </w:r>
      <w:r w:rsidR="4D1D9BBA" w:rsidRPr="007E6AE3">
        <w:rPr>
          <w:szCs w:val="24"/>
        </w:rPr>
        <w:t>po</w:t>
      </w:r>
      <w:r w:rsidR="48FC0104" w:rsidRPr="007E6AE3">
        <w:rPr>
          <w:szCs w:val="24"/>
        </w:rPr>
        <w:t>ndents</w:t>
      </w:r>
      <w:r w:rsidR="4D1D9BBA" w:rsidRPr="007E6AE3">
        <w:rPr>
          <w:szCs w:val="24"/>
        </w:rPr>
        <w:t xml:space="preserve">, but also because of </w:t>
      </w:r>
      <w:r w:rsidR="0090748B" w:rsidRPr="007E6AE3">
        <w:rPr>
          <w:szCs w:val="24"/>
        </w:rPr>
        <w:t xml:space="preserve">their </w:t>
      </w:r>
      <w:r w:rsidR="4D1D9BBA" w:rsidRPr="007E6AE3">
        <w:rPr>
          <w:szCs w:val="24"/>
        </w:rPr>
        <w:t xml:space="preserve">relevance to present government activity in the </w:t>
      </w:r>
      <w:r w:rsidR="004E3C05" w:rsidRPr="007E6AE3">
        <w:rPr>
          <w:szCs w:val="24"/>
        </w:rPr>
        <w:t xml:space="preserve">area of </w:t>
      </w:r>
      <w:r w:rsidR="4D1D9BBA" w:rsidRPr="007E6AE3">
        <w:rPr>
          <w:szCs w:val="24"/>
        </w:rPr>
        <w:t>moder</w:t>
      </w:r>
      <w:r w:rsidR="2E4D917F" w:rsidRPr="007E6AE3">
        <w:rPr>
          <w:szCs w:val="24"/>
        </w:rPr>
        <w:t>n man</w:t>
      </w:r>
      <w:r w:rsidR="73DCAA2E" w:rsidRPr="007E6AE3">
        <w:rPr>
          <w:szCs w:val="24"/>
        </w:rPr>
        <w:t>u</w:t>
      </w:r>
      <w:r w:rsidR="2E4D917F" w:rsidRPr="007E6AE3">
        <w:rPr>
          <w:szCs w:val="24"/>
        </w:rPr>
        <w:t>fa</w:t>
      </w:r>
      <w:r w:rsidR="7EDE7523" w:rsidRPr="007E6AE3">
        <w:rPr>
          <w:szCs w:val="24"/>
        </w:rPr>
        <w:t>ct</w:t>
      </w:r>
      <w:r w:rsidR="2E4D917F" w:rsidRPr="007E6AE3">
        <w:rPr>
          <w:szCs w:val="24"/>
        </w:rPr>
        <w:t>uring.</w:t>
      </w:r>
      <w:r w:rsidR="002B17F9" w:rsidRPr="007E6AE3">
        <w:rPr>
          <w:rStyle w:val="FootnoteReference"/>
          <w:szCs w:val="24"/>
        </w:rPr>
        <w:footnoteReference w:id="33"/>
      </w:r>
      <w:r w:rsidR="003E5185" w:rsidRPr="007E6AE3">
        <w:rPr>
          <w:szCs w:val="24"/>
        </w:rPr>
        <w:t xml:space="preserve"> See </w:t>
      </w:r>
      <w:r w:rsidR="00FF2D8B" w:rsidRPr="007E6AE3">
        <w:rPr>
          <w:b/>
          <w:szCs w:val="24"/>
        </w:rPr>
        <w:t>Modern Manufacturing Initiative #3: Medical Products</w:t>
      </w:r>
      <w:r w:rsidR="003E5185" w:rsidRPr="007E6AE3">
        <w:rPr>
          <w:szCs w:val="24"/>
        </w:rPr>
        <w:t>.</w:t>
      </w:r>
    </w:p>
    <w:p w14:paraId="3AB30BA4" w14:textId="7F245393" w:rsidR="004E3C05" w:rsidRPr="00563D9E" w:rsidRDefault="002B17F9" w:rsidP="00E55761">
      <w:pPr>
        <w:rPr>
          <w:rFonts w:cs="Arial (Body CS)"/>
          <w:spacing w:val="-2"/>
          <w:szCs w:val="24"/>
        </w:rPr>
      </w:pPr>
      <w:r w:rsidRPr="00563D9E">
        <w:rPr>
          <w:rFonts w:cs="Arial (Body CS)"/>
          <w:spacing w:val="-2"/>
          <w:szCs w:val="24"/>
        </w:rPr>
        <w:t>The review was told</w:t>
      </w:r>
      <w:r w:rsidR="009070F9" w:rsidRPr="00563D9E">
        <w:rPr>
          <w:rFonts w:cs="Arial (Body CS)"/>
          <w:spacing w:val="-2"/>
          <w:szCs w:val="24"/>
        </w:rPr>
        <w:t xml:space="preserve"> that there is </w:t>
      </w:r>
      <w:r w:rsidR="5FA20BBD" w:rsidRPr="00563D9E">
        <w:rPr>
          <w:rFonts w:cs="Arial (Body CS)"/>
          <w:spacing w:val="-2"/>
          <w:szCs w:val="24"/>
        </w:rPr>
        <w:t xml:space="preserve">a </w:t>
      </w:r>
      <w:r w:rsidR="009070F9" w:rsidRPr="00563D9E">
        <w:rPr>
          <w:rFonts w:cs="Arial (Body CS)"/>
          <w:spacing w:val="-2"/>
          <w:szCs w:val="24"/>
        </w:rPr>
        <w:t>significant</w:t>
      </w:r>
      <w:r w:rsidR="00114269" w:rsidRPr="00563D9E">
        <w:rPr>
          <w:rFonts w:cs="Arial (Body CS)"/>
          <w:spacing w:val="-2"/>
          <w:szCs w:val="24"/>
        </w:rPr>
        <w:t xml:space="preserve"> difference between the</w:t>
      </w:r>
      <w:r w:rsidR="005D3A7B" w:rsidRPr="00563D9E">
        <w:rPr>
          <w:rFonts w:cs="Arial (Body CS)"/>
          <w:spacing w:val="-2"/>
          <w:szCs w:val="24"/>
        </w:rPr>
        <w:t xml:space="preserve"> situation of clinical researchers</w:t>
      </w:r>
      <w:r w:rsidR="004E3C05" w:rsidRPr="00563D9E">
        <w:rPr>
          <w:rFonts w:cs="Arial (Body CS)"/>
          <w:spacing w:val="-2"/>
          <w:szCs w:val="24"/>
        </w:rPr>
        <w:t>, compared with</w:t>
      </w:r>
      <w:r w:rsidR="00A07A48" w:rsidRPr="00563D9E">
        <w:rPr>
          <w:rFonts w:cs="Arial (Body CS)"/>
          <w:spacing w:val="-2"/>
          <w:szCs w:val="24"/>
        </w:rPr>
        <w:t xml:space="preserve"> those</w:t>
      </w:r>
      <w:r w:rsidR="00D52FAE" w:rsidRPr="00563D9E">
        <w:rPr>
          <w:rFonts w:cs="Arial (Body CS)"/>
          <w:spacing w:val="-2"/>
          <w:szCs w:val="24"/>
        </w:rPr>
        <w:t xml:space="preserve"> in the universities</w:t>
      </w:r>
      <w:r w:rsidR="004E3C05" w:rsidRPr="00563D9E">
        <w:rPr>
          <w:rFonts w:cs="Arial (Body CS)"/>
          <w:spacing w:val="-2"/>
          <w:szCs w:val="24"/>
        </w:rPr>
        <w:t xml:space="preserve"> </w:t>
      </w:r>
      <w:r w:rsidR="00BC3F9C">
        <w:rPr>
          <w:rFonts w:cs="Arial (Body CS)"/>
          <w:spacing w:val="-2"/>
          <w:szCs w:val="24"/>
        </w:rPr>
        <w:t>–</w:t>
      </w:r>
      <w:r w:rsidR="00BF0177" w:rsidRPr="00563D9E">
        <w:rPr>
          <w:rFonts w:cs="Arial (Body CS)"/>
          <w:spacing w:val="-2"/>
          <w:szCs w:val="24"/>
        </w:rPr>
        <w:t xml:space="preserve"> </w:t>
      </w:r>
      <w:r w:rsidR="004E3C05" w:rsidRPr="00563D9E">
        <w:rPr>
          <w:rFonts w:cs="Arial (Body CS)"/>
          <w:spacing w:val="-2"/>
          <w:szCs w:val="24"/>
        </w:rPr>
        <w:t>and the</w:t>
      </w:r>
      <w:r w:rsidR="009A4527" w:rsidRPr="00563D9E">
        <w:rPr>
          <w:rFonts w:cs="Arial (Body CS)"/>
          <w:spacing w:val="-2"/>
          <w:szCs w:val="24"/>
        </w:rPr>
        <w:t xml:space="preserve"> drivers</w:t>
      </w:r>
      <w:r w:rsidR="00825A47" w:rsidRPr="00563D9E">
        <w:rPr>
          <w:rFonts w:cs="Arial (Body CS)"/>
          <w:spacing w:val="-2"/>
          <w:szCs w:val="24"/>
        </w:rPr>
        <w:t xml:space="preserve"> appear to be different</w:t>
      </w:r>
      <w:r w:rsidR="004E3C05" w:rsidRPr="00563D9E">
        <w:rPr>
          <w:rFonts w:cs="Arial (Body CS)"/>
          <w:spacing w:val="-2"/>
          <w:szCs w:val="24"/>
        </w:rPr>
        <w:t>.</w:t>
      </w:r>
      <w:r w:rsidR="008242E0" w:rsidRPr="00563D9E">
        <w:rPr>
          <w:rFonts w:cs="Arial (Body CS)"/>
          <w:spacing w:val="-2"/>
          <w:szCs w:val="24"/>
        </w:rPr>
        <w:t xml:space="preserve"> </w:t>
      </w:r>
    </w:p>
    <w:p w14:paraId="29B171F3" w14:textId="313B2C06" w:rsidR="004E3C05" w:rsidRPr="007E6AE3" w:rsidRDefault="004E3C05" w:rsidP="00563D9E">
      <w:pPr>
        <w:pStyle w:val="ListParagraph"/>
        <w:spacing w:before="0" w:after="0"/>
        <w:rPr>
          <w:szCs w:val="24"/>
        </w:rPr>
      </w:pPr>
      <w:r w:rsidRPr="007E6AE3">
        <w:rPr>
          <w:szCs w:val="24"/>
        </w:rPr>
        <w:t>C</w:t>
      </w:r>
      <w:r w:rsidR="008242E0" w:rsidRPr="007E6AE3">
        <w:rPr>
          <w:szCs w:val="24"/>
        </w:rPr>
        <w:t>linical researchers</w:t>
      </w:r>
      <w:r w:rsidR="000D2C57" w:rsidRPr="007E6AE3">
        <w:rPr>
          <w:szCs w:val="24"/>
        </w:rPr>
        <w:t xml:space="preserve"> who have</w:t>
      </w:r>
      <w:r w:rsidR="00E2030C" w:rsidRPr="007E6AE3">
        <w:rPr>
          <w:szCs w:val="24"/>
        </w:rPr>
        <w:t xml:space="preserve"> invented</w:t>
      </w:r>
      <w:r w:rsidR="008D0E5E" w:rsidRPr="007E6AE3">
        <w:rPr>
          <w:szCs w:val="24"/>
        </w:rPr>
        <w:t xml:space="preserve"> a procedure </w:t>
      </w:r>
      <w:r w:rsidR="07F94EFD" w:rsidRPr="007E6AE3">
        <w:rPr>
          <w:szCs w:val="24"/>
        </w:rPr>
        <w:t xml:space="preserve">or </w:t>
      </w:r>
      <w:r w:rsidR="008D0E5E" w:rsidRPr="007E6AE3">
        <w:rPr>
          <w:szCs w:val="24"/>
        </w:rPr>
        <w:t>a technology</w:t>
      </w:r>
      <w:r w:rsidRPr="007E6AE3">
        <w:rPr>
          <w:szCs w:val="24"/>
        </w:rPr>
        <w:t xml:space="preserve"> generally</w:t>
      </w:r>
      <w:r w:rsidR="00164B04" w:rsidRPr="007E6AE3">
        <w:rPr>
          <w:szCs w:val="24"/>
        </w:rPr>
        <w:t xml:space="preserve"> want to get it into the market</w:t>
      </w:r>
      <w:r w:rsidR="00631DD8" w:rsidRPr="007E6AE3">
        <w:rPr>
          <w:szCs w:val="24"/>
        </w:rPr>
        <w:t xml:space="preserve"> and have it working</w:t>
      </w:r>
      <w:r w:rsidR="007B2C09" w:rsidRPr="007E6AE3">
        <w:rPr>
          <w:szCs w:val="24"/>
        </w:rPr>
        <w:t xml:space="preserve"> so as to improve health care.</w:t>
      </w:r>
      <w:r w:rsidR="00582DDD" w:rsidRPr="007E6AE3">
        <w:rPr>
          <w:szCs w:val="24"/>
        </w:rPr>
        <w:t xml:space="preserve"> </w:t>
      </w:r>
      <w:r w:rsidRPr="007E6AE3">
        <w:rPr>
          <w:szCs w:val="24"/>
        </w:rPr>
        <w:t>As a result, t</w:t>
      </w:r>
      <w:r w:rsidR="00582DDD" w:rsidRPr="007E6AE3">
        <w:rPr>
          <w:szCs w:val="24"/>
        </w:rPr>
        <w:t>hey are often not</w:t>
      </w:r>
      <w:r w:rsidR="003A39BD" w:rsidRPr="007E6AE3">
        <w:rPr>
          <w:szCs w:val="24"/>
        </w:rPr>
        <w:t xml:space="preserve"> very familiar with</w:t>
      </w:r>
      <w:r w:rsidR="00BA5C31" w:rsidRPr="007E6AE3">
        <w:rPr>
          <w:szCs w:val="24"/>
        </w:rPr>
        <w:t xml:space="preserve"> IP law or management</w:t>
      </w:r>
      <w:r w:rsidR="008C629D" w:rsidRPr="007E6AE3">
        <w:rPr>
          <w:szCs w:val="24"/>
        </w:rPr>
        <w:t>, and do</w:t>
      </w:r>
      <w:r w:rsidR="002E3AC3" w:rsidRPr="007E6AE3">
        <w:rPr>
          <w:szCs w:val="24"/>
        </w:rPr>
        <w:t xml:space="preserve"> not</w:t>
      </w:r>
      <w:r w:rsidR="008C629D" w:rsidRPr="007E6AE3">
        <w:rPr>
          <w:szCs w:val="24"/>
        </w:rPr>
        <w:t xml:space="preserve"> have</w:t>
      </w:r>
      <w:r w:rsidR="002E695C" w:rsidRPr="007E6AE3">
        <w:rPr>
          <w:szCs w:val="24"/>
        </w:rPr>
        <w:t xml:space="preserve"> the </w:t>
      </w:r>
      <w:r w:rsidR="008C629D" w:rsidRPr="007E6AE3">
        <w:rPr>
          <w:szCs w:val="24"/>
        </w:rPr>
        <w:t>time</w:t>
      </w:r>
      <w:r w:rsidR="0082311C" w:rsidRPr="007E6AE3">
        <w:rPr>
          <w:szCs w:val="24"/>
        </w:rPr>
        <w:t xml:space="preserve"> to </w:t>
      </w:r>
      <w:r w:rsidR="00354A3B" w:rsidRPr="007E6AE3">
        <w:rPr>
          <w:szCs w:val="24"/>
        </w:rPr>
        <w:t>spare for it.</w:t>
      </w:r>
      <w:r w:rsidR="00861044" w:rsidRPr="007E6AE3">
        <w:rPr>
          <w:szCs w:val="24"/>
        </w:rPr>
        <w:t xml:space="preserve"> </w:t>
      </w:r>
    </w:p>
    <w:p w14:paraId="675D6DEB" w14:textId="25115C32" w:rsidR="006A6831" w:rsidRPr="007E6AE3" w:rsidRDefault="004E3C05" w:rsidP="00563D9E">
      <w:pPr>
        <w:pStyle w:val="ListParagraph"/>
        <w:spacing w:before="0" w:after="360"/>
        <w:rPr>
          <w:szCs w:val="24"/>
        </w:rPr>
      </w:pPr>
      <w:r w:rsidRPr="007E6AE3">
        <w:rPr>
          <w:szCs w:val="24"/>
        </w:rPr>
        <w:t>U</w:t>
      </w:r>
      <w:r w:rsidR="00DA3960" w:rsidRPr="007E6AE3">
        <w:rPr>
          <w:szCs w:val="24"/>
        </w:rPr>
        <w:t>niversit</w:t>
      </w:r>
      <w:r w:rsidR="00B55C1C" w:rsidRPr="007E6AE3">
        <w:rPr>
          <w:szCs w:val="24"/>
        </w:rPr>
        <w:t>y scientists</w:t>
      </w:r>
      <w:r w:rsidRPr="007E6AE3">
        <w:rPr>
          <w:szCs w:val="24"/>
        </w:rPr>
        <w:t>,</w:t>
      </w:r>
      <w:r w:rsidR="00DA3960" w:rsidRPr="007E6AE3">
        <w:rPr>
          <w:szCs w:val="24"/>
        </w:rPr>
        <w:t xml:space="preserve"> on the other hand</w:t>
      </w:r>
      <w:r w:rsidRPr="007E6AE3">
        <w:rPr>
          <w:szCs w:val="24"/>
        </w:rPr>
        <w:t>,</w:t>
      </w:r>
      <w:r w:rsidR="00DA3960" w:rsidRPr="007E6AE3">
        <w:rPr>
          <w:szCs w:val="24"/>
        </w:rPr>
        <w:t xml:space="preserve"> have</w:t>
      </w:r>
      <w:r w:rsidR="003B5298" w:rsidRPr="007E6AE3">
        <w:rPr>
          <w:szCs w:val="24"/>
        </w:rPr>
        <w:t xml:space="preserve"> the backup of</w:t>
      </w:r>
      <w:r w:rsidR="00CE078C" w:rsidRPr="007E6AE3">
        <w:rPr>
          <w:szCs w:val="24"/>
        </w:rPr>
        <w:t xml:space="preserve"> their commercialisation </w:t>
      </w:r>
      <w:r w:rsidR="002C4CCC" w:rsidRPr="007E6AE3">
        <w:rPr>
          <w:szCs w:val="24"/>
        </w:rPr>
        <w:t>offices</w:t>
      </w:r>
      <w:r w:rsidR="00CB2760" w:rsidRPr="007E6AE3">
        <w:rPr>
          <w:szCs w:val="24"/>
        </w:rPr>
        <w:t>, and may be able to get</w:t>
      </w:r>
      <w:r w:rsidR="00FF6426" w:rsidRPr="007E6AE3">
        <w:rPr>
          <w:szCs w:val="24"/>
        </w:rPr>
        <w:t xml:space="preserve"> quick advice</w:t>
      </w:r>
      <w:r w:rsidRPr="007E6AE3">
        <w:rPr>
          <w:szCs w:val="24"/>
        </w:rPr>
        <w:t>. A</w:t>
      </w:r>
      <w:r w:rsidR="00DA04FA" w:rsidRPr="007E6AE3">
        <w:rPr>
          <w:szCs w:val="24"/>
        </w:rPr>
        <w:t>cademic researchers</w:t>
      </w:r>
      <w:r w:rsidR="00EC59B6" w:rsidRPr="007E6AE3">
        <w:rPr>
          <w:szCs w:val="24"/>
        </w:rPr>
        <w:t>, it was said</w:t>
      </w:r>
      <w:r w:rsidR="00CC6FB1" w:rsidRPr="007E6AE3">
        <w:rPr>
          <w:szCs w:val="24"/>
        </w:rPr>
        <w:t>,</w:t>
      </w:r>
      <w:r w:rsidR="00FD5F4B" w:rsidRPr="007E6AE3">
        <w:rPr>
          <w:szCs w:val="24"/>
        </w:rPr>
        <w:t xml:space="preserve"> </w:t>
      </w:r>
      <w:r w:rsidR="00AA0B29">
        <w:rPr>
          <w:szCs w:val="24"/>
        </w:rPr>
        <w:t>‘</w:t>
      </w:r>
      <w:r w:rsidR="00FD5F4B" w:rsidRPr="007E6AE3">
        <w:rPr>
          <w:szCs w:val="24"/>
        </w:rPr>
        <w:t xml:space="preserve">were </w:t>
      </w:r>
      <w:r w:rsidR="00B0546D" w:rsidRPr="007E6AE3">
        <w:rPr>
          <w:szCs w:val="24"/>
        </w:rPr>
        <w:t>more aware</w:t>
      </w:r>
      <w:r w:rsidR="00F56EBA" w:rsidRPr="007E6AE3">
        <w:rPr>
          <w:szCs w:val="24"/>
        </w:rPr>
        <w:t xml:space="preserve"> of the</w:t>
      </w:r>
      <w:r w:rsidR="00FF4299" w:rsidRPr="007E6AE3">
        <w:rPr>
          <w:szCs w:val="24"/>
        </w:rPr>
        <w:t xml:space="preserve"> rules of the </w:t>
      </w:r>
      <w:r w:rsidR="006C79EA" w:rsidRPr="007E6AE3">
        <w:rPr>
          <w:szCs w:val="24"/>
        </w:rPr>
        <w:t xml:space="preserve">IP </w:t>
      </w:r>
      <w:r w:rsidR="00FF4299" w:rsidRPr="007E6AE3">
        <w:rPr>
          <w:szCs w:val="24"/>
        </w:rPr>
        <w:t>game</w:t>
      </w:r>
      <w:r w:rsidR="001E435A" w:rsidRPr="007E6AE3">
        <w:rPr>
          <w:szCs w:val="24"/>
        </w:rPr>
        <w:t>, and</w:t>
      </w:r>
      <w:r w:rsidR="009F4811" w:rsidRPr="007E6AE3">
        <w:rPr>
          <w:szCs w:val="24"/>
        </w:rPr>
        <w:t xml:space="preserve"> </w:t>
      </w:r>
      <w:r w:rsidR="00436259" w:rsidRPr="007E6AE3">
        <w:rPr>
          <w:szCs w:val="24"/>
        </w:rPr>
        <w:t>were</w:t>
      </w:r>
      <w:r w:rsidR="009F4811" w:rsidRPr="007E6AE3">
        <w:rPr>
          <w:szCs w:val="24"/>
        </w:rPr>
        <w:t xml:space="preserve"> particularly alert</w:t>
      </w:r>
      <w:r w:rsidR="00B95D17" w:rsidRPr="007E6AE3">
        <w:rPr>
          <w:szCs w:val="24"/>
        </w:rPr>
        <w:t xml:space="preserve"> to</w:t>
      </w:r>
      <w:r w:rsidR="00C75AB1" w:rsidRPr="007E6AE3">
        <w:rPr>
          <w:szCs w:val="24"/>
        </w:rPr>
        <w:t xml:space="preserve"> the question of ownership</w:t>
      </w:r>
      <w:r w:rsidR="009C1F85" w:rsidRPr="007E6AE3">
        <w:rPr>
          <w:szCs w:val="24"/>
        </w:rPr>
        <w:t xml:space="preserve"> of IP</w:t>
      </w:r>
      <w:r w:rsidR="00AA0B29">
        <w:rPr>
          <w:szCs w:val="24"/>
        </w:rPr>
        <w:t>’</w:t>
      </w:r>
      <w:r w:rsidR="00C663C7" w:rsidRPr="007E6AE3">
        <w:rPr>
          <w:szCs w:val="24"/>
        </w:rPr>
        <w:t>.</w:t>
      </w:r>
    </w:p>
    <w:p w14:paraId="6256B94B" w14:textId="7209F344" w:rsidR="00E03AD4" w:rsidRPr="00A2621B" w:rsidRDefault="006E4DCB" w:rsidP="00585B6B">
      <w:pPr>
        <w:pStyle w:val="Quote"/>
      </w:pPr>
      <w:r w:rsidRPr="00A2621B">
        <w:t>…</w:t>
      </w:r>
      <w:r w:rsidR="00D4527A" w:rsidRPr="00A2621B">
        <w:t xml:space="preserve">in the hospital there's a lack of awareness of patenting and often by the time </w:t>
      </w:r>
      <w:r w:rsidR="00D4527A" w:rsidRPr="00176125">
        <w:t>they</w:t>
      </w:r>
      <w:r w:rsidR="00D4527A" w:rsidRPr="00A2621B">
        <w:t xml:space="preserve"> find out or think they need to patent, it's too late.</w:t>
      </w:r>
    </w:p>
    <w:p w14:paraId="4D509259" w14:textId="4B09C609" w:rsidR="00E03AD4" w:rsidRPr="007E6AE3" w:rsidRDefault="00385316" w:rsidP="00E55761">
      <w:pPr>
        <w:rPr>
          <w:szCs w:val="24"/>
          <w:highlight w:val="cyan"/>
        </w:rPr>
      </w:pPr>
      <w:r w:rsidRPr="007E6AE3">
        <w:rPr>
          <w:szCs w:val="24"/>
        </w:rPr>
        <w:t>This means that</w:t>
      </w:r>
      <w:r w:rsidR="00427823" w:rsidRPr="007E6AE3">
        <w:rPr>
          <w:szCs w:val="24"/>
        </w:rPr>
        <w:t xml:space="preserve"> a particular effort</w:t>
      </w:r>
      <w:r w:rsidR="00E85C45" w:rsidRPr="007E6AE3">
        <w:rPr>
          <w:szCs w:val="24"/>
        </w:rPr>
        <w:t xml:space="preserve"> of communication</w:t>
      </w:r>
      <w:r w:rsidR="005727DD" w:rsidRPr="007E6AE3">
        <w:rPr>
          <w:szCs w:val="24"/>
        </w:rPr>
        <w:t xml:space="preserve"> must be directed at</w:t>
      </w:r>
      <w:r w:rsidR="00B458A5" w:rsidRPr="007E6AE3">
        <w:rPr>
          <w:szCs w:val="24"/>
        </w:rPr>
        <w:t xml:space="preserve"> hospital and clinical inventors</w:t>
      </w:r>
      <w:r w:rsidR="005D39D3" w:rsidRPr="007E6AE3">
        <w:rPr>
          <w:szCs w:val="24"/>
        </w:rPr>
        <w:t>,</w:t>
      </w:r>
      <w:r w:rsidR="00972AB4" w:rsidRPr="007E6AE3">
        <w:rPr>
          <w:szCs w:val="24"/>
        </w:rPr>
        <w:t xml:space="preserve"> </w:t>
      </w:r>
      <w:r w:rsidR="007738A1" w:rsidRPr="007E6AE3">
        <w:rPr>
          <w:szCs w:val="24"/>
        </w:rPr>
        <w:t>w</w:t>
      </w:r>
      <w:r w:rsidR="00972AB4" w:rsidRPr="007E6AE3">
        <w:rPr>
          <w:szCs w:val="24"/>
        </w:rPr>
        <w:t>ho are often time</w:t>
      </w:r>
      <w:r w:rsidR="004E3C05" w:rsidRPr="007E6AE3">
        <w:rPr>
          <w:szCs w:val="24"/>
        </w:rPr>
        <w:t>-</w:t>
      </w:r>
      <w:r w:rsidR="00972AB4" w:rsidRPr="007E6AE3">
        <w:rPr>
          <w:szCs w:val="24"/>
        </w:rPr>
        <w:t>pressed</w:t>
      </w:r>
      <w:r w:rsidR="00A15EA8" w:rsidRPr="007E6AE3">
        <w:rPr>
          <w:szCs w:val="24"/>
        </w:rPr>
        <w:t xml:space="preserve"> and do not easily see on the horizon</w:t>
      </w:r>
      <w:r w:rsidR="0005670A" w:rsidRPr="007E6AE3">
        <w:rPr>
          <w:szCs w:val="24"/>
        </w:rPr>
        <w:t xml:space="preserve"> a source of advice or support.</w:t>
      </w:r>
      <w:r w:rsidR="00861044" w:rsidRPr="007E6AE3">
        <w:rPr>
          <w:szCs w:val="24"/>
        </w:rPr>
        <w:t xml:space="preserve"> </w:t>
      </w:r>
      <w:r w:rsidR="00EA792B" w:rsidRPr="007E6AE3">
        <w:rPr>
          <w:szCs w:val="24"/>
        </w:rPr>
        <w:t xml:space="preserve">It is true that some in the clinical services often turn to </w:t>
      </w:r>
      <w:r w:rsidR="009A7E57" w:rsidRPr="007E6AE3">
        <w:rPr>
          <w:szCs w:val="24"/>
        </w:rPr>
        <w:t>u</w:t>
      </w:r>
      <w:r w:rsidR="00EA792B" w:rsidRPr="007E6AE3">
        <w:rPr>
          <w:szCs w:val="24"/>
        </w:rPr>
        <w:t>niversity commercialisation offices for help</w:t>
      </w:r>
      <w:r w:rsidR="00B32370" w:rsidRPr="007E6AE3">
        <w:rPr>
          <w:szCs w:val="24"/>
        </w:rPr>
        <w:t xml:space="preserve"> in this area, but this is a possibility </w:t>
      </w:r>
      <w:r w:rsidR="004E3C05" w:rsidRPr="007E6AE3">
        <w:rPr>
          <w:szCs w:val="24"/>
        </w:rPr>
        <w:t xml:space="preserve">only </w:t>
      </w:r>
      <w:r w:rsidR="00B32370" w:rsidRPr="007E6AE3">
        <w:rPr>
          <w:szCs w:val="24"/>
        </w:rPr>
        <w:t>for the few.</w:t>
      </w:r>
      <w:r w:rsidR="2A2B85B4" w:rsidRPr="007E6AE3">
        <w:rPr>
          <w:szCs w:val="24"/>
        </w:rPr>
        <w:t xml:space="preserve"> The same principle applies to inventors from any technical discipline, </w:t>
      </w:r>
      <w:r w:rsidR="19E298BF" w:rsidRPr="007E6AE3">
        <w:rPr>
          <w:szCs w:val="24"/>
        </w:rPr>
        <w:t>outside of the shelter provided by a commercialisation office.</w:t>
      </w:r>
    </w:p>
    <w:p w14:paraId="26070B8E" w14:textId="70559986" w:rsidR="00563D9E" w:rsidRDefault="73CD8473" w:rsidP="79344E9E">
      <w:pPr>
        <w:rPr>
          <w:szCs w:val="24"/>
        </w:rPr>
      </w:pPr>
      <w:r w:rsidRPr="007E6AE3">
        <w:rPr>
          <w:szCs w:val="24"/>
        </w:rPr>
        <w:t xml:space="preserve">It is also true that some </w:t>
      </w:r>
      <w:r w:rsidR="004E3C05" w:rsidRPr="007E6AE3">
        <w:rPr>
          <w:szCs w:val="24"/>
        </w:rPr>
        <w:t>s</w:t>
      </w:r>
      <w:r w:rsidRPr="007E6AE3">
        <w:rPr>
          <w:szCs w:val="24"/>
        </w:rPr>
        <w:t>tates have tried to deal with this, providing commercialisation assistance within their health services.</w:t>
      </w:r>
      <w:r w:rsidR="00563D9E">
        <w:rPr>
          <w:szCs w:val="24"/>
        </w:rPr>
        <w:br w:type="page"/>
      </w:r>
    </w:p>
    <w:p w14:paraId="37F9EDF8" w14:textId="3416CA17" w:rsidR="1F35D641" w:rsidRPr="00563D9E" w:rsidRDefault="1F35D641" w:rsidP="79344E9E">
      <w:pPr>
        <w:rPr>
          <w:rFonts w:cs="Arial (Body CS)"/>
          <w:i/>
          <w:iCs/>
          <w:spacing w:val="-4"/>
          <w:szCs w:val="24"/>
        </w:rPr>
      </w:pPr>
      <w:r w:rsidRPr="00563D9E">
        <w:rPr>
          <w:rFonts w:cs="Arial (Body CS)"/>
          <w:spacing w:val="-4"/>
          <w:szCs w:val="24"/>
        </w:rPr>
        <w:lastRenderedPageBreak/>
        <w:t xml:space="preserve">This information raises </w:t>
      </w:r>
      <w:r w:rsidR="004E3C05" w:rsidRPr="00563D9E">
        <w:rPr>
          <w:rFonts w:cs="Arial (Body CS)"/>
          <w:spacing w:val="-4"/>
          <w:szCs w:val="24"/>
        </w:rPr>
        <w:t xml:space="preserve">just </w:t>
      </w:r>
      <w:r w:rsidRPr="00563D9E">
        <w:rPr>
          <w:rFonts w:cs="Arial (Body CS)"/>
          <w:spacing w:val="-4"/>
          <w:szCs w:val="24"/>
        </w:rPr>
        <w:t>one sector to explore</w:t>
      </w:r>
      <w:r w:rsidR="004E3C05" w:rsidRPr="00563D9E">
        <w:rPr>
          <w:rFonts w:cs="Arial (Body CS)"/>
          <w:spacing w:val="-4"/>
          <w:szCs w:val="24"/>
        </w:rPr>
        <w:t xml:space="preserve"> </w:t>
      </w:r>
      <w:r w:rsidR="00BC3F9C">
        <w:rPr>
          <w:rFonts w:cs="Arial (Body CS)"/>
          <w:spacing w:val="-4"/>
          <w:szCs w:val="24"/>
        </w:rPr>
        <w:t>–</w:t>
      </w:r>
      <w:r w:rsidR="00BF0177" w:rsidRPr="00563D9E">
        <w:rPr>
          <w:rFonts w:cs="Arial (Body CS)"/>
          <w:spacing w:val="-4"/>
          <w:szCs w:val="24"/>
        </w:rPr>
        <w:t xml:space="preserve"> </w:t>
      </w:r>
      <w:r w:rsidRPr="00563D9E">
        <w:rPr>
          <w:rFonts w:cs="Arial (Body CS)"/>
          <w:spacing w:val="-4"/>
          <w:szCs w:val="24"/>
        </w:rPr>
        <w:t xml:space="preserve">and </w:t>
      </w:r>
      <w:r w:rsidR="281C5229" w:rsidRPr="00563D9E">
        <w:rPr>
          <w:rFonts w:cs="Arial (Body CS)"/>
          <w:spacing w:val="-4"/>
          <w:szCs w:val="24"/>
        </w:rPr>
        <w:t xml:space="preserve">in which </w:t>
      </w:r>
      <w:r w:rsidR="057BE198" w:rsidRPr="00563D9E">
        <w:rPr>
          <w:rFonts w:cs="Arial (Body CS)"/>
          <w:spacing w:val="-4"/>
          <w:szCs w:val="24"/>
        </w:rPr>
        <w:t>t</w:t>
      </w:r>
      <w:r w:rsidR="3947C8B3" w:rsidRPr="00563D9E">
        <w:rPr>
          <w:rFonts w:cs="Arial (Body CS)"/>
          <w:spacing w:val="-4"/>
          <w:szCs w:val="24"/>
        </w:rPr>
        <w:t>o</w:t>
      </w:r>
      <w:r w:rsidR="057BE198" w:rsidRPr="00563D9E">
        <w:rPr>
          <w:rFonts w:cs="Arial (Body CS)"/>
          <w:spacing w:val="-4"/>
          <w:szCs w:val="24"/>
        </w:rPr>
        <w:t xml:space="preserve"> pursue the </w:t>
      </w:r>
      <w:r w:rsidRPr="00563D9E">
        <w:rPr>
          <w:rFonts w:cs="Arial (Body CS)"/>
          <w:spacing w:val="-4"/>
          <w:szCs w:val="24"/>
        </w:rPr>
        <w:t xml:space="preserve">search </w:t>
      </w:r>
      <w:r w:rsidR="3D01DC54" w:rsidRPr="00563D9E">
        <w:rPr>
          <w:rFonts w:cs="Arial (Body CS)"/>
          <w:spacing w:val="-4"/>
          <w:szCs w:val="24"/>
        </w:rPr>
        <w:t>for</w:t>
      </w:r>
      <w:r w:rsidRPr="00563D9E">
        <w:rPr>
          <w:rFonts w:cs="Arial (Body CS)"/>
          <w:spacing w:val="-4"/>
          <w:szCs w:val="24"/>
        </w:rPr>
        <w:t xml:space="preserve"> patentable inventions which lead to the creation of </w:t>
      </w:r>
      <w:r w:rsidR="00BE02A6" w:rsidRPr="00563D9E">
        <w:rPr>
          <w:rFonts w:cs="Arial (Body CS)"/>
          <w:spacing w:val="-4"/>
          <w:szCs w:val="24"/>
        </w:rPr>
        <w:t>small to medium enterprises (</w:t>
      </w:r>
      <w:r w:rsidRPr="00563D9E">
        <w:rPr>
          <w:rFonts w:cs="Arial (Body CS)"/>
          <w:spacing w:val="-4"/>
          <w:szCs w:val="24"/>
        </w:rPr>
        <w:t>SMEs</w:t>
      </w:r>
      <w:r w:rsidR="004E3C05" w:rsidRPr="00563D9E">
        <w:rPr>
          <w:rFonts w:cs="Arial (Body CS)"/>
          <w:spacing w:val="-4"/>
          <w:szCs w:val="24"/>
        </w:rPr>
        <w:t xml:space="preserve">). But it </w:t>
      </w:r>
      <w:r w:rsidRPr="00563D9E">
        <w:rPr>
          <w:rFonts w:cs="Arial (Body CS)"/>
          <w:spacing w:val="-4"/>
          <w:szCs w:val="24"/>
        </w:rPr>
        <w:t>also suggests that there may be other sectors of the Australian economy</w:t>
      </w:r>
      <w:r w:rsidR="4EE9C449" w:rsidRPr="00563D9E">
        <w:rPr>
          <w:rFonts w:cs="Arial (Body CS)"/>
          <w:spacing w:val="-4"/>
          <w:szCs w:val="24"/>
        </w:rPr>
        <w:t xml:space="preserve"> in which </w:t>
      </w:r>
      <w:r w:rsidR="479B577F" w:rsidRPr="00563D9E">
        <w:rPr>
          <w:rFonts w:cs="Arial (Body CS)"/>
          <w:spacing w:val="-4"/>
          <w:szCs w:val="24"/>
        </w:rPr>
        <w:t>n</w:t>
      </w:r>
      <w:r w:rsidR="4EE9C449" w:rsidRPr="00563D9E">
        <w:rPr>
          <w:rFonts w:cs="Arial (Body CS)"/>
          <w:spacing w:val="-4"/>
          <w:szCs w:val="24"/>
        </w:rPr>
        <w:t>ovel solutions</w:t>
      </w:r>
      <w:r w:rsidR="7FDFDB4A" w:rsidRPr="00563D9E">
        <w:rPr>
          <w:rFonts w:cs="Arial (Body CS)"/>
          <w:spacing w:val="-4"/>
          <w:szCs w:val="24"/>
        </w:rPr>
        <w:t xml:space="preserve"> are </w:t>
      </w:r>
      <w:r w:rsidR="004E3C05" w:rsidRPr="00563D9E">
        <w:rPr>
          <w:rFonts w:cs="Arial (Body CS)"/>
          <w:spacing w:val="-4"/>
          <w:szCs w:val="24"/>
        </w:rPr>
        <w:t xml:space="preserve">being </w:t>
      </w:r>
      <w:r w:rsidR="4EE9C449" w:rsidRPr="00563D9E">
        <w:rPr>
          <w:rFonts w:cs="Arial (Body CS)"/>
          <w:spacing w:val="-4"/>
          <w:szCs w:val="24"/>
        </w:rPr>
        <w:t xml:space="preserve">found </w:t>
      </w:r>
      <w:r w:rsidR="00BC3F9C">
        <w:rPr>
          <w:rFonts w:cs="Arial (Body CS)"/>
          <w:spacing w:val="-4"/>
          <w:szCs w:val="24"/>
        </w:rPr>
        <w:t>–</w:t>
      </w:r>
      <w:r w:rsidR="00BF0177" w:rsidRPr="00563D9E">
        <w:rPr>
          <w:rFonts w:cs="Arial (Body CS)"/>
          <w:spacing w:val="-4"/>
          <w:szCs w:val="24"/>
        </w:rPr>
        <w:t xml:space="preserve"> </w:t>
      </w:r>
      <w:r w:rsidR="4EE9C449" w:rsidRPr="00563D9E">
        <w:rPr>
          <w:rFonts w:cs="Arial (Body CS)"/>
          <w:spacing w:val="-4"/>
          <w:szCs w:val="24"/>
        </w:rPr>
        <w:t>inventions which also may rise to new business</w:t>
      </w:r>
      <w:r w:rsidR="004E3C05" w:rsidRPr="00563D9E">
        <w:rPr>
          <w:rFonts w:cs="Arial (Body CS)"/>
          <w:spacing w:val="-4"/>
          <w:szCs w:val="24"/>
        </w:rPr>
        <w:t>es</w:t>
      </w:r>
      <w:r w:rsidR="4EE9C449" w:rsidRPr="00563D9E">
        <w:rPr>
          <w:rFonts w:cs="Arial (Body CS)"/>
          <w:spacing w:val="-4"/>
          <w:szCs w:val="24"/>
        </w:rPr>
        <w:t>. The clinical health carers</w:t>
      </w:r>
      <w:r w:rsidR="226204E6" w:rsidRPr="00563D9E">
        <w:rPr>
          <w:rFonts w:cs="Arial (Body CS)"/>
          <w:spacing w:val="-4"/>
          <w:szCs w:val="24"/>
        </w:rPr>
        <w:t xml:space="preserve"> are obviously always on the edge, looking for improvements, and may be the most </w:t>
      </w:r>
      <w:r w:rsidR="004E3C05" w:rsidRPr="00563D9E">
        <w:rPr>
          <w:rFonts w:cs="Arial (Body CS)"/>
          <w:spacing w:val="-4"/>
          <w:szCs w:val="24"/>
        </w:rPr>
        <w:t>open</w:t>
      </w:r>
      <w:r w:rsidR="226204E6" w:rsidRPr="00563D9E">
        <w:rPr>
          <w:rFonts w:cs="Arial (Body CS)"/>
          <w:spacing w:val="-4"/>
          <w:szCs w:val="24"/>
        </w:rPr>
        <w:t xml:space="preserve"> to new processes or treatments.</w:t>
      </w:r>
      <w:r w:rsidR="7BD2133C" w:rsidRPr="00563D9E">
        <w:rPr>
          <w:rFonts w:cs="Arial (Body CS)"/>
          <w:spacing w:val="-4"/>
          <w:szCs w:val="24"/>
        </w:rPr>
        <w:t xml:space="preserve"> But there will be many other sectors where novelty is sought, </w:t>
      </w:r>
      <w:r w:rsidR="004E3C05" w:rsidRPr="00563D9E">
        <w:rPr>
          <w:rFonts w:cs="Arial (Body CS)"/>
          <w:spacing w:val="-4"/>
          <w:szCs w:val="24"/>
        </w:rPr>
        <w:t>as</w:t>
      </w:r>
      <w:r w:rsidR="7BD2133C" w:rsidRPr="00563D9E">
        <w:rPr>
          <w:rFonts w:cs="Arial (Body CS)"/>
          <w:spacing w:val="-4"/>
          <w:szCs w:val="24"/>
        </w:rPr>
        <w:t xml:space="preserve"> discussed in </w:t>
      </w:r>
      <w:r w:rsidR="00E14355" w:rsidRPr="00563D9E">
        <w:rPr>
          <w:rFonts w:cs="Arial (Body CS)"/>
          <w:spacing w:val="-4"/>
          <w:szCs w:val="24"/>
        </w:rPr>
        <w:t>‘</w:t>
      </w:r>
      <w:r w:rsidR="004E3C05" w:rsidRPr="00563D9E">
        <w:rPr>
          <w:rFonts w:cs="Arial (Body CS)"/>
          <w:spacing w:val="-4"/>
          <w:szCs w:val="24"/>
        </w:rPr>
        <w:t xml:space="preserve">Chapter </w:t>
      </w:r>
      <w:r w:rsidR="009A7E57" w:rsidRPr="00563D9E">
        <w:rPr>
          <w:rFonts w:cs="Arial (Body CS)"/>
          <w:spacing w:val="-4"/>
          <w:szCs w:val="24"/>
        </w:rPr>
        <w:t>2</w:t>
      </w:r>
      <w:r w:rsidR="00DF6BBA" w:rsidRPr="00563D9E">
        <w:rPr>
          <w:rFonts w:cs="Arial (Body CS)"/>
          <w:spacing w:val="-4"/>
          <w:szCs w:val="24"/>
        </w:rPr>
        <w:t>0</w:t>
      </w:r>
      <w:r w:rsidR="004E3C05" w:rsidRPr="00563D9E">
        <w:rPr>
          <w:rFonts w:cs="Arial (Body CS)"/>
          <w:spacing w:val="-4"/>
          <w:szCs w:val="24"/>
        </w:rPr>
        <w:t xml:space="preserve">: </w:t>
      </w:r>
      <w:r w:rsidR="427EEFD4" w:rsidRPr="00563D9E">
        <w:rPr>
          <w:rFonts w:cs="Arial (Body CS)"/>
          <w:spacing w:val="-4"/>
          <w:szCs w:val="24"/>
        </w:rPr>
        <w:t xml:space="preserve">Hidden </w:t>
      </w:r>
      <w:r w:rsidR="004E3C05" w:rsidRPr="00563D9E">
        <w:rPr>
          <w:rFonts w:cs="Arial (Body CS)"/>
          <w:spacing w:val="-4"/>
          <w:szCs w:val="24"/>
        </w:rPr>
        <w:t>p</w:t>
      </w:r>
      <w:r w:rsidR="427EEFD4" w:rsidRPr="00563D9E">
        <w:rPr>
          <w:rFonts w:cs="Arial (Body CS)"/>
          <w:spacing w:val="-4"/>
          <w:szCs w:val="24"/>
        </w:rPr>
        <w:t>otential</w:t>
      </w:r>
      <w:r w:rsidR="009A7E57" w:rsidRPr="00563D9E">
        <w:rPr>
          <w:rFonts w:cs="Arial (Body CS)"/>
          <w:spacing w:val="-4"/>
          <w:szCs w:val="24"/>
        </w:rPr>
        <w:t xml:space="preserve"> and the </w:t>
      </w:r>
      <w:r w:rsidR="00E14355" w:rsidRPr="00563D9E">
        <w:rPr>
          <w:rFonts w:cs="Arial (Body CS)"/>
          <w:spacing w:val="-4"/>
          <w:szCs w:val="24"/>
        </w:rPr>
        <w:t>“</w:t>
      </w:r>
      <w:r w:rsidR="004E3C05" w:rsidRPr="00563D9E">
        <w:rPr>
          <w:rFonts w:cs="Arial (Body CS)"/>
          <w:spacing w:val="-4"/>
          <w:szCs w:val="24"/>
        </w:rPr>
        <w:t>f</w:t>
      </w:r>
      <w:r w:rsidR="009A7E57" w:rsidRPr="00563D9E">
        <w:rPr>
          <w:rFonts w:cs="Arial (Body CS)"/>
          <w:spacing w:val="-4"/>
          <w:szCs w:val="24"/>
        </w:rPr>
        <w:t xml:space="preserve">lying </w:t>
      </w:r>
      <w:r w:rsidR="004E3C05" w:rsidRPr="00563D9E">
        <w:rPr>
          <w:rFonts w:cs="Arial (Body CS)"/>
          <w:spacing w:val="-4"/>
          <w:szCs w:val="24"/>
        </w:rPr>
        <w:t>s</w:t>
      </w:r>
      <w:r w:rsidR="009A7E57" w:rsidRPr="00563D9E">
        <w:rPr>
          <w:rFonts w:cs="Arial (Body CS)"/>
          <w:spacing w:val="-4"/>
          <w:szCs w:val="24"/>
        </w:rPr>
        <w:t>quad</w:t>
      </w:r>
      <w:r w:rsidR="00E14355" w:rsidRPr="00563D9E">
        <w:rPr>
          <w:rFonts w:cs="Arial (Body CS)"/>
          <w:spacing w:val="-4"/>
          <w:szCs w:val="24"/>
        </w:rPr>
        <w:t xml:space="preserve">” </w:t>
      </w:r>
      <w:r w:rsidR="009A7E57" w:rsidRPr="00563D9E">
        <w:rPr>
          <w:rFonts w:cs="Arial (Body CS)"/>
          <w:spacing w:val="-4"/>
          <w:szCs w:val="24"/>
        </w:rPr>
        <w:t>approach</w:t>
      </w:r>
      <w:r w:rsidR="00E14355" w:rsidRPr="00563D9E">
        <w:rPr>
          <w:rFonts w:cs="Arial (Body CS)"/>
          <w:spacing w:val="-4"/>
          <w:szCs w:val="24"/>
        </w:rPr>
        <w:t>’</w:t>
      </w:r>
      <w:r w:rsidR="009A7E57" w:rsidRPr="00563D9E">
        <w:rPr>
          <w:rFonts w:cs="Arial (Body CS)"/>
          <w:i/>
          <w:iCs/>
          <w:spacing w:val="-4"/>
          <w:szCs w:val="24"/>
        </w:rPr>
        <w:t>.</w:t>
      </w:r>
    </w:p>
    <w:p w14:paraId="3E45DF0C" w14:textId="0B520810" w:rsidR="506F7EA3" w:rsidRPr="007E6AE3" w:rsidRDefault="506F7EA3" w:rsidP="79344E9E">
      <w:pPr>
        <w:rPr>
          <w:szCs w:val="24"/>
        </w:rPr>
      </w:pPr>
      <w:r w:rsidRPr="007E6AE3">
        <w:rPr>
          <w:szCs w:val="24"/>
        </w:rPr>
        <w:t>Where an invention is created out of professio</w:t>
      </w:r>
      <w:r w:rsidR="6E66D66D" w:rsidRPr="007E6AE3">
        <w:rPr>
          <w:szCs w:val="24"/>
        </w:rPr>
        <w:t>n</w:t>
      </w:r>
      <w:r w:rsidRPr="007E6AE3">
        <w:rPr>
          <w:szCs w:val="24"/>
        </w:rPr>
        <w:t>al practice, it will not nor</w:t>
      </w:r>
      <w:r w:rsidR="4DB94906" w:rsidRPr="007E6AE3">
        <w:rPr>
          <w:szCs w:val="24"/>
        </w:rPr>
        <w:t>m</w:t>
      </w:r>
      <w:r w:rsidRPr="007E6AE3">
        <w:rPr>
          <w:szCs w:val="24"/>
        </w:rPr>
        <w:t>ally be possible for the</w:t>
      </w:r>
      <w:r w:rsidR="71A13E2C" w:rsidRPr="007E6AE3">
        <w:rPr>
          <w:szCs w:val="24"/>
        </w:rPr>
        <w:t xml:space="preserve"> ins</w:t>
      </w:r>
      <w:r w:rsidR="616924CC" w:rsidRPr="007E6AE3">
        <w:rPr>
          <w:szCs w:val="24"/>
        </w:rPr>
        <w:t>t</w:t>
      </w:r>
      <w:r w:rsidR="71A13E2C" w:rsidRPr="007E6AE3">
        <w:rPr>
          <w:szCs w:val="24"/>
        </w:rPr>
        <w:t>itution to develop it, as the</w:t>
      </w:r>
      <w:r w:rsidR="223BE1A7" w:rsidRPr="007E6AE3">
        <w:rPr>
          <w:szCs w:val="24"/>
        </w:rPr>
        <w:t>re</w:t>
      </w:r>
      <w:r w:rsidR="71A13E2C" w:rsidRPr="007E6AE3">
        <w:rPr>
          <w:szCs w:val="24"/>
        </w:rPr>
        <w:t xml:space="preserve"> </w:t>
      </w:r>
      <w:r w:rsidR="00E14355" w:rsidRPr="007E6AE3">
        <w:rPr>
          <w:szCs w:val="24"/>
        </w:rPr>
        <w:t xml:space="preserve">may </w:t>
      </w:r>
      <w:r w:rsidR="7A0F84D5" w:rsidRPr="007E6AE3">
        <w:rPr>
          <w:szCs w:val="24"/>
        </w:rPr>
        <w:t xml:space="preserve">be </w:t>
      </w:r>
      <w:r w:rsidR="71A13E2C" w:rsidRPr="007E6AE3">
        <w:rPr>
          <w:szCs w:val="24"/>
        </w:rPr>
        <w:t>r</w:t>
      </w:r>
      <w:r w:rsidR="1240927A" w:rsidRPr="007E6AE3">
        <w:rPr>
          <w:szCs w:val="24"/>
        </w:rPr>
        <w:t>e</w:t>
      </w:r>
      <w:r w:rsidR="71A13E2C" w:rsidRPr="007E6AE3">
        <w:rPr>
          <w:szCs w:val="24"/>
        </w:rPr>
        <w:t>quire</w:t>
      </w:r>
      <w:r w:rsidR="1108A176" w:rsidRPr="007E6AE3">
        <w:rPr>
          <w:szCs w:val="24"/>
        </w:rPr>
        <w:t xml:space="preserve">d </w:t>
      </w:r>
      <w:r w:rsidR="71A13E2C" w:rsidRPr="007E6AE3">
        <w:rPr>
          <w:szCs w:val="24"/>
        </w:rPr>
        <w:t>prot</w:t>
      </w:r>
      <w:r w:rsidR="021C7648" w:rsidRPr="007E6AE3">
        <w:rPr>
          <w:szCs w:val="24"/>
        </w:rPr>
        <w:t>ot</w:t>
      </w:r>
      <w:r w:rsidR="71A13E2C" w:rsidRPr="007E6AE3">
        <w:rPr>
          <w:szCs w:val="24"/>
        </w:rPr>
        <w:t>ypes, ma</w:t>
      </w:r>
      <w:r w:rsidR="4D2FB9E3" w:rsidRPr="007E6AE3">
        <w:rPr>
          <w:szCs w:val="24"/>
        </w:rPr>
        <w:t>n</w:t>
      </w:r>
      <w:r w:rsidR="71A13E2C" w:rsidRPr="007E6AE3">
        <w:rPr>
          <w:szCs w:val="24"/>
        </w:rPr>
        <w:t>uf</w:t>
      </w:r>
      <w:r w:rsidR="2FDC4B87" w:rsidRPr="007E6AE3">
        <w:rPr>
          <w:szCs w:val="24"/>
        </w:rPr>
        <w:t>ac</w:t>
      </w:r>
      <w:r w:rsidR="71A13E2C" w:rsidRPr="007E6AE3">
        <w:rPr>
          <w:szCs w:val="24"/>
        </w:rPr>
        <w:t xml:space="preserve">turing of scale, and </w:t>
      </w:r>
      <w:r w:rsidR="12C4C49C" w:rsidRPr="007E6AE3">
        <w:rPr>
          <w:szCs w:val="24"/>
        </w:rPr>
        <w:t xml:space="preserve">other commercial activities, </w:t>
      </w:r>
      <w:r w:rsidR="71A13E2C" w:rsidRPr="007E6AE3">
        <w:rPr>
          <w:szCs w:val="24"/>
        </w:rPr>
        <w:t>so the usual re</w:t>
      </w:r>
      <w:r w:rsidR="00153392" w:rsidRPr="007E6AE3">
        <w:rPr>
          <w:szCs w:val="24"/>
        </w:rPr>
        <w:t>s</w:t>
      </w:r>
      <w:r w:rsidR="71A13E2C" w:rsidRPr="007E6AE3">
        <w:rPr>
          <w:szCs w:val="24"/>
        </w:rPr>
        <w:t>po</w:t>
      </w:r>
      <w:r w:rsidR="73407DC4" w:rsidRPr="007E6AE3">
        <w:rPr>
          <w:szCs w:val="24"/>
        </w:rPr>
        <w:t>nse</w:t>
      </w:r>
      <w:r w:rsidR="71A13E2C" w:rsidRPr="007E6AE3">
        <w:rPr>
          <w:szCs w:val="24"/>
        </w:rPr>
        <w:t xml:space="preserve"> will be to house that invention </w:t>
      </w:r>
      <w:r w:rsidR="1EE643D5" w:rsidRPr="007E6AE3">
        <w:rPr>
          <w:szCs w:val="24"/>
        </w:rPr>
        <w:t>in a spin-off company, fu</w:t>
      </w:r>
      <w:r w:rsidR="10D94F05" w:rsidRPr="007E6AE3">
        <w:rPr>
          <w:szCs w:val="24"/>
        </w:rPr>
        <w:t>nding</w:t>
      </w:r>
      <w:r w:rsidR="1EE643D5" w:rsidRPr="007E6AE3">
        <w:rPr>
          <w:szCs w:val="24"/>
        </w:rPr>
        <w:t xml:space="preserve"> those activities f</w:t>
      </w:r>
      <w:r w:rsidR="0AE6CC87" w:rsidRPr="007E6AE3">
        <w:rPr>
          <w:szCs w:val="24"/>
        </w:rPr>
        <w:t>rom</w:t>
      </w:r>
      <w:r w:rsidR="1EE643D5" w:rsidRPr="007E6AE3">
        <w:rPr>
          <w:szCs w:val="24"/>
        </w:rPr>
        <w:t xml:space="preserve"> elsewhere.</w:t>
      </w:r>
      <w:r w:rsidR="00861044" w:rsidRPr="007E6AE3">
        <w:rPr>
          <w:szCs w:val="24"/>
        </w:rPr>
        <w:t xml:space="preserve"> </w:t>
      </w:r>
      <w:r w:rsidR="116AC3B8" w:rsidRPr="007E6AE3">
        <w:rPr>
          <w:szCs w:val="24"/>
        </w:rPr>
        <w:t>Every invention is a potential small business</w:t>
      </w:r>
      <w:r w:rsidR="685EBDE7" w:rsidRPr="007E6AE3">
        <w:rPr>
          <w:szCs w:val="24"/>
        </w:rPr>
        <w:t xml:space="preserve"> and</w:t>
      </w:r>
      <w:r w:rsidR="00EA0224" w:rsidRPr="007E6AE3">
        <w:rPr>
          <w:szCs w:val="24"/>
        </w:rPr>
        <w:t>,</w:t>
      </w:r>
      <w:r w:rsidR="685EBDE7" w:rsidRPr="007E6AE3">
        <w:rPr>
          <w:szCs w:val="24"/>
        </w:rPr>
        <w:t xml:space="preserve"> for this</w:t>
      </w:r>
      <w:r w:rsidR="00EA0224" w:rsidRPr="007E6AE3">
        <w:rPr>
          <w:szCs w:val="24"/>
        </w:rPr>
        <w:t>,</w:t>
      </w:r>
      <w:r w:rsidR="685EBDE7" w:rsidRPr="007E6AE3">
        <w:rPr>
          <w:szCs w:val="24"/>
        </w:rPr>
        <w:t xml:space="preserve"> help is needed</w:t>
      </w:r>
      <w:r w:rsidR="116AC3B8" w:rsidRPr="007E6AE3">
        <w:rPr>
          <w:szCs w:val="24"/>
        </w:rPr>
        <w:t>.</w:t>
      </w:r>
    </w:p>
    <w:p w14:paraId="62FB701B" w14:textId="6FC97867" w:rsidR="003C6363" w:rsidRPr="007E6AE3" w:rsidRDefault="74DE4A46" w:rsidP="79344E9E">
      <w:pPr>
        <w:rPr>
          <w:szCs w:val="24"/>
        </w:rPr>
      </w:pPr>
      <w:r w:rsidRPr="007E6AE3">
        <w:rPr>
          <w:szCs w:val="24"/>
        </w:rPr>
        <w:t xml:space="preserve">It should be noted that the </w:t>
      </w:r>
      <w:r w:rsidR="00796BE0" w:rsidRPr="007E6AE3">
        <w:rPr>
          <w:szCs w:val="24"/>
        </w:rPr>
        <w:t>r</w:t>
      </w:r>
      <w:r w:rsidRPr="007E6AE3">
        <w:rPr>
          <w:szCs w:val="24"/>
        </w:rPr>
        <w:t>eview heard of an identical issue coming f</w:t>
      </w:r>
      <w:r w:rsidR="2C9F9750" w:rsidRPr="007E6AE3">
        <w:rPr>
          <w:szCs w:val="24"/>
        </w:rPr>
        <w:t>rom</w:t>
      </w:r>
      <w:r w:rsidRPr="007E6AE3">
        <w:rPr>
          <w:szCs w:val="24"/>
        </w:rPr>
        <w:t xml:space="preserve"> the</w:t>
      </w:r>
      <w:r w:rsidR="00035EBE" w:rsidRPr="007E6AE3">
        <w:rPr>
          <w:szCs w:val="24"/>
        </w:rPr>
        <w:t xml:space="preserve"> </w:t>
      </w:r>
      <w:r w:rsidR="00574955" w:rsidRPr="007E6AE3">
        <w:rPr>
          <w:szCs w:val="24"/>
        </w:rPr>
        <w:t>a</w:t>
      </w:r>
      <w:r w:rsidRPr="007E6AE3">
        <w:rPr>
          <w:szCs w:val="24"/>
        </w:rPr>
        <w:t>gribu</w:t>
      </w:r>
      <w:r w:rsidR="09B8D610" w:rsidRPr="007E6AE3">
        <w:rPr>
          <w:szCs w:val="24"/>
        </w:rPr>
        <w:t>s</w:t>
      </w:r>
      <w:r w:rsidRPr="007E6AE3">
        <w:rPr>
          <w:szCs w:val="24"/>
        </w:rPr>
        <w:t>iness sector</w:t>
      </w:r>
      <w:r w:rsidR="20D39E6E" w:rsidRPr="007E6AE3">
        <w:rPr>
          <w:szCs w:val="24"/>
        </w:rPr>
        <w:t>: the r</w:t>
      </w:r>
      <w:r w:rsidR="693283DF" w:rsidRPr="007E6AE3">
        <w:rPr>
          <w:szCs w:val="24"/>
        </w:rPr>
        <w:t>espondent</w:t>
      </w:r>
      <w:r w:rsidR="00796BE0" w:rsidRPr="007E6AE3">
        <w:rPr>
          <w:szCs w:val="24"/>
        </w:rPr>
        <w:t xml:space="preserve"> (</w:t>
      </w:r>
      <w:r w:rsidR="20D39E6E" w:rsidRPr="007E6AE3">
        <w:rPr>
          <w:szCs w:val="24"/>
        </w:rPr>
        <w:t>though trained in science</w:t>
      </w:r>
      <w:r w:rsidR="00796BE0" w:rsidRPr="007E6AE3">
        <w:rPr>
          <w:szCs w:val="24"/>
        </w:rPr>
        <w:t>)</w:t>
      </w:r>
      <w:r w:rsidR="20D39E6E" w:rsidRPr="007E6AE3">
        <w:rPr>
          <w:szCs w:val="24"/>
        </w:rPr>
        <w:t xml:space="preserve"> found</w:t>
      </w:r>
      <w:r w:rsidR="00796BE0" w:rsidRPr="007E6AE3">
        <w:rPr>
          <w:szCs w:val="24"/>
        </w:rPr>
        <w:t xml:space="preserve"> that </w:t>
      </w:r>
      <w:r w:rsidR="20D39E6E" w:rsidRPr="007E6AE3">
        <w:rPr>
          <w:szCs w:val="24"/>
        </w:rPr>
        <w:t>as the CE</w:t>
      </w:r>
      <w:r w:rsidR="10F8D309" w:rsidRPr="007E6AE3">
        <w:rPr>
          <w:szCs w:val="24"/>
        </w:rPr>
        <w:t>O</w:t>
      </w:r>
      <w:r w:rsidR="20D39E6E" w:rsidRPr="007E6AE3">
        <w:rPr>
          <w:szCs w:val="24"/>
        </w:rPr>
        <w:t xml:space="preserve"> of her company</w:t>
      </w:r>
      <w:r w:rsidR="00796BE0" w:rsidRPr="007E6AE3">
        <w:rPr>
          <w:szCs w:val="24"/>
        </w:rPr>
        <w:t>,</w:t>
      </w:r>
      <w:r w:rsidR="20D39E6E" w:rsidRPr="007E6AE3">
        <w:rPr>
          <w:szCs w:val="24"/>
        </w:rPr>
        <w:t xml:space="preserve"> she was </w:t>
      </w:r>
      <w:r w:rsidR="7B64F792" w:rsidRPr="007E6AE3">
        <w:rPr>
          <w:szCs w:val="24"/>
        </w:rPr>
        <w:t>confronted with a whole new area</w:t>
      </w:r>
      <w:r w:rsidR="20D39E6E" w:rsidRPr="007E6AE3">
        <w:rPr>
          <w:szCs w:val="24"/>
        </w:rPr>
        <w:t xml:space="preserve"> when </w:t>
      </w:r>
      <w:r w:rsidR="1EA19AF3" w:rsidRPr="007E6AE3">
        <w:rPr>
          <w:szCs w:val="24"/>
        </w:rPr>
        <w:t>it</w:t>
      </w:r>
      <w:r w:rsidR="20D39E6E" w:rsidRPr="007E6AE3">
        <w:rPr>
          <w:szCs w:val="24"/>
        </w:rPr>
        <w:t xml:space="preserve"> came to pat</w:t>
      </w:r>
      <w:r w:rsidR="517C2D79" w:rsidRPr="007E6AE3">
        <w:rPr>
          <w:szCs w:val="24"/>
        </w:rPr>
        <w:t>e</w:t>
      </w:r>
      <w:r w:rsidR="20D39E6E" w:rsidRPr="007E6AE3">
        <w:rPr>
          <w:szCs w:val="24"/>
        </w:rPr>
        <w:t>nting issues</w:t>
      </w:r>
      <w:r w:rsidR="003C6363" w:rsidRPr="007E6AE3">
        <w:rPr>
          <w:szCs w:val="24"/>
        </w:rPr>
        <w:t>. She</w:t>
      </w:r>
      <w:r w:rsidR="00496003" w:rsidRPr="007E6AE3">
        <w:rPr>
          <w:szCs w:val="24"/>
        </w:rPr>
        <w:t xml:space="preserve"> </w:t>
      </w:r>
      <w:r w:rsidR="068CA76B" w:rsidRPr="007E6AE3">
        <w:rPr>
          <w:szCs w:val="24"/>
        </w:rPr>
        <w:t>f</w:t>
      </w:r>
      <w:r w:rsidR="48FCC880" w:rsidRPr="007E6AE3">
        <w:rPr>
          <w:szCs w:val="24"/>
        </w:rPr>
        <w:t>elt</w:t>
      </w:r>
      <w:r w:rsidR="068CA76B" w:rsidRPr="007E6AE3">
        <w:rPr>
          <w:szCs w:val="24"/>
        </w:rPr>
        <w:t xml:space="preserve"> that it was </w:t>
      </w:r>
      <w:r w:rsidR="6556C989" w:rsidRPr="007E6AE3">
        <w:rPr>
          <w:szCs w:val="24"/>
        </w:rPr>
        <w:t>beyond</w:t>
      </w:r>
      <w:r w:rsidR="068CA76B" w:rsidRPr="007E6AE3">
        <w:rPr>
          <w:szCs w:val="24"/>
        </w:rPr>
        <w:t xml:space="preserve"> her ken</w:t>
      </w:r>
      <w:r w:rsidR="003C6363" w:rsidRPr="007E6AE3">
        <w:rPr>
          <w:szCs w:val="24"/>
        </w:rPr>
        <w:t>: it</w:t>
      </w:r>
      <w:r w:rsidR="068CA76B" w:rsidRPr="007E6AE3">
        <w:rPr>
          <w:szCs w:val="24"/>
        </w:rPr>
        <w:t xml:space="preserve"> was confusing and new</w:t>
      </w:r>
      <w:r w:rsidR="00F7079B">
        <w:rPr>
          <w:szCs w:val="24"/>
        </w:rPr>
        <w:t>.</w:t>
      </w:r>
    </w:p>
    <w:p w14:paraId="5B6E6264" w14:textId="70DCF088" w:rsidR="74DE4A46" w:rsidRPr="007E6AE3" w:rsidRDefault="74DE4A46" w:rsidP="79344E9E">
      <w:pPr>
        <w:rPr>
          <w:b/>
          <w:bCs/>
          <w:szCs w:val="24"/>
        </w:rPr>
      </w:pPr>
    </w:p>
    <w:p w14:paraId="582965BE" w14:textId="77777777" w:rsidR="00A76C4B" w:rsidRDefault="00A76C4B">
      <w:pPr>
        <w:rPr>
          <w:rFonts w:asciiTheme="majorHAnsi" w:eastAsiaTheme="majorEastAsia" w:hAnsiTheme="majorHAnsi" w:cstheme="majorBidi"/>
          <w:color w:val="005677" w:themeColor="text2"/>
          <w:sz w:val="48"/>
          <w:szCs w:val="32"/>
        </w:rPr>
      </w:pPr>
      <w:r>
        <w:br w:type="page"/>
      </w:r>
    </w:p>
    <w:p w14:paraId="4FB11E6C" w14:textId="6FC167DE" w:rsidR="009F4A14" w:rsidRPr="00051771" w:rsidRDefault="00105A9F" w:rsidP="00102432">
      <w:pPr>
        <w:pStyle w:val="Heading1"/>
      </w:pPr>
      <w:bookmarkStart w:id="251" w:name="_Toc60760633"/>
      <w:bookmarkStart w:id="252" w:name="_Toc60834819"/>
      <w:bookmarkStart w:id="253" w:name="_Toc60836769"/>
      <w:bookmarkStart w:id="254" w:name="_Toc60997757"/>
      <w:bookmarkStart w:id="255" w:name="_Toc61015571"/>
      <w:bookmarkStart w:id="256" w:name="_Toc61269603"/>
      <w:bookmarkStart w:id="257" w:name="_Toc61356711"/>
      <w:bookmarkStart w:id="258" w:name="_Toc65159321"/>
      <w:r>
        <w:lastRenderedPageBreak/>
        <w:t>1</w:t>
      </w:r>
      <w:r w:rsidR="00DF6BBA">
        <w:t>1</w:t>
      </w:r>
      <w:r w:rsidR="00A76C4B">
        <w:t xml:space="preserve"> </w:t>
      </w:r>
      <w:r w:rsidR="1107E1E4">
        <w:t xml:space="preserve">The </w:t>
      </w:r>
      <w:r w:rsidR="00EF7AEB">
        <w:t>‘</w:t>
      </w:r>
      <w:r w:rsidR="1107E1E4">
        <w:t>Flying Squad</w:t>
      </w:r>
      <w:r w:rsidR="00EF7AEB">
        <w:t>’</w:t>
      </w:r>
      <w:r w:rsidR="1107E1E4">
        <w:t xml:space="preserve"> </w:t>
      </w:r>
      <w:r w:rsidR="00EF7AEB">
        <w:t>a</w:t>
      </w:r>
      <w:r w:rsidR="1107E1E4">
        <w:t xml:space="preserve">pproach: </w:t>
      </w:r>
      <w:r w:rsidR="00EF7AEB">
        <w:t>g</w:t>
      </w:r>
      <w:r w:rsidR="00B24B32">
        <w:t xml:space="preserve">etting </w:t>
      </w:r>
      <w:r w:rsidR="00A76C4B">
        <w:t>o</w:t>
      </w:r>
      <w:r w:rsidR="00B24B32">
        <w:t xml:space="preserve">ut and </w:t>
      </w:r>
      <w:r w:rsidR="00A76C4B">
        <w:t>a</w:t>
      </w:r>
      <w:r w:rsidR="00B24B32">
        <w:t>bout</w:t>
      </w:r>
      <w:bookmarkEnd w:id="251"/>
      <w:bookmarkEnd w:id="252"/>
      <w:bookmarkEnd w:id="253"/>
      <w:bookmarkEnd w:id="254"/>
      <w:bookmarkEnd w:id="255"/>
      <w:bookmarkEnd w:id="256"/>
      <w:bookmarkEnd w:id="257"/>
      <w:bookmarkEnd w:id="258"/>
    </w:p>
    <w:p w14:paraId="442081EB" w14:textId="0699EECF" w:rsidR="006E30B5" w:rsidRPr="00F7079B" w:rsidRDefault="00D0412D" w:rsidP="009E0202">
      <w:pPr>
        <w:rPr>
          <w:szCs w:val="24"/>
        </w:rPr>
      </w:pPr>
      <w:r w:rsidRPr="00F7079B">
        <w:rPr>
          <w:szCs w:val="24"/>
        </w:rPr>
        <w:t>The difficulty of</w:t>
      </w:r>
      <w:r w:rsidR="00837F23" w:rsidRPr="00F7079B">
        <w:rPr>
          <w:szCs w:val="24"/>
        </w:rPr>
        <w:t xml:space="preserve"> r</w:t>
      </w:r>
      <w:r w:rsidR="008E4DB5" w:rsidRPr="00F7079B">
        <w:rPr>
          <w:szCs w:val="24"/>
        </w:rPr>
        <w:t>eaching those who need information</w:t>
      </w:r>
      <w:r w:rsidR="00544C81" w:rsidRPr="00F7079B">
        <w:rPr>
          <w:szCs w:val="24"/>
        </w:rPr>
        <w:t xml:space="preserve"> is puzzling </w:t>
      </w:r>
      <w:r w:rsidR="006B25C8" w:rsidRPr="00F7079B">
        <w:rPr>
          <w:szCs w:val="24"/>
        </w:rPr>
        <w:t>in an era of hyper</w:t>
      </w:r>
      <w:r w:rsidR="00134F2E" w:rsidRPr="00F7079B">
        <w:rPr>
          <w:szCs w:val="24"/>
        </w:rPr>
        <w:t>-</w:t>
      </w:r>
      <w:r w:rsidR="006B25C8" w:rsidRPr="00F7079B">
        <w:rPr>
          <w:szCs w:val="24"/>
        </w:rPr>
        <w:t>communication</w:t>
      </w:r>
      <w:r w:rsidR="00650520" w:rsidRPr="00F7079B">
        <w:rPr>
          <w:szCs w:val="24"/>
        </w:rPr>
        <w:t>.</w:t>
      </w:r>
      <w:r w:rsidR="00E4207E" w:rsidRPr="00F7079B">
        <w:rPr>
          <w:szCs w:val="24"/>
        </w:rPr>
        <w:t xml:space="preserve"> Surprisingly</w:t>
      </w:r>
      <w:r w:rsidR="006F682E" w:rsidRPr="00F7079B">
        <w:rPr>
          <w:szCs w:val="24"/>
        </w:rPr>
        <w:t>, that w</w:t>
      </w:r>
      <w:r w:rsidR="00FD20FB" w:rsidRPr="00F7079B">
        <w:rPr>
          <w:szCs w:val="24"/>
        </w:rPr>
        <w:t>hich</w:t>
      </w:r>
      <w:r w:rsidR="006F682E" w:rsidRPr="00F7079B">
        <w:rPr>
          <w:szCs w:val="24"/>
        </w:rPr>
        <w:t xml:space="preserve"> is essential to us</w:t>
      </w:r>
      <w:r w:rsidR="00F66F56" w:rsidRPr="00F7079B">
        <w:rPr>
          <w:szCs w:val="24"/>
        </w:rPr>
        <w:t xml:space="preserve"> is drowned out</w:t>
      </w:r>
      <w:r w:rsidR="00FB0A42" w:rsidRPr="00F7079B">
        <w:rPr>
          <w:szCs w:val="24"/>
        </w:rPr>
        <w:t>.</w:t>
      </w:r>
      <w:r w:rsidR="00156EF2" w:rsidRPr="00F7079B">
        <w:rPr>
          <w:szCs w:val="24"/>
        </w:rPr>
        <w:t xml:space="preserve"> </w:t>
      </w:r>
      <w:r w:rsidR="00EF3E0A" w:rsidRPr="00F7079B">
        <w:rPr>
          <w:szCs w:val="24"/>
        </w:rPr>
        <w:t xml:space="preserve">But we were told that </w:t>
      </w:r>
      <w:r w:rsidR="00F42ECF" w:rsidRPr="00F7079B">
        <w:rPr>
          <w:szCs w:val="24"/>
        </w:rPr>
        <w:t xml:space="preserve">if the advice comes </w:t>
      </w:r>
      <w:r w:rsidR="00020D15" w:rsidRPr="00F7079B">
        <w:rPr>
          <w:szCs w:val="24"/>
        </w:rPr>
        <w:t>to people, they will listen.</w:t>
      </w:r>
    </w:p>
    <w:p w14:paraId="6E0B3C8D" w14:textId="695395FE" w:rsidR="00DF6BBA" w:rsidRDefault="00F359C8" w:rsidP="000D6268">
      <w:pPr>
        <w:pStyle w:val="Quote"/>
      </w:pPr>
      <w:r w:rsidRPr="10C74C41">
        <w:t>So</w:t>
      </w:r>
      <w:r w:rsidR="00CC5720">
        <w:t>,</w:t>
      </w:r>
      <w:r w:rsidRPr="10C74C41">
        <w:t xml:space="preserve"> for example, people from the Therapeutic Goods Administration might come here </w:t>
      </w:r>
      <w:r w:rsidR="00DB48C5" w:rsidRPr="10C74C41">
        <w:t xml:space="preserve">every </w:t>
      </w:r>
      <w:r w:rsidRPr="10C74C41">
        <w:t>year or two and run a seminar. We've got a big auditorium. It would be great if IP Australia did something similar.</w:t>
      </w:r>
      <w:r w:rsidR="3DDB027F" w:rsidRPr="10C74C41">
        <w:t xml:space="preserve"> </w:t>
      </w:r>
    </w:p>
    <w:p w14:paraId="06B02784" w14:textId="06D38116" w:rsidR="009A7E57" w:rsidRPr="00F7079B" w:rsidRDefault="00E41B21" w:rsidP="009935D4">
      <w:pPr>
        <w:rPr>
          <w:szCs w:val="24"/>
        </w:rPr>
      </w:pPr>
      <w:r w:rsidRPr="00F7079B">
        <w:rPr>
          <w:szCs w:val="24"/>
        </w:rPr>
        <w:t>Commercialisation services which are offered</w:t>
      </w:r>
      <w:r w:rsidR="00410329" w:rsidRPr="00F7079B">
        <w:rPr>
          <w:szCs w:val="24"/>
        </w:rPr>
        <w:t xml:space="preserve"> should be</w:t>
      </w:r>
      <w:r w:rsidR="007C6205" w:rsidRPr="00F7079B">
        <w:rPr>
          <w:szCs w:val="24"/>
        </w:rPr>
        <w:t xml:space="preserve"> offered actively</w:t>
      </w:r>
      <w:r w:rsidR="00DC08D2" w:rsidRPr="00F7079B">
        <w:rPr>
          <w:szCs w:val="24"/>
        </w:rPr>
        <w:t>, rather than</w:t>
      </w:r>
      <w:r w:rsidR="002A5391" w:rsidRPr="00F7079B">
        <w:rPr>
          <w:szCs w:val="24"/>
        </w:rPr>
        <w:t xml:space="preserve"> passively existing</w:t>
      </w:r>
      <w:r w:rsidR="00382C14" w:rsidRPr="00F7079B">
        <w:rPr>
          <w:szCs w:val="24"/>
        </w:rPr>
        <w:t xml:space="preserve"> as a service which may be tapped</w:t>
      </w:r>
      <w:r w:rsidR="00337896" w:rsidRPr="00F7079B">
        <w:rPr>
          <w:szCs w:val="24"/>
        </w:rPr>
        <w:t>:</w:t>
      </w:r>
      <w:r w:rsidR="00147645" w:rsidRPr="00F7079B">
        <w:rPr>
          <w:szCs w:val="24"/>
        </w:rPr>
        <w:t xml:space="preserve"> this should be a </w:t>
      </w:r>
      <w:r w:rsidR="00BD760C" w:rsidRPr="00F7079B">
        <w:rPr>
          <w:szCs w:val="24"/>
        </w:rPr>
        <w:t>‘Fly in, Fly</w:t>
      </w:r>
      <w:r w:rsidR="009D3779" w:rsidRPr="00F7079B">
        <w:rPr>
          <w:szCs w:val="24"/>
        </w:rPr>
        <w:t xml:space="preserve"> out’ (</w:t>
      </w:r>
      <w:r w:rsidR="00147645" w:rsidRPr="00F7079B">
        <w:rPr>
          <w:szCs w:val="24"/>
        </w:rPr>
        <w:t>FIFO</w:t>
      </w:r>
      <w:r w:rsidR="009D3779" w:rsidRPr="00F7079B">
        <w:rPr>
          <w:szCs w:val="24"/>
        </w:rPr>
        <w:t>)</w:t>
      </w:r>
      <w:r w:rsidR="00837278" w:rsidRPr="00F7079B">
        <w:rPr>
          <w:szCs w:val="24"/>
        </w:rPr>
        <w:t xml:space="preserve"> approach</w:t>
      </w:r>
      <w:r w:rsidR="009D52D1" w:rsidRPr="00F7079B">
        <w:rPr>
          <w:szCs w:val="24"/>
        </w:rPr>
        <w:t>,</w:t>
      </w:r>
      <w:r w:rsidR="00837278" w:rsidRPr="00F7079B">
        <w:rPr>
          <w:szCs w:val="24"/>
        </w:rPr>
        <w:t xml:space="preserve"> so to speak</w:t>
      </w:r>
      <w:r w:rsidR="009D52D1" w:rsidRPr="00F7079B">
        <w:rPr>
          <w:szCs w:val="24"/>
        </w:rPr>
        <w:t xml:space="preserve"> </w:t>
      </w:r>
      <w:r w:rsidR="00BC3F9C">
        <w:rPr>
          <w:szCs w:val="24"/>
        </w:rPr>
        <w:t>–</w:t>
      </w:r>
      <w:r w:rsidR="0090778B" w:rsidRPr="00F7079B">
        <w:rPr>
          <w:szCs w:val="24"/>
        </w:rPr>
        <w:t xml:space="preserve"> </w:t>
      </w:r>
      <w:r w:rsidR="00684289" w:rsidRPr="00F7079B">
        <w:rPr>
          <w:szCs w:val="24"/>
        </w:rPr>
        <w:t>meaning that we come to you</w:t>
      </w:r>
      <w:r w:rsidR="007716BE" w:rsidRPr="00F7079B">
        <w:rPr>
          <w:szCs w:val="24"/>
        </w:rPr>
        <w:t>,</w:t>
      </w:r>
      <w:r w:rsidR="00C537A3" w:rsidRPr="00F7079B">
        <w:rPr>
          <w:szCs w:val="24"/>
        </w:rPr>
        <w:t xml:space="preserve"> and once contact is made</w:t>
      </w:r>
      <w:r w:rsidR="004F0E57" w:rsidRPr="00F7079B">
        <w:rPr>
          <w:szCs w:val="24"/>
        </w:rPr>
        <w:t xml:space="preserve"> we maintain contact</w:t>
      </w:r>
      <w:r w:rsidR="00F64F53" w:rsidRPr="00F7079B">
        <w:rPr>
          <w:szCs w:val="24"/>
        </w:rPr>
        <w:t>.</w:t>
      </w:r>
      <w:r w:rsidR="0076780D" w:rsidRPr="00F7079B">
        <w:rPr>
          <w:szCs w:val="24"/>
        </w:rPr>
        <w:t xml:space="preserve"> The approach should be</w:t>
      </w:r>
      <w:r w:rsidR="00F3764C" w:rsidRPr="00F7079B">
        <w:rPr>
          <w:szCs w:val="24"/>
        </w:rPr>
        <w:t xml:space="preserve"> </w:t>
      </w:r>
      <w:r w:rsidR="00BC622A" w:rsidRPr="00F7079B">
        <w:rPr>
          <w:szCs w:val="24"/>
        </w:rPr>
        <w:t>‘</w:t>
      </w:r>
      <w:r w:rsidR="00973831" w:rsidRPr="00F7079B">
        <w:rPr>
          <w:szCs w:val="24"/>
        </w:rPr>
        <w:t>w</w:t>
      </w:r>
      <w:r w:rsidR="00F3764C" w:rsidRPr="00F7079B">
        <w:rPr>
          <w:szCs w:val="24"/>
        </w:rPr>
        <w:t>e seek you out</w:t>
      </w:r>
      <w:r w:rsidR="00BC622A" w:rsidRPr="00F7079B">
        <w:rPr>
          <w:szCs w:val="24"/>
        </w:rPr>
        <w:t>’</w:t>
      </w:r>
      <w:r w:rsidR="002E1739" w:rsidRPr="00F7079B">
        <w:rPr>
          <w:szCs w:val="24"/>
        </w:rPr>
        <w:t>.</w:t>
      </w:r>
    </w:p>
    <w:p w14:paraId="00945BEC" w14:textId="7791E4FA" w:rsidR="00FB726B" w:rsidRPr="004C1B66" w:rsidRDefault="0BDA4B52" w:rsidP="00B81AD5">
      <w:pPr>
        <w:pStyle w:val="Heading2"/>
        <w:rPr>
          <w:sz w:val="36"/>
          <w:szCs w:val="36"/>
        </w:rPr>
      </w:pPr>
      <w:r w:rsidRPr="00585B6B">
        <w:rPr>
          <w:sz w:val="36"/>
          <w:szCs w:val="36"/>
        </w:rPr>
        <w:t>(</w:t>
      </w:r>
      <w:r w:rsidR="3D3B5E85" w:rsidRPr="00585B6B">
        <w:rPr>
          <w:sz w:val="36"/>
          <w:szCs w:val="36"/>
        </w:rPr>
        <w:t>i</w:t>
      </w:r>
      <w:r w:rsidRPr="00585B6B">
        <w:rPr>
          <w:sz w:val="36"/>
          <w:szCs w:val="36"/>
        </w:rPr>
        <w:t>) Incubators</w:t>
      </w:r>
      <w:r w:rsidR="4E76B047" w:rsidRPr="00585B6B">
        <w:rPr>
          <w:sz w:val="36"/>
          <w:szCs w:val="36"/>
        </w:rPr>
        <w:t xml:space="preserve">, </w:t>
      </w:r>
      <w:r w:rsidRPr="00585B6B">
        <w:rPr>
          <w:sz w:val="36"/>
          <w:szCs w:val="36"/>
        </w:rPr>
        <w:t>accelerators</w:t>
      </w:r>
      <w:r w:rsidR="1C8AB341" w:rsidRPr="00585B6B">
        <w:rPr>
          <w:sz w:val="36"/>
          <w:szCs w:val="36"/>
        </w:rPr>
        <w:t xml:space="preserve"> and </w:t>
      </w:r>
      <w:r w:rsidR="006466A8" w:rsidRPr="00A91ED8">
        <w:rPr>
          <w:sz w:val="36"/>
          <w:szCs w:val="36"/>
        </w:rPr>
        <w:t>support</w:t>
      </w:r>
      <w:r w:rsidR="006466A8">
        <w:rPr>
          <w:sz w:val="36"/>
          <w:szCs w:val="36"/>
        </w:rPr>
        <w:t xml:space="preserve"> </w:t>
      </w:r>
      <w:r w:rsidR="1C8AB341" w:rsidRPr="00585B6B">
        <w:rPr>
          <w:sz w:val="36"/>
          <w:szCs w:val="36"/>
        </w:rPr>
        <w:t>associations</w:t>
      </w:r>
    </w:p>
    <w:p w14:paraId="2E6C2B00" w14:textId="540D257A" w:rsidR="00FB726B" w:rsidRPr="00F7079B" w:rsidRDefault="745D8961" w:rsidP="072FCA73">
      <w:pPr>
        <w:rPr>
          <w:szCs w:val="24"/>
        </w:rPr>
      </w:pPr>
      <w:r w:rsidRPr="00F7079B">
        <w:rPr>
          <w:szCs w:val="24"/>
        </w:rPr>
        <w:t xml:space="preserve">Many respondents </w:t>
      </w:r>
      <w:r w:rsidR="74C739B4" w:rsidRPr="00F7079B">
        <w:rPr>
          <w:szCs w:val="24"/>
        </w:rPr>
        <w:t xml:space="preserve">were helpful in </w:t>
      </w:r>
      <w:r w:rsidRPr="00F7079B">
        <w:rPr>
          <w:szCs w:val="24"/>
        </w:rPr>
        <w:t>suggest</w:t>
      </w:r>
      <w:r w:rsidR="3FF9A54E" w:rsidRPr="00F7079B">
        <w:rPr>
          <w:szCs w:val="24"/>
        </w:rPr>
        <w:t>ing various ways</w:t>
      </w:r>
      <w:r w:rsidRPr="00F7079B">
        <w:rPr>
          <w:szCs w:val="24"/>
        </w:rPr>
        <w:t xml:space="preserve"> </w:t>
      </w:r>
      <w:r w:rsidR="37784AC7" w:rsidRPr="00F7079B">
        <w:rPr>
          <w:szCs w:val="24"/>
        </w:rPr>
        <w:t>of extending the</w:t>
      </w:r>
      <w:r w:rsidRPr="00F7079B">
        <w:rPr>
          <w:szCs w:val="24"/>
        </w:rPr>
        <w:t xml:space="preserve"> reach of IP</w:t>
      </w:r>
      <w:r w:rsidR="007A4CD4">
        <w:rPr>
          <w:szCs w:val="24"/>
        </w:rPr>
        <w:t> </w:t>
      </w:r>
      <w:r w:rsidRPr="00F7079B">
        <w:rPr>
          <w:szCs w:val="24"/>
        </w:rPr>
        <w:t xml:space="preserve">Australia </w:t>
      </w:r>
      <w:r w:rsidR="0C8B5516" w:rsidRPr="00F7079B">
        <w:rPr>
          <w:szCs w:val="24"/>
        </w:rPr>
        <w:t>through engaging</w:t>
      </w:r>
      <w:r w:rsidRPr="00F7079B">
        <w:rPr>
          <w:szCs w:val="24"/>
        </w:rPr>
        <w:t xml:space="preserve"> other groups. These included industry or technical associations</w:t>
      </w:r>
      <w:r w:rsidR="005F25C8" w:rsidRPr="00F7079B">
        <w:rPr>
          <w:szCs w:val="24"/>
        </w:rPr>
        <w:t xml:space="preserve">; </w:t>
      </w:r>
      <w:r w:rsidRPr="00F7079B">
        <w:rPr>
          <w:szCs w:val="24"/>
        </w:rPr>
        <w:t>start</w:t>
      </w:r>
      <w:r w:rsidR="00620CA4" w:rsidRPr="00F7079B">
        <w:rPr>
          <w:szCs w:val="24"/>
        </w:rPr>
        <w:t>-</w:t>
      </w:r>
      <w:r w:rsidRPr="00F7079B">
        <w:rPr>
          <w:szCs w:val="24"/>
        </w:rPr>
        <w:t>up incubators and accelerators</w:t>
      </w:r>
      <w:r w:rsidR="005F25C8" w:rsidRPr="00F7079B">
        <w:rPr>
          <w:szCs w:val="24"/>
        </w:rPr>
        <w:t xml:space="preserve">; </w:t>
      </w:r>
      <w:r w:rsidR="7DF04E6A" w:rsidRPr="00F7079B">
        <w:rPr>
          <w:szCs w:val="24"/>
        </w:rPr>
        <w:t>accountants and bookkeepers</w:t>
      </w:r>
      <w:r w:rsidR="005F25C8" w:rsidRPr="00F7079B">
        <w:rPr>
          <w:szCs w:val="24"/>
        </w:rPr>
        <w:t xml:space="preserve">; </w:t>
      </w:r>
      <w:r w:rsidR="7DF04E6A" w:rsidRPr="00F7079B">
        <w:rPr>
          <w:szCs w:val="24"/>
        </w:rPr>
        <w:t>finance brokers</w:t>
      </w:r>
      <w:r w:rsidR="005F25C8" w:rsidRPr="00F7079B">
        <w:rPr>
          <w:szCs w:val="24"/>
        </w:rPr>
        <w:t xml:space="preserve">; </w:t>
      </w:r>
      <w:r w:rsidR="75A98D48" w:rsidRPr="00F7079B">
        <w:rPr>
          <w:szCs w:val="24"/>
        </w:rPr>
        <w:t xml:space="preserve">and high schools </w:t>
      </w:r>
      <w:r w:rsidR="00005632" w:rsidRPr="00F7079B">
        <w:rPr>
          <w:szCs w:val="24"/>
        </w:rPr>
        <w:t>(</w:t>
      </w:r>
      <w:r w:rsidR="75A98D48" w:rsidRPr="00F7079B">
        <w:rPr>
          <w:szCs w:val="24"/>
        </w:rPr>
        <w:t>to target final</w:t>
      </w:r>
      <w:r w:rsidR="00005632" w:rsidRPr="00F7079B">
        <w:rPr>
          <w:szCs w:val="24"/>
        </w:rPr>
        <w:t>-</w:t>
      </w:r>
      <w:r w:rsidR="75A98D48" w:rsidRPr="00F7079B">
        <w:rPr>
          <w:szCs w:val="24"/>
        </w:rPr>
        <w:t>year students</w:t>
      </w:r>
      <w:r w:rsidR="00005632" w:rsidRPr="00F7079B">
        <w:rPr>
          <w:szCs w:val="24"/>
        </w:rPr>
        <w:t>)</w:t>
      </w:r>
      <w:r w:rsidR="75A98D48" w:rsidRPr="00F7079B">
        <w:rPr>
          <w:szCs w:val="24"/>
        </w:rPr>
        <w:t>.</w:t>
      </w:r>
      <w:r w:rsidR="6BAF2FF3" w:rsidRPr="00F7079B">
        <w:rPr>
          <w:szCs w:val="24"/>
        </w:rPr>
        <w:t xml:space="preserve"> Energising outreach activities to </w:t>
      </w:r>
      <w:r w:rsidR="0F88EC00" w:rsidRPr="00F7079B">
        <w:rPr>
          <w:szCs w:val="24"/>
        </w:rPr>
        <w:t xml:space="preserve">directly </w:t>
      </w:r>
      <w:r w:rsidR="6BAF2FF3" w:rsidRPr="00F7079B">
        <w:rPr>
          <w:szCs w:val="24"/>
        </w:rPr>
        <w:t xml:space="preserve">engage </w:t>
      </w:r>
      <w:r w:rsidR="15EF8264" w:rsidRPr="00F7079B">
        <w:rPr>
          <w:szCs w:val="24"/>
        </w:rPr>
        <w:t xml:space="preserve">users as well as their other circles gives the best chance to </w:t>
      </w:r>
      <w:r w:rsidR="6062A6F3" w:rsidRPr="00F7079B">
        <w:rPr>
          <w:szCs w:val="24"/>
        </w:rPr>
        <w:t xml:space="preserve">expose even the most deliberately ignorant to the benefits </w:t>
      </w:r>
      <w:r w:rsidR="1F078C25" w:rsidRPr="00F7079B">
        <w:rPr>
          <w:szCs w:val="24"/>
        </w:rPr>
        <w:t xml:space="preserve">and necessity of IP </w:t>
      </w:r>
      <w:r w:rsidR="34E34BD4" w:rsidRPr="00F7079B">
        <w:rPr>
          <w:szCs w:val="24"/>
        </w:rPr>
        <w:t>management</w:t>
      </w:r>
      <w:r w:rsidR="100D1E22" w:rsidRPr="00F7079B">
        <w:rPr>
          <w:szCs w:val="24"/>
        </w:rPr>
        <w:t xml:space="preserve">. </w:t>
      </w:r>
    </w:p>
    <w:p w14:paraId="0BDB2B9A" w14:textId="3C2DA6B0" w:rsidR="00563D9E" w:rsidRDefault="3F4787F1" w:rsidP="072FCA73">
      <w:pPr>
        <w:rPr>
          <w:rFonts w:cs="Arial (Body CS)"/>
          <w:spacing w:val="-6"/>
        </w:rPr>
      </w:pPr>
      <w:r w:rsidRPr="72EB7D45">
        <w:rPr>
          <w:rFonts w:cs="Arial (Body CS)"/>
          <w:spacing w:val="-6"/>
        </w:rPr>
        <w:t xml:space="preserve">The UK’s </w:t>
      </w:r>
      <w:r w:rsidR="72123B26" w:rsidRPr="72EB7D45">
        <w:rPr>
          <w:rFonts w:cs="Arial (Body CS)"/>
          <w:spacing w:val="-6"/>
        </w:rPr>
        <w:t xml:space="preserve">Patent Libraries (PatLib) </w:t>
      </w:r>
      <w:r w:rsidRPr="72EB7D45">
        <w:rPr>
          <w:rFonts w:cs="Arial (Body CS)"/>
          <w:spacing w:val="-6"/>
        </w:rPr>
        <w:t xml:space="preserve">Network achieves </w:t>
      </w:r>
      <w:r w:rsidR="79AFF5DB" w:rsidRPr="72EB7D45">
        <w:rPr>
          <w:rFonts w:cs="Arial (Body CS)"/>
          <w:spacing w:val="-6"/>
        </w:rPr>
        <w:t>exposure</w:t>
      </w:r>
      <w:r w:rsidRPr="72EB7D45">
        <w:rPr>
          <w:rFonts w:cs="Arial (Body CS)"/>
          <w:spacing w:val="-6"/>
        </w:rPr>
        <w:t xml:space="preserve"> </w:t>
      </w:r>
      <w:r w:rsidR="1F8CF556" w:rsidRPr="72EB7D45">
        <w:rPr>
          <w:rFonts w:cs="Arial (Body CS)"/>
          <w:spacing w:val="-6"/>
        </w:rPr>
        <w:t>by placing IP expertise within public libraries across the country.</w:t>
      </w:r>
      <w:r w:rsidRPr="72EB7D45">
        <w:rPr>
          <w:rStyle w:val="FootnoteReference"/>
          <w:rFonts w:cs="Arial (Body CS)"/>
        </w:rPr>
        <w:footnoteReference w:id="34"/>
      </w:r>
      <w:r w:rsidR="1F8CF556" w:rsidRPr="72EB7D45">
        <w:rPr>
          <w:rFonts w:cs="Arial (Body CS)"/>
          <w:spacing w:val="-6"/>
        </w:rPr>
        <w:t xml:space="preserve"> </w:t>
      </w:r>
      <w:r w:rsidR="6CA5CFEC" w:rsidRPr="72EB7D45">
        <w:rPr>
          <w:rFonts w:cs="Arial (Body CS)"/>
          <w:spacing w:val="-6"/>
        </w:rPr>
        <w:t xml:space="preserve">Having a prominent and easy-to-access national presence can only serve to </w:t>
      </w:r>
      <w:r w:rsidR="35923CEB" w:rsidRPr="72EB7D45">
        <w:rPr>
          <w:rFonts w:cs="Arial (Body CS)"/>
          <w:spacing w:val="-6"/>
        </w:rPr>
        <w:t xml:space="preserve">normalise </w:t>
      </w:r>
      <w:r w:rsidR="6CA5CFEC" w:rsidRPr="72EB7D45">
        <w:rPr>
          <w:rFonts w:cs="Arial (Body CS)"/>
          <w:spacing w:val="-6"/>
        </w:rPr>
        <w:t xml:space="preserve">IP </w:t>
      </w:r>
      <w:r w:rsidR="2B4AB51E" w:rsidRPr="72EB7D45">
        <w:rPr>
          <w:rFonts w:cs="Arial (Body CS)"/>
          <w:spacing w:val="-6"/>
        </w:rPr>
        <w:t xml:space="preserve">as part and parcel of </w:t>
      </w:r>
      <w:r w:rsidR="7BED2DC7" w:rsidRPr="72EB7D45">
        <w:rPr>
          <w:rFonts w:cs="Arial (Body CS)"/>
          <w:spacing w:val="-6"/>
        </w:rPr>
        <w:t>general commercialisation and entrepreneurship.</w:t>
      </w:r>
      <w:r w:rsidR="7425B6FF" w:rsidRPr="72EB7D45">
        <w:rPr>
          <w:rFonts w:cs="Arial (Body CS)"/>
          <w:spacing w:val="-6"/>
        </w:rPr>
        <w:t xml:space="preserve"> </w:t>
      </w:r>
      <w:r w:rsidR="00563D9E" w:rsidRPr="72EB7D45">
        <w:rPr>
          <w:rFonts w:cs="Arial (Body CS)"/>
          <w:spacing w:val="-6"/>
        </w:rPr>
        <w:br w:type="page"/>
      </w:r>
    </w:p>
    <w:p w14:paraId="18E3C89E" w14:textId="55324378" w:rsidR="00FB726B" w:rsidRPr="00563D9E" w:rsidRDefault="41A4E84A" w:rsidP="79344E9E">
      <w:pPr>
        <w:rPr>
          <w:rFonts w:cs="Arial (Body CS)"/>
          <w:szCs w:val="24"/>
        </w:rPr>
      </w:pPr>
      <w:r w:rsidRPr="00563D9E">
        <w:rPr>
          <w:rFonts w:cs="Arial (Body CS)"/>
          <w:szCs w:val="24"/>
        </w:rPr>
        <w:lastRenderedPageBreak/>
        <w:t>Ho</w:t>
      </w:r>
      <w:r w:rsidR="634E4E6A" w:rsidRPr="00563D9E">
        <w:rPr>
          <w:rFonts w:cs="Arial (Body CS)"/>
          <w:szCs w:val="24"/>
        </w:rPr>
        <w:t>wever</w:t>
      </w:r>
      <w:r w:rsidR="005F25C8" w:rsidRPr="00563D9E">
        <w:rPr>
          <w:rFonts w:cs="Arial (Body CS)"/>
          <w:szCs w:val="24"/>
        </w:rPr>
        <w:t>,</w:t>
      </w:r>
      <w:r w:rsidRPr="00563D9E">
        <w:rPr>
          <w:rFonts w:cs="Arial (Body CS)"/>
          <w:szCs w:val="24"/>
        </w:rPr>
        <w:t xml:space="preserve"> of these, business incubators</w:t>
      </w:r>
      <w:r w:rsidR="006466A8" w:rsidRPr="00563D9E">
        <w:rPr>
          <w:rFonts w:cs="Arial (Body CS)"/>
          <w:szCs w:val="24"/>
        </w:rPr>
        <w:t xml:space="preserve"> and accelerators</w:t>
      </w:r>
      <w:r w:rsidRPr="00563D9E">
        <w:rPr>
          <w:rFonts w:cs="Arial (Body CS)"/>
          <w:szCs w:val="24"/>
        </w:rPr>
        <w:t xml:space="preserve"> play a huge role in busi</w:t>
      </w:r>
      <w:r w:rsidR="5B32B64F" w:rsidRPr="00563D9E">
        <w:rPr>
          <w:rFonts w:cs="Arial (Body CS)"/>
          <w:szCs w:val="24"/>
        </w:rPr>
        <w:t>ness</w:t>
      </w:r>
      <w:r w:rsidRPr="00563D9E">
        <w:rPr>
          <w:rFonts w:cs="Arial (Body CS)"/>
          <w:szCs w:val="24"/>
        </w:rPr>
        <w:t xml:space="preserve"> </w:t>
      </w:r>
      <w:r w:rsidR="092D8B2B" w:rsidRPr="00563D9E">
        <w:rPr>
          <w:rFonts w:cs="Arial (Body CS)"/>
          <w:szCs w:val="24"/>
        </w:rPr>
        <w:t>c</w:t>
      </w:r>
      <w:r w:rsidRPr="00563D9E">
        <w:rPr>
          <w:rFonts w:cs="Arial (Body CS)"/>
          <w:szCs w:val="24"/>
        </w:rPr>
        <w:t>reation and are scattered throughout the country.</w:t>
      </w:r>
      <w:r w:rsidR="00861044" w:rsidRPr="00563D9E">
        <w:rPr>
          <w:rFonts w:cs="Arial (Body CS)"/>
          <w:szCs w:val="24"/>
        </w:rPr>
        <w:t xml:space="preserve"> </w:t>
      </w:r>
      <w:r w:rsidRPr="00563D9E">
        <w:rPr>
          <w:rFonts w:cs="Arial (Body CS)"/>
          <w:szCs w:val="24"/>
        </w:rPr>
        <w:t>Some are pr</w:t>
      </w:r>
      <w:r w:rsidR="1B7F7AC6" w:rsidRPr="00563D9E">
        <w:rPr>
          <w:rFonts w:cs="Arial (Body CS)"/>
          <w:szCs w:val="24"/>
        </w:rPr>
        <w:t>ivate, some a</w:t>
      </w:r>
      <w:r w:rsidR="5AB36238" w:rsidRPr="00563D9E">
        <w:rPr>
          <w:rFonts w:cs="Arial (Body CS)"/>
          <w:szCs w:val="24"/>
        </w:rPr>
        <w:t>re</w:t>
      </w:r>
      <w:r w:rsidR="1B7F7AC6" w:rsidRPr="00563D9E">
        <w:rPr>
          <w:rFonts w:cs="Arial (Body CS)"/>
          <w:szCs w:val="24"/>
        </w:rPr>
        <w:t xml:space="preserve"> </w:t>
      </w:r>
      <w:r w:rsidR="007F252E" w:rsidRPr="00563D9E">
        <w:rPr>
          <w:rFonts w:cs="Arial (Body CS)"/>
          <w:szCs w:val="24"/>
        </w:rPr>
        <w:t>s</w:t>
      </w:r>
      <w:r w:rsidR="363873B0" w:rsidRPr="00563D9E">
        <w:rPr>
          <w:rFonts w:cs="Arial (Body CS)"/>
          <w:szCs w:val="24"/>
        </w:rPr>
        <w:t>tate</w:t>
      </w:r>
      <w:r w:rsidR="1B7F7AC6" w:rsidRPr="00563D9E">
        <w:rPr>
          <w:rFonts w:cs="Arial (Body CS)"/>
          <w:szCs w:val="24"/>
        </w:rPr>
        <w:t>-run, some are affiliated with universities.</w:t>
      </w:r>
      <w:r w:rsidRPr="00563D9E">
        <w:rPr>
          <w:rFonts w:cs="Arial (Body CS)"/>
          <w:szCs w:val="24"/>
        </w:rPr>
        <w:t xml:space="preserve"> </w:t>
      </w:r>
      <w:r w:rsidR="718B16D0" w:rsidRPr="00563D9E">
        <w:rPr>
          <w:rFonts w:cs="Arial (Body CS)"/>
          <w:szCs w:val="24"/>
        </w:rPr>
        <w:t>The</w:t>
      </w:r>
      <w:r w:rsidR="65C64E4C" w:rsidRPr="00563D9E">
        <w:rPr>
          <w:rFonts w:cs="Arial (Body CS)"/>
          <w:szCs w:val="24"/>
        </w:rPr>
        <w:t>re</w:t>
      </w:r>
      <w:r w:rsidR="718B16D0" w:rsidRPr="00563D9E">
        <w:rPr>
          <w:rFonts w:cs="Arial (Body CS)"/>
          <w:szCs w:val="24"/>
        </w:rPr>
        <w:t xml:space="preserve"> has been rapid growth in their number, with hundreds of new bus</w:t>
      </w:r>
      <w:r w:rsidR="1FE36254" w:rsidRPr="00563D9E">
        <w:rPr>
          <w:rFonts w:cs="Arial (Body CS)"/>
          <w:szCs w:val="24"/>
        </w:rPr>
        <w:t>i</w:t>
      </w:r>
      <w:r w:rsidR="718B16D0" w:rsidRPr="00563D9E">
        <w:rPr>
          <w:rFonts w:cs="Arial (Body CS)"/>
          <w:szCs w:val="24"/>
        </w:rPr>
        <w:t>nesses gen</w:t>
      </w:r>
      <w:r w:rsidR="3C520784" w:rsidRPr="00563D9E">
        <w:rPr>
          <w:rFonts w:cs="Arial (Body CS)"/>
          <w:szCs w:val="24"/>
        </w:rPr>
        <w:t>e</w:t>
      </w:r>
      <w:r w:rsidR="718B16D0" w:rsidRPr="00563D9E">
        <w:rPr>
          <w:rFonts w:cs="Arial (Body CS)"/>
          <w:szCs w:val="24"/>
        </w:rPr>
        <w:t xml:space="preserve">rated. The Australian </w:t>
      </w:r>
      <w:r w:rsidR="00EB0FCC">
        <w:rPr>
          <w:rFonts w:cs="Arial (Body CS)"/>
          <w:szCs w:val="24"/>
        </w:rPr>
        <w:t>G</w:t>
      </w:r>
      <w:r w:rsidR="718B16D0" w:rsidRPr="00563D9E">
        <w:rPr>
          <w:rFonts w:cs="Arial (Body CS)"/>
          <w:szCs w:val="24"/>
        </w:rPr>
        <w:t xml:space="preserve">overnment has involved itself in </w:t>
      </w:r>
      <w:r w:rsidR="3A93EA1D" w:rsidRPr="00563D9E">
        <w:rPr>
          <w:rFonts w:cs="Arial (Body CS)"/>
          <w:szCs w:val="24"/>
        </w:rPr>
        <w:t>funding</w:t>
      </w:r>
      <w:r w:rsidR="718B16D0" w:rsidRPr="00563D9E">
        <w:rPr>
          <w:rFonts w:cs="Arial (Body CS)"/>
          <w:szCs w:val="24"/>
        </w:rPr>
        <w:t xml:space="preserve"> some of them</w:t>
      </w:r>
      <w:r w:rsidR="7F853CC8" w:rsidRPr="00563D9E">
        <w:rPr>
          <w:rFonts w:cs="Arial (Body CS)"/>
          <w:szCs w:val="24"/>
        </w:rPr>
        <w:t xml:space="preserve"> and has an ongoing subsidy program</w:t>
      </w:r>
      <w:r w:rsidR="009E6904" w:rsidRPr="00563D9E">
        <w:rPr>
          <w:rStyle w:val="FootnoteReference"/>
          <w:rFonts w:cs="Arial (Body CS)"/>
          <w:szCs w:val="24"/>
        </w:rPr>
        <w:footnoteReference w:id="35"/>
      </w:r>
      <w:r w:rsidR="644B4AF9" w:rsidRPr="00563D9E">
        <w:rPr>
          <w:rFonts w:cs="Arial (Body CS)"/>
          <w:szCs w:val="24"/>
        </w:rPr>
        <w:t xml:space="preserve"> as well as </w:t>
      </w:r>
      <w:r w:rsidR="00A3764D" w:rsidRPr="00563D9E">
        <w:rPr>
          <w:rFonts w:cs="Arial (Body CS)"/>
          <w:szCs w:val="24"/>
        </w:rPr>
        <w:t xml:space="preserve">a </w:t>
      </w:r>
      <w:r w:rsidR="644B4AF9" w:rsidRPr="00563D9E">
        <w:rPr>
          <w:rFonts w:cs="Arial (Body CS)"/>
          <w:szCs w:val="24"/>
        </w:rPr>
        <w:t>visiting mentor program for incubators.</w:t>
      </w:r>
      <w:r w:rsidR="00FB726B" w:rsidRPr="00563D9E">
        <w:rPr>
          <w:rStyle w:val="FootnoteReference"/>
          <w:rFonts w:cs="Arial (Body CS)"/>
          <w:szCs w:val="24"/>
        </w:rPr>
        <w:footnoteReference w:id="36"/>
      </w:r>
    </w:p>
    <w:p w14:paraId="45CA2E4A" w14:textId="390E016E" w:rsidR="00FB726B" w:rsidRPr="00F7079B" w:rsidRDefault="7C8E8745" w:rsidP="794E8010">
      <w:pPr>
        <w:rPr>
          <w:szCs w:val="24"/>
        </w:rPr>
      </w:pPr>
      <w:r w:rsidRPr="00F7079B">
        <w:rPr>
          <w:szCs w:val="24"/>
        </w:rPr>
        <w:t>According to one source</w:t>
      </w:r>
      <w:r w:rsidR="00A3764D" w:rsidRPr="00F7079B">
        <w:rPr>
          <w:szCs w:val="24"/>
        </w:rPr>
        <w:t>,</w:t>
      </w:r>
      <w:r w:rsidRPr="00F7079B">
        <w:rPr>
          <w:szCs w:val="24"/>
        </w:rPr>
        <w:t xml:space="preserve"> t</w:t>
      </w:r>
      <w:r w:rsidR="00F708AF" w:rsidRPr="00F7079B">
        <w:rPr>
          <w:szCs w:val="24"/>
        </w:rPr>
        <w:t>here were</w:t>
      </w:r>
      <w:r w:rsidR="36279E74" w:rsidRPr="00F7079B">
        <w:rPr>
          <w:szCs w:val="24"/>
        </w:rPr>
        <w:t xml:space="preserve"> 1</w:t>
      </w:r>
      <w:r w:rsidR="4F94DB35" w:rsidRPr="00F7079B">
        <w:rPr>
          <w:szCs w:val="24"/>
        </w:rPr>
        <w:t>72</w:t>
      </w:r>
      <w:r w:rsidR="36279E74" w:rsidRPr="00F7079B">
        <w:rPr>
          <w:szCs w:val="24"/>
        </w:rPr>
        <w:t xml:space="preserve"> </w:t>
      </w:r>
      <w:r w:rsidR="00F708AF" w:rsidRPr="00F7079B">
        <w:rPr>
          <w:szCs w:val="24"/>
        </w:rPr>
        <w:t>start</w:t>
      </w:r>
      <w:r w:rsidR="00335446" w:rsidRPr="00F7079B">
        <w:rPr>
          <w:szCs w:val="24"/>
        </w:rPr>
        <w:t>-</w:t>
      </w:r>
      <w:r w:rsidR="00F708AF" w:rsidRPr="00F7079B">
        <w:rPr>
          <w:szCs w:val="24"/>
        </w:rPr>
        <w:t>up accelerator programs</w:t>
      </w:r>
      <w:r w:rsidR="36279E74" w:rsidRPr="00F7079B">
        <w:rPr>
          <w:szCs w:val="24"/>
        </w:rPr>
        <w:t xml:space="preserve"> in Australia</w:t>
      </w:r>
      <w:r w:rsidR="00F708AF" w:rsidRPr="00F7079B">
        <w:rPr>
          <w:szCs w:val="24"/>
        </w:rPr>
        <w:t xml:space="preserve"> in 2019</w:t>
      </w:r>
      <w:r w:rsidR="36279E74" w:rsidRPr="00F7079B">
        <w:rPr>
          <w:szCs w:val="24"/>
        </w:rPr>
        <w:t>,</w:t>
      </w:r>
      <w:r w:rsidR="00FB726B" w:rsidRPr="00F7079B">
        <w:rPr>
          <w:rStyle w:val="FootnoteReference"/>
          <w:szCs w:val="24"/>
        </w:rPr>
        <w:footnoteReference w:id="37"/>
      </w:r>
      <w:r w:rsidR="36279E74" w:rsidRPr="00F7079B">
        <w:rPr>
          <w:szCs w:val="24"/>
        </w:rPr>
        <w:t xml:space="preserve"> </w:t>
      </w:r>
      <w:r w:rsidR="7D818211" w:rsidRPr="00F7079B">
        <w:rPr>
          <w:szCs w:val="24"/>
        </w:rPr>
        <w:t>with the biggest number being in Q</w:t>
      </w:r>
      <w:r w:rsidR="000A75CD">
        <w:rPr>
          <w:szCs w:val="24"/>
        </w:rPr>
        <w:t>ueens</w:t>
      </w:r>
      <w:r w:rsidR="7D818211" w:rsidRPr="00F7079B">
        <w:rPr>
          <w:szCs w:val="24"/>
        </w:rPr>
        <w:t>l</w:t>
      </w:r>
      <w:r w:rsidR="000A75CD">
        <w:rPr>
          <w:szCs w:val="24"/>
        </w:rPr>
        <w:t>an</w:t>
      </w:r>
      <w:r w:rsidR="7D818211" w:rsidRPr="00F7079B">
        <w:rPr>
          <w:szCs w:val="24"/>
        </w:rPr>
        <w:t xml:space="preserve">d. Another </w:t>
      </w:r>
      <w:r w:rsidR="6E908AE8" w:rsidRPr="00F7079B">
        <w:rPr>
          <w:szCs w:val="24"/>
        </w:rPr>
        <w:t>so</w:t>
      </w:r>
      <w:r w:rsidR="43E16FCE" w:rsidRPr="00F7079B">
        <w:rPr>
          <w:szCs w:val="24"/>
        </w:rPr>
        <w:t>urce e</w:t>
      </w:r>
      <w:r w:rsidR="12A930E0" w:rsidRPr="00F7079B">
        <w:rPr>
          <w:szCs w:val="24"/>
        </w:rPr>
        <w:t>st</w:t>
      </w:r>
      <w:r w:rsidR="00F708AF" w:rsidRPr="00F7079B">
        <w:rPr>
          <w:szCs w:val="24"/>
        </w:rPr>
        <w:t>imates that there were</w:t>
      </w:r>
      <w:r w:rsidR="43E16FCE" w:rsidRPr="00F7079B">
        <w:rPr>
          <w:szCs w:val="24"/>
        </w:rPr>
        <w:t xml:space="preserve"> </w:t>
      </w:r>
      <w:r w:rsidR="00006FBD" w:rsidRPr="00F7079B">
        <w:rPr>
          <w:szCs w:val="24"/>
        </w:rPr>
        <w:t>22</w:t>
      </w:r>
      <w:r w:rsidR="00F708AF" w:rsidRPr="00F7079B">
        <w:rPr>
          <w:szCs w:val="24"/>
        </w:rPr>
        <w:t xml:space="preserve"> or more</w:t>
      </w:r>
      <w:r w:rsidR="00006FBD" w:rsidRPr="00F7079B">
        <w:rPr>
          <w:szCs w:val="24"/>
        </w:rPr>
        <w:t xml:space="preserve"> </w:t>
      </w:r>
      <w:r w:rsidR="43E16FCE" w:rsidRPr="00F7079B">
        <w:rPr>
          <w:szCs w:val="24"/>
        </w:rPr>
        <w:t>accelerators in 201</w:t>
      </w:r>
      <w:r w:rsidR="00006FBD" w:rsidRPr="00F7079B">
        <w:rPr>
          <w:szCs w:val="24"/>
        </w:rPr>
        <w:t>6,</w:t>
      </w:r>
      <w:r w:rsidR="00006FBD" w:rsidRPr="00F7079B">
        <w:rPr>
          <w:rStyle w:val="FootnoteReference"/>
          <w:szCs w:val="24"/>
        </w:rPr>
        <w:footnoteReference w:id="38"/>
      </w:r>
      <w:r w:rsidR="03E81876" w:rsidRPr="00F7079B">
        <w:rPr>
          <w:szCs w:val="24"/>
        </w:rPr>
        <w:t xml:space="preserve"> and cites a burgeoning interest in the area.</w:t>
      </w:r>
      <w:r w:rsidR="45B92C4C" w:rsidRPr="00F7079B">
        <w:rPr>
          <w:szCs w:val="24"/>
        </w:rPr>
        <w:t xml:space="preserve"> </w:t>
      </w:r>
      <w:r w:rsidR="38C1EC3F" w:rsidRPr="00F7079B">
        <w:rPr>
          <w:szCs w:val="24"/>
        </w:rPr>
        <w:t>Universities have con</w:t>
      </w:r>
      <w:r w:rsidR="4161B67C" w:rsidRPr="00F7079B">
        <w:rPr>
          <w:szCs w:val="24"/>
        </w:rPr>
        <w:t>t</w:t>
      </w:r>
      <w:r w:rsidR="38C1EC3F" w:rsidRPr="00F7079B">
        <w:rPr>
          <w:szCs w:val="24"/>
        </w:rPr>
        <w:t>ributed to a</w:t>
      </w:r>
      <w:r w:rsidR="70E3D18C" w:rsidRPr="00F7079B">
        <w:rPr>
          <w:szCs w:val="24"/>
        </w:rPr>
        <w:t xml:space="preserve"> </w:t>
      </w:r>
      <w:r w:rsidR="38C1EC3F" w:rsidRPr="00F7079B">
        <w:rPr>
          <w:szCs w:val="24"/>
        </w:rPr>
        <w:t>l</w:t>
      </w:r>
      <w:r w:rsidR="078D8958" w:rsidRPr="00F7079B">
        <w:rPr>
          <w:szCs w:val="24"/>
        </w:rPr>
        <w:t>a</w:t>
      </w:r>
      <w:r w:rsidR="38C1EC3F" w:rsidRPr="00F7079B">
        <w:rPr>
          <w:szCs w:val="24"/>
        </w:rPr>
        <w:t>rge part o</w:t>
      </w:r>
      <w:r w:rsidR="63B78A0A" w:rsidRPr="00F7079B">
        <w:rPr>
          <w:szCs w:val="24"/>
        </w:rPr>
        <w:t xml:space="preserve">f </w:t>
      </w:r>
      <w:r w:rsidR="38C1EC3F" w:rsidRPr="00F7079B">
        <w:rPr>
          <w:szCs w:val="24"/>
        </w:rPr>
        <w:t xml:space="preserve">this growth. </w:t>
      </w:r>
      <w:r w:rsidR="000350DE" w:rsidRPr="00F7079B">
        <w:rPr>
          <w:szCs w:val="24"/>
        </w:rPr>
        <w:t xml:space="preserve">Some estimates which we have not been able to verify indicate that the startups launched by incubators in recent years number in the thousands. </w:t>
      </w:r>
      <w:r w:rsidR="00A5778F" w:rsidRPr="00F7079B">
        <w:rPr>
          <w:szCs w:val="24"/>
        </w:rPr>
        <w:t xml:space="preserve">Incubators and similar </w:t>
      </w:r>
      <w:r w:rsidR="00A15139" w:rsidRPr="00F7079B">
        <w:rPr>
          <w:szCs w:val="24"/>
        </w:rPr>
        <w:t xml:space="preserve">support </w:t>
      </w:r>
      <w:r w:rsidR="7766D170" w:rsidRPr="00F7079B">
        <w:rPr>
          <w:szCs w:val="24"/>
        </w:rPr>
        <w:t xml:space="preserve">organisations </w:t>
      </w:r>
      <w:r w:rsidR="00A5778F" w:rsidRPr="00F7079B">
        <w:rPr>
          <w:szCs w:val="24"/>
        </w:rPr>
        <w:t>that are part of the start</w:t>
      </w:r>
      <w:r w:rsidR="00620CA4" w:rsidRPr="00F7079B">
        <w:rPr>
          <w:szCs w:val="24"/>
        </w:rPr>
        <w:t>-</w:t>
      </w:r>
      <w:r w:rsidR="00A5778F" w:rsidRPr="00F7079B">
        <w:rPr>
          <w:szCs w:val="24"/>
        </w:rPr>
        <w:t xml:space="preserve">up ecosystem should be a </w:t>
      </w:r>
      <w:r w:rsidR="7766D170" w:rsidRPr="00F7079B">
        <w:rPr>
          <w:szCs w:val="24"/>
        </w:rPr>
        <w:t>primary community partner of any</w:t>
      </w:r>
      <w:r w:rsidR="00494CE9">
        <w:rPr>
          <w:szCs w:val="24"/>
        </w:rPr>
        <w:t xml:space="preserve"> IP Australia</w:t>
      </w:r>
      <w:r w:rsidR="7766D170" w:rsidRPr="00F7079B">
        <w:rPr>
          <w:szCs w:val="24"/>
        </w:rPr>
        <w:t>/</w:t>
      </w:r>
      <w:r w:rsidR="00A5778F" w:rsidRPr="00F7079B">
        <w:rPr>
          <w:szCs w:val="24"/>
        </w:rPr>
        <w:t xml:space="preserve">AusIndustry </w:t>
      </w:r>
      <w:r w:rsidR="7766D170" w:rsidRPr="00F7079B">
        <w:rPr>
          <w:szCs w:val="24"/>
        </w:rPr>
        <w:t>action.</w:t>
      </w:r>
    </w:p>
    <w:p w14:paraId="108F94EE" w14:textId="2DEE2003" w:rsidR="00FB726B" w:rsidRDefault="19AD54CD" w:rsidP="794E8010">
      <w:pPr>
        <w:rPr>
          <w:szCs w:val="24"/>
        </w:rPr>
      </w:pPr>
      <w:r w:rsidRPr="00F7079B">
        <w:rPr>
          <w:szCs w:val="24"/>
        </w:rPr>
        <w:t>There is a highly significant engine for growth here</w:t>
      </w:r>
      <w:r w:rsidR="11BA507C" w:rsidRPr="00F7079B">
        <w:rPr>
          <w:szCs w:val="24"/>
        </w:rPr>
        <w:t xml:space="preserve">, which calls out for active collaboration from government. </w:t>
      </w:r>
      <w:r w:rsidR="3EE46F6D" w:rsidRPr="00F7079B">
        <w:rPr>
          <w:szCs w:val="24"/>
        </w:rPr>
        <w:t>An active involvement with the incubators is essential. Patenting will not be relevant to many business start</w:t>
      </w:r>
      <w:r w:rsidR="00620CA4" w:rsidRPr="00F7079B">
        <w:rPr>
          <w:szCs w:val="24"/>
        </w:rPr>
        <w:t>-</w:t>
      </w:r>
      <w:r w:rsidR="3EE46F6D" w:rsidRPr="00F7079B">
        <w:rPr>
          <w:szCs w:val="24"/>
        </w:rPr>
        <w:t>ups</w:t>
      </w:r>
      <w:r w:rsidR="5CDBC737" w:rsidRPr="00F7079B">
        <w:rPr>
          <w:szCs w:val="24"/>
        </w:rPr>
        <w:t>, but a training package which combines IP education with commerc</w:t>
      </w:r>
      <w:r w:rsidR="746C889D" w:rsidRPr="00F7079B">
        <w:rPr>
          <w:szCs w:val="24"/>
        </w:rPr>
        <w:t>ialisation</w:t>
      </w:r>
      <w:r w:rsidR="5CDBC737" w:rsidRPr="00F7079B">
        <w:rPr>
          <w:szCs w:val="24"/>
        </w:rPr>
        <w:t xml:space="preserve"> education will be essential.</w:t>
      </w:r>
      <w:r w:rsidR="00861044" w:rsidRPr="00F7079B">
        <w:rPr>
          <w:szCs w:val="24"/>
        </w:rPr>
        <w:t xml:space="preserve"> </w:t>
      </w:r>
      <w:r w:rsidR="1AEDACA5" w:rsidRPr="00F7079B">
        <w:rPr>
          <w:szCs w:val="24"/>
        </w:rPr>
        <w:t>All new businesses come from an idea, whether patentable or not.</w:t>
      </w:r>
      <w:r w:rsidR="00522C07">
        <w:rPr>
          <w:szCs w:val="24"/>
        </w:rPr>
        <w:t xml:space="preserve"> It should be noted that there is considerable activity undertaken by the states and territories in the development of incubators and accelerators, and coordination between federal agencies and state and territory agencies in this area is essential. </w:t>
      </w:r>
    </w:p>
    <w:p w14:paraId="36BF86D5" w14:textId="2769740C" w:rsidR="00094299" w:rsidRPr="00522C07" w:rsidRDefault="00094299" w:rsidP="794E8010">
      <w:pPr>
        <w:rPr>
          <w:szCs w:val="24"/>
        </w:rPr>
      </w:pPr>
      <w:r w:rsidRPr="005E62C0">
        <w:rPr>
          <w:rFonts w:ascii="Calibri" w:eastAsia="Calibri" w:hAnsi="Calibri" w:cs="Calibri"/>
          <w:szCs w:val="24"/>
        </w:rPr>
        <w:lastRenderedPageBreak/>
        <w:t>There are other virtual startup support groups such as She-EO. With respect to regional areas there are import</w:t>
      </w:r>
      <w:r w:rsidR="00441FE8">
        <w:rPr>
          <w:rFonts w:ascii="Calibri" w:eastAsia="Calibri" w:hAnsi="Calibri" w:cs="Calibri"/>
          <w:szCs w:val="24"/>
        </w:rPr>
        <w:t xml:space="preserve">ant regional networks </w:t>
      </w:r>
      <w:r w:rsidR="001C240F">
        <w:rPr>
          <w:rFonts w:ascii="Calibri" w:eastAsia="Calibri" w:hAnsi="Calibri" w:cs="Calibri"/>
          <w:szCs w:val="24"/>
        </w:rPr>
        <w:t xml:space="preserve">including </w:t>
      </w:r>
      <w:r w:rsidR="001C240F" w:rsidRPr="005E62C0">
        <w:rPr>
          <w:rFonts w:ascii="Calibri" w:eastAsia="Calibri" w:hAnsi="Calibri" w:cs="Calibri"/>
          <w:szCs w:val="24"/>
        </w:rPr>
        <w:t>Rural</w:t>
      </w:r>
      <w:r w:rsidR="001C240F">
        <w:rPr>
          <w:rFonts w:ascii="Calibri" w:eastAsia="Calibri" w:hAnsi="Calibri" w:cs="Calibri"/>
          <w:szCs w:val="24"/>
        </w:rPr>
        <w:t xml:space="preserve"> </w:t>
      </w:r>
      <w:r w:rsidR="001C240F" w:rsidRPr="004B479D">
        <w:rPr>
          <w:rFonts w:ascii="Calibri" w:eastAsia="Calibri" w:hAnsi="Calibri" w:cs="Calibri"/>
          <w:szCs w:val="24"/>
        </w:rPr>
        <w:t>Research</w:t>
      </w:r>
      <w:r w:rsidR="001C240F">
        <w:rPr>
          <w:rFonts w:ascii="Calibri" w:eastAsia="Calibri" w:hAnsi="Calibri" w:cs="Calibri"/>
          <w:szCs w:val="24"/>
        </w:rPr>
        <w:t xml:space="preserve"> </w:t>
      </w:r>
      <w:r w:rsidR="001C240F" w:rsidRPr="004B479D">
        <w:rPr>
          <w:rFonts w:ascii="Calibri" w:eastAsia="Calibri" w:hAnsi="Calibri" w:cs="Calibri"/>
          <w:szCs w:val="24"/>
        </w:rPr>
        <w:t>and</w:t>
      </w:r>
      <w:r w:rsidR="001C240F">
        <w:rPr>
          <w:rFonts w:ascii="Calibri" w:eastAsia="Calibri" w:hAnsi="Calibri" w:cs="Calibri"/>
          <w:szCs w:val="24"/>
        </w:rPr>
        <w:t xml:space="preserve"> </w:t>
      </w:r>
      <w:r w:rsidR="001C240F" w:rsidRPr="004B479D">
        <w:rPr>
          <w:rFonts w:ascii="Calibri" w:eastAsia="Calibri" w:hAnsi="Calibri" w:cs="Calibri"/>
          <w:szCs w:val="24"/>
        </w:rPr>
        <w:t>Development</w:t>
      </w:r>
      <w:r w:rsidR="001C240F">
        <w:rPr>
          <w:rFonts w:ascii="Calibri" w:eastAsia="Calibri" w:hAnsi="Calibri" w:cs="Calibri"/>
          <w:szCs w:val="24"/>
        </w:rPr>
        <w:t xml:space="preserve"> </w:t>
      </w:r>
      <w:r w:rsidRPr="004B479D">
        <w:rPr>
          <w:rFonts w:ascii="Calibri" w:eastAsia="Calibri" w:hAnsi="Calibri" w:cs="Calibri"/>
          <w:szCs w:val="24"/>
        </w:rPr>
        <w:t>Corporations, business chambers, regional government associations or local councils.</w:t>
      </w:r>
      <w:r w:rsidRPr="002411C9">
        <w:rPr>
          <w:rStyle w:val="FootnoteReference"/>
          <w:rFonts w:ascii="Calibri" w:eastAsia="Calibri" w:hAnsi="Calibri" w:cs="Calibri"/>
          <w:szCs w:val="24"/>
        </w:rPr>
        <w:footnoteReference w:id="39"/>
      </w:r>
    </w:p>
    <w:p w14:paraId="798FB64A" w14:textId="0B56E24A" w:rsidR="009935D4" w:rsidRDefault="00563D9E" w:rsidP="00563D9E">
      <w:pPr>
        <w:pStyle w:val="Calloutbox"/>
        <w:rPr>
          <w:b w:val="0"/>
          <w:bCs/>
          <w:color w:val="000000" w:themeColor="text1"/>
          <w:sz w:val="28"/>
        </w:rPr>
      </w:pPr>
      <w:r w:rsidRPr="00D4757B">
        <w:rPr>
          <w:sz w:val="28"/>
        </w:rPr>
        <w:t>Recommendation 3:</w:t>
      </w:r>
      <w:r>
        <w:rPr>
          <w:sz w:val="28"/>
        </w:rPr>
        <w:br/>
      </w:r>
      <w:r w:rsidRPr="00563D9E">
        <w:rPr>
          <w:b w:val="0"/>
          <w:bCs/>
          <w:color w:val="000000" w:themeColor="text1"/>
          <w:sz w:val="28"/>
        </w:rPr>
        <w:t xml:space="preserve">That </w:t>
      </w:r>
      <w:r w:rsidR="00ED725D" w:rsidRPr="29F57EED">
        <w:rPr>
          <w:b w:val="0"/>
          <w:color w:val="000000" w:themeColor="text1"/>
          <w:sz w:val="28"/>
          <w:szCs w:val="28"/>
        </w:rPr>
        <w:t>the Department</w:t>
      </w:r>
      <w:r w:rsidR="00ED725D">
        <w:rPr>
          <w:b w:val="0"/>
          <w:color w:val="000000" w:themeColor="text1"/>
          <w:sz w:val="28"/>
          <w:szCs w:val="28"/>
        </w:rPr>
        <w:t xml:space="preserve"> of Industry, Science, Energy and Resources</w:t>
      </w:r>
      <w:r w:rsidR="00ED725D" w:rsidRPr="29F57EED">
        <w:rPr>
          <w:b w:val="0"/>
          <w:color w:val="000000" w:themeColor="text1"/>
          <w:sz w:val="28"/>
          <w:szCs w:val="28"/>
        </w:rPr>
        <w:t xml:space="preserve"> </w:t>
      </w:r>
      <w:r w:rsidR="00ED725D">
        <w:rPr>
          <w:b w:val="0"/>
          <w:color w:val="000000" w:themeColor="text1"/>
          <w:sz w:val="28"/>
          <w:szCs w:val="28"/>
        </w:rPr>
        <w:t>partners with</w:t>
      </w:r>
      <w:r w:rsidR="00ED725D" w:rsidRPr="00563D9E">
        <w:rPr>
          <w:b w:val="0"/>
          <w:bCs/>
          <w:color w:val="000000" w:themeColor="text1"/>
          <w:sz w:val="28"/>
        </w:rPr>
        <w:t xml:space="preserve"> </w:t>
      </w:r>
      <w:r w:rsidRPr="00563D9E">
        <w:rPr>
          <w:b w:val="0"/>
          <w:bCs/>
          <w:color w:val="000000" w:themeColor="text1"/>
          <w:sz w:val="28"/>
        </w:rPr>
        <w:t>IP Australia in developing an integrated online training program which houses training in intellectual property management within an overall business strategy training course.</w:t>
      </w:r>
    </w:p>
    <w:p w14:paraId="13CF1B13" w14:textId="77777777" w:rsidR="0020157F" w:rsidRPr="00563D9E" w:rsidRDefault="0020157F" w:rsidP="00563D9E">
      <w:pPr>
        <w:pStyle w:val="Calloutbox"/>
        <w:rPr>
          <w:sz w:val="28"/>
        </w:rPr>
      </w:pPr>
    </w:p>
    <w:p w14:paraId="7521524D" w14:textId="77777777" w:rsidR="00563D9E" w:rsidRPr="009740B6" w:rsidRDefault="00563D9E" w:rsidP="00563D9E">
      <w:pPr>
        <w:pStyle w:val="Calloutbox"/>
        <w:rPr>
          <w:sz w:val="28"/>
        </w:rPr>
      </w:pPr>
      <w:r w:rsidRPr="009740B6">
        <w:rPr>
          <w:sz w:val="28"/>
        </w:rPr>
        <w:t>Recommendation 4:</w:t>
      </w:r>
    </w:p>
    <w:p w14:paraId="1A5F445E" w14:textId="52A4954D" w:rsidR="00563D9E" w:rsidRPr="009740B6" w:rsidRDefault="00563D9E" w:rsidP="00563D9E">
      <w:pPr>
        <w:pStyle w:val="Calloutbox"/>
        <w:rPr>
          <w:b w:val="0"/>
          <w:bCs/>
          <w:color w:val="000000" w:themeColor="text1"/>
          <w:sz w:val="28"/>
        </w:rPr>
      </w:pPr>
      <w:r w:rsidRPr="009740B6">
        <w:rPr>
          <w:b w:val="0"/>
          <w:bCs/>
          <w:color w:val="000000" w:themeColor="text1"/>
          <w:sz w:val="28"/>
        </w:rPr>
        <w:t>That a list be developed of all technology-centred small to medium enterprises, including particularly new entrants, with a view to offering such an integrated intellectual property management/commercial strategy training course as an induction. Research and Development Tax Incentive registrations should provide a good starting point.</w:t>
      </w:r>
    </w:p>
    <w:p w14:paraId="3968C85D" w14:textId="77777777" w:rsidR="00563D9E" w:rsidRDefault="00563D9E" w:rsidP="00563D9E">
      <w:pPr>
        <w:pStyle w:val="Calloutbox"/>
        <w:rPr>
          <w:bCs/>
          <w:szCs w:val="28"/>
        </w:rPr>
      </w:pPr>
    </w:p>
    <w:p w14:paraId="365C9647" w14:textId="2ACA9953" w:rsidR="00563D9E" w:rsidRPr="009740B6" w:rsidRDefault="00563D9E" w:rsidP="00563D9E">
      <w:pPr>
        <w:pStyle w:val="Calloutbox"/>
        <w:rPr>
          <w:sz w:val="28"/>
        </w:rPr>
      </w:pPr>
      <w:r w:rsidRPr="009740B6">
        <w:rPr>
          <w:sz w:val="28"/>
        </w:rPr>
        <w:t>Recommendation 5:</w:t>
      </w:r>
    </w:p>
    <w:p w14:paraId="18FDEDB3" w14:textId="21B1D693" w:rsidR="00563D9E" w:rsidRPr="009740B6" w:rsidRDefault="00563D9E" w:rsidP="00563D9E">
      <w:pPr>
        <w:pStyle w:val="Calloutbox"/>
        <w:rPr>
          <w:b w:val="0"/>
          <w:bCs/>
          <w:color w:val="000000" w:themeColor="text1"/>
          <w:sz w:val="28"/>
        </w:rPr>
      </w:pPr>
      <w:r w:rsidRPr="009740B6">
        <w:rPr>
          <w:b w:val="0"/>
          <w:bCs/>
          <w:color w:val="000000" w:themeColor="text1"/>
          <w:sz w:val="28"/>
        </w:rPr>
        <w:t>That in developing such a list, there should be a twice-yearly review of new businesses created, with a view to offering a program (such as the above) as an induction for new technology-centred companies, and in order to alert them to IP Australia guidance tools. New businesses should be contacted early.</w:t>
      </w:r>
      <w:r w:rsidR="00562B3A">
        <w:rPr>
          <w:b w:val="0"/>
          <w:bCs/>
          <w:color w:val="000000" w:themeColor="text1"/>
          <w:sz w:val="28"/>
        </w:rPr>
        <w:br/>
      </w:r>
    </w:p>
    <w:p w14:paraId="5C43A981" w14:textId="7EC2C6F6" w:rsidR="00563D9E" w:rsidRDefault="00563D9E" w:rsidP="00563D9E">
      <w:pPr>
        <w:pStyle w:val="Calloutbox"/>
        <w:rPr>
          <w:sz w:val="28"/>
        </w:rPr>
      </w:pPr>
      <w:r w:rsidRPr="009740B6">
        <w:rPr>
          <w:sz w:val="28"/>
        </w:rPr>
        <w:t>Recommendation 6:</w:t>
      </w:r>
    </w:p>
    <w:p w14:paraId="52249460" w14:textId="21A9238C" w:rsidR="009935D4" w:rsidRPr="00563D9E" w:rsidRDefault="00563D9E" w:rsidP="00563D9E">
      <w:pPr>
        <w:pStyle w:val="Calloutbox"/>
        <w:rPr>
          <w:b w:val="0"/>
          <w:bCs/>
          <w:color w:val="000000" w:themeColor="text1"/>
          <w:sz w:val="28"/>
        </w:rPr>
      </w:pPr>
      <w:r w:rsidRPr="009740B6">
        <w:rPr>
          <w:b w:val="0"/>
          <w:bCs/>
          <w:color w:val="000000" w:themeColor="text1"/>
          <w:sz w:val="28"/>
        </w:rPr>
        <w:t>That IP Australia and AusIndustry work together to reach groups and bodies associated with SMEs. AusIndustry should also explore opportunities to raise the profile of intellectual property with small to medium enterprises, particularly those developing within incubators.</w:t>
      </w:r>
    </w:p>
    <w:p w14:paraId="5E40D644" w14:textId="77777777" w:rsidR="00A76C4B" w:rsidRDefault="00A76C4B">
      <w:pPr>
        <w:rPr>
          <w:rFonts w:asciiTheme="majorHAnsi" w:eastAsiaTheme="majorEastAsia" w:hAnsiTheme="majorHAnsi" w:cstheme="majorBidi"/>
          <w:color w:val="005677" w:themeColor="text2"/>
          <w:sz w:val="48"/>
          <w:szCs w:val="32"/>
        </w:rPr>
      </w:pPr>
      <w:r>
        <w:br w:type="page"/>
      </w:r>
    </w:p>
    <w:p w14:paraId="02F4943D" w14:textId="57CB23F6" w:rsidR="004901AC" w:rsidRPr="007521C3" w:rsidRDefault="00105A9F" w:rsidP="00102432">
      <w:pPr>
        <w:pStyle w:val="Heading1"/>
      </w:pPr>
      <w:bookmarkStart w:id="259" w:name="_Toc60760634"/>
      <w:bookmarkStart w:id="260" w:name="_Toc60834820"/>
      <w:bookmarkStart w:id="261" w:name="_Toc60836770"/>
      <w:bookmarkStart w:id="262" w:name="_Toc60997758"/>
      <w:bookmarkStart w:id="263" w:name="_Toc61015572"/>
      <w:bookmarkStart w:id="264" w:name="_Toc61269604"/>
      <w:bookmarkStart w:id="265" w:name="_Toc61356712"/>
      <w:bookmarkStart w:id="266" w:name="_Toc65159322"/>
      <w:r w:rsidRPr="007521C3">
        <w:lastRenderedPageBreak/>
        <w:t>1</w:t>
      </w:r>
      <w:r w:rsidR="00006FBD" w:rsidRPr="007521C3">
        <w:t>2</w:t>
      </w:r>
      <w:r w:rsidR="00A76C4B" w:rsidRPr="007521C3">
        <w:t xml:space="preserve"> </w:t>
      </w:r>
      <w:r w:rsidR="00480367" w:rsidRPr="007521C3">
        <w:t>Self</w:t>
      </w:r>
      <w:r w:rsidR="00822742" w:rsidRPr="007521C3">
        <w:t>-filing</w:t>
      </w:r>
      <w:r w:rsidR="4B777468" w:rsidRPr="007521C3">
        <w:t xml:space="preserve"> and the Case Manager service</w:t>
      </w:r>
      <w:bookmarkEnd w:id="259"/>
      <w:bookmarkEnd w:id="260"/>
      <w:bookmarkEnd w:id="261"/>
      <w:bookmarkEnd w:id="262"/>
      <w:bookmarkEnd w:id="263"/>
      <w:bookmarkEnd w:id="264"/>
      <w:bookmarkEnd w:id="265"/>
      <w:bookmarkEnd w:id="266"/>
    </w:p>
    <w:p w14:paraId="61273256" w14:textId="6BCA4160" w:rsidR="003927EF" w:rsidRPr="007521C3" w:rsidRDefault="003927EF" w:rsidP="00585B6B">
      <w:pPr>
        <w:pStyle w:val="Quote"/>
        <w:rPr>
          <w:szCs w:val="28"/>
        </w:rPr>
      </w:pPr>
      <w:r w:rsidRPr="007521C3">
        <w:rPr>
          <w:szCs w:val="28"/>
        </w:rPr>
        <w:t xml:space="preserve">It’s very important that it be done correctly. Money that is spent should be spent wisely and with the right advice. The worst thing that can be done is to set up a self-help system. </w:t>
      </w:r>
    </w:p>
    <w:p w14:paraId="2910911C" w14:textId="79CCCDA9" w:rsidR="60B42F0B" w:rsidRPr="00F7079B" w:rsidRDefault="60B42F0B" w:rsidP="69A819EB">
      <w:r>
        <w:t>Several respondents warned of the danger of self-filing, meaning that an individual who did not seek professional advice</w:t>
      </w:r>
      <w:r w:rsidR="00904F06">
        <w:t xml:space="preserve"> (</w:t>
      </w:r>
      <w:r>
        <w:t>say from a patent attorney</w:t>
      </w:r>
      <w:r w:rsidR="00904F06">
        <w:t>)</w:t>
      </w:r>
      <w:r>
        <w:t xml:space="preserve"> ran the risk of filing an inadequately drafted patent application. It was argued that the problem of rectifying or cleaning up such applications was greater the further down the line the application had gone, compared </w:t>
      </w:r>
      <w:r w:rsidR="00A834B0">
        <w:t xml:space="preserve">with </w:t>
      </w:r>
      <w:r>
        <w:t>the relatively smooth process of working up an application with a patent attorney, and using these services from the very outset. This is similar to the complaint about self-</w:t>
      </w:r>
      <w:r w:rsidR="6D81639A">
        <w:t>d</w:t>
      </w:r>
      <w:r>
        <w:t xml:space="preserve">efended litigants in the judicial context, which also came up. </w:t>
      </w:r>
    </w:p>
    <w:p w14:paraId="6888E1C8" w14:textId="022C6C63" w:rsidR="00290C09" w:rsidRPr="00F7079B" w:rsidRDefault="00572143" w:rsidP="00822742">
      <w:pPr>
        <w:rPr>
          <w:szCs w:val="24"/>
        </w:rPr>
      </w:pPr>
      <w:r w:rsidRPr="00F7079B">
        <w:rPr>
          <w:szCs w:val="24"/>
        </w:rPr>
        <w:t>In this way</w:t>
      </w:r>
      <w:r w:rsidR="005D2C6D" w:rsidRPr="00F7079B">
        <w:rPr>
          <w:szCs w:val="24"/>
        </w:rPr>
        <w:t xml:space="preserve"> a warning </w:t>
      </w:r>
      <w:r w:rsidRPr="00F7079B">
        <w:rPr>
          <w:szCs w:val="24"/>
        </w:rPr>
        <w:t xml:space="preserve">is </w:t>
      </w:r>
      <w:r w:rsidR="005D2C6D" w:rsidRPr="00F7079B">
        <w:rPr>
          <w:szCs w:val="24"/>
        </w:rPr>
        <w:t xml:space="preserve">extended to the general public, </w:t>
      </w:r>
      <w:r w:rsidR="00D25E91" w:rsidRPr="00F7079B">
        <w:rPr>
          <w:szCs w:val="24"/>
        </w:rPr>
        <w:t>along the lines</w:t>
      </w:r>
      <w:r w:rsidR="005D2C6D" w:rsidRPr="00F7079B">
        <w:rPr>
          <w:szCs w:val="24"/>
        </w:rPr>
        <w:t xml:space="preserve"> that if you</w:t>
      </w:r>
      <w:r w:rsidR="004C38C7" w:rsidRPr="00F7079B">
        <w:rPr>
          <w:szCs w:val="24"/>
        </w:rPr>
        <w:t xml:space="preserve"> consult a patent attorney early on, you will be rewarded with a smoother process and in the end </w:t>
      </w:r>
      <w:r w:rsidR="00D25E91" w:rsidRPr="00F7079B">
        <w:rPr>
          <w:szCs w:val="24"/>
        </w:rPr>
        <w:t xml:space="preserve">a less </w:t>
      </w:r>
      <w:r w:rsidR="004C38C7" w:rsidRPr="00F7079B">
        <w:rPr>
          <w:szCs w:val="24"/>
        </w:rPr>
        <w:t>cost</w:t>
      </w:r>
      <w:r w:rsidR="00D25E91" w:rsidRPr="00F7079B">
        <w:rPr>
          <w:szCs w:val="24"/>
        </w:rPr>
        <w:t>ly process</w:t>
      </w:r>
      <w:r w:rsidR="006F4633" w:rsidRPr="00F7079B">
        <w:rPr>
          <w:szCs w:val="24"/>
        </w:rPr>
        <w:t>, as unscrambling the omelette is a harder task.</w:t>
      </w:r>
      <w:r w:rsidR="00861044" w:rsidRPr="00F7079B">
        <w:rPr>
          <w:szCs w:val="24"/>
        </w:rPr>
        <w:t xml:space="preserve"> </w:t>
      </w:r>
    </w:p>
    <w:p w14:paraId="051DAF68" w14:textId="67A1D654" w:rsidR="008A6081" w:rsidRPr="00F7079B" w:rsidRDefault="006F4633" w:rsidP="00822742">
      <w:pPr>
        <w:rPr>
          <w:szCs w:val="24"/>
        </w:rPr>
      </w:pPr>
      <w:r w:rsidRPr="00F7079B">
        <w:rPr>
          <w:szCs w:val="24"/>
        </w:rPr>
        <w:t>In addition</w:t>
      </w:r>
      <w:r w:rsidR="00FD3E3C" w:rsidRPr="00F7079B">
        <w:rPr>
          <w:szCs w:val="24"/>
        </w:rPr>
        <w:t>,</w:t>
      </w:r>
      <w:r w:rsidRPr="00F7079B">
        <w:rPr>
          <w:szCs w:val="24"/>
        </w:rPr>
        <w:t xml:space="preserve"> this </w:t>
      </w:r>
      <w:r w:rsidR="00E40F5B" w:rsidRPr="00F7079B">
        <w:rPr>
          <w:szCs w:val="24"/>
        </w:rPr>
        <w:t>warning</w:t>
      </w:r>
      <w:r w:rsidRPr="00F7079B">
        <w:rPr>
          <w:szCs w:val="24"/>
        </w:rPr>
        <w:t xml:space="preserve"> about self</w:t>
      </w:r>
      <w:r w:rsidR="00E40F5B" w:rsidRPr="00F7079B">
        <w:rPr>
          <w:szCs w:val="24"/>
        </w:rPr>
        <w:t>-</w:t>
      </w:r>
      <w:r w:rsidRPr="00F7079B">
        <w:rPr>
          <w:szCs w:val="24"/>
        </w:rPr>
        <w:t>filing</w:t>
      </w:r>
      <w:r w:rsidR="000E70A4" w:rsidRPr="00F7079B">
        <w:rPr>
          <w:szCs w:val="24"/>
        </w:rPr>
        <w:t xml:space="preserve"> is combined with a complaint about the </w:t>
      </w:r>
      <w:r w:rsidR="00E40F5B" w:rsidRPr="00F7079B">
        <w:rPr>
          <w:szCs w:val="24"/>
        </w:rPr>
        <w:t>C</w:t>
      </w:r>
      <w:r w:rsidR="000E70A4" w:rsidRPr="00F7079B">
        <w:rPr>
          <w:szCs w:val="24"/>
        </w:rPr>
        <w:t>ase</w:t>
      </w:r>
      <w:r w:rsidR="008D6F20">
        <w:rPr>
          <w:szCs w:val="24"/>
        </w:rPr>
        <w:t> </w:t>
      </w:r>
      <w:r w:rsidR="00E40F5B" w:rsidRPr="00F7079B">
        <w:rPr>
          <w:szCs w:val="24"/>
        </w:rPr>
        <w:t>M</w:t>
      </w:r>
      <w:r w:rsidR="000E70A4" w:rsidRPr="00F7079B">
        <w:rPr>
          <w:szCs w:val="24"/>
        </w:rPr>
        <w:t xml:space="preserve">anager service </w:t>
      </w:r>
      <w:r w:rsidR="00946FB0" w:rsidRPr="00F7079B">
        <w:rPr>
          <w:szCs w:val="24"/>
        </w:rPr>
        <w:t xml:space="preserve">being </w:t>
      </w:r>
      <w:r w:rsidR="000E70A4" w:rsidRPr="00F7079B">
        <w:rPr>
          <w:szCs w:val="24"/>
        </w:rPr>
        <w:t>offered on a trial basis at the moment by IP Australia</w:t>
      </w:r>
      <w:r w:rsidR="00946FB0" w:rsidRPr="00F7079B">
        <w:rPr>
          <w:szCs w:val="24"/>
        </w:rPr>
        <w:t>. T</w:t>
      </w:r>
      <w:r w:rsidR="000E70A4" w:rsidRPr="00F7079B">
        <w:rPr>
          <w:szCs w:val="24"/>
        </w:rPr>
        <w:t>here are two legs to the complaint</w:t>
      </w:r>
      <w:r w:rsidR="0086420B" w:rsidRPr="00F7079B">
        <w:rPr>
          <w:szCs w:val="24"/>
        </w:rPr>
        <w:t>, one being that the service encourages self</w:t>
      </w:r>
      <w:r w:rsidR="006D67EB" w:rsidRPr="00F7079B">
        <w:rPr>
          <w:szCs w:val="24"/>
        </w:rPr>
        <w:t>-</w:t>
      </w:r>
      <w:r w:rsidR="0086420B" w:rsidRPr="00F7079B">
        <w:rPr>
          <w:szCs w:val="24"/>
        </w:rPr>
        <w:t>filing, and the other that this service</w:t>
      </w:r>
      <w:r w:rsidR="00417A0C" w:rsidRPr="00F7079B">
        <w:rPr>
          <w:szCs w:val="24"/>
        </w:rPr>
        <w:t xml:space="preserve"> seems intended to replace the role of the patent attorney. </w:t>
      </w:r>
    </w:p>
    <w:p w14:paraId="505C72C6" w14:textId="75B438EE" w:rsidR="60B42F0B" w:rsidRPr="00F7079B" w:rsidRDefault="60B42F0B" w:rsidP="69A819EB">
      <w:pPr>
        <w:rPr>
          <w:szCs w:val="24"/>
        </w:rPr>
      </w:pPr>
      <w:r w:rsidRPr="00F7079B">
        <w:rPr>
          <w:szCs w:val="24"/>
        </w:rPr>
        <w:t xml:space="preserve">One respondent suggested that the Case Manager service may be close to infringing section 185 of the </w:t>
      </w:r>
      <w:r w:rsidRPr="00F7079B">
        <w:rPr>
          <w:i/>
          <w:szCs w:val="24"/>
        </w:rPr>
        <w:t>Patents Act</w:t>
      </w:r>
      <w:r w:rsidR="00170699" w:rsidRPr="00F7079B">
        <w:rPr>
          <w:i/>
          <w:szCs w:val="24"/>
        </w:rPr>
        <w:t xml:space="preserve"> 1990</w:t>
      </w:r>
      <w:r w:rsidRPr="00F7079B">
        <w:rPr>
          <w:szCs w:val="24"/>
        </w:rPr>
        <w:t xml:space="preserve">, which reads: </w:t>
      </w:r>
    </w:p>
    <w:p w14:paraId="5C8D4FF5" w14:textId="22BEF6EE" w:rsidR="60B42F0B" w:rsidRPr="00F7079B" w:rsidRDefault="60B42F0B" w:rsidP="004234D4">
      <w:pPr>
        <w:spacing w:before="60" w:after="60"/>
        <w:ind w:left="720"/>
        <w:rPr>
          <w:i/>
          <w:szCs w:val="24"/>
        </w:rPr>
      </w:pPr>
      <w:r w:rsidRPr="00F7079B">
        <w:rPr>
          <w:i/>
          <w:szCs w:val="24"/>
        </w:rPr>
        <w:t xml:space="preserve">The Commissioner, a Deputy Commissioner or an employee must not: </w:t>
      </w:r>
    </w:p>
    <w:p w14:paraId="59606F02" w14:textId="1CDE0C95" w:rsidR="003607AE" w:rsidRPr="00F7079B" w:rsidRDefault="003607AE" w:rsidP="004234D4">
      <w:pPr>
        <w:spacing w:before="60" w:after="60"/>
        <w:ind w:left="720"/>
        <w:rPr>
          <w:i/>
          <w:szCs w:val="24"/>
        </w:rPr>
      </w:pPr>
      <w:r w:rsidRPr="00F7079B">
        <w:rPr>
          <w:i/>
          <w:szCs w:val="24"/>
        </w:rPr>
        <w:t>(a) prepare, or help to prepare:</w:t>
      </w:r>
    </w:p>
    <w:p w14:paraId="5F8FFECD" w14:textId="7489CD8A" w:rsidR="60B42F0B" w:rsidRPr="00F7079B" w:rsidRDefault="60B42F0B" w:rsidP="001C240F">
      <w:pPr>
        <w:spacing w:before="60" w:after="60"/>
        <w:ind w:left="1134" w:firstLine="141"/>
        <w:rPr>
          <w:i/>
          <w:szCs w:val="24"/>
        </w:rPr>
      </w:pPr>
      <w:r w:rsidRPr="00F7079B">
        <w:rPr>
          <w:i/>
          <w:szCs w:val="24"/>
        </w:rPr>
        <w:t xml:space="preserve">(i) a specification; or </w:t>
      </w:r>
    </w:p>
    <w:p w14:paraId="2F0C559E" w14:textId="77777777" w:rsidR="001C240F" w:rsidRDefault="60B42F0B" w:rsidP="001C240F">
      <w:pPr>
        <w:spacing w:after="0"/>
        <w:ind w:left="1275"/>
        <w:rPr>
          <w:i/>
        </w:rPr>
      </w:pPr>
      <w:r w:rsidRPr="6B748703">
        <w:rPr>
          <w:i/>
        </w:rPr>
        <w:t xml:space="preserve">(ii) any other document relating to a specification (other than a </w:t>
      </w:r>
      <w:r>
        <w:tab/>
      </w:r>
      <w:r>
        <w:tab/>
      </w:r>
      <w:r w:rsidRPr="6B748703">
        <w:rPr>
          <w:i/>
        </w:rPr>
        <w:t xml:space="preserve">document which is in an approved form); </w:t>
      </w:r>
    </w:p>
    <w:p w14:paraId="47859FF6" w14:textId="073D6625" w:rsidR="60B42F0B" w:rsidRPr="00F7079B" w:rsidRDefault="60B42F0B" w:rsidP="001C240F">
      <w:pPr>
        <w:spacing w:after="0"/>
        <w:ind w:left="1134"/>
        <w:rPr>
          <w:i/>
        </w:rPr>
      </w:pPr>
      <w:r w:rsidRPr="6B748703">
        <w:rPr>
          <w:i/>
        </w:rPr>
        <w:t xml:space="preserve">unless the Commissioner, Deputy Commissioner or the employee is the inventor in respect of the specification; or </w:t>
      </w:r>
    </w:p>
    <w:p w14:paraId="2586E443" w14:textId="22BEF6EE" w:rsidR="60B42F0B" w:rsidRPr="00563D9E" w:rsidRDefault="60B42F0B" w:rsidP="004234D4">
      <w:pPr>
        <w:spacing w:before="60" w:after="240"/>
        <w:ind w:left="720"/>
        <w:rPr>
          <w:rFonts w:cs="Arial (Body CS)"/>
          <w:i/>
          <w:spacing w:val="-2"/>
          <w:szCs w:val="24"/>
        </w:rPr>
      </w:pPr>
      <w:r w:rsidRPr="00563D9E">
        <w:rPr>
          <w:rFonts w:cs="Arial (Body CS)"/>
          <w:i/>
          <w:spacing w:val="-2"/>
          <w:szCs w:val="24"/>
        </w:rPr>
        <w:t xml:space="preserve">(b) search the records of the Patent Office otherwise than in his or her official capacity. </w:t>
      </w:r>
    </w:p>
    <w:p w14:paraId="1051D8F9" w14:textId="77777777" w:rsidR="00B1097E" w:rsidRDefault="00B1097E" w:rsidP="69A819EB">
      <w:pPr>
        <w:rPr>
          <w:szCs w:val="24"/>
        </w:rPr>
      </w:pPr>
      <w:r>
        <w:rPr>
          <w:szCs w:val="24"/>
        </w:rPr>
        <w:br w:type="page"/>
      </w:r>
    </w:p>
    <w:p w14:paraId="79598420" w14:textId="050AF47B" w:rsidR="60B42F0B" w:rsidRPr="00F7079B" w:rsidRDefault="009A5C4E" w:rsidP="69A819EB">
      <w:pPr>
        <w:rPr>
          <w:szCs w:val="24"/>
        </w:rPr>
      </w:pPr>
      <w:r w:rsidRPr="00F7079B">
        <w:rPr>
          <w:szCs w:val="24"/>
        </w:rPr>
        <w:lastRenderedPageBreak/>
        <w:t>However,</w:t>
      </w:r>
      <w:r w:rsidR="00494CE9">
        <w:rPr>
          <w:szCs w:val="24"/>
        </w:rPr>
        <w:t xml:space="preserve"> IP Australia</w:t>
      </w:r>
      <w:r w:rsidR="60B42F0B" w:rsidRPr="00F7079B">
        <w:rPr>
          <w:szCs w:val="24"/>
        </w:rPr>
        <w:t xml:space="preserve"> provides clear instruction to the case managers of the sco</w:t>
      </w:r>
      <w:r w:rsidR="00546EC8" w:rsidRPr="00F7079B">
        <w:rPr>
          <w:szCs w:val="24"/>
        </w:rPr>
        <w:t>pe and limitations provided by s</w:t>
      </w:r>
      <w:r w:rsidR="00170699" w:rsidRPr="00F7079B">
        <w:rPr>
          <w:szCs w:val="24"/>
        </w:rPr>
        <w:t>ection</w:t>
      </w:r>
      <w:r w:rsidR="005173F6" w:rsidRPr="00F7079B">
        <w:rPr>
          <w:szCs w:val="24"/>
        </w:rPr>
        <w:t xml:space="preserve"> </w:t>
      </w:r>
      <w:r w:rsidR="60B42F0B" w:rsidRPr="00F7079B">
        <w:rPr>
          <w:szCs w:val="24"/>
        </w:rPr>
        <w:t>185 on the information they provide. Case managers are not preparing any document relating to the patent application, are not providing early indication of patentability, or carrying out pre-filing searches for the customer.</w:t>
      </w:r>
      <w:r w:rsidR="00861044" w:rsidRPr="00F7079B">
        <w:rPr>
          <w:szCs w:val="24"/>
        </w:rPr>
        <w:t xml:space="preserve"> </w:t>
      </w:r>
      <w:r w:rsidR="60B42F0B" w:rsidRPr="00F7079B">
        <w:rPr>
          <w:szCs w:val="24"/>
        </w:rPr>
        <w:t>Rather, case managers are providing customers with information to navigate the patent system, and they are also instructed to encourage customers to consider the use of a patent attorney.</w:t>
      </w:r>
      <w:r w:rsidR="00861044" w:rsidRPr="00F7079B">
        <w:rPr>
          <w:szCs w:val="24"/>
        </w:rPr>
        <w:t xml:space="preserve"> </w:t>
      </w:r>
    </w:p>
    <w:p w14:paraId="70313F31" w14:textId="19C81378" w:rsidR="00420905" w:rsidRPr="00F7079B" w:rsidRDefault="60B42F0B" w:rsidP="69A819EB">
      <w:pPr>
        <w:rPr>
          <w:szCs w:val="24"/>
        </w:rPr>
      </w:pPr>
      <w:r w:rsidRPr="00F7079B">
        <w:rPr>
          <w:szCs w:val="24"/>
        </w:rPr>
        <w:t xml:space="preserve">Early feedback from the </w:t>
      </w:r>
      <w:r w:rsidR="00B74E10" w:rsidRPr="00F7079B">
        <w:rPr>
          <w:szCs w:val="24"/>
        </w:rPr>
        <w:t>C</w:t>
      </w:r>
      <w:r w:rsidRPr="00F7079B">
        <w:rPr>
          <w:szCs w:val="24"/>
        </w:rPr>
        <w:t xml:space="preserve">ase </w:t>
      </w:r>
      <w:r w:rsidR="00B74E10" w:rsidRPr="00F7079B">
        <w:rPr>
          <w:szCs w:val="24"/>
        </w:rPr>
        <w:t>M</w:t>
      </w:r>
      <w:r w:rsidRPr="00F7079B">
        <w:rPr>
          <w:szCs w:val="24"/>
        </w:rPr>
        <w:t xml:space="preserve">anager program </w:t>
      </w:r>
      <w:r w:rsidR="002E45A1" w:rsidRPr="00F7079B">
        <w:rPr>
          <w:szCs w:val="24"/>
        </w:rPr>
        <w:t>indicates</w:t>
      </w:r>
      <w:r w:rsidRPr="00F7079B">
        <w:rPr>
          <w:szCs w:val="24"/>
        </w:rPr>
        <w:t xml:space="preserve"> that there is a strong desire for customers to talk to a personal contact in order to know how to start, and that is the value of the experiment.</w:t>
      </w:r>
      <w:r w:rsidR="00861044" w:rsidRPr="00F7079B">
        <w:rPr>
          <w:szCs w:val="24"/>
        </w:rPr>
        <w:t xml:space="preserve"> </w:t>
      </w:r>
      <w:r w:rsidRPr="00F7079B">
        <w:rPr>
          <w:szCs w:val="24"/>
        </w:rPr>
        <w:t>Given that the Case Manager service is part of an effort to increase the outreach of the office, and to improve its educational services, it is important that it succeed.</w:t>
      </w:r>
      <w:r w:rsidR="00861044" w:rsidRPr="00F7079B">
        <w:rPr>
          <w:szCs w:val="24"/>
        </w:rPr>
        <w:t xml:space="preserve"> </w:t>
      </w:r>
      <w:r w:rsidRPr="00F7079B">
        <w:rPr>
          <w:szCs w:val="24"/>
        </w:rPr>
        <w:t xml:space="preserve">The existing Case Manager trial is the kind of activist measure </w:t>
      </w:r>
      <w:r w:rsidR="008C706F" w:rsidRPr="00F7079B">
        <w:rPr>
          <w:szCs w:val="24"/>
        </w:rPr>
        <w:t xml:space="preserve">that </w:t>
      </w:r>
      <w:r w:rsidRPr="00F7079B">
        <w:rPr>
          <w:szCs w:val="24"/>
        </w:rPr>
        <w:t xml:space="preserve">this </w:t>
      </w:r>
      <w:r w:rsidR="00947318" w:rsidRPr="00F7079B">
        <w:rPr>
          <w:szCs w:val="24"/>
        </w:rPr>
        <w:t>r</w:t>
      </w:r>
      <w:r w:rsidRPr="00F7079B">
        <w:rPr>
          <w:szCs w:val="24"/>
        </w:rPr>
        <w:t xml:space="preserve">eview </w:t>
      </w:r>
      <w:r w:rsidR="00420905" w:rsidRPr="00F7079B">
        <w:rPr>
          <w:szCs w:val="24"/>
        </w:rPr>
        <w:t>r</w:t>
      </w:r>
      <w:r w:rsidR="0CBA8D3C" w:rsidRPr="00F7079B">
        <w:rPr>
          <w:szCs w:val="24"/>
        </w:rPr>
        <w:t xml:space="preserve">eport </w:t>
      </w:r>
      <w:r w:rsidRPr="00F7079B">
        <w:rPr>
          <w:szCs w:val="24"/>
        </w:rPr>
        <w:t>seeks to promote.</w:t>
      </w:r>
      <w:r w:rsidR="00861044" w:rsidRPr="00F7079B">
        <w:rPr>
          <w:szCs w:val="24"/>
        </w:rPr>
        <w:t xml:space="preserve"> </w:t>
      </w:r>
    </w:p>
    <w:p w14:paraId="4E3DDC5A" w14:textId="508B1CA1" w:rsidR="60B42F0B" w:rsidRPr="00F7079B" w:rsidRDefault="60B42F0B" w:rsidP="69A819EB">
      <w:pPr>
        <w:rPr>
          <w:szCs w:val="24"/>
        </w:rPr>
      </w:pPr>
      <w:r w:rsidRPr="00F7079B">
        <w:rPr>
          <w:szCs w:val="24"/>
        </w:rPr>
        <w:t>More communication is needed, not less, and this appears to be a valuable addition to the education</w:t>
      </w:r>
      <w:r w:rsidR="00140A88" w:rsidRPr="00F7079B">
        <w:rPr>
          <w:szCs w:val="24"/>
        </w:rPr>
        <w:t>al offerings of</w:t>
      </w:r>
      <w:r w:rsidR="00494CE9">
        <w:rPr>
          <w:szCs w:val="24"/>
        </w:rPr>
        <w:t xml:space="preserve"> IP Australia</w:t>
      </w:r>
      <w:r w:rsidR="00140A88" w:rsidRPr="00F7079B">
        <w:rPr>
          <w:szCs w:val="24"/>
        </w:rPr>
        <w:t xml:space="preserve">. </w:t>
      </w:r>
      <w:r w:rsidRPr="00F7079B">
        <w:rPr>
          <w:szCs w:val="24"/>
        </w:rPr>
        <w:t xml:space="preserve">In the light of the complaint, additional communication with the </w:t>
      </w:r>
      <w:r w:rsidR="00ED655A">
        <w:rPr>
          <w:szCs w:val="24"/>
        </w:rPr>
        <w:t xml:space="preserve">patent attorney </w:t>
      </w:r>
      <w:r w:rsidRPr="00F7079B">
        <w:rPr>
          <w:szCs w:val="24"/>
        </w:rPr>
        <w:t>profession</w:t>
      </w:r>
      <w:r w:rsidR="00391D50" w:rsidRPr="00F7079B">
        <w:rPr>
          <w:szCs w:val="24"/>
        </w:rPr>
        <w:t>,</w:t>
      </w:r>
      <w:r w:rsidRPr="00F7079B">
        <w:rPr>
          <w:szCs w:val="24"/>
        </w:rPr>
        <w:t xml:space="preserve"> to spell out how the program works</w:t>
      </w:r>
      <w:r w:rsidR="00391D50" w:rsidRPr="00F7079B">
        <w:rPr>
          <w:szCs w:val="24"/>
        </w:rPr>
        <w:t>,</w:t>
      </w:r>
      <w:r w:rsidRPr="00F7079B">
        <w:rPr>
          <w:szCs w:val="24"/>
        </w:rPr>
        <w:t xml:space="preserve"> would be useful.</w:t>
      </w:r>
    </w:p>
    <w:p w14:paraId="58E294A9" w14:textId="12B6A33C" w:rsidR="00DB4465" w:rsidRPr="00F7079B" w:rsidRDefault="60B42F0B" w:rsidP="69A819EB">
      <w:pPr>
        <w:rPr>
          <w:szCs w:val="24"/>
        </w:rPr>
      </w:pPr>
      <w:r w:rsidRPr="00F7079B">
        <w:rPr>
          <w:szCs w:val="24"/>
        </w:rPr>
        <w:t>It should be remembered that</w:t>
      </w:r>
      <w:r w:rsidR="00494CE9">
        <w:rPr>
          <w:szCs w:val="24"/>
        </w:rPr>
        <w:t xml:space="preserve"> IP Australia</w:t>
      </w:r>
      <w:r w:rsidRPr="00F7079B">
        <w:rPr>
          <w:szCs w:val="24"/>
        </w:rPr>
        <w:t xml:space="preserve"> has a range of customers, some of whom cannot afford professional legal fees or who are not confident in the</w:t>
      </w:r>
      <w:r w:rsidR="00140A88" w:rsidRPr="00F7079B">
        <w:rPr>
          <w:szCs w:val="24"/>
        </w:rPr>
        <w:t>ir ability to secure a patent.</w:t>
      </w:r>
      <w:r w:rsidR="00494CE9">
        <w:rPr>
          <w:szCs w:val="24"/>
        </w:rPr>
        <w:t xml:space="preserve"> IP</w:t>
      </w:r>
      <w:r w:rsidR="008D6F20">
        <w:rPr>
          <w:szCs w:val="24"/>
        </w:rPr>
        <w:t> </w:t>
      </w:r>
      <w:r w:rsidR="00494CE9">
        <w:rPr>
          <w:szCs w:val="24"/>
        </w:rPr>
        <w:t>Australia</w:t>
      </w:r>
      <w:r w:rsidRPr="00F7079B">
        <w:rPr>
          <w:szCs w:val="24"/>
        </w:rPr>
        <w:t>’s experience is that many self-filing applicants do consider using a patent attorney but decide not to because of attorney fees.</w:t>
      </w:r>
      <w:r w:rsidR="00140A88" w:rsidRPr="00F7079B">
        <w:rPr>
          <w:szCs w:val="24"/>
        </w:rPr>
        <w:t xml:space="preserve"> In any case, the number of self-filing patent applicants remains very low.</w:t>
      </w:r>
      <w:r w:rsidR="00494CE9">
        <w:rPr>
          <w:szCs w:val="24"/>
        </w:rPr>
        <w:t xml:space="preserve"> IP Australia</w:t>
      </w:r>
      <w:r w:rsidR="7C652206" w:rsidRPr="00F7079B">
        <w:rPr>
          <w:szCs w:val="24"/>
        </w:rPr>
        <w:t xml:space="preserve"> </w:t>
      </w:r>
      <w:r w:rsidR="2EC10C92" w:rsidRPr="00F7079B">
        <w:rPr>
          <w:szCs w:val="24"/>
        </w:rPr>
        <w:t>is</w:t>
      </w:r>
      <w:r w:rsidR="7C652206" w:rsidRPr="00F7079B">
        <w:rPr>
          <w:szCs w:val="24"/>
        </w:rPr>
        <w:t xml:space="preserve"> aware of a</w:t>
      </w:r>
      <w:r w:rsidR="5A269CC6" w:rsidRPr="00F7079B">
        <w:rPr>
          <w:szCs w:val="24"/>
        </w:rPr>
        <w:t xml:space="preserve"> </w:t>
      </w:r>
      <w:r w:rsidR="7C652206" w:rsidRPr="00F7079B">
        <w:rPr>
          <w:szCs w:val="24"/>
        </w:rPr>
        <w:t>number of self-filing success stories but</w:t>
      </w:r>
      <w:r w:rsidR="009A5C4E" w:rsidRPr="00F7079B">
        <w:rPr>
          <w:szCs w:val="24"/>
        </w:rPr>
        <w:t>,</w:t>
      </w:r>
      <w:r w:rsidR="7C652206" w:rsidRPr="00F7079B">
        <w:rPr>
          <w:szCs w:val="24"/>
        </w:rPr>
        <w:t xml:space="preserve"> in any case</w:t>
      </w:r>
      <w:r w:rsidR="009A5C4E" w:rsidRPr="00F7079B">
        <w:rPr>
          <w:szCs w:val="24"/>
        </w:rPr>
        <w:t>, it</w:t>
      </w:r>
      <w:r w:rsidR="7C652206" w:rsidRPr="00F7079B">
        <w:rPr>
          <w:szCs w:val="24"/>
        </w:rPr>
        <w:t xml:space="preserve"> is quick to adv</w:t>
      </w:r>
      <w:r w:rsidR="5BB7949F" w:rsidRPr="00F7079B">
        <w:rPr>
          <w:szCs w:val="24"/>
        </w:rPr>
        <w:t>ocate the use of</w:t>
      </w:r>
      <w:r w:rsidR="7C652206" w:rsidRPr="00F7079B">
        <w:rPr>
          <w:szCs w:val="24"/>
        </w:rPr>
        <w:t xml:space="preserve"> professio</w:t>
      </w:r>
      <w:r w:rsidR="170B5FA9" w:rsidRPr="00F7079B">
        <w:rPr>
          <w:szCs w:val="24"/>
        </w:rPr>
        <w:t>nal</w:t>
      </w:r>
      <w:r w:rsidR="7C652206" w:rsidRPr="00F7079B">
        <w:rPr>
          <w:szCs w:val="24"/>
        </w:rPr>
        <w:t xml:space="preserve"> services </w:t>
      </w:r>
      <w:r w:rsidR="0BBDA4E6" w:rsidRPr="00F7079B">
        <w:rPr>
          <w:szCs w:val="24"/>
        </w:rPr>
        <w:t xml:space="preserve">when </w:t>
      </w:r>
      <w:r w:rsidR="7C652206" w:rsidRPr="00F7079B">
        <w:rPr>
          <w:szCs w:val="24"/>
        </w:rPr>
        <w:t>needed</w:t>
      </w:r>
      <w:r w:rsidR="58595C0F" w:rsidRPr="00F7079B">
        <w:rPr>
          <w:szCs w:val="24"/>
        </w:rPr>
        <w:t>.</w:t>
      </w:r>
    </w:p>
    <w:p w14:paraId="107CC1D6" w14:textId="03A0FCA8" w:rsidR="69A819EB" w:rsidRPr="00F7079B" w:rsidRDefault="60B42F0B" w:rsidP="69A819EB">
      <w:pPr>
        <w:rPr>
          <w:szCs w:val="24"/>
        </w:rPr>
      </w:pPr>
      <w:r w:rsidRPr="00F7079B">
        <w:rPr>
          <w:szCs w:val="24"/>
        </w:rPr>
        <w:t>Nevertheless</w:t>
      </w:r>
      <w:r w:rsidR="00572249" w:rsidRPr="00F7079B">
        <w:rPr>
          <w:szCs w:val="24"/>
        </w:rPr>
        <w:t>,</w:t>
      </w:r>
      <w:r w:rsidRPr="00F7079B">
        <w:rPr>
          <w:szCs w:val="24"/>
        </w:rPr>
        <w:t xml:space="preserve"> the service must not run the risk of infringing</w:t>
      </w:r>
      <w:r w:rsidR="00391D50" w:rsidRPr="00F7079B">
        <w:rPr>
          <w:szCs w:val="24"/>
        </w:rPr>
        <w:t xml:space="preserve"> </w:t>
      </w:r>
      <w:r w:rsidRPr="00F7079B">
        <w:rPr>
          <w:szCs w:val="24"/>
        </w:rPr>
        <w:t xml:space="preserve">the </w:t>
      </w:r>
      <w:r w:rsidR="00140A88" w:rsidRPr="00F7079B">
        <w:rPr>
          <w:i/>
          <w:iCs/>
          <w:szCs w:val="24"/>
        </w:rPr>
        <w:t xml:space="preserve">Patents </w:t>
      </w:r>
      <w:r w:rsidRPr="00F7079B">
        <w:rPr>
          <w:i/>
          <w:iCs/>
          <w:szCs w:val="24"/>
        </w:rPr>
        <w:t>Act</w:t>
      </w:r>
      <w:r w:rsidR="00170699" w:rsidRPr="00F7079B">
        <w:rPr>
          <w:i/>
          <w:iCs/>
          <w:szCs w:val="24"/>
        </w:rPr>
        <w:t xml:space="preserve"> 1990</w:t>
      </w:r>
      <w:r w:rsidRPr="00F7079B">
        <w:rPr>
          <w:szCs w:val="24"/>
        </w:rPr>
        <w:t>, or of crowding out the private sector: it is the patent attorneys’ work which is at stake here</w:t>
      </w:r>
      <w:r w:rsidR="00391D50" w:rsidRPr="00F7079B">
        <w:rPr>
          <w:szCs w:val="24"/>
        </w:rPr>
        <w:t xml:space="preserve"> </w:t>
      </w:r>
      <w:r w:rsidR="00BC3F9C">
        <w:rPr>
          <w:szCs w:val="24"/>
        </w:rPr>
        <w:t>–</w:t>
      </w:r>
      <w:r w:rsidR="0090778B" w:rsidRPr="00F7079B">
        <w:rPr>
          <w:szCs w:val="24"/>
        </w:rPr>
        <w:t xml:space="preserve"> </w:t>
      </w:r>
      <w:r w:rsidRPr="00F7079B">
        <w:rPr>
          <w:szCs w:val="24"/>
        </w:rPr>
        <w:t>and it should be noted that they are also the complainants.</w:t>
      </w:r>
      <w:r w:rsidR="00861044" w:rsidRPr="00F7079B">
        <w:rPr>
          <w:szCs w:val="24"/>
        </w:rPr>
        <w:t xml:space="preserve"> </w:t>
      </w:r>
      <w:r w:rsidR="00391D50" w:rsidRPr="00F7079B">
        <w:rPr>
          <w:szCs w:val="24"/>
        </w:rPr>
        <w:t>(</w:t>
      </w:r>
      <w:r w:rsidRPr="00F7079B">
        <w:rPr>
          <w:szCs w:val="24"/>
        </w:rPr>
        <w:t>It would be surprising if the general public were to complain about this service.</w:t>
      </w:r>
      <w:r w:rsidR="00391D50" w:rsidRPr="00F7079B">
        <w:rPr>
          <w:szCs w:val="24"/>
        </w:rPr>
        <w:t>)</w:t>
      </w:r>
    </w:p>
    <w:p w14:paraId="4B7DE332" w14:textId="5B9DCFFD" w:rsidR="00E52FB6" w:rsidRPr="00F7079B" w:rsidRDefault="3D21FD76" w:rsidP="004234D4">
      <w:pPr>
        <w:spacing w:after="360"/>
        <w:rPr>
          <w:szCs w:val="24"/>
        </w:rPr>
      </w:pPr>
      <w:r w:rsidRPr="00F7079B">
        <w:rPr>
          <w:szCs w:val="24"/>
        </w:rPr>
        <w:t xml:space="preserve">The Case </w:t>
      </w:r>
      <w:r w:rsidR="00C17510" w:rsidRPr="00F7079B">
        <w:rPr>
          <w:szCs w:val="24"/>
        </w:rPr>
        <w:t>M</w:t>
      </w:r>
      <w:r w:rsidRPr="00F7079B">
        <w:rPr>
          <w:szCs w:val="24"/>
        </w:rPr>
        <w:t>anager service is exactly the kind of activist model recommended in the review.</w:t>
      </w:r>
    </w:p>
    <w:p w14:paraId="2CE285FD" w14:textId="77777777" w:rsidR="004234D4" w:rsidRPr="009740B6" w:rsidRDefault="004234D4" w:rsidP="004234D4">
      <w:pPr>
        <w:pStyle w:val="Calloutbox"/>
        <w:rPr>
          <w:sz w:val="28"/>
        </w:rPr>
      </w:pPr>
      <w:r w:rsidRPr="009740B6">
        <w:rPr>
          <w:sz w:val="28"/>
        </w:rPr>
        <w:t>Recommendation 7:</w:t>
      </w:r>
    </w:p>
    <w:p w14:paraId="7BE4A01B" w14:textId="391F4C5D" w:rsidR="00A76C4B" w:rsidRPr="004234D4" w:rsidRDefault="004234D4" w:rsidP="004234D4">
      <w:pPr>
        <w:pStyle w:val="Calloutbox"/>
        <w:rPr>
          <w:b w:val="0"/>
          <w:bCs/>
          <w:color w:val="000000" w:themeColor="text1"/>
          <w:sz w:val="28"/>
        </w:rPr>
      </w:pPr>
      <w:r w:rsidRPr="009740B6">
        <w:rPr>
          <w:b w:val="0"/>
          <w:bCs/>
          <w:color w:val="000000" w:themeColor="text1"/>
          <w:sz w:val="28"/>
        </w:rPr>
        <w:t xml:space="preserve">That IP Australia review and develop the Case Manager service and spell out the ways in which it operates. This should show how the service assists businesses, while also demonstrating that it conforms with section 185 of the </w:t>
      </w:r>
      <w:r w:rsidRPr="009740B6">
        <w:rPr>
          <w:b w:val="0"/>
          <w:bCs/>
          <w:i/>
          <w:iCs/>
          <w:color w:val="000000" w:themeColor="text1"/>
          <w:sz w:val="28"/>
        </w:rPr>
        <w:t>Patents Act 1990</w:t>
      </w:r>
      <w:r w:rsidRPr="009740B6">
        <w:rPr>
          <w:b w:val="0"/>
          <w:bCs/>
          <w:color w:val="000000" w:themeColor="text1"/>
          <w:sz w:val="28"/>
        </w:rPr>
        <w:t xml:space="preserve"> and continues to provide opportunities for involvement by patent attorneys.</w:t>
      </w:r>
    </w:p>
    <w:p w14:paraId="27F2E0FE" w14:textId="77777777" w:rsidR="00420905" w:rsidRDefault="00420905">
      <w:pPr>
        <w:rPr>
          <w:rFonts w:asciiTheme="majorHAnsi" w:eastAsiaTheme="majorEastAsia" w:hAnsiTheme="majorHAnsi" w:cstheme="majorBidi"/>
          <w:color w:val="005677" w:themeColor="text2"/>
          <w:sz w:val="48"/>
          <w:szCs w:val="32"/>
        </w:rPr>
      </w:pPr>
      <w:bookmarkStart w:id="267" w:name="_Toc60760635"/>
      <w:bookmarkStart w:id="268" w:name="_Toc60834821"/>
      <w:bookmarkStart w:id="269" w:name="_Toc60836771"/>
      <w:bookmarkStart w:id="270" w:name="_Toc60997759"/>
      <w:bookmarkStart w:id="271" w:name="_Toc61015573"/>
      <w:bookmarkStart w:id="272" w:name="_Toc61269605"/>
      <w:bookmarkStart w:id="273" w:name="_Toc61356713"/>
      <w:r>
        <w:br w:type="page"/>
      </w:r>
    </w:p>
    <w:p w14:paraId="2D96BCF1" w14:textId="674D1504" w:rsidR="7A33F704" w:rsidRDefault="00105A9F" w:rsidP="00102432">
      <w:pPr>
        <w:pStyle w:val="Heading1"/>
      </w:pPr>
      <w:bookmarkStart w:id="274" w:name="_Toc65159323"/>
      <w:r>
        <w:lastRenderedPageBreak/>
        <w:t>1</w:t>
      </w:r>
      <w:r w:rsidR="005173F6" w:rsidRPr="003337FE">
        <w:t>3</w:t>
      </w:r>
      <w:r w:rsidR="00A76C4B">
        <w:t xml:space="preserve"> </w:t>
      </w:r>
      <w:r w:rsidR="1E43D756">
        <w:t xml:space="preserve">The </w:t>
      </w:r>
      <w:r w:rsidR="00917BB8">
        <w:t>m</w:t>
      </w:r>
      <w:r w:rsidR="1E43D756">
        <w:t xml:space="preserve">edia and </w:t>
      </w:r>
      <w:r w:rsidR="00917BB8">
        <w:t>p</w:t>
      </w:r>
      <w:r w:rsidR="00B002B7" w:rsidRPr="00B002B7">
        <w:t xml:space="preserve">ublic </w:t>
      </w:r>
      <w:r w:rsidR="00917BB8">
        <w:t>a</w:t>
      </w:r>
      <w:r w:rsidR="00B002B7" w:rsidRPr="00B002B7">
        <w:t>wareness</w:t>
      </w:r>
      <w:bookmarkEnd w:id="267"/>
      <w:bookmarkEnd w:id="268"/>
      <w:bookmarkEnd w:id="269"/>
      <w:bookmarkEnd w:id="270"/>
      <w:bookmarkEnd w:id="271"/>
      <w:bookmarkEnd w:id="272"/>
      <w:bookmarkEnd w:id="273"/>
      <w:bookmarkEnd w:id="274"/>
    </w:p>
    <w:p w14:paraId="13461B79" w14:textId="2C871BBA" w:rsidR="00347EF7" w:rsidRPr="004234D4" w:rsidRDefault="00181028">
      <w:pPr>
        <w:rPr>
          <w:rFonts w:cs="Arial (Body CS)"/>
          <w:spacing w:val="-4"/>
          <w:szCs w:val="24"/>
        </w:rPr>
      </w:pPr>
      <w:r w:rsidRPr="004234D4">
        <w:rPr>
          <w:rFonts w:cs="Arial (Body CS)"/>
          <w:spacing w:val="-4"/>
          <w:szCs w:val="24"/>
        </w:rPr>
        <w:t xml:space="preserve">Many </w:t>
      </w:r>
      <w:r w:rsidR="00737F4E" w:rsidRPr="004234D4">
        <w:rPr>
          <w:rFonts w:cs="Arial (Body CS)"/>
          <w:spacing w:val="-4"/>
          <w:szCs w:val="24"/>
        </w:rPr>
        <w:t xml:space="preserve">respondents claimed that there was a general lack of understanding of </w:t>
      </w:r>
      <w:r w:rsidR="00C17510" w:rsidRPr="004234D4">
        <w:rPr>
          <w:rFonts w:cs="Arial (Body CS)"/>
          <w:spacing w:val="-4"/>
          <w:szCs w:val="24"/>
        </w:rPr>
        <w:t>intellectual property (</w:t>
      </w:r>
      <w:r w:rsidR="00737F4E" w:rsidRPr="004234D4">
        <w:rPr>
          <w:rFonts w:cs="Arial (Body CS)"/>
          <w:spacing w:val="-4"/>
          <w:szCs w:val="24"/>
        </w:rPr>
        <w:t>IP</w:t>
      </w:r>
      <w:r w:rsidR="00C17510" w:rsidRPr="004234D4">
        <w:rPr>
          <w:rFonts w:cs="Arial (Body CS)"/>
          <w:spacing w:val="-4"/>
          <w:szCs w:val="24"/>
        </w:rPr>
        <w:t>)</w:t>
      </w:r>
      <w:r w:rsidR="00737F4E" w:rsidRPr="004234D4">
        <w:rPr>
          <w:rFonts w:cs="Arial (Body CS)"/>
          <w:spacing w:val="-4"/>
          <w:szCs w:val="24"/>
        </w:rPr>
        <w:t xml:space="preserve"> rights within the Australian community, and some made the observation that </w:t>
      </w:r>
      <w:r w:rsidR="008E7BA6" w:rsidRPr="004234D4">
        <w:rPr>
          <w:rFonts w:cs="Arial (Body CS)"/>
          <w:spacing w:val="-4"/>
          <w:szCs w:val="24"/>
        </w:rPr>
        <w:t>other countries</w:t>
      </w:r>
      <w:r w:rsidR="00737F4E" w:rsidRPr="004234D4">
        <w:rPr>
          <w:rFonts w:cs="Arial (Body CS)"/>
          <w:spacing w:val="-4"/>
          <w:szCs w:val="24"/>
        </w:rPr>
        <w:t xml:space="preserve"> </w:t>
      </w:r>
      <w:r w:rsidR="00787A06" w:rsidRPr="004234D4">
        <w:rPr>
          <w:rFonts w:cs="Arial (Body CS)"/>
          <w:spacing w:val="-4"/>
          <w:szCs w:val="24"/>
        </w:rPr>
        <w:t>w</w:t>
      </w:r>
      <w:r w:rsidR="008E7BA6" w:rsidRPr="004234D4">
        <w:rPr>
          <w:rFonts w:cs="Arial (Body CS)"/>
          <w:spacing w:val="-4"/>
          <w:szCs w:val="24"/>
        </w:rPr>
        <w:t>ere</w:t>
      </w:r>
      <w:r w:rsidR="00787A06" w:rsidRPr="004234D4">
        <w:rPr>
          <w:rFonts w:cs="Arial (Body CS)"/>
          <w:spacing w:val="-4"/>
          <w:szCs w:val="24"/>
        </w:rPr>
        <w:t xml:space="preserve"> </w:t>
      </w:r>
      <w:r w:rsidR="009C2728" w:rsidRPr="004234D4">
        <w:rPr>
          <w:rFonts w:cs="Arial (Body CS)"/>
          <w:spacing w:val="-4"/>
          <w:szCs w:val="24"/>
        </w:rPr>
        <w:t xml:space="preserve">now </w:t>
      </w:r>
      <w:r w:rsidR="00787A06" w:rsidRPr="004234D4">
        <w:rPr>
          <w:rFonts w:cs="Arial (Body CS)"/>
          <w:spacing w:val="-4"/>
          <w:szCs w:val="24"/>
        </w:rPr>
        <w:t>succeeding in creating public understanding of the i</w:t>
      </w:r>
      <w:r w:rsidR="009C2728" w:rsidRPr="004234D4">
        <w:rPr>
          <w:rFonts w:cs="Arial (Body CS)"/>
          <w:spacing w:val="-4"/>
          <w:szCs w:val="24"/>
        </w:rPr>
        <w:t xml:space="preserve">nnovative culture, and </w:t>
      </w:r>
      <w:r w:rsidR="00917BB8" w:rsidRPr="004234D4">
        <w:rPr>
          <w:rFonts w:cs="Arial (Body CS)"/>
          <w:spacing w:val="-4"/>
          <w:szCs w:val="24"/>
        </w:rPr>
        <w:t xml:space="preserve">of </w:t>
      </w:r>
      <w:r w:rsidR="009C2728" w:rsidRPr="004234D4">
        <w:rPr>
          <w:rFonts w:cs="Arial (Body CS)"/>
          <w:spacing w:val="-4"/>
          <w:szCs w:val="24"/>
        </w:rPr>
        <w:t>the principles of IP protection.</w:t>
      </w:r>
      <w:r w:rsidR="00787A06" w:rsidRPr="004234D4">
        <w:rPr>
          <w:rFonts w:cs="Arial (Body CS)"/>
          <w:spacing w:val="-4"/>
          <w:szCs w:val="24"/>
        </w:rPr>
        <w:t xml:space="preserve"> </w:t>
      </w:r>
      <w:r w:rsidR="001A0085" w:rsidRPr="004234D4">
        <w:rPr>
          <w:rFonts w:cs="Arial (Body CS)"/>
          <w:spacing w:val="-4"/>
          <w:szCs w:val="24"/>
        </w:rPr>
        <w:t xml:space="preserve">If there is a deficiency </w:t>
      </w:r>
      <w:r w:rsidR="005207F0" w:rsidRPr="004234D4">
        <w:rPr>
          <w:rFonts w:cs="Arial (Body CS)"/>
          <w:spacing w:val="-4"/>
          <w:szCs w:val="24"/>
        </w:rPr>
        <w:t>here</w:t>
      </w:r>
      <w:r w:rsidR="00917BB8" w:rsidRPr="004234D4">
        <w:rPr>
          <w:rFonts w:cs="Arial (Body CS)"/>
          <w:spacing w:val="-4"/>
          <w:szCs w:val="24"/>
        </w:rPr>
        <w:t>,</w:t>
      </w:r>
      <w:r w:rsidR="001A0085" w:rsidRPr="004234D4">
        <w:rPr>
          <w:rFonts w:cs="Arial (Body CS)"/>
          <w:spacing w:val="-4"/>
          <w:szCs w:val="24"/>
        </w:rPr>
        <w:t xml:space="preserve"> i</w:t>
      </w:r>
      <w:r w:rsidR="00EB7B79" w:rsidRPr="004234D4">
        <w:rPr>
          <w:rFonts w:cs="Arial (Body CS)"/>
          <w:spacing w:val="-4"/>
          <w:szCs w:val="24"/>
        </w:rPr>
        <w:t>t</w:t>
      </w:r>
      <w:r w:rsidR="001A0085" w:rsidRPr="004234D4">
        <w:rPr>
          <w:rFonts w:cs="Arial (Body CS)"/>
          <w:spacing w:val="-4"/>
          <w:szCs w:val="24"/>
        </w:rPr>
        <w:t xml:space="preserve"> should be remedied</w:t>
      </w:r>
      <w:r w:rsidR="00347EF7" w:rsidRPr="004234D4">
        <w:rPr>
          <w:rFonts w:cs="Arial (Body CS)"/>
          <w:spacing w:val="-4"/>
          <w:szCs w:val="24"/>
        </w:rPr>
        <w:t>.</w:t>
      </w:r>
    </w:p>
    <w:p w14:paraId="35F32CFD" w14:textId="53C7C18C" w:rsidR="00120C05" w:rsidRPr="00F7079B" w:rsidRDefault="00917BB8">
      <w:pPr>
        <w:rPr>
          <w:szCs w:val="24"/>
        </w:rPr>
      </w:pPr>
      <w:r w:rsidRPr="00F7079B">
        <w:rPr>
          <w:szCs w:val="24"/>
        </w:rPr>
        <w:t xml:space="preserve">The media could assist us </w:t>
      </w:r>
      <w:r w:rsidR="006D679A" w:rsidRPr="00F7079B">
        <w:rPr>
          <w:szCs w:val="24"/>
        </w:rPr>
        <w:t>i</w:t>
      </w:r>
      <w:r w:rsidR="00FE2C8D" w:rsidRPr="00F7079B">
        <w:rPr>
          <w:szCs w:val="24"/>
        </w:rPr>
        <w:t>n this task</w:t>
      </w:r>
      <w:r w:rsidR="006D679A" w:rsidRPr="00F7079B">
        <w:rPr>
          <w:szCs w:val="24"/>
        </w:rPr>
        <w:t>. The</w:t>
      </w:r>
      <w:r w:rsidR="008A78D7" w:rsidRPr="00F7079B">
        <w:rPr>
          <w:szCs w:val="24"/>
        </w:rPr>
        <w:t xml:space="preserve"> demise of such ABC programs as </w:t>
      </w:r>
      <w:r w:rsidR="006D679A" w:rsidRPr="00F7079B">
        <w:rPr>
          <w:i/>
          <w:iCs/>
          <w:szCs w:val="24"/>
        </w:rPr>
        <w:t>T</w:t>
      </w:r>
      <w:r w:rsidR="008A78D7" w:rsidRPr="00F7079B">
        <w:rPr>
          <w:i/>
          <w:iCs/>
          <w:szCs w:val="24"/>
        </w:rPr>
        <w:t xml:space="preserve">he </w:t>
      </w:r>
      <w:r w:rsidR="009C2728" w:rsidRPr="00F7079B">
        <w:rPr>
          <w:i/>
          <w:iCs/>
          <w:szCs w:val="24"/>
        </w:rPr>
        <w:t>I</w:t>
      </w:r>
      <w:r w:rsidR="008A78D7" w:rsidRPr="00F7079B">
        <w:rPr>
          <w:i/>
          <w:iCs/>
          <w:szCs w:val="24"/>
        </w:rPr>
        <w:t>nventor</w:t>
      </w:r>
      <w:r w:rsidR="009C2728" w:rsidRPr="00F7079B">
        <w:rPr>
          <w:i/>
          <w:iCs/>
          <w:szCs w:val="24"/>
        </w:rPr>
        <w:t>s</w:t>
      </w:r>
      <w:r w:rsidR="008A78D7" w:rsidRPr="00F7079B">
        <w:rPr>
          <w:szCs w:val="24"/>
        </w:rPr>
        <w:t xml:space="preserve"> and </w:t>
      </w:r>
      <w:r w:rsidR="006D679A" w:rsidRPr="00F7079B">
        <w:rPr>
          <w:i/>
          <w:iCs/>
          <w:szCs w:val="24"/>
        </w:rPr>
        <w:t>T</w:t>
      </w:r>
      <w:r w:rsidR="008A78D7" w:rsidRPr="00F7079B">
        <w:rPr>
          <w:i/>
          <w:iCs/>
          <w:szCs w:val="24"/>
        </w:rPr>
        <w:t xml:space="preserve">he </w:t>
      </w:r>
      <w:r w:rsidR="009C2728" w:rsidRPr="00F7079B">
        <w:rPr>
          <w:i/>
          <w:iCs/>
          <w:szCs w:val="24"/>
        </w:rPr>
        <w:t>N</w:t>
      </w:r>
      <w:r w:rsidR="008A78D7" w:rsidRPr="00F7079B">
        <w:rPr>
          <w:i/>
          <w:iCs/>
          <w:szCs w:val="24"/>
        </w:rPr>
        <w:t xml:space="preserve">ew </w:t>
      </w:r>
      <w:r w:rsidR="009C2728" w:rsidRPr="00F7079B">
        <w:rPr>
          <w:i/>
          <w:iCs/>
          <w:szCs w:val="24"/>
        </w:rPr>
        <w:t>I</w:t>
      </w:r>
      <w:r w:rsidR="008A78D7" w:rsidRPr="00F7079B">
        <w:rPr>
          <w:i/>
          <w:iCs/>
          <w:szCs w:val="24"/>
        </w:rPr>
        <w:t>nventors</w:t>
      </w:r>
      <w:r w:rsidR="008A78D7" w:rsidRPr="00F7079B">
        <w:rPr>
          <w:szCs w:val="24"/>
        </w:rPr>
        <w:t xml:space="preserve"> is to be </w:t>
      </w:r>
      <w:r w:rsidR="00F14B4A" w:rsidRPr="00F7079B">
        <w:rPr>
          <w:szCs w:val="24"/>
        </w:rPr>
        <w:t>regretted</w:t>
      </w:r>
      <w:r w:rsidR="00347EF7" w:rsidRPr="00F7079B">
        <w:rPr>
          <w:szCs w:val="24"/>
        </w:rPr>
        <w:t>, though there are probably</w:t>
      </w:r>
      <w:r w:rsidR="00282465" w:rsidRPr="00F7079B">
        <w:rPr>
          <w:szCs w:val="24"/>
        </w:rPr>
        <w:t xml:space="preserve"> good reasons for this</w:t>
      </w:r>
      <w:r w:rsidR="00F14B4A" w:rsidRPr="00F7079B">
        <w:rPr>
          <w:szCs w:val="24"/>
        </w:rPr>
        <w:t xml:space="preserve">. Programs like this increase public awareness of the inventiveness which characterises Australian society, </w:t>
      </w:r>
      <w:r w:rsidR="00585C02" w:rsidRPr="00F7079B">
        <w:rPr>
          <w:szCs w:val="24"/>
        </w:rPr>
        <w:t xml:space="preserve">and the ways in which this can be harnessed and developed through </w:t>
      </w:r>
      <w:r w:rsidR="005F033D" w:rsidRPr="00F7079B">
        <w:rPr>
          <w:szCs w:val="24"/>
        </w:rPr>
        <w:t>establishing</w:t>
      </w:r>
      <w:r w:rsidR="00F23B5A" w:rsidRPr="00F7079B">
        <w:rPr>
          <w:szCs w:val="24"/>
        </w:rPr>
        <w:t xml:space="preserve"> the rights to IP</w:t>
      </w:r>
      <w:r w:rsidR="00A362A8" w:rsidRPr="00F7079B">
        <w:rPr>
          <w:szCs w:val="24"/>
        </w:rPr>
        <w:t xml:space="preserve"> ownership</w:t>
      </w:r>
      <w:r w:rsidR="00F23B5A" w:rsidRPr="00F7079B">
        <w:rPr>
          <w:szCs w:val="24"/>
        </w:rPr>
        <w:t xml:space="preserve">. </w:t>
      </w:r>
    </w:p>
    <w:p w14:paraId="559CF175" w14:textId="2D407810" w:rsidR="00C77D28" w:rsidRDefault="00120C05" w:rsidP="00C77D28">
      <w:r>
        <w:t>There</w:t>
      </w:r>
      <w:r w:rsidR="00B969F2">
        <w:t xml:space="preserve"> </w:t>
      </w:r>
      <w:r>
        <w:t>is a ric</w:t>
      </w:r>
      <w:r w:rsidR="00B969F2">
        <w:t>h</w:t>
      </w:r>
      <w:r>
        <w:t xml:space="preserve"> store of information and </w:t>
      </w:r>
      <w:r w:rsidR="00B34727">
        <w:t xml:space="preserve">possible </w:t>
      </w:r>
      <w:r>
        <w:t>storylines</w:t>
      </w:r>
      <w:r w:rsidR="00B969F2">
        <w:t xml:space="preserve"> held by IP Australia</w:t>
      </w:r>
      <w:r w:rsidR="00B34727">
        <w:t>, and some</w:t>
      </w:r>
      <w:r w:rsidR="00047CC2">
        <w:t xml:space="preserve"> means of media diffusion</w:t>
      </w:r>
      <w:r w:rsidR="00F70484">
        <w:t xml:space="preserve"> ought to be able to be found</w:t>
      </w:r>
      <w:r w:rsidR="003804C6">
        <w:t xml:space="preserve"> –</w:t>
      </w:r>
      <w:r w:rsidR="00624DBD">
        <w:t xml:space="preserve"> </w:t>
      </w:r>
      <w:r w:rsidR="00F70484">
        <w:t>featuring inventions</w:t>
      </w:r>
      <w:r w:rsidR="003804C6">
        <w:t xml:space="preserve">; </w:t>
      </w:r>
      <w:r w:rsidR="00F70484">
        <w:t xml:space="preserve">the relevant </w:t>
      </w:r>
      <w:r w:rsidR="00D67EF6">
        <w:t>IP</w:t>
      </w:r>
      <w:r w:rsidR="00F70484">
        <w:t xml:space="preserve"> rights</w:t>
      </w:r>
      <w:r w:rsidR="000D5DD4">
        <w:t xml:space="preserve"> and how they were obtained</w:t>
      </w:r>
      <w:r w:rsidR="003804C6">
        <w:t xml:space="preserve">; </w:t>
      </w:r>
      <w:r w:rsidR="000D5DD4">
        <w:t>the best available scientific communication</w:t>
      </w:r>
      <w:r w:rsidR="003804C6">
        <w:t xml:space="preserve">; </w:t>
      </w:r>
      <w:r w:rsidR="00C858F6">
        <w:t>and any human story behind it</w:t>
      </w:r>
      <w:r w:rsidR="78167C67">
        <w:t>.</w:t>
      </w:r>
      <w:r w:rsidR="788A9AD9">
        <w:t xml:space="preserve"> (</w:t>
      </w:r>
      <w:r w:rsidR="78167C67">
        <w:t>T</w:t>
      </w:r>
      <w:r w:rsidR="788A9AD9">
        <w:t>here</w:t>
      </w:r>
      <w:r w:rsidR="00EF516A">
        <w:t xml:space="preserve"> is always a human story</w:t>
      </w:r>
      <w:r w:rsidR="78167C67">
        <w:t>!)</w:t>
      </w:r>
      <w:r w:rsidR="008B04A3">
        <w:t xml:space="preserve"> Sometimes</w:t>
      </w:r>
      <w:r w:rsidR="00AB5D61">
        <w:t xml:space="preserve"> agribusiness innovations are featured on the ABC program </w:t>
      </w:r>
      <w:r w:rsidR="0050059F">
        <w:t>Lan</w:t>
      </w:r>
      <w:r w:rsidR="00AB5D61">
        <w:t>dline, and this is very helpful</w:t>
      </w:r>
      <w:r w:rsidR="00A6564B">
        <w:t>.</w:t>
      </w:r>
      <w:r w:rsidR="00494CE9">
        <w:t xml:space="preserve"> IP Australia</w:t>
      </w:r>
      <w:r w:rsidR="1458D7F4">
        <w:t xml:space="preserve"> holds the plots for many a drama.</w:t>
      </w:r>
      <w:r w:rsidR="00C77D28">
        <w:br w:type="page"/>
      </w:r>
    </w:p>
    <w:p w14:paraId="3727230C" w14:textId="322AA4A0" w:rsidR="0024037F" w:rsidRPr="00F7079B" w:rsidRDefault="262AFB2C" w:rsidP="072FCA73">
      <w:pPr>
        <w:rPr>
          <w:szCs w:val="24"/>
        </w:rPr>
      </w:pPr>
      <w:r w:rsidRPr="00F7079B">
        <w:rPr>
          <w:szCs w:val="24"/>
        </w:rPr>
        <w:lastRenderedPageBreak/>
        <w:t>T</w:t>
      </w:r>
      <w:r w:rsidR="708837C3" w:rsidRPr="00F7079B">
        <w:rPr>
          <w:szCs w:val="24"/>
        </w:rPr>
        <w:t>here</w:t>
      </w:r>
      <w:r w:rsidR="002A7420" w:rsidRPr="00F7079B">
        <w:rPr>
          <w:szCs w:val="24"/>
        </w:rPr>
        <w:t xml:space="preserve"> are other avenues available now apart from the mainstream media,</w:t>
      </w:r>
      <w:r w:rsidR="001B2013" w:rsidRPr="00F7079B">
        <w:rPr>
          <w:szCs w:val="24"/>
        </w:rPr>
        <w:t xml:space="preserve"> in the form of </w:t>
      </w:r>
      <w:r w:rsidR="006D045D" w:rsidRPr="00F7079B">
        <w:rPr>
          <w:szCs w:val="24"/>
        </w:rPr>
        <w:t xml:space="preserve">video </w:t>
      </w:r>
      <w:r w:rsidR="001B2013" w:rsidRPr="00F7079B">
        <w:rPr>
          <w:szCs w:val="24"/>
        </w:rPr>
        <w:t>streaming</w:t>
      </w:r>
      <w:r w:rsidR="4AF0A9C3" w:rsidRPr="00F7079B">
        <w:rPr>
          <w:szCs w:val="24"/>
        </w:rPr>
        <w:t xml:space="preserve"> </w:t>
      </w:r>
      <w:r w:rsidR="006D045D" w:rsidRPr="00F7079B">
        <w:rPr>
          <w:szCs w:val="24"/>
        </w:rPr>
        <w:t xml:space="preserve">and </w:t>
      </w:r>
      <w:r w:rsidR="4AF0A9C3" w:rsidRPr="00F7079B">
        <w:rPr>
          <w:szCs w:val="24"/>
        </w:rPr>
        <w:t>podcasts</w:t>
      </w:r>
      <w:r w:rsidR="00035B80" w:rsidRPr="00F7079B">
        <w:rPr>
          <w:szCs w:val="24"/>
        </w:rPr>
        <w:t xml:space="preserve">. </w:t>
      </w:r>
      <w:r w:rsidR="03E2F981" w:rsidRPr="00F7079B">
        <w:rPr>
          <w:szCs w:val="24"/>
        </w:rPr>
        <w:t xml:space="preserve">Capturing these stories and bringing them to light will </w:t>
      </w:r>
      <w:r w:rsidR="6F0F9B3A" w:rsidRPr="00F7079B">
        <w:rPr>
          <w:szCs w:val="24"/>
        </w:rPr>
        <w:t xml:space="preserve">not only </w:t>
      </w:r>
      <w:r w:rsidR="03E2F981" w:rsidRPr="00F7079B">
        <w:rPr>
          <w:szCs w:val="24"/>
        </w:rPr>
        <w:t xml:space="preserve">demonstrate to others the possibilities of </w:t>
      </w:r>
      <w:r w:rsidR="6B3C897F" w:rsidRPr="00F7079B">
        <w:rPr>
          <w:szCs w:val="24"/>
        </w:rPr>
        <w:t>diving further into the world of IP</w:t>
      </w:r>
      <w:r w:rsidR="60646E9E" w:rsidRPr="00F7079B">
        <w:rPr>
          <w:szCs w:val="24"/>
        </w:rPr>
        <w:t xml:space="preserve">, but </w:t>
      </w:r>
      <w:r w:rsidR="009A5C4E" w:rsidRPr="00F7079B">
        <w:rPr>
          <w:szCs w:val="24"/>
        </w:rPr>
        <w:t xml:space="preserve">also help </w:t>
      </w:r>
      <w:r w:rsidR="60646E9E" w:rsidRPr="00F7079B">
        <w:rPr>
          <w:szCs w:val="24"/>
        </w:rPr>
        <w:t>to create a culture where innovation and invention could, and should, be celebrated.</w:t>
      </w:r>
    </w:p>
    <w:p w14:paraId="2F70FA32" w14:textId="1B399931" w:rsidR="00285B71" w:rsidRPr="00FF7AD6" w:rsidRDefault="00140A88" w:rsidP="00FF7AD6">
      <w:pPr>
        <w:pStyle w:val="Quote"/>
        <w:ind w:left="567" w:right="567"/>
        <w:rPr>
          <w:spacing w:val="0"/>
        </w:rPr>
      </w:pPr>
      <w:r w:rsidRPr="00FF7AD6">
        <w:rPr>
          <w:spacing w:val="0"/>
        </w:rPr>
        <w:t xml:space="preserve">Better </w:t>
      </w:r>
      <w:r w:rsidR="00572249" w:rsidRPr="00FF7AD6">
        <w:rPr>
          <w:spacing w:val="0"/>
        </w:rPr>
        <w:t>[</w:t>
      </w:r>
      <w:r w:rsidRPr="00FF7AD6">
        <w:rPr>
          <w:spacing w:val="0"/>
        </w:rPr>
        <w:t>out</w:t>
      </w:r>
      <w:r w:rsidR="60646E9E" w:rsidRPr="00FF7AD6">
        <w:rPr>
          <w:spacing w:val="0"/>
        </w:rPr>
        <w:t>reach</w:t>
      </w:r>
      <w:r w:rsidR="00572249" w:rsidRPr="00FF7AD6">
        <w:rPr>
          <w:spacing w:val="0"/>
        </w:rPr>
        <w:t>]</w:t>
      </w:r>
      <w:r w:rsidR="60646E9E" w:rsidRPr="00FF7AD6">
        <w:rPr>
          <w:spacing w:val="0"/>
        </w:rPr>
        <w:t xml:space="preserve"> might involve programs to co-opt the population communication channels of the day </w:t>
      </w:r>
      <w:r w:rsidR="00BC3F9C">
        <w:rPr>
          <w:spacing w:val="0"/>
        </w:rPr>
        <w:t>–</w:t>
      </w:r>
      <w:r w:rsidR="00861044" w:rsidRPr="00FF7AD6">
        <w:rPr>
          <w:spacing w:val="0"/>
        </w:rPr>
        <w:t xml:space="preserve"> </w:t>
      </w:r>
      <w:r w:rsidR="60646E9E" w:rsidRPr="00FF7AD6">
        <w:rPr>
          <w:spacing w:val="0"/>
        </w:rPr>
        <w:t xml:space="preserve">social media, </w:t>
      </w:r>
      <w:r w:rsidR="5D4B27CD" w:rsidRPr="00FF7AD6">
        <w:rPr>
          <w:spacing w:val="0"/>
        </w:rPr>
        <w:t>Y</w:t>
      </w:r>
      <w:r w:rsidR="49528E2D" w:rsidRPr="00FF7AD6">
        <w:rPr>
          <w:spacing w:val="0"/>
        </w:rPr>
        <w:t>ou</w:t>
      </w:r>
      <w:r w:rsidR="6526F2F7" w:rsidRPr="00FF7AD6">
        <w:rPr>
          <w:spacing w:val="0"/>
        </w:rPr>
        <w:t>T</w:t>
      </w:r>
      <w:r w:rsidR="49528E2D" w:rsidRPr="00FF7AD6">
        <w:rPr>
          <w:spacing w:val="0"/>
        </w:rPr>
        <w:t>ube</w:t>
      </w:r>
      <w:r w:rsidR="60646E9E" w:rsidRPr="00FF7AD6">
        <w:rPr>
          <w:spacing w:val="0"/>
        </w:rPr>
        <w:t xml:space="preserve">, etc </w:t>
      </w:r>
      <w:r w:rsidR="00624DBD">
        <w:rPr>
          <w:spacing w:val="0"/>
        </w:rPr>
        <w:t>–</w:t>
      </w:r>
      <w:r w:rsidR="00861044" w:rsidRPr="00FF7AD6">
        <w:rPr>
          <w:spacing w:val="0"/>
        </w:rPr>
        <w:t xml:space="preserve"> </w:t>
      </w:r>
      <w:r w:rsidR="60646E9E" w:rsidRPr="00FF7AD6">
        <w:rPr>
          <w:spacing w:val="0"/>
        </w:rPr>
        <w:t>with IP Australia sponsoring short informative segments or appearances on popular, relevant "innovation" channels or the accounts of popular entrepreneurs for example.</w:t>
      </w:r>
      <w:r w:rsidRPr="00FF7AD6">
        <w:rPr>
          <w:rStyle w:val="FootnoteReference"/>
          <w:i w:val="0"/>
          <w:spacing w:val="0"/>
        </w:rPr>
        <w:footnoteReference w:id="40"/>
      </w:r>
    </w:p>
    <w:p w14:paraId="243BDA69" w14:textId="7262599C" w:rsidR="00140A88" w:rsidRPr="00FF7AD6" w:rsidRDefault="00FF7AD6" w:rsidP="00FF7AD6">
      <w:pPr>
        <w:pStyle w:val="Calloutbox"/>
        <w:rPr>
          <w:color w:val="auto"/>
          <w:sz w:val="28"/>
          <w:szCs w:val="28"/>
        </w:rPr>
      </w:pPr>
      <w:r w:rsidRPr="009740B6">
        <w:rPr>
          <w:sz w:val="28"/>
        </w:rPr>
        <w:t>Recommendation 8:</w:t>
      </w:r>
      <w:r>
        <w:rPr>
          <w:sz w:val="28"/>
        </w:rPr>
        <w:br/>
      </w:r>
      <w:r w:rsidRPr="00FF7AD6">
        <w:rPr>
          <w:b w:val="0"/>
          <w:bCs/>
          <w:color w:val="000000" w:themeColor="text1"/>
          <w:sz w:val="28"/>
        </w:rPr>
        <w:t>That the Chair of Industry Innovation and Science Australia work with the Secretary of the Department of Industry, Science, Energy and Resources, and the Director General of IP Australia, to sound out media interest in regular program material, and consider further development of social media, streaming video and podcast platforms.</w:t>
      </w:r>
      <w:r w:rsidR="00285B71" w:rsidRPr="00FF7AD6">
        <w:rPr>
          <w:sz w:val="28"/>
          <w:szCs w:val="28"/>
        </w:rPr>
        <w:t xml:space="preserve"> </w:t>
      </w:r>
      <w:bookmarkStart w:id="275" w:name="_Toc59109343"/>
      <w:r w:rsidR="00140A88" w:rsidRPr="00FF7AD6">
        <w:br w:type="page"/>
      </w:r>
    </w:p>
    <w:p w14:paraId="142463EC" w14:textId="2C2AC129" w:rsidR="00214D45" w:rsidRDefault="005173F6" w:rsidP="00102432">
      <w:pPr>
        <w:pStyle w:val="Heading1"/>
      </w:pPr>
      <w:bookmarkStart w:id="276" w:name="_Toc60760636"/>
      <w:bookmarkStart w:id="277" w:name="_Toc60834822"/>
      <w:bookmarkStart w:id="278" w:name="_Toc60836772"/>
      <w:bookmarkStart w:id="279" w:name="_Toc60997760"/>
      <w:bookmarkStart w:id="280" w:name="_Toc61015574"/>
      <w:bookmarkStart w:id="281" w:name="_Toc61269606"/>
      <w:bookmarkStart w:id="282" w:name="_Toc61356714"/>
      <w:bookmarkStart w:id="283" w:name="_Toc65159324"/>
      <w:r>
        <w:lastRenderedPageBreak/>
        <w:t xml:space="preserve">14 </w:t>
      </w:r>
      <w:r w:rsidR="00214D45" w:rsidRPr="00BF6438">
        <w:t>Enforcement of patents</w:t>
      </w:r>
      <w:r w:rsidR="3BCFADB3">
        <w:t xml:space="preserve"> and</w:t>
      </w:r>
      <w:bookmarkEnd w:id="223"/>
      <w:bookmarkEnd w:id="224"/>
      <w:bookmarkEnd w:id="225"/>
      <w:bookmarkEnd w:id="226"/>
      <w:r w:rsidR="00C12330" w:rsidRPr="00BF6438">
        <w:t xml:space="preserve"> litigation</w:t>
      </w:r>
      <w:bookmarkEnd w:id="275"/>
      <w:bookmarkEnd w:id="276"/>
      <w:bookmarkEnd w:id="277"/>
      <w:bookmarkEnd w:id="278"/>
      <w:bookmarkEnd w:id="279"/>
      <w:bookmarkEnd w:id="280"/>
      <w:bookmarkEnd w:id="281"/>
      <w:bookmarkEnd w:id="282"/>
      <w:bookmarkEnd w:id="283"/>
    </w:p>
    <w:p w14:paraId="3738F0CD" w14:textId="138264BC" w:rsidR="00A76C4B" w:rsidRDefault="00A76C4B" w:rsidP="00A76C4B">
      <w:pPr>
        <w:pStyle w:val="Heading2"/>
        <w:rPr>
          <w:sz w:val="36"/>
          <w:szCs w:val="36"/>
        </w:rPr>
      </w:pPr>
      <w:r w:rsidRPr="00585B6B">
        <w:rPr>
          <w:sz w:val="36"/>
          <w:szCs w:val="36"/>
        </w:rPr>
        <w:t xml:space="preserve">(i) </w:t>
      </w:r>
      <w:r w:rsidR="00E32E26" w:rsidRPr="00585B6B">
        <w:rPr>
          <w:sz w:val="36"/>
          <w:szCs w:val="36"/>
        </w:rPr>
        <w:t>Having a partner</w:t>
      </w:r>
    </w:p>
    <w:p w14:paraId="570505C0" w14:textId="7FE2873A" w:rsidR="00E32E26" w:rsidRPr="00F7079B" w:rsidRDefault="00E32E26" w:rsidP="00A76C4B">
      <w:pPr>
        <w:rPr>
          <w:szCs w:val="24"/>
        </w:rPr>
      </w:pPr>
      <w:r w:rsidRPr="00F7079B">
        <w:rPr>
          <w:szCs w:val="24"/>
        </w:rPr>
        <w:t xml:space="preserve">Whilst some companies adopt the strategy of avoiding the patent system and relying on trade secrecy or other techniques </w:t>
      </w:r>
      <w:r w:rsidR="000D6268" w:rsidRPr="00F7079B">
        <w:rPr>
          <w:szCs w:val="24"/>
        </w:rPr>
        <w:t>(‘</w:t>
      </w:r>
      <w:r w:rsidRPr="00F7079B">
        <w:rPr>
          <w:i/>
          <w:szCs w:val="24"/>
        </w:rPr>
        <w:t>building</w:t>
      </w:r>
      <w:r w:rsidRPr="00F7079B">
        <w:rPr>
          <w:szCs w:val="24"/>
        </w:rPr>
        <w:t xml:space="preserve"> </w:t>
      </w:r>
      <w:r w:rsidRPr="00F7079B">
        <w:rPr>
          <w:i/>
          <w:szCs w:val="24"/>
        </w:rPr>
        <w:t>moats</w:t>
      </w:r>
      <w:r w:rsidR="000D6268" w:rsidRPr="00F7079B">
        <w:rPr>
          <w:szCs w:val="24"/>
        </w:rPr>
        <w:t>’</w:t>
      </w:r>
      <w:r w:rsidRPr="00F7079B">
        <w:rPr>
          <w:szCs w:val="24"/>
        </w:rPr>
        <w:t xml:space="preserve">), others foresaw the need for a strong partner. They realised that the day would come when deep pockets </w:t>
      </w:r>
      <w:r w:rsidR="00A047C2" w:rsidRPr="00F7079B">
        <w:rPr>
          <w:szCs w:val="24"/>
        </w:rPr>
        <w:t xml:space="preserve">would be </w:t>
      </w:r>
      <w:r w:rsidRPr="00F7079B">
        <w:rPr>
          <w:szCs w:val="24"/>
        </w:rPr>
        <w:t>needed to defend the</w:t>
      </w:r>
      <w:r w:rsidR="002C6F0B" w:rsidRPr="00F7079B">
        <w:rPr>
          <w:szCs w:val="24"/>
        </w:rPr>
        <w:t>ir</w:t>
      </w:r>
      <w:r w:rsidR="00150EB4" w:rsidRPr="00F7079B">
        <w:rPr>
          <w:szCs w:val="24"/>
        </w:rPr>
        <w:t xml:space="preserve"> patent.</w:t>
      </w:r>
    </w:p>
    <w:p w14:paraId="070C20F1" w14:textId="44B23980" w:rsidR="00150EB4" w:rsidRPr="00BD6B25" w:rsidRDefault="00150EB4" w:rsidP="00585B6B">
      <w:pPr>
        <w:pStyle w:val="Quote"/>
        <w:rPr>
          <w:szCs w:val="28"/>
        </w:rPr>
      </w:pPr>
      <w:r w:rsidRPr="00BD6B25">
        <w:rPr>
          <w:szCs w:val="28"/>
        </w:rPr>
        <w:t>You need to have tens of millions of dollars coming through the door before you can litigate your own patents.</w:t>
      </w:r>
    </w:p>
    <w:p w14:paraId="321FD3C4" w14:textId="77777777" w:rsidR="00A047C2" w:rsidRPr="00F7079B" w:rsidRDefault="00150EB4" w:rsidP="00E32E26">
      <w:pPr>
        <w:rPr>
          <w:szCs w:val="24"/>
        </w:rPr>
      </w:pPr>
      <w:r w:rsidRPr="00F7079B">
        <w:rPr>
          <w:szCs w:val="24"/>
        </w:rPr>
        <w:t xml:space="preserve">The other possibility is that </w:t>
      </w:r>
      <w:r w:rsidR="00BE02A6" w:rsidRPr="00F7079B">
        <w:rPr>
          <w:szCs w:val="24"/>
        </w:rPr>
        <w:t>small to medium enterprises (</w:t>
      </w:r>
      <w:r w:rsidRPr="00F7079B">
        <w:rPr>
          <w:szCs w:val="24"/>
        </w:rPr>
        <w:t>SMEs</w:t>
      </w:r>
      <w:r w:rsidR="00BE02A6" w:rsidRPr="00F7079B">
        <w:rPr>
          <w:szCs w:val="24"/>
        </w:rPr>
        <w:t>)</w:t>
      </w:r>
      <w:r w:rsidRPr="00F7079B">
        <w:rPr>
          <w:szCs w:val="24"/>
        </w:rPr>
        <w:t xml:space="preserve"> might have to fight the claim that they were infringing themselves. </w:t>
      </w:r>
      <w:r w:rsidR="00E32E26" w:rsidRPr="00F7079B">
        <w:rPr>
          <w:szCs w:val="24"/>
        </w:rPr>
        <w:t>This last possibility sounds a warning to SMEs that</w:t>
      </w:r>
      <w:r w:rsidR="00A047C2" w:rsidRPr="00F7079B">
        <w:rPr>
          <w:szCs w:val="24"/>
        </w:rPr>
        <w:t>,</w:t>
      </w:r>
      <w:r w:rsidR="00E32E26" w:rsidRPr="00F7079B">
        <w:rPr>
          <w:szCs w:val="24"/>
        </w:rPr>
        <w:t xml:space="preserve"> whilst ignorance may be bliss, it is no guarantee that litigation will be avoided. </w:t>
      </w:r>
    </w:p>
    <w:p w14:paraId="76BA8C62" w14:textId="43265F39" w:rsidR="00E32E26" w:rsidRPr="00F7079B" w:rsidRDefault="00E32E26" w:rsidP="00E32E26">
      <w:pPr>
        <w:rPr>
          <w:szCs w:val="24"/>
        </w:rPr>
      </w:pPr>
      <w:r w:rsidRPr="00F7079B">
        <w:rPr>
          <w:szCs w:val="24"/>
        </w:rPr>
        <w:t>Avoidance of the patent system may not actually be possible, in the sense that if a company has a technology which it considers to be new, and succeeds in deploying it in the marketplace, it will need to know whether or not it is using a product already patented by some other business. Despite one’s best attempts to avoid the patent system, one may be liable for damages.</w:t>
      </w:r>
    </w:p>
    <w:p w14:paraId="3B204203" w14:textId="09BCFB7E" w:rsidR="00C574DD" w:rsidRPr="00F7079B" w:rsidRDefault="00E32E26" w:rsidP="00E32E26">
      <w:pPr>
        <w:rPr>
          <w:szCs w:val="24"/>
        </w:rPr>
      </w:pPr>
      <w:r w:rsidRPr="00F7079B">
        <w:rPr>
          <w:szCs w:val="24"/>
        </w:rPr>
        <w:t xml:space="preserve">Some companies, if they did not foresee the need for a strong partner, soon learnt about it </w:t>
      </w:r>
      <w:r w:rsidRPr="00F7079B">
        <w:rPr>
          <w:iCs/>
          <w:szCs w:val="24"/>
        </w:rPr>
        <w:t>from</w:t>
      </w:r>
      <w:r w:rsidRPr="00F7079B">
        <w:rPr>
          <w:i/>
          <w:szCs w:val="24"/>
        </w:rPr>
        <w:t xml:space="preserve"> </w:t>
      </w:r>
      <w:r w:rsidR="00D66CE1" w:rsidRPr="00F7079B">
        <w:rPr>
          <w:i/>
          <w:szCs w:val="24"/>
        </w:rPr>
        <w:t>‘</w:t>
      </w:r>
      <w:r w:rsidRPr="00F7079B">
        <w:rPr>
          <w:i/>
          <w:szCs w:val="24"/>
        </w:rPr>
        <w:t>the school of hard knocks</w:t>
      </w:r>
      <w:r w:rsidR="000D6268" w:rsidRPr="00F7079B">
        <w:rPr>
          <w:szCs w:val="24"/>
        </w:rPr>
        <w:t>’</w:t>
      </w:r>
      <w:r w:rsidRPr="00F7079B">
        <w:rPr>
          <w:szCs w:val="24"/>
        </w:rPr>
        <w:t xml:space="preserve">. One experienced SME participant reflected on the refusal of small companies to give away equity </w:t>
      </w:r>
      <w:r w:rsidR="00572249" w:rsidRPr="00F7079B">
        <w:rPr>
          <w:szCs w:val="24"/>
        </w:rPr>
        <w:t>in exchange for</w:t>
      </w:r>
      <w:r w:rsidRPr="00F7079B">
        <w:rPr>
          <w:szCs w:val="24"/>
        </w:rPr>
        <w:t xml:space="preserve"> having a strong partner, for a time when patent legal defence might become essential: </w:t>
      </w:r>
    </w:p>
    <w:p w14:paraId="6DA8928C" w14:textId="676F98BE" w:rsidR="00E32E26" w:rsidRPr="00581712" w:rsidRDefault="00B13559" w:rsidP="00585B6B">
      <w:pPr>
        <w:pStyle w:val="Quote"/>
        <w:rPr>
          <w:szCs w:val="28"/>
        </w:rPr>
      </w:pPr>
      <w:r w:rsidRPr="00BD6B25">
        <w:rPr>
          <w:szCs w:val="28"/>
        </w:rPr>
        <w:t>I</w:t>
      </w:r>
      <w:r w:rsidR="00E32E26" w:rsidRPr="00BD6B25">
        <w:rPr>
          <w:szCs w:val="28"/>
        </w:rPr>
        <w:t>t is better to own 5% of something, than 100% of nothing.</w:t>
      </w:r>
    </w:p>
    <w:p w14:paraId="770AE3F1" w14:textId="198E9580" w:rsidR="00FF7AD6" w:rsidRDefault="00E32E26" w:rsidP="00E32E26">
      <w:pPr>
        <w:rPr>
          <w:szCs w:val="24"/>
        </w:rPr>
      </w:pPr>
      <w:r w:rsidRPr="00F7079B">
        <w:rPr>
          <w:szCs w:val="24"/>
        </w:rPr>
        <w:t xml:space="preserve">This is connected with the </w:t>
      </w:r>
      <w:r w:rsidR="00D66CE1" w:rsidRPr="00F7079B">
        <w:rPr>
          <w:szCs w:val="24"/>
        </w:rPr>
        <w:t>‘</w:t>
      </w:r>
      <w:r w:rsidRPr="00F7079B">
        <w:rPr>
          <w:szCs w:val="24"/>
        </w:rPr>
        <w:t>David and Goliath</w:t>
      </w:r>
      <w:r w:rsidR="00D66CE1" w:rsidRPr="00F7079B">
        <w:rPr>
          <w:szCs w:val="24"/>
        </w:rPr>
        <w:t>’</w:t>
      </w:r>
      <w:r w:rsidRPr="00F7079B">
        <w:rPr>
          <w:szCs w:val="24"/>
        </w:rPr>
        <w:t xml:space="preserve"> issue</w:t>
      </w:r>
      <w:r w:rsidR="00D44715" w:rsidRPr="00F7079B">
        <w:rPr>
          <w:szCs w:val="24"/>
        </w:rPr>
        <w:t>,</w:t>
      </w:r>
      <w:r w:rsidRPr="00F7079B">
        <w:rPr>
          <w:szCs w:val="24"/>
        </w:rPr>
        <w:t xml:space="preserve"> which was raised several times: the small company feels it cannot win when a large company with seemingly </w:t>
      </w:r>
      <w:r w:rsidR="00140A88" w:rsidRPr="00F7079B">
        <w:rPr>
          <w:szCs w:val="24"/>
        </w:rPr>
        <w:t>infinite resources infringes a</w:t>
      </w:r>
      <w:r w:rsidRPr="00F7079B">
        <w:rPr>
          <w:szCs w:val="24"/>
        </w:rPr>
        <w:t xml:space="preserve"> patent, and this leads some to avoid the whole patent system.</w:t>
      </w:r>
      <w:r w:rsidR="00FF7AD6">
        <w:rPr>
          <w:szCs w:val="24"/>
        </w:rPr>
        <w:br w:type="page"/>
      </w:r>
    </w:p>
    <w:p w14:paraId="2D3175DA" w14:textId="35215F14" w:rsidR="00BF233E" w:rsidRDefault="00A76C4B" w:rsidP="25FB5314">
      <w:pPr>
        <w:pStyle w:val="Heading2"/>
        <w:rPr>
          <w:sz w:val="36"/>
          <w:szCs w:val="36"/>
        </w:rPr>
      </w:pPr>
      <w:bookmarkStart w:id="284" w:name="_Toc51682552"/>
      <w:bookmarkStart w:id="285" w:name="_Toc51685672"/>
      <w:bookmarkStart w:id="286" w:name="_Toc51688751"/>
      <w:bookmarkStart w:id="287" w:name="_Toc51759075"/>
      <w:r w:rsidRPr="00585B6B">
        <w:rPr>
          <w:sz w:val="36"/>
          <w:szCs w:val="36"/>
        </w:rPr>
        <w:lastRenderedPageBreak/>
        <w:t xml:space="preserve">(ii) </w:t>
      </w:r>
      <w:r w:rsidR="008C219D" w:rsidRPr="00572249">
        <w:rPr>
          <w:sz w:val="36"/>
          <w:szCs w:val="36"/>
        </w:rPr>
        <w:t>L</w:t>
      </w:r>
      <w:r w:rsidR="001B3AF8" w:rsidRPr="00572249">
        <w:rPr>
          <w:sz w:val="36"/>
          <w:szCs w:val="36"/>
        </w:rPr>
        <w:t>itigation</w:t>
      </w:r>
      <w:r w:rsidR="0F44A713" w:rsidRPr="00585B6B">
        <w:rPr>
          <w:sz w:val="36"/>
          <w:szCs w:val="36"/>
        </w:rPr>
        <w:t xml:space="preserve">: </w:t>
      </w:r>
    </w:p>
    <w:p w14:paraId="6E79962D" w14:textId="3B3EEF97" w:rsidR="002A2904" w:rsidRPr="00FF7AD6" w:rsidRDefault="00517959" w:rsidP="00BF233E">
      <w:pPr>
        <w:rPr>
          <w:rFonts w:cs="Arial (Body CS)"/>
          <w:spacing w:val="-4"/>
          <w:szCs w:val="24"/>
        </w:rPr>
      </w:pPr>
      <w:r w:rsidRPr="00FF7AD6">
        <w:rPr>
          <w:rFonts w:cs="Arial (Body CS)"/>
          <w:spacing w:val="-4"/>
          <w:szCs w:val="24"/>
        </w:rPr>
        <w:t>O</w:t>
      </w:r>
      <w:r w:rsidR="00572249" w:rsidRPr="00FF7AD6">
        <w:rPr>
          <w:rFonts w:cs="Arial (Body CS)"/>
          <w:spacing w:val="-4"/>
          <w:szCs w:val="24"/>
        </w:rPr>
        <w:t>n enforcement, o</w:t>
      </w:r>
      <w:r w:rsidRPr="00FF7AD6">
        <w:rPr>
          <w:rFonts w:cs="Arial (Body CS)"/>
          <w:spacing w:val="-4"/>
          <w:szCs w:val="24"/>
        </w:rPr>
        <w:t xml:space="preserve">ne university commercialisation office representative said: </w:t>
      </w:r>
      <w:r w:rsidR="00BB6F9E" w:rsidRPr="00FF7AD6">
        <w:rPr>
          <w:rFonts w:cs="Arial (Body CS)"/>
          <w:i/>
          <w:spacing w:val="-4"/>
          <w:szCs w:val="24"/>
        </w:rPr>
        <w:t>‘</w:t>
      </w:r>
      <w:r w:rsidR="00B84FB2" w:rsidRPr="00FF7AD6">
        <w:rPr>
          <w:rFonts w:cs="Arial (Body CS)"/>
          <w:i/>
          <w:spacing w:val="-4"/>
          <w:szCs w:val="24"/>
        </w:rPr>
        <w:t>honed</w:t>
      </w:r>
      <w:r w:rsidR="00B84FB2" w:rsidRPr="00FF7AD6">
        <w:rPr>
          <w:rFonts w:cs="Arial (Body CS)"/>
          <w:spacing w:val="-4"/>
          <w:szCs w:val="24"/>
        </w:rPr>
        <w:t xml:space="preserve"> </w:t>
      </w:r>
      <w:r w:rsidR="00B84FB2" w:rsidRPr="00FF7AD6">
        <w:rPr>
          <w:rFonts w:cs="Arial (Body CS)"/>
          <w:i/>
          <w:spacing w:val="-4"/>
          <w:szCs w:val="24"/>
        </w:rPr>
        <w:t xml:space="preserve">negotiation </w:t>
      </w:r>
      <w:r w:rsidR="00242294" w:rsidRPr="00FF7AD6">
        <w:rPr>
          <w:rFonts w:cs="Arial (Body CS)"/>
          <w:i/>
          <w:spacing w:val="-4"/>
          <w:szCs w:val="24"/>
        </w:rPr>
        <w:t xml:space="preserve">skill is needed in our </w:t>
      </w:r>
      <w:r w:rsidR="00BB6F9E" w:rsidRPr="00FF7AD6">
        <w:rPr>
          <w:rFonts w:cs="Arial (Body CS)"/>
          <w:i/>
          <w:spacing w:val="-4"/>
          <w:szCs w:val="24"/>
        </w:rPr>
        <w:t>jobs’</w:t>
      </w:r>
      <w:r w:rsidR="00242294" w:rsidRPr="00FF7AD6">
        <w:rPr>
          <w:rFonts w:cs="Arial (Body CS)"/>
          <w:spacing w:val="-4"/>
          <w:szCs w:val="24"/>
        </w:rPr>
        <w:t xml:space="preserve">, </w:t>
      </w:r>
      <w:r w:rsidR="00801900" w:rsidRPr="00FF7AD6">
        <w:rPr>
          <w:rFonts w:cs="Arial (Body CS)"/>
          <w:spacing w:val="-4"/>
          <w:szCs w:val="24"/>
        </w:rPr>
        <w:t>and</w:t>
      </w:r>
      <w:r w:rsidR="00242294" w:rsidRPr="00FF7AD6">
        <w:rPr>
          <w:rFonts w:cs="Arial (Body CS)"/>
          <w:spacing w:val="-4"/>
          <w:szCs w:val="24"/>
        </w:rPr>
        <w:t xml:space="preserve"> </w:t>
      </w:r>
      <w:r w:rsidR="00F12E5C" w:rsidRPr="00FF7AD6">
        <w:rPr>
          <w:rFonts w:cs="Arial (Body CS)"/>
          <w:spacing w:val="-4"/>
          <w:szCs w:val="24"/>
        </w:rPr>
        <w:t xml:space="preserve">also </w:t>
      </w:r>
      <w:r w:rsidR="00801900" w:rsidRPr="00FF7AD6">
        <w:rPr>
          <w:rFonts w:cs="Arial (Body CS)"/>
          <w:spacing w:val="-4"/>
          <w:szCs w:val="24"/>
        </w:rPr>
        <w:t xml:space="preserve">questioned </w:t>
      </w:r>
      <w:r w:rsidR="00242294" w:rsidRPr="00FF7AD6">
        <w:rPr>
          <w:rFonts w:cs="Arial (Body CS)"/>
          <w:spacing w:val="-4"/>
          <w:szCs w:val="24"/>
        </w:rPr>
        <w:t>whether</w:t>
      </w:r>
      <w:r w:rsidR="00936030" w:rsidRPr="00FF7AD6">
        <w:rPr>
          <w:rFonts w:cs="Arial (Body CS)"/>
          <w:spacing w:val="-4"/>
          <w:szCs w:val="24"/>
        </w:rPr>
        <w:t xml:space="preserve"> in many cases there was an appetite to enforce rights</w:t>
      </w:r>
      <w:r w:rsidR="00467E0E" w:rsidRPr="00FF7AD6">
        <w:rPr>
          <w:rFonts w:cs="Arial (Body CS)"/>
          <w:spacing w:val="-4"/>
          <w:szCs w:val="24"/>
        </w:rPr>
        <w:t>, e</w:t>
      </w:r>
      <w:r w:rsidR="00640A92" w:rsidRPr="00FF7AD6">
        <w:rPr>
          <w:rFonts w:cs="Arial (Body CS)"/>
          <w:spacing w:val="-4"/>
          <w:szCs w:val="24"/>
        </w:rPr>
        <w:t>v</w:t>
      </w:r>
      <w:r w:rsidR="00467E0E" w:rsidRPr="00FF7AD6">
        <w:rPr>
          <w:rFonts w:cs="Arial (Body CS)"/>
          <w:spacing w:val="-4"/>
          <w:szCs w:val="24"/>
        </w:rPr>
        <w:t>en on the part of universities</w:t>
      </w:r>
      <w:r w:rsidR="00936030" w:rsidRPr="00FF7AD6">
        <w:rPr>
          <w:rFonts w:cs="Arial (Body CS)"/>
          <w:spacing w:val="-4"/>
          <w:szCs w:val="24"/>
        </w:rPr>
        <w:t>.</w:t>
      </w:r>
      <w:r w:rsidR="009929AB" w:rsidRPr="00FF7AD6">
        <w:rPr>
          <w:rFonts w:cs="Arial (Body CS)"/>
          <w:spacing w:val="-4"/>
          <w:szCs w:val="24"/>
        </w:rPr>
        <w:t xml:space="preserve"> Universities have big budgets but they are not willing to allocate </w:t>
      </w:r>
      <w:r w:rsidR="00640A92" w:rsidRPr="00FF7AD6">
        <w:rPr>
          <w:rFonts w:cs="Arial (Body CS)"/>
          <w:spacing w:val="-4"/>
          <w:szCs w:val="24"/>
        </w:rPr>
        <w:t>m</w:t>
      </w:r>
      <w:r w:rsidR="009929AB" w:rsidRPr="00FF7AD6">
        <w:rPr>
          <w:rFonts w:cs="Arial (Body CS)"/>
          <w:spacing w:val="-4"/>
          <w:szCs w:val="24"/>
        </w:rPr>
        <w:t>uch to risk capital</w:t>
      </w:r>
      <w:r w:rsidR="000A46BA" w:rsidRPr="00FF7AD6">
        <w:rPr>
          <w:rFonts w:cs="Arial (Body CS)"/>
          <w:spacing w:val="-4"/>
          <w:szCs w:val="24"/>
        </w:rPr>
        <w:t xml:space="preserve"> of this kind</w:t>
      </w:r>
      <w:r w:rsidR="00D84D66" w:rsidRPr="00FF7AD6">
        <w:rPr>
          <w:rFonts w:cs="Arial (Body CS)"/>
          <w:spacing w:val="-4"/>
          <w:szCs w:val="24"/>
        </w:rPr>
        <w:t xml:space="preserve">, and this points up the need for a </w:t>
      </w:r>
      <w:r w:rsidR="00EA4C2E" w:rsidRPr="00FF7AD6">
        <w:rPr>
          <w:rFonts w:cs="Arial (Body CS)"/>
          <w:spacing w:val="-4"/>
          <w:szCs w:val="24"/>
        </w:rPr>
        <w:t>funding pool</w:t>
      </w:r>
      <w:r w:rsidR="002A3E70" w:rsidRPr="00FF7AD6">
        <w:rPr>
          <w:rFonts w:cs="Arial (Body CS)"/>
          <w:spacing w:val="-4"/>
          <w:szCs w:val="24"/>
        </w:rPr>
        <w:t xml:space="preserve"> across the </w:t>
      </w:r>
      <w:r w:rsidR="009442D4" w:rsidRPr="00FF7AD6">
        <w:rPr>
          <w:rFonts w:cs="Arial (Body CS)"/>
          <w:spacing w:val="-4"/>
          <w:szCs w:val="24"/>
        </w:rPr>
        <w:t xml:space="preserve">university </w:t>
      </w:r>
      <w:r w:rsidR="00CC7F25" w:rsidRPr="00FF7AD6">
        <w:rPr>
          <w:rFonts w:cs="Arial (Body CS)"/>
          <w:spacing w:val="-4"/>
          <w:szCs w:val="24"/>
        </w:rPr>
        <w:t>system</w:t>
      </w:r>
      <w:r w:rsidR="00EF52CE" w:rsidRPr="00FF7AD6">
        <w:rPr>
          <w:rFonts w:cs="Arial (Body CS)"/>
          <w:spacing w:val="-4"/>
          <w:szCs w:val="24"/>
        </w:rPr>
        <w:t>, or across the national system,</w:t>
      </w:r>
      <w:r w:rsidR="00CC7F25" w:rsidRPr="00FF7AD6">
        <w:rPr>
          <w:rFonts w:cs="Arial (Body CS)"/>
          <w:spacing w:val="-4"/>
          <w:szCs w:val="24"/>
        </w:rPr>
        <w:t xml:space="preserve"> for</w:t>
      </w:r>
      <w:r w:rsidR="00B42A79" w:rsidRPr="00FF7AD6">
        <w:rPr>
          <w:rFonts w:cs="Arial (Body CS)"/>
          <w:spacing w:val="-4"/>
          <w:szCs w:val="24"/>
        </w:rPr>
        <w:t xml:space="preserve"> patent costs and defence.</w:t>
      </w:r>
      <w:r w:rsidR="00936030" w:rsidRPr="00FF7AD6">
        <w:rPr>
          <w:rFonts w:cs="Arial (Body CS)"/>
          <w:spacing w:val="-4"/>
          <w:szCs w:val="24"/>
        </w:rPr>
        <w:t xml:space="preserve"> </w:t>
      </w:r>
      <w:r w:rsidR="00150EB4" w:rsidRPr="00FF7AD6">
        <w:rPr>
          <w:rFonts w:cs="Arial (Body CS)"/>
          <w:spacing w:val="-4"/>
          <w:szCs w:val="24"/>
        </w:rPr>
        <w:t>SMEs that stand outside the university system are in an even worse position.</w:t>
      </w:r>
    </w:p>
    <w:p w14:paraId="1981A9F1" w14:textId="7A1225EF" w:rsidR="00B567B8" w:rsidRPr="00FF7AD6" w:rsidRDefault="006405B6" w:rsidP="00725A46">
      <w:pPr>
        <w:rPr>
          <w:rFonts w:cs="Arial (Body CS)"/>
          <w:spacing w:val="-4"/>
          <w:szCs w:val="24"/>
        </w:rPr>
      </w:pPr>
      <w:r w:rsidRPr="00FF7AD6">
        <w:rPr>
          <w:rFonts w:cs="Arial (Body CS)"/>
          <w:spacing w:val="-4"/>
          <w:szCs w:val="24"/>
        </w:rPr>
        <w:t>F</w:t>
      </w:r>
      <w:r w:rsidR="00936030" w:rsidRPr="00FF7AD6">
        <w:rPr>
          <w:rFonts w:cs="Arial (Body CS)"/>
          <w:spacing w:val="-4"/>
          <w:szCs w:val="24"/>
        </w:rPr>
        <w:t xml:space="preserve">rom our discussions there is </w:t>
      </w:r>
      <w:r w:rsidRPr="00FF7AD6">
        <w:rPr>
          <w:rFonts w:cs="Arial (Body CS)"/>
          <w:spacing w:val="-4"/>
          <w:szCs w:val="24"/>
        </w:rPr>
        <w:t xml:space="preserve">clearly </w:t>
      </w:r>
      <w:r w:rsidR="00936030" w:rsidRPr="00FF7AD6">
        <w:rPr>
          <w:rFonts w:cs="Arial (Body CS)"/>
          <w:spacing w:val="-4"/>
          <w:szCs w:val="24"/>
        </w:rPr>
        <w:t>a fear of litigation</w:t>
      </w:r>
      <w:r w:rsidR="002329C9" w:rsidRPr="00FF7AD6">
        <w:rPr>
          <w:rFonts w:cs="Arial (Body CS)"/>
          <w:spacing w:val="-4"/>
          <w:szCs w:val="24"/>
        </w:rPr>
        <w:t xml:space="preserve"> </w:t>
      </w:r>
      <w:r w:rsidRPr="00FF7AD6">
        <w:rPr>
          <w:rFonts w:cs="Arial (Body CS)"/>
          <w:spacing w:val="-4"/>
          <w:szCs w:val="24"/>
        </w:rPr>
        <w:t xml:space="preserve">and that </w:t>
      </w:r>
      <w:r w:rsidR="002329C9" w:rsidRPr="00FF7AD6">
        <w:rPr>
          <w:rFonts w:cs="Arial (Body CS)"/>
          <w:spacing w:val="-4"/>
          <w:szCs w:val="24"/>
        </w:rPr>
        <w:t xml:space="preserve">hinders the use of the patent system: many would rather </w:t>
      </w:r>
      <w:r w:rsidR="00E74490" w:rsidRPr="00FF7AD6">
        <w:rPr>
          <w:rFonts w:cs="Arial (Body CS)"/>
          <w:spacing w:val="-4"/>
          <w:szCs w:val="24"/>
        </w:rPr>
        <w:t>avoid it</w:t>
      </w:r>
      <w:r w:rsidR="002329C9" w:rsidRPr="00FF7AD6">
        <w:rPr>
          <w:rFonts w:cs="Arial (Body CS)"/>
          <w:spacing w:val="-4"/>
          <w:szCs w:val="24"/>
        </w:rPr>
        <w:t xml:space="preserve"> for fear of being </w:t>
      </w:r>
      <w:r w:rsidR="00224917" w:rsidRPr="00FF7AD6">
        <w:rPr>
          <w:rFonts w:cs="Arial (Body CS)"/>
          <w:spacing w:val="-4"/>
          <w:szCs w:val="24"/>
        </w:rPr>
        <w:t>involved</w:t>
      </w:r>
      <w:r w:rsidR="002329C9" w:rsidRPr="00FF7AD6">
        <w:rPr>
          <w:rFonts w:cs="Arial (Body CS)"/>
          <w:spacing w:val="-4"/>
          <w:szCs w:val="24"/>
        </w:rPr>
        <w:t xml:space="preserve"> in</w:t>
      </w:r>
      <w:r w:rsidR="000F5784" w:rsidRPr="00FF7AD6">
        <w:rPr>
          <w:rFonts w:cs="Arial (Body CS)"/>
          <w:spacing w:val="-4"/>
          <w:szCs w:val="24"/>
        </w:rPr>
        <w:t xml:space="preserve"> some form of mega</w:t>
      </w:r>
      <w:r w:rsidR="000A46BA" w:rsidRPr="00FF7AD6">
        <w:rPr>
          <w:rFonts w:cs="Arial (Body CS)"/>
          <w:spacing w:val="-4"/>
          <w:szCs w:val="24"/>
        </w:rPr>
        <w:t>-</w:t>
      </w:r>
      <w:r w:rsidR="000F5784" w:rsidRPr="00FF7AD6">
        <w:rPr>
          <w:rFonts w:cs="Arial (Body CS)"/>
          <w:spacing w:val="-4"/>
          <w:szCs w:val="24"/>
        </w:rPr>
        <w:t>litigation</w:t>
      </w:r>
      <w:r w:rsidR="00B74395" w:rsidRPr="00FF7AD6">
        <w:rPr>
          <w:rFonts w:cs="Arial (Body CS)"/>
          <w:spacing w:val="-4"/>
          <w:szCs w:val="24"/>
        </w:rPr>
        <w:t>.</w:t>
      </w:r>
      <w:r w:rsidR="002A2904" w:rsidRPr="00FF7AD6">
        <w:rPr>
          <w:rStyle w:val="FootnoteReference"/>
          <w:rFonts w:cs="Arial (Body CS)"/>
          <w:spacing w:val="-4"/>
          <w:szCs w:val="24"/>
        </w:rPr>
        <w:footnoteReference w:id="41"/>
      </w:r>
    </w:p>
    <w:p w14:paraId="06262B12" w14:textId="57A9BD93" w:rsidR="002350E1" w:rsidRPr="0036527F" w:rsidRDefault="002350E1" w:rsidP="00FF7AD6">
      <w:pPr>
        <w:pStyle w:val="Quote"/>
        <w:spacing w:before="240" w:after="240"/>
        <w:rPr>
          <w:szCs w:val="28"/>
        </w:rPr>
      </w:pPr>
      <w:r w:rsidRPr="000D3920">
        <w:rPr>
          <w:szCs w:val="28"/>
        </w:rPr>
        <w:t>Litigation is far too expensive and out of reach of SMEs</w:t>
      </w:r>
      <w:r w:rsidRPr="00511B89">
        <w:rPr>
          <w:szCs w:val="28"/>
        </w:rPr>
        <w:t>.</w:t>
      </w:r>
    </w:p>
    <w:p w14:paraId="014EF955" w14:textId="2EDAE9BF" w:rsidR="002350E1" w:rsidRPr="0036527F" w:rsidRDefault="002350E1" w:rsidP="00FF7AD6">
      <w:pPr>
        <w:pStyle w:val="Quote"/>
        <w:spacing w:before="120" w:after="120"/>
        <w:rPr>
          <w:szCs w:val="28"/>
        </w:rPr>
      </w:pPr>
      <w:r w:rsidRPr="0036527F">
        <w:rPr>
          <w:szCs w:val="28"/>
        </w:rPr>
        <w:t xml:space="preserve">You can’t win if you’re a small company. </w:t>
      </w:r>
    </w:p>
    <w:p w14:paraId="43A89CA4" w14:textId="449E811B" w:rsidR="002350E1" w:rsidRPr="0036527F" w:rsidRDefault="002350E1" w:rsidP="00FF7AD6">
      <w:pPr>
        <w:pStyle w:val="Quote"/>
        <w:spacing w:before="240"/>
        <w:rPr>
          <w:szCs w:val="28"/>
        </w:rPr>
      </w:pPr>
      <w:r w:rsidRPr="0036527F">
        <w:rPr>
          <w:szCs w:val="28"/>
        </w:rPr>
        <w:t>There’s no point in having an IP system if you don’t have the means to wave the stick.</w:t>
      </w:r>
    </w:p>
    <w:p w14:paraId="79DADCAB" w14:textId="44439575" w:rsidR="004345C7" w:rsidRPr="00F7079B" w:rsidRDefault="000F5784" w:rsidP="00725A46">
      <w:pPr>
        <w:rPr>
          <w:szCs w:val="24"/>
        </w:rPr>
      </w:pPr>
      <w:r w:rsidRPr="00F7079B">
        <w:rPr>
          <w:szCs w:val="24"/>
        </w:rPr>
        <w:t xml:space="preserve">The </w:t>
      </w:r>
      <w:r w:rsidR="006774AF" w:rsidRPr="00F7079B">
        <w:rPr>
          <w:szCs w:val="24"/>
        </w:rPr>
        <w:t>PC</w:t>
      </w:r>
      <w:r w:rsidRPr="00F7079B">
        <w:rPr>
          <w:szCs w:val="24"/>
        </w:rPr>
        <w:t xml:space="preserve"> </w:t>
      </w:r>
      <w:r w:rsidR="006774AF" w:rsidRPr="00F7079B">
        <w:rPr>
          <w:szCs w:val="24"/>
        </w:rPr>
        <w:t>R</w:t>
      </w:r>
      <w:r w:rsidRPr="00F7079B">
        <w:rPr>
          <w:szCs w:val="24"/>
        </w:rPr>
        <w:t xml:space="preserve">eport </w:t>
      </w:r>
      <w:r w:rsidR="004345C7" w:rsidRPr="00F7079B">
        <w:rPr>
          <w:szCs w:val="24"/>
        </w:rPr>
        <w:t xml:space="preserve">had </w:t>
      </w:r>
      <w:r w:rsidRPr="00F7079B">
        <w:rPr>
          <w:szCs w:val="24"/>
        </w:rPr>
        <w:t>already</w:t>
      </w:r>
      <w:r w:rsidR="002A2904" w:rsidRPr="00F7079B">
        <w:rPr>
          <w:szCs w:val="24"/>
        </w:rPr>
        <w:t xml:space="preserve"> flagged the</w:t>
      </w:r>
      <w:r w:rsidR="004A30BF" w:rsidRPr="00F7079B">
        <w:rPr>
          <w:szCs w:val="24"/>
        </w:rPr>
        <w:t xml:space="preserve"> problem</w:t>
      </w:r>
      <w:r w:rsidR="002A2904" w:rsidRPr="00F7079B">
        <w:rPr>
          <w:szCs w:val="24"/>
        </w:rPr>
        <w:t xml:space="preserve"> of mega-litigation</w:t>
      </w:r>
      <w:r w:rsidR="004A30BF" w:rsidRPr="00F7079B">
        <w:rPr>
          <w:szCs w:val="24"/>
        </w:rPr>
        <w:t>, and cited the comme</w:t>
      </w:r>
      <w:r w:rsidR="00FB5352">
        <w:rPr>
          <w:szCs w:val="24"/>
        </w:rPr>
        <w:t>nts of a judge in one such case</w:t>
      </w:r>
      <w:r w:rsidR="00D870B5">
        <w:rPr>
          <w:szCs w:val="24"/>
        </w:rPr>
        <w:t>:</w:t>
      </w:r>
      <w:r w:rsidR="007704B8" w:rsidRPr="00F7079B">
        <w:rPr>
          <w:rStyle w:val="FootnoteReference"/>
          <w:szCs w:val="24"/>
        </w:rPr>
        <w:footnoteReference w:id="42"/>
      </w:r>
    </w:p>
    <w:p w14:paraId="1355071C" w14:textId="35BA1745" w:rsidR="00C80E7B" w:rsidRPr="00BA4DF4" w:rsidRDefault="00C80E7B" w:rsidP="00585B6B">
      <w:pPr>
        <w:pStyle w:val="Quote"/>
        <w:rPr>
          <w:spacing w:val="0"/>
          <w:szCs w:val="28"/>
        </w:rPr>
      </w:pPr>
      <w:r w:rsidRPr="00BA4DF4">
        <w:rPr>
          <w:spacing w:val="0"/>
        </w:rPr>
        <w:t>As intimated elsewhere in this judgment, these parties are never satisfied unless they are continually turning stones. Certainly it is the case that no stone in the proceeding has been left unturned by them. Even after closing submissions were made, further submissions came in</w:t>
      </w:r>
      <w:r w:rsidR="00BB6F9E" w:rsidRPr="00BA4DF4">
        <w:rPr>
          <w:spacing w:val="0"/>
          <w:szCs w:val="28"/>
        </w:rPr>
        <w:t>.</w:t>
      </w:r>
      <w:r w:rsidR="002A2904" w:rsidRPr="00BA4DF4">
        <w:rPr>
          <w:rStyle w:val="FootnoteReference"/>
          <w:i w:val="0"/>
          <w:spacing w:val="0"/>
        </w:rPr>
        <w:footnoteReference w:id="43"/>
      </w:r>
      <w:r w:rsidRPr="00BA4DF4">
        <w:rPr>
          <w:i w:val="0"/>
          <w:spacing w:val="0"/>
        </w:rPr>
        <w:t xml:space="preserve"> </w:t>
      </w:r>
    </w:p>
    <w:p w14:paraId="5A30C76E" w14:textId="5381BEBE" w:rsidR="00FE7941" w:rsidRPr="00F7079B" w:rsidRDefault="00B03489" w:rsidP="00FE7941">
      <w:pPr>
        <w:rPr>
          <w:szCs w:val="24"/>
        </w:rPr>
      </w:pPr>
      <w:r w:rsidRPr="00F7079B">
        <w:rPr>
          <w:szCs w:val="24"/>
        </w:rPr>
        <w:t>This is the kind of story which makes many</w:t>
      </w:r>
      <w:r w:rsidR="00AF3B82" w:rsidRPr="00F7079B">
        <w:rPr>
          <w:szCs w:val="24"/>
        </w:rPr>
        <w:t xml:space="preserve"> SME representatives wary of approaching the </w:t>
      </w:r>
      <w:r w:rsidR="001C4D0A" w:rsidRPr="00F7079B">
        <w:rPr>
          <w:szCs w:val="24"/>
        </w:rPr>
        <w:t>patent process</w:t>
      </w:r>
      <w:r w:rsidR="00E10472" w:rsidRPr="00F7079B">
        <w:rPr>
          <w:szCs w:val="24"/>
        </w:rPr>
        <w:t>: there is a view that this will somehow attract hostile litigation</w:t>
      </w:r>
      <w:r w:rsidR="001E44CB" w:rsidRPr="00F7079B">
        <w:rPr>
          <w:szCs w:val="24"/>
        </w:rPr>
        <w:t>.</w:t>
      </w:r>
    </w:p>
    <w:p w14:paraId="37990C85" w14:textId="11BFA793" w:rsidR="002A2904" w:rsidRDefault="00105A9F" w:rsidP="00102432">
      <w:pPr>
        <w:pStyle w:val="Heading1"/>
      </w:pPr>
      <w:bookmarkStart w:id="288" w:name="_Toc60760637"/>
      <w:bookmarkStart w:id="289" w:name="_Toc60834823"/>
      <w:bookmarkStart w:id="290" w:name="_Toc60836773"/>
      <w:bookmarkStart w:id="291" w:name="_Toc60997761"/>
      <w:bookmarkStart w:id="292" w:name="_Toc61015575"/>
      <w:bookmarkStart w:id="293" w:name="_Toc61269607"/>
      <w:bookmarkStart w:id="294" w:name="_Toc61356715"/>
      <w:bookmarkStart w:id="295" w:name="_Toc65159325"/>
      <w:r>
        <w:lastRenderedPageBreak/>
        <w:t>1</w:t>
      </w:r>
      <w:r w:rsidR="005173F6" w:rsidRPr="00585B6B">
        <w:t>5</w:t>
      </w:r>
      <w:r w:rsidR="00FE7941">
        <w:t xml:space="preserve"> </w:t>
      </w:r>
      <w:r w:rsidR="00C7307D" w:rsidRPr="002A2904">
        <w:t>Fear of paten</w:t>
      </w:r>
      <w:r w:rsidR="00D71EA5" w:rsidRPr="00761F1D">
        <w:t>t litigation</w:t>
      </w:r>
      <w:bookmarkEnd w:id="288"/>
      <w:bookmarkEnd w:id="289"/>
      <w:bookmarkEnd w:id="290"/>
      <w:bookmarkEnd w:id="291"/>
      <w:bookmarkEnd w:id="292"/>
      <w:bookmarkEnd w:id="293"/>
      <w:bookmarkEnd w:id="294"/>
      <w:bookmarkEnd w:id="295"/>
    </w:p>
    <w:p w14:paraId="34293989" w14:textId="4E4B1BDC" w:rsidR="009D0BA5" w:rsidRPr="00F7079B" w:rsidRDefault="00AB0133" w:rsidP="002A2904">
      <w:pPr>
        <w:rPr>
          <w:szCs w:val="24"/>
        </w:rPr>
      </w:pPr>
      <w:r w:rsidRPr="00F7079B">
        <w:rPr>
          <w:szCs w:val="24"/>
        </w:rPr>
        <w:t>T</w:t>
      </w:r>
      <w:r w:rsidR="00D71EA5" w:rsidRPr="00F7079B">
        <w:rPr>
          <w:szCs w:val="24"/>
        </w:rPr>
        <w:t>h</w:t>
      </w:r>
      <w:r w:rsidR="001E44CB" w:rsidRPr="00F7079B">
        <w:rPr>
          <w:szCs w:val="24"/>
        </w:rPr>
        <w:t>e question could be asked</w:t>
      </w:r>
      <w:r w:rsidR="009D0BA5" w:rsidRPr="00F7079B">
        <w:rPr>
          <w:szCs w:val="24"/>
        </w:rPr>
        <w:t>: is</w:t>
      </w:r>
      <w:r w:rsidR="00B773E9" w:rsidRPr="00F7079B">
        <w:rPr>
          <w:szCs w:val="24"/>
        </w:rPr>
        <w:t xml:space="preserve"> </w:t>
      </w:r>
      <w:r w:rsidR="001E44CB" w:rsidRPr="00F7079B">
        <w:rPr>
          <w:szCs w:val="24"/>
        </w:rPr>
        <w:t>this is an irrational fear</w:t>
      </w:r>
      <w:r w:rsidR="009D0BA5" w:rsidRPr="00F7079B">
        <w:rPr>
          <w:szCs w:val="24"/>
        </w:rPr>
        <w:t xml:space="preserve">? </w:t>
      </w:r>
      <w:r w:rsidR="00190DA9" w:rsidRPr="00F7079B">
        <w:rPr>
          <w:szCs w:val="24"/>
        </w:rPr>
        <w:t xml:space="preserve">There are </w:t>
      </w:r>
      <w:r w:rsidR="0036280F" w:rsidRPr="00F7079B">
        <w:rPr>
          <w:szCs w:val="24"/>
        </w:rPr>
        <w:t xml:space="preserve">irrational fears, rational fears, and exaggerated rational fears. </w:t>
      </w:r>
      <w:r w:rsidR="00735126" w:rsidRPr="00F7079B">
        <w:rPr>
          <w:szCs w:val="24"/>
        </w:rPr>
        <w:t>Our re</w:t>
      </w:r>
      <w:r w:rsidRPr="00F7079B">
        <w:rPr>
          <w:szCs w:val="24"/>
        </w:rPr>
        <w:t>s</w:t>
      </w:r>
      <w:r w:rsidR="00735126" w:rsidRPr="00F7079B">
        <w:rPr>
          <w:szCs w:val="24"/>
        </w:rPr>
        <w:t>pond</w:t>
      </w:r>
      <w:r w:rsidR="00604F01" w:rsidRPr="00F7079B">
        <w:rPr>
          <w:szCs w:val="24"/>
        </w:rPr>
        <w:t>ent</w:t>
      </w:r>
      <w:r w:rsidR="00735126" w:rsidRPr="00F7079B">
        <w:rPr>
          <w:szCs w:val="24"/>
        </w:rPr>
        <w:t>s know of stories which are</w:t>
      </w:r>
      <w:r w:rsidR="00604F01" w:rsidRPr="00F7079B">
        <w:rPr>
          <w:szCs w:val="24"/>
        </w:rPr>
        <w:t xml:space="preserve"> </w:t>
      </w:r>
      <w:r w:rsidR="00735126" w:rsidRPr="00F7079B">
        <w:rPr>
          <w:szCs w:val="24"/>
        </w:rPr>
        <w:t>true</w:t>
      </w:r>
      <w:r w:rsidR="009D0BA5" w:rsidRPr="00F7079B">
        <w:rPr>
          <w:szCs w:val="24"/>
        </w:rPr>
        <w:t xml:space="preserve"> </w:t>
      </w:r>
      <w:r w:rsidR="00624DBD">
        <w:t>–</w:t>
      </w:r>
      <w:r w:rsidR="009D0BA5" w:rsidRPr="00F7079B">
        <w:rPr>
          <w:szCs w:val="24"/>
        </w:rPr>
        <w:t xml:space="preserve"> </w:t>
      </w:r>
      <w:r w:rsidR="00624DBD">
        <w:rPr>
          <w:szCs w:val="24"/>
        </w:rPr>
        <w:br/>
      </w:r>
      <w:r w:rsidR="00735126" w:rsidRPr="00F7079B">
        <w:rPr>
          <w:szCs w:val="24"/>
        </w:rPr>
        <w:t>and sometimes they are their own stories</w:t>
      </w:r>
      <w:r w:rsidR="00511FE8" w:rsidRPr="00F7079B">
        <w:rPr>
          <w:szCs w:val="24"/>
        </w:rPr>
        <w:t xml:space="preserve">. </w:t>
      </w:r>
    </w:p>
    <w:p w14:paraId="06D832EF" w14:textId="7419DF4D" w:rsidR="002A2904" w:rsidRPr="00F7079B" w:rsidRDefault="00511FE8" w:rsidP="002A2904">
      <w:pPr>
        <w:rPr>
          <w:szCs w:val="24"/>
        </w:rPr>
      </w:pPr>
      <w:r w:rsidRPr="00F7079B">
        <w:rPr>
          <w:szCs w:val="24"/>
        </w:rPr>
        <w:t>But one</w:t>
      </w:r>
      <w:r w:rsidR="00DE22C2" w:rsidRPr="00F7079B">
        <w:rPr>
          <w:szCs w:val="24"/>
        </w:rPr>
        <w:t xml:space="preserve"> of our respondents</w:t>
      </w:r>
      <w:r w:rsidR="009D0BA5" w:rsidRPr="00F7079B">
        <w:rPr>
          <w:szCs w:val="24"/>
        </w:rPr>
        <w:t>,</w:t>
      </w:r>
      <w:r w:rsidR="00DE22C2" w:rsidRPr="00F7079B">
        <w:rPr>
          <w:szCs w:val="24"/>
        </w:rPr>
        <w:t xml:space="preserve"> involved in a medium-sized technology-based enterprise</w:t>
      </w:r>
      <w:r w:rsidR="009D0BA5" w:rsidRPr="00F7079B">
        <w:rPr>
          <w:szCs w:val="24"/>
        </w:rPr>
        <w:t>,</w:t>
      </w:r>
      <w:r w:rsidR="00DE22C2" w:rsidRPr="00F7079B">
        <w:rPr>
          <w:szCs w:val="24"/>
        </w:rPr>
        <w:t xml:space="preserve"> said that as an </w:t>
      </w:r>
      <w:r w:rsidR="006B663B" w:rsidRPr="00F7079B">
        <w:rPr>
          <w:szCs w:val="24"/>
        </w:rPr>
        <w:t>intellectual property (</w:t>
      </w:r>
      <w:r w:rsidR="00DE22C2" w:rsidRPr="00F7079B">
        <w:rPr>
          <w:szCs w:val="24"/>
        </w:rPr>
        <w:t>IP</w:t>
      </w:r>
      <w:r w:rsidR="006B663B" w:rsidRPr="00F7079B">
        <w:rPr>
          <w:szCs w:val="24"/>
        </w:rPr>
        <w:t>)</w:t>
      </w:r>
      <w:r w:rsidR="00DE22C2" w:rsidRPr="00F7079B">
        <w:rPr>
          <w:szCs w:val="24"/>
        </w:rPr>
        <w:t xml:space="preserve"> lawyer</w:t>
      </w:r>
      <w:r w:rsidR="00655AC6" w:rsidRPr="00F7079B">
        <w:rPr>
          <w:szCs w:val="24"/>
        </w:rPr>
        <w:t xml:space="preserve"> who had changed career to go into business</w:t>
      </w:r>
      <w:r w:rsidR="006B4CE4" w:rsidRPr="00F7079B">
        <w:rPr>
          <w:szCs w:val="24"/>
        </w:rPr>
        <w:t xml:space="preserve">, </w:t>
      </w:r>
      <w:r w:rsidR="00BC3A4A" w:rsidRPr="00F7079B">
        <w:rPr>
          <w:szCs w:val="24"/>
        </w:rPr>
        <w:t>he knew exactly what could go wrong w</w:t>
      </w:r>
      <w:r w:rsidR="00DB2935" w:rsidRPr="00F7079B">
        <w:rPr>
          <w:szCs w:val="24"/>
        </w:rPr>
        <w:t>ith</w:t>
      </w:r>
      <w:r w:rsidR="006B4CE4" w:rsidRPr="00F7079B">
        <w:rPr>
          <w:szCs w:val="24"/>
        </w:rPr>
        <w:t xml:space="preserve"> IP</w:t>
      </w:r>
      <w:r w:rsidR="00BC3A4A" w:rsidRPr="00F7079B">
        <w:rPr>
          <w:szCs w:val="24"/>
        </w:rPr>
        <w:t xml:space="preserve"> litigation</w:t>
      </w:r>
      <w:r w:rsidR="009D0BA5" w:rsidRPr="00F7079B">
        <w:rPr>
          <w:szCs w:val="24"/>
        </w:rPr>
        <w:t>. F</w:t>
      </w:r>
      <w:r w:rsidR="00594723" w:rsidRPr="00F7079B">
        <w:rPr>
          <w:szCs w:val="24"/>
        </w:rPr>
        <w:t>or this reason he had avoided patent</w:t>
      </w:r>
      <w:r w:rsidR="00D74D75" w:rsidRPr="00F7079B">
        <w:rPr>
          <w:szCs w:val="24"/>
        </w:rPr>
        <w:t>ing</w:t>
      </w:r>
      <w:r w:rsidR="002A2904" w:rsidRPr="00F7079B">
        <w:rPr>
          <w:szCs w:val="24"/>
        </w:rPr>
        <w:t xml:space="preserve">, relying on trade secrets </w:t>
      </w:r>
      <w:r w:rsidR="00594723" w:rsidRPr="00F7079B">
        <w:rPr>
          <w:szCs w:val="24"/>
        </w:rPr>
        <w:t xml:space="preserve">and trusted business colleagues with </w:t>
      </w:r>
      <w:r w:rsidR="00D74D75" w:rsidRPr="00F7079B">
        <w:rPr>
          <w:szCs w:val="24"/>
        </w:rPr>
        <w:t xml:space="preserve">whom he had a </w:t>
      </w:r>
      <w:r w:rsidR="00594723" w:rsidRPr="00F7079B">
        <w:rPr>
          <w:szCs w:val="24"/>
        </w:rPr>
        <w:t>longstanding</w:t>
      </w:r>
      <w:r w:rsidR="00913469" w:rsidRPr="00F7079B">
        <w:rPr>
          <w:szCs w:val="24"/>
        </w:rPr>
        <w:t xml:space="preserve"> </w:t>
      </w:r>
      <w:r w:rsidR="00D74D75" w:rsidRPr="00F7079B">
        <w:rPr>
          <w:szCs w:val="24"/>
        </w:rPr>
        <w:t>a</w:t>
      </w:r>
      <w:r w:rsidR="00913469" w:rsidRPr="00F7079B">
        <w:rPr>
          <w:szCs w:val="24"/>
        </w:rPr>
        <w:t>ssociation.</w:t>
      </w:r>
    </w:p>
    <w:p w14:paraId="711B2898" w14:textId="2FCEDA31" w:rsidR="3EE3038B" w:rsidRPr="00F7079B" w:rsidRDefault="3EE3038B" w:rsidP="654C8073">
      <w:pPr>
        <w:rPr>
          <w:szCs w:val="24"/>
        </w:rPr>
      </w:pPr>
      <w:r w:rsidRPr="00F7079B">
        <w:rPr>
          <w:szCs w:val="24"/>
        </w:rPr>
        <w:t>Another party with experience of the industry said:</w:t>
      </w:r>
    </w:p>
    <w:p w14:paraId="17A00F1C" w14:textId="4EA551C8" w:rsidR="00DC5E2B" w:rsidRPr="00FF7AD6" w:rsidRDefault="00DC5E2B" w:rsidP="00585B6B">
      <w:pPr>
        <w:pStyle w:val="Quote"/>
        <w:rPr>
          <w:color w:val="auto"/>
          <w:szCs w:val="28"/>
        </w:rPr>
      </w:pPr>
      <w:r w:rsidRPr="00FF7AD6">
        <w:rPr>
          <w:szCs w:val="28"/>
        </w:rPr>
        <w:t xml:space="preserve">Quite clearly, </w:t>
      </w:r>
      <w:r w:rsidRPr="00FF7AD6">
        <w:rPr>
          <w:color w:val="auto"/>
          <w:szCs w:val="28"/>
        </w:rPr>
        <w:t>litigation is just far too expensive and out of reach of SMEs. If they are in a position where there is a large corporate involved, or a Goliath or Da</w:t>
      </w:r>
      <w:r w:rsidR="00C029AF" w:rsidRPr="00FF7AD6">
        <w:rPr>
          <w:color w:val="auto"/>
          <w:szCs w:val="28"/>
        </w:rPr>
        <w:t>vid</w:t>
      </w:r>
      <w:r w:rsidRPr="00FF7AD6">
        <w:rPr>
          <w:color w:val="auto"/>
          <w:szCs w:val="28"/>
        </w:rPr>
        <w:t xml:space="preserve"> if you like, the larger corporates just exploit the system. And this is not just normal litigation strategy, but a very intentional strategy to bankrupt these small businesses.</w:t>
      </w:r>
      <w:r w:rsidRPr="00FF7AD6">
        <w:rPr>
          <w:i w:val="0"/>
          <w:color w:val="auto"/>
          <w:szCs w:val="28"/>
        </w:rPr>
        <w:t xml:space="preserve"> </w:t>
      </w:r>
    </w:p>
    <w:p w14:paraId="7E71F008" w14:textId="00011F72" w:rsidR="00DC5E2B" w:rsidRPr="00DC5E2B" w:rsidRDefault="00150EB4" w:rsidP="00585B6B">
      <w:pPr>
        <w:pStyle w:val="Quote"/>
        <w:rPr>
          <w:szCs w:val="28"/>
        </w:rPr>
      </w:pPr>
      <w:r w:rsidRPr="003F2713">
        <w:rPr>
          <w:szCs w:val="28"/>
        </w:rPr>
        <w:t>A big company will always</w:t>
      </w:r>
      <w:r w:rsidR="00487701">
        <w:rPr>
          <w:szCs w:val="28"/>
        </w:rPr>
        <w:t xml:space="preserve"> </w:t>
      </w:r>
      <w:r w:rsidR="468FD2FC" w:rsidRPr="654C8073">
        <w:rPr>
          <w:i w:val="0"/>
          <w:iCs w:val="0"/>
          <w:szCs w:val="28"/>
        </w:rPr>
        <w:t>…</w:t>
      </w:r>
      <w:r w:rsidR="00DC5E2B" w:rsidRPr="654C8073">
        <w:rPr>
          <w:i w:val="0"/>
          <w:szCs w:val="28"/>
        </w:rPr>
        <w:t xml:space="preserve"> </w:t>
      </w:r>
      <w:r w:rsidR="00DC5E2B" w:rsidRPr="00B13559">
        <w:rPr>
          <w:szCs w:val="28"/>
        </w:rPr>
        <w:t>seize the technical advantage over smaller SMEs and fight infringement issues with strategy, and protract negotiations, and just stall, stall, stall, caus</w:t>
      </w:r>
      <w:r w:rsidR="00DC5E2B" w:rsidRPr="000D3920">
        <w:rPr>
          <w:szCs w:val="28"/>
        </w:rPr>
        <w:t>ing more and more professional advice that costs money to be incurred by the smaller entities, to the point they eventually fold financially as they can’t</w:t>
      </w:r>
      <w:r w:rsidR="00573250" w:rsidRPr="00511B89">
        <w:rPr>
          <w:szCs w:val="28"/>
        </w:rPr>
        <w:t xml:space="preserve"> afford</w:t>
      </w:r>
      <w:r w:rsidR="00DC5E2B" w:rsidRPr="006D7562">
        <w:rPr>
          <w:szCs w:val="28"/>
        </w:rPr>
        <w:t xml:space="preserve"> to fight and you c</w:t>
      </w:r>
      <w:r w:rsidR="00B93502" w:rsidRPr="0036527F">
        <w:rPr>
          <w:szCs w:val="28"/>
        </w:rPr>
        <w:t xml:space="preserve">an stretch out litigation for </w:t>
      </w:r>
      <w:r w:rsidR="00DC5E2B" w:rsidRPr="0036527F">
        <w:rPr>
          <w:szCs w:val="28"/>
        </w:rPr>
        <w:t>ridiculously long periods.</w:t>
      </w:r>
      <w:r w:rsidR="00DC5E2B" w:rsidRPr="00DC5E2B">
        <w:rPr>
          <w:i w:val="0"/>
          <w:iCs w:val="0"/>
          <w:szCs w:val="28"/>
        </w:rPr>
        <w:t xml:space="preserve"> </w:t>
      </w:r>
    </w:p>
    <w:p w14:paraId="7351A058" w14:textId="1B5D95B9" w:rsidR="00913469" w:rsidRPr="00F7079B" w:rsidRDefault="008C1C3C" w:rsidP="005A6C71">
      <w:pPr>
        <w:pStyle w:val="NoSpacing"/>
        <w:rPr>
          <w:sz w:val="24"/>
          <w:szCs w:val="24"/>
        </w:rPr>
      </w:pPr>
      <w:r w:rsidRPr="00DD3C7D">
        <w:rPr>
          <w:sz w:val="24"/>
          <w:szCs w:val="24"/>
        </w:rPr>
        <w:t>I</w:t>
      </w:r>
      <w:r w:rsidRPr="00F7079B">
        <w:rPr>
          <w:sz w:val="24"/>
          <w:szCs w:val="24"/>
        </w:rPr>
        <w:t>t can be concluded that the patent system</w:t>
      </w:r>
      <w:r w:rsidR="00701003" w:rsidRPr="00F7079B">
        <w:rPr>
          <w:sz w:val="24"/>
          <w:szCs w:val="24"/>
        </w:rPr>
        <w:t xml:space="preserve"> is avoided by many because </w:t>
      </w:r>
      <w:r w:rsidR="006B4CE4" w:rsidRPr="00F7079B">
        <w:rPr>
          <w:sz w:val="24"/>
          <w:szCs w:val="24"/>
        </w:rPr>
        <w:t>of fear of</w:t>
      </w:r>
      <w:r w:rsidR="00E90C10" w:rsidRPr="00F7079B">
        <w:rPr>
          <w:sz w:val="24"/>
          <w:szCs w:val="24"/>
        </w:rPr>
        <w:t xml:space="preserve"> </w:t>
      </w:r>
      <w:r w:rsidR="006B4CE4" w:rsidRPr="00F7079B">
        <w:rPr>
          <w:sz w:val="24"/>
          <w:szCs w:val="24"/>
        </w:rPr>
        <w:t>litigation and rumours of litigation</w:t>
      </w:r>
      <w:r w:rsidR="00B4003E" w:rsidRPr="00F7079B">
        <w:rPr>
          <w:sz w:val="24"/>
          <w:szCs w:val="24"/>
        </w:rPr>
        <w:t xml:space="preserve">, and this arises partly because </w:t>
      </w:r>
      <w:r w:rsidR="00701003" w:rsidRPr="00F7079B">
        <w:rPr>
          <w:sz w:val="24"/>
          <w:szCs w:val="24"/>
        </w:rPr>
        <w:t>there is no</w:t>
      </w:r>
      <w:r w:rsidR="006B06BB" w:rsidRPr="00F7079B">
        <w:rPr>
          <w:sz w:val="24"/>
          <w:szCs w:val="24"/>
        </w:rPr>
        <w:t xml:space="preserve"> quick and simple </w:t>
      </w:r>
      <w:r w:rsidR="00EE73DA" w:rsidRPr="00F7079B">
        <w:rPr>
          <w:sz w:val="24"/>
          <w:szCs w:val="24"/>
        </w:rPr>
        <w:t xml:space="preserve">legal solution </w:t>
      </w:r>
      <w:r w:rsidR="006B06BB" w:rsidRPr="00F7079B">
        <w:rPr>
          <w:sz w:val="24"/>
          <w:szCs w:val="24"/>
        </w:rPr>
        <w:t>in the</w:t>
      </w:r>
      <w:r w:rsidR="00020597" w:rsidRPr="00F7079B">
        <w:rPr>
          <w:sz w:val="24"/>
          <w:szCs w:val="24"/>
        </w:rPr>
        <w:t>ir</w:t>
      </w:r>
      <w:r w:rsidR="006B06BB" w:rsidRPr="00F7079B">
        <w:rPr>
          <w:sz w:val="24"/>
          <w:szCs w:val="24"/>
        </w:rPr>
        <w:t xml:space="preserve"> line of sight.</w:t>
      </w:r>
      <w:r w:rsidR="00EE73DA" w:rsidRPr="00F7079B">
        <w:rPr>
          <w:sz w:val="24"/>
          <w:szCs w:val="24"/>
        </w:rPr>
        <w:t xml:space="preserve"> </w:t>
      </w:r>
      <w:r w:rsidR="001221F3" w:rsidRPr="00F7079B">
        <w:rPr>
          <w:sz w:val="24"/>
          <w:szCs w:val="24"/>
        </w:rPr>
        <w:t xml:space="preserve">If a solution could be seen, </w:t>
      </w:r>
      <w:r w:rsidR="00B631F7" w:rsidRPr="00F7079B">
        <w:rPr>
          <w:sz w:val="24"/>
          <w:szCs w:val="24"/>
        </w:rPr>
        <w:t xml:space="preserve">could </w:t>
      </w:r>
      <w:r w:rsidR="00BF74B3" w:rsidRPr="00F7079B">
        <w:rPr>
          <w:sz w:val="24"/>
          <w:szCs w:val="24"/>
        </w:rPr>
        <w:t>become visible</w:t>
      </w:r>
      <w:r w:rsidR="1D47B56C" w:rsidRPr="00F7079B">
        <w:rPr>
          <w:sz w:val="24"/>
          <w:szCs w:val="24"/>
        </w:rPr>
        <w:t xml:space="preserve"> and available</w:t>
      </w:r>
      <w:r w:rsidR="7D4C944E" w:rsidRPr="00F7079B">
        <w:rPr>
          <w:sz w:val="24"/>
          <w:szCs w:val="24"/>
        </w:rPr>
        <w:t>,</w:t>
      </w:r>
      <w:r w:rsidR="00BF74B3" w:rsidRPr="00F7079B">
        <w:rPr>
          <w:sz w:val="24"/>
          <w:szCs w:val="24"/>
        </w:rPr>
        <w:t xml:space="preserve"> </w:t>
      </w:r>
      <w:r w:rsidR="001221F3" w:rsidRPr="00F7079B">
        <w:rPr>
          <w:sz w:val="24"/>
          <w:szCs w:val="24"/>
        </w:rPr>
        <w:t xml:space="preserve">this </w:t>
      </w:r>
      <w:r w:rsidR="00020597" w:rsidRPr="00F7079B">
        <w:rPr>
          <w:sz w:val="24"/>
          <w:szCs w:val="24"/>
        </w:rPr>
        <w:t xml:space="preserve">could </w:t>
      </w:r>
      <w:r w:rsidR="00BF74B3" w:rsidRPr="00F7079B">
        <w:rPr>
          <w:sz w:val="24"/>
          <w:szCs w:val="24"/>
        </w:rPr>
        <w:t>c</w:t>
      </w:r>
      <w:r w:rsidR="001221F3" w:rsidRPr="00F7079B">
        <w:rPr>
          <w:sz w:val="24"/>
          <w:szCs w:val="24"/>
        </w:rPr>
        <w:t>hange.</w:t>
      </w:r>
      <w:r w:rsidR="00BF74B3" w:rsidRPr="00F7079B">
        <w:rPr>
          <w:sz w:val="24"/>
          <w:szCs w:val="24"/>
        </w:rPr>
        <w:t xml:space="preserve"> </w:t>
      </w:r>
      <w:r w:rsidR="1201E4F6" w:rsidRPr="00F7079B">
        <w:rPr>
          <w:sz w:val="24"/>
          <w:szCs w:val="24"/>
        </w:rPr>
        <w:t>Perceptions also bring about results.</w:t>
      </w:r>
      <w:r w:rsidR="00BC5D70">
        <w:rPr>
          <w:rStyle w:val="FootnoteReference"/>
          <w:sz w:val="24"/>
          <w:szCs w:val="24"/>
        </w:rPr>
        <w:footnoteReference w:id="44"/>
      </w:r>
    </w:p>
    <w:p w14:paraId="22ACE61A" w14:textId="32632940" w:rsidR="153F8C83" w:rsidRPr="00F7079B" w:rsidRDefault="153F8C83" w:rsidP="153F8C83">
      <w:pPr>
        <w:pStyle w:val="NoSpacing"/>
        <w:rPr>
          <w:sz w:val="24"/>
          <w:szCs w:val="24"/>
        </w:rPr>
      </w:pPr>
    </w:p>
    <w:p w14:paraId="07A78A39" w14:textId="428D0E80" w:rsidR="00150EB4" w:rsidRPr="00F7079B" w:rsidRDefault="25396D46" w:rsidP="1BE4CEAA">
      <w:pPr>
        <w:rPr>
          <w:szCs w:val="24"/>
        </w:rPr>
      </w:pPr>
      <w:r w:rsidRPr="00F7079B">
        <w:rPr>
          <w:szCs w:val="24"/>
        </w:rPr>
        <w:t>It is important to note that the statistics only tell the story of known litigation: only some people surface in the court</w:t>
      </w:r>
      <w:r w:rsidR="38981DDC" w:rsidRPr="00F7079B">
        <w:rPr>
          <w:szCs w:val="24"/>
        </w:rPr>
        <w:t>s</w:t>
      </w:r>
      <w:r w:rsidR="31FBE552" w:rsidRPr="00F7079B">
        <w:rPr>
          <w:szCs w:val="24"/>
        </w:rPr>
        <w:t xml:space="preserve">. The unknown is the number of people actively avoiding the formal legal </w:t>
      </w:r>
      <w:r w:rsidR="00EC745B" w:rsidRPr="00F7079B">
        <w:rPr>
          <w:szCs w:val="24"/>
        </w:rPr>
        <w:t>system and</w:t>
      </w:r>
      <w:r w:rsidR="31FBE552" w:rsidRPr="00F7079B">
        <w:rPr>
          <w:szCs w:val="24"/>
        </w:rPr>
        <w:t xml:space="preserve"> sorting things out as best they can </w:t>
      </w:r>
      <w:r w:rsidR="009E65BD" w:rsidRPr="00F7079B" w:rsidDel="00587C78">
        <w:rPr>
          <w:szCs w:val="24"/>
        </w:rPr>
        <w:t xml:space="preserve">– </w:t>
      </w:r>
      <w:r w:rsidR="31FBE552" w:rsidRPr="00F7079B">
        <w:rPr>
          <w:szCs w:val="24"/>
        </w:rPr>
        <w:t>in a way which is invisible</w:t>
      </w:r>
      <w:r w:rsidR="256F0F6C" w:rsidRPr="00F7079B">
        <w:rPr>
          <w:szCs w:val="24"/>
        </w:rPr>
        <w:t xml:space="preserve"> to IP</w:t>
      </w:r>
      <w:r w:rsidR="008D6F20">
        <w:rPr>
          <w:szCs w:val="24"/>
        </w:rPr>
        <w:t> </w:t>
      </w:r>
      <w:r w:rsidR="256F0F6C" w:rsidRPr="00F7079B">
        <w:rPr>
          <w:szCs w:val="24"/>
        </w:rPr>
        <w:t>Australia</w:t>
      </w:r>
      <w:r w:rsidR="256F0F6C" w:rsidRPr="00F7079B" w:rsidDel="00494CE9">
        <w:rPr>
          <w:szCs w:val="24"/>
        </w:rPr>
        <w:t xml:space="preserve"> </w:t>
      </w:r>
      <w:r w:rsidR="256F0F6C" w:rsidRPr="00F7079B">
        <w:rPr>
          <w:szCs w:val="24"/>
        </w:rPr>
        <w:t xml:space="preserve">or </w:t>
      </w:r>
      <w:r w:rsidR="009E65BD" w:rsidRPr="00F7079B">
        <w:rPr>
          <w:szCs w:val="24"/>
        </w:rPr>
        <w:t xml:space="preserve">to </w:t>
      </w:r>
      <w:r w:rsidR="256F0F6C" w:rsidRPr="00F7079B">
        <w:rPr>
          <w:szCs w:val="24"/>
        </w:rPr>
        <w:t>the court system.</w:t>
      </w:r>
      <w:r w:rsidR="00861044" w:rsidRPr="00F7079B">
        <w:rPr>
          <w:szCs w:val="24"/>
        </w:rPr>
        <w:t xml:space="preserve"> </w:t>
      </w:r>
      <w:r w:rsidR="7242E4DB" w:rsidRPr="00F7079B">
        <w:rPr>
          <w:szCs w:val="24"/>
        </w:rPr>
        <w:t xml:space="preserve">These people need to be </w:t>
      </w:r>
      <w:r w:rsidR="00CA2AC5" w:rsidRPr="00F7079B">
        <w:rPr>
          <w:szCs w:val="24"/>
        </w:rPr>
        <w:t>reached</w:t>
      </w:r>
      <w:r w:rsidR="7242E4DB" w:rsidRPr="00F7079B">
        <w:rPr>
          <w:szCs w:val="24"/>
        </w:rPr>
        <w:t>.</w:t>
      </w:r>
    </w:p>
    <w:p w14:paraId="5966E83D" w14:textId="5D661728" w:rsidR="005A6C71" w:rsidRPr="00F7079B" w:rsidRDefault="00150EB4" w:rsidP="1BE4CEAA">
      <w:pPr>
        <w:rPr>
          <w:rFonts w:ascii="Calibri" w:eastAsia="Calibri" w:hAnsi="Calibri" w:cs="Calibri"/>
          <w:szCs w:val="24"/>
          <w:lang w:val="en-US"/>
        </w:rPr>
      </w:pPr>
      <w:r w:rsidRPr="00F7079B">
        <w:rPr>
          <w:szCs w:val="24"/>
        </w:rPr>
        <w:t>While m</w:t>
      </w:r>
      <w:r w:rsidR="61CEFEDF" w:rsidRPr="00F7079B">
        <w:rPr>
          <w:szCs w:val="24"/>
        </w:rPr>
        <w:t>ost</w:t>
      </w:r>
      <w:r w:rsidRPr="00F7079B">
        <w:rPr>
          <w:szCs w:val="24"/>
        </w:rPr>
        <w:t xml:space="preserve"> of this is unknown, some data</w:t>
      </w:r>
      <w:r w:rsidR="3F982A8F" w:rsidRPr="00F7079B">
        <w:rPr>
          <w:szCs w:val="24"/>
        </w:rPr>
        <w:t xml:space="preserve"> about users </w:t>
      </w:r>
      <w:r w:rsidRPr="00F7079B">
        <w:rPr>
          <w:szCs w:val="24"/>
        </w:rPr>
        <w:t xml:space="preserve">is available: </w:t>
      </w:r>
      <w:r w:rsidR="271F6EAB" w:rsidRPr="00F7079B">
        <w:rPr>
          <w:rFonts w:ascii="Calibri" w:eastAsia="Calibri" w:hAnsi="Calibri" w:cs="Calibri"/>
          <w:szCs w:val="24"/>
          <w:lang w:val="en-US"/>
        </w:rPr>
        <w:t xml:space="preserve">28% of patent users reported that they were aware of copying, rising to </w:t>
      </w:r>
      <w:r w:rsidRPr="00F7079B">
        <w:rPr>
          <w:rFonts w:ascii="Calibri" w:eastAsia="Calibri" w:hAnsi="Calibri" w:cs="Calibri"/>
          <w:szCs w:val="24"/>
          <w:lang w:val="en-US"/>
        </w:rPr>
        <w:t>34% of SME patent users. About two in three</w:t>
      </w:r>
      <w:r w:rsidR="271F6EAB" w:rsidRPr="00F7079B">
        <w:rPr>
          <w:rFonts w:ascii="Calibri" w:eastAsia="Calibri" w:hAnsi="Calibri" w:cs="Calibri"/>
          <w:szCs w:val="24"/>
          <w:lang w:val="en-US"/>
        </w:rPr>
        <w:t xml:space="preserve"> SME patent users sent an infringement letter in response.</w:t>
      </w:r>
      <w:r w:rsidR="00EC0832" w:rsidRPr="00F7079B">
        <w:rPr>
          <w:rStyle w:val="FootnoteReference"/>
          <w:rFonts w:ascii="Calibri" w:eastAsia="Calibri" w:hAnsi="Calibri" w:cs="Calibri"/>
          <w:szCs w:val="24"/>
          <w:lang w:val="en-US"/>
        </w:rPr>
        <w:footnoteReference w:id="45"/>
      </w:r>
      <w:r w:rsidR="271F6EAB" w:rsidRPr="00F7079B">
        <w:rPr>
          <w:rFonts w:ascii="Calibri" w:eastAsia="Calibri" w:hAnsi="Calibri" w:cs="Calibri"/>
          <w:szCs w:val="24"/>
          <w:lang w:val="en-US"/>
        </w:rPr>
        <w:t xml:space="preserve"> For those SMEs that did not send a letter, 25% did not because it would be too costly (compared to only 14% of large businesses).</w:t>
      </w:r>
      <w:r w:rsidR="00EC0832" w:rsidRPr="00F7079B">
        <w:rPr>
          <w:rStyle w:val="FootnoteReference"/>
          <w:rFonts w:ascii="Calibri" w:eastAsia="Calibri" w:hAnsi="Calibri" w:cs="Calibri"/>
          <w:szCs w:val="24"/>
          <w:lang w:val="en-US"/>
        </w:rPr>
        <w:footnoteReference w:id="46"/>
      </w:r>
    </w:p>
    <w:p w14:paraId="7ED40407" w14:textId="431BA627" w:rsidR="00150EB4" w:rsidRPr="00F7079B" w:rsidRDefault="00150EB4" w:rsidP="00EC0832">
      <w:pPr>
        <w:rPr>
          <w:rFonts w:ascii="Calibri" w:eastAsia="Calibri" w:hAnsi="Calibri" w:cs="Calibri"/>
          <w:szCs w:val="24"/>
          <w:lang w:val="en-US"/>
        </w:rPr>
      </w:pPr>
      <w:r w:rsidRPr="00F7079B">
        <w:rPr>
          <w:rFonts w:ascii="Calibri" w:eastAsia="Calibri" w:hAnsi="Calibri" w:cs="Calibri"/>
          <w:szCs w:val="24"/>
          <w:lang w:val="en-US"/>
        </w:rPr>
        <w:t>Of all</w:t>
      </w:r>
      <w:r w:rsidR="271F6EAB" w:rsidRPr="00F7079B">
        <w:rPr>
          <w:rFonts w:ascii="Calibri" w:eastAsia="Calibri" w:hAnsi="Calibri" w:cs="Calibri"/>
          <w:szCs w:val="24"/>
          <w:lang w:val="en-US"/>
        </w:rPr>
        <w:t xml:space="preserve"> </w:t>
      </w:r>
      <w:r w:rsidR="009D046B" w:rsidRPr="00F7079B">
        <w:rPr>
          <w:rFonts w:ascii="Calibri" w:eastAsia="Calibri" w:hAnsi="Calibri" w:cs="Calibri"/>
          <w:szCs w:val="24"/>
          <w:lang w:val="en-US"/>
        </w:rPr>
        <w:t xml:space="preserve">those </w:t>
      </w:r>
      <w:r w:rsidR="271F6EAB" w:rsidRPr="00F7079B">
        <w:rPr>
          <w:rFonts w:ascii="Calibri" w:eastAsia="Calibri" w:hAnsi="Calibri" w:cs="Calibri"/>
          <w:szCs w:val="24"/>
          <w:lang w:val="en-US"/>
        </w:rPr>
        <w:t xml:space="preserve">patent users that did send a letter, the most common response </w:t>
      </w:r>
      <w:r w:rsidR="271F6EAB" w:rsidRPr="00F7079B" w:rsidDel="00C133A4">
        <w:rPr>
          <w:rFonts w:ascii="Calibri" w:eastAsia="Calibri" w:hAnsi="Calibri" w:cs="Calibri"/>
          <w:szCs w:val="24"/>
          <w:lang w:val="en-US"/>
        </w:rPr>
        <w:t>–</w:t>
      </w:r>
      <w:r w:rsidR="271F6EAB" w:rsidRPr="00F7079B">
        <w:rPr>
          <w:rFonts w:ascii="Calibri" w:eastAsia="Calibri" w:hAnsi="Calibri" w:cs="Calibri"/>
          <w:szCs w:val="24"/>
          <w:lang w:val="en-US"/>
        </w:rPr>
        <w:t xml:space="preserve"> over 60% </w:t>
      </w:r>
      <w:r w:rsidR="00362D45" w:rsidRPr="00F7079B" w:rsidDel="00C133A4">
        <w:rPr>
          <w:rFonts w:ascii="Calibri" w:eastAsia="Calibri" w:hAnsi="Calibri" w:cs="Calibri"/>
          <w:szCs w:val="24"/>
          <w:lang w:val="en-US"/>
        </w:rPr>
        <w:t>–</w:t>
      </w:r>
      <w:r w:rsidR="00362D45" w:rsidRPr="00F7079B">
        <w:rPr>
          <w:rFonts w:ascii="Calibri" w:eastAsia="Calibri" w:hAnsi="Calibri" w:cs="Calibri"/>
          <w:szCs w:val="24"/>
          <w:lang w:val="en-US"/>
        </w:rPr>
        <w:t xml:space="preserve"> </w:t>
      </w:r>
      <w:r w:rsidR="271F6EAB" w:rsidRPr="00F7079B">
        <w:rPr>
          <w:rFonts w:ascii="Calibri" w:eastAsia="Calibri" w:hAnsi="Calibri" w:cs="Calibri"/>
          <w:szCs w:val="24"/>
          <w:lang w:val="en-US"/>
        </w:rPr>
        <w:t xml:space="preserve">was that the other party either ignored the letter, only temporarily stopped copying, or alleged that the patent was invalid. In 37% of cases the other party either agreed to </w:t>
      </w:r>
      <w:r w:rsidR="00C133A4">
        <w:rPr>
          <w:rFonts w:ascii="Calibri" w:eastAsia="Calibri" w:hAnsi="Calibri" w:cs="Calibri"/>
          <w:szCs w:val="24"/>
          <w:lang w:val="en-US"/>
        </w:rPr>
        <w:br/>
      </w:r>
      <w:r w:rsidR="271F6EAB" w:rsidRPr="00F7079B">
        <w:rPr>
          <w:rFonts w:ascii="Calibri" w:eastAsia="Calibri" w:hAnsi="Calibri" w:cs="Calibri"/>
          <w:szCs w:val="24"/>
          <w:lang w:val="en-US"/>
        </w:rPr>
        <w:t>cross-license or stopped copying permanently.</w:t>
      </w:r>
      <w:r w:rsidR="00EC0832" w:rsidRPr="00F7079B">
        <w:rPr>
          <w:rStyle w:val="FootnoteReference"/>
          <w:rFonts w:ascii="Calibri" w:eastAsia="Calibri" w:hAnsi="Calibri" w:cs="Calibri"/>
          <w:szCs w:val="24"/>
          <w:lang w:val="en-US"/>
        </w:rPr>
        <w:footnoteReference w:id="47"/>
      </w:r>
      <w:r w:rsidR="00EC0832" w:rsidRPr="00F7079B">
        <w:rPr>
          <w:rFonts w:ascii="Calibri" w:eastAsia="Calibri" w:hAnsi="Calibri" w:cs="Calibri"/>
          <w:szCs w:val="24"/>
          <w:lang w:val="en-US"/>
        </w:rPr>
        <w:t xml:space="preserve"> </w:t>
      </w:r>
    </w:p>
    <w:p w14:paraId="03BBD0E9" w14:textId="38E98ABB" w:rsidR="00104867" w:rsidRPr="00F7079B" w:rsidRDefault="271F6EAB" w:rsidP="00EC0832">
      <w:pPr>
        <w:rPr>
          <w:szCs w:val="24"/>
        </w:rPr>
      </w:pPr>
      <w:r w:rsidRPr="00F7079B">
        <w:rPr>
          <w:rFonts w:ascii="Calibri" w:eastAsia="Calibri" w:hAnsi="Calibri" w:cs="Calibri"/>
          <w:szCs w:val="24"/>
          <w:lang w:val="en-US"/>
        </w:rPr>
        <w:t xml:space="preserve">For SMEs who sent a letter, 45% </w:t>
      </w:r>
      <w:r w:rsidR="00150EB4" w:rsidRPr="00F7079B">
        <w:rPr>
          <w:rFonts w:ascii="Calibri" w:eastAsia="Calibri" w:hAnsi="Calibri" w:cs="Calibri"/>
          <w:szCs w:val="24"/>
          <w:lang w:val="en-US"/>
        </w:rPr>
        <w:t xml:space="preserve">resulted in the other party </w:t>
      </w:r>
      <w:r w:rsidRPr="00F7079B">
        <w:rPr>
          <w:rFonts w:ascii="Calibri" w:eastAsia="Calibri" w:hAnsi="Calibri" w:cs="Calibri"/>
          <w:szCs w:val="24"/>
          <w:lang w:val="en-US"/>
        </w:rPr>
        <w:t>permanently</w:t>
      </w:r>
      <w:r w:rsidR="00150EB4" w:rsidRPr="00F7079B">
        <w:rPr>
          <w:rFonts w:ascii="Calibri" w:eastAsia="Calibri" w:hAnsi="Calibri" w:cs="Calibri"/>
          <w:szCs w:val="24"/>
          <w:lang w:val="en-US"/>
        </w:rPr>
        <w:t xml:space="preserve"> ceasing to copy</w:t>
      </w:r>
      <w:r w:rsidRPr="00F7079B">
        <w:rPr>
          <w:rFonts w:ascii="Calibri" w:eastAsia="Calibri" w:hAnsi="Calibri" w:cs="Calibri"/>
          <w:szCs w:val="24"/>
          <w:lang w:val="en-US"/>
        </w:rPr>
        <w:t xml:space="preserve">. However, 32% of SME letters were ignored, compared </w:t>
      </w:r>
      <w:r w:rsidR="00020597" w:rsidRPr="00F7079B">
        <w:rPr>
          <w:rFonts w:ascii="Calibri" w:eastAsia="Calibri" w:hAnsi="Calibri" w:cs="Calibri"/>
          <w:szCs w:val="24"/>
          <w:lang w:val="en-US"/>
        </w:rPr>
        <w:t xml:space="preserve">with </w:t>
      </w:r>
      <w:r w:rsidRPr="00F7079B">
        <w:rPr>
          <w:rFonts w:ascii="Calibri" w:eastAsia="Calibri" w:hAnsi="Calibri" w:cs="Calibri"/>
          <w:szCs w:val="24"/>
          <w:lang w:val="en-US"/>
        </w:rPr>
        <w:t>only 22% of letters sent by large businesses.</w:t>
      </w:r>
      <w:r w:rsidR="00EC0832" w:rsidRPr="00F7079B">
        <w:rPr>
          <w:rStyle w:val="FootnoteReference"/>
          <w:rFonts w:ascii="Calibri" w:eastAsia="Calibri" w:hAnsi="Calibri" w:cs="Calibri"/>
          <w:szCs w:val="24"/>
          <w:lang w:val="en-US"/>
        </w:rPr>
        <w:footnoteReference w:id="48"/>
      </w:r>
      <w:r w:rsidR="00EC0832" w:rsidRPr="00F7079B">
        <w:rPr>
          <w:rFonts w:ascii="Calibri" w:eastAsia="Calibri" w:hAnsi="Calibri" w:cs="Calibri"/>
          <w:szCs w:val="24"/>
          <w:lang w:val="en-US"/>
        </w:rPr>
        <w:t xml:space="preserve"> </w:t>
      </w:r>
      <w:r w:rsidRPr="00F7079B">
        <w:rPr>
          <w:rFonts w:ascii="Calibri" w:eastAsia="Calibri" w:hAnsi="Calibri" w:cs="Calibri"/>
          <w:szCs w:val="24"/>
          <w:lang w:val="en-US"/>
        </w:rPr>
        <w:t>75% of SMEs whose letter</w:t>
      </w:r>
      <w:r w:rsidR="00020597" w:rsidRPr="00F7079B">
        <w:rPr>
          <w:rFonts w:ascii="Calibri" w:eastAsia="Calibri" w:hAnsi="Calibri" w:cs="Calibri"/>
          <w:szCs w:val="24"/>
          <w:lang w:val="en-US"/>
        </w:rPr>
        <w:t>s</w:t>
      </w:r>
      <w:r w:rsidRPr="00F7079B">
        <w:rPr>
          <w:rFonts w:ascii="Calibri" w:eastAsia="Calibri" w:hAnsi="Calibri" w:cs="Calibri"/>
          <w:szCs w:val="24"/>
          <w:lang w:val="en-US"/>
        </w:rPr>
        <w:t xml:space="preserve"> </w:t>
      </w:r>
      <w:r w:rsidR="00020597" w:rsidRPr="00F7079B">
        <w:rPr>
          <w:rFonts w:ascii="Calibri" w:eastAsia="Calibri" w:hAnsi="Calibri" w:cs="Calibri"/>
          <w:szCs w:val="24"/>
          <w:lang w:val="en-US"/>
        </w:rPr>
        <w:t xml:space="preserve">were </w:t>
      </w:r>
      <w:r w:rsidRPr="00F7079B">
        <w:rPr>
          <w:rFonts w:ascii="Calibri" w:eastAsia="Calibri" w:hAnsi="Calibri" w:cs="Calibri"/>
          <w:szCs w:val="24"/>
          <w:lang w:val="en-US"/>
        </w:rPr>
        <w:t xml:space="preserve">ignored believed it was because they were perceived as </w:t>
      </w:r>
      <w:r w:rsidR="00EC0832" w:rsidRPr="00F7079B">
        <w:rPr>
          <w:rFonts w:ascii="Calibri" w:eastAsia="Calibri" w:hAnsi="Calibri" w:cs="Calibri"/>
          <w:szCs w:val="24"/>
          <w:lang w:val="en-US"/>
        </w:rPr>
        <w:t>being too small to be a threat.</w:t>
      </w:r>
      <w:r w:rsidR="00EC0832" w:rsidRPr="00F7079B">
        <w:rPr>
          <w:rStyle w:val="FootnoteReference"/>
          <w:rFonts w:ascii="Calibri" w:eastAsia="Calibri" w:hAnsi="Calibri" w:cs="Calibri"/>
          <w:szCs w:val="24"/>
          <w:lang w:val="en-US"/>
        </w:rPr>
        <w:footnoteReference w:id="49"/>
      </w:r>
      <w:r w:rsidR="00EC0832" w:rsidRPr="00F7079B">
        <w:rPr>
          <w:rFonts w:ascii="Calibri" w:eastAsia="Calibri" w:hAnsi="Calibri" w:cs="Calibri"/>
          <w:szCs w:val="24"/>
          <w:lang w:val="en-US"/>
        </w:rPr>
        <w:t xml:space="preserve"> </w:t>
      </w:r>
      <w:r w:rsidRPr="00F7079B">
        <w:rPr>
          <w:rFonts w:ascii="Calibri" w:eastAsia="Calibri" w:hAnsi="Calibri" w:cs="Calibri"/>
          <w:szCs w:val="24"/>
          <w:lang w:val="en-US"/>
        </w:rPr>
        <w:t xml:space="preserve">For all patent users who detected copying but decided not to file in court, the </w:t>
      </w:r>
      <w:r w:rsidR="00020597" w:rsidRPr="00F7079B">
        <w:rPr>
          <w:rFonts w:ascii="Calibri" w:eastAsia="Calibri" w:hAnsi="Calibri" w:cs="Calibri"/>
          <w:szCs w:val="24"/>
          <w:lang w:val="en-US"/>
        </w:rPr>
        <w:t xml:space="preserve">most common </w:t>
      </w:r>
      <w:r w:rsidRPr="00F7079B">
        <w:rPr>
          <w:rFonts w:ascii="Calibri" w:eastAsia="Calibri" w:hAnsi="Calibri" w:cs="Calibri"/>
          <w:szCs w:val="24"/>
          <w:lang w:val="en-US"/>
        </w:rPr>
        <w:t>reason</w:t>
      </w:r>
      <w:r w:rsidR="00020597" w:rsidRPr="00F7079B">
        <w:rPr>
          <w:rFonts w:ascii="Calibri" w:eastAsia="Calibri" w:hAnsi="Calibri" w:cs="Calibri"/>
          <w:szCs w:val="24"/>
          <w:lang w:val="en-US"/>
        </w:rPr>
        <w:t xml:space="preserve"> (56%)</w:t>
      </w:r>
      <w:r w:rsidRPr="00F7079B">
        <w:rPr>
          <w:rFonts w:ascii="Calibri" w:eastAsia="Calibri" w:hAnsi="Calibri" w:cs="Calibri"/>
          <w:szCs w:val="24"/>
          <w:lang w:val="en-US"/>
        </w:rPr>
        <w:t xml:space="preserve"> was that the potential gains didn’t justify the costs</w:t>
      </w:r>
      <w:r w:rsidR="00020597" w:rsidRPr="00F7079B">
        <w:rPr>
          <w:rFonts w:ascii="Calibri" w:eastAsia="Calibri" w:hAnsi="Calibri" w:cs="Calibri"/>
          <w:szCs w:val="24"/>
          <w:lang w:val="en-US"/>
        </w:rPr>
        <w:t>, while</w:t>
      </w:r>
      <w:r w:rsidRPr="00F7079B">
        <w:rPr>
          <w:rFonts w:ascii="Calibri" w:eastAsia="Calibri" w:hAnsi="Calibri" w:cs="Calibri"/>
          <w:szCs w:val="24"/>
          <w:lang w:val="en-US"/>
        </w:rPr>
        <w:t xml:space="preserve"> the second most common reason </w:t>
      </w:r>
      <w:r w:rsidR="00020597" w:rsidRPr="00F7079B">
        <w:rPr>
          <w:rFonts w:ascii="Calibri" w:eastAsia="Calibri" w:hAnsi="Calibri" w:cs="Calibri"/>
          <w:szCs w:val="24"/>
          <w:lang w:val="en-US"/>
        </w:rPr>
        <w:t xml:space="preserve">(19%) was </w:t>
      </w:r>
      <w:r w:rsidRPr="00F7079B">
        <w:rPr>
          <w:rFonts w:ascii="Calibri" w:eastAsia="Calibri" w:hAnsi="Calibri" w:cs="Calibri"/>
          <w:szCs w:val="24"/>
          <w:lang w:val="en-US"/>
        </w:rPr>
        <w:t>that it woul</w:t>
      </w:r>
      <w:r w:rsidR="00EC0832" w:rsidRPr="00F7079B">
        <w:rPr>
          <w:rFonts w:ascii="Calibri" w:eastAsia="Calibri" w:hAnsi="Calibri" w:cs="Calibri"/>
          <w:szCs w:val="24"/>
          <w:lang w:val="en-US"/>
        </w:rPr>
        <w:t>d take too long.</w:t>
      </w:r>
      <w:r w:rsidR="00EC0832" w:rsidRPr="00F7079B">
        <w:rPr>
          <w:rStyle w:val="FootnoteReference"/>
          <w:rFonts w:ascii="Calibri" w:eastAsia="Calibri" w:hAnsi="Calibri" w:cs="Calibri"/>
          <w:szCs w:val="24"/>
          <w:lang w:val="en-US"/>
        </w:rPr>
        <w:footnoteReference w:id="50"/>
      </w:r>
      <w:r w:rsidR="00EC0832" w:rsidRPr="00F7079B">
        <w:rPr>
          <w:rFonts w:ascii="Calibri" w:eastAsia="Calibri" w:hAnsi="Calibri" w:cs="Calibri"/>
          <w:szCs w:val="24"/>
          <w:lang w:val="en-US"/>
        </w:rPr>
        <w:t xml:space="preserve"> </w:t>
      </w:r>
      <w:r w:rsidR="00104867" w:rsidRPr="00F7079B">
        <w:rPr>
          <w:szCs w:val="24"/>
        </w:rPr>
        <w:t xml:space="preserve">Of SMEs who were willing to engage in pre-litigation actions, they are finding that these actions are not effective, </w:t>
      </w:r>
      <w:r w:rsidR="00020597" w:rsidRPr="00F7079B">
        <w:rPr>
          <w:szCs w:val="24"/>
        </w:rPr>
        <w:t xml:space="preserve">which </w:t>
      </w:r>
      <w:r w:rsidR="00104867" w:rsidRPr="00F7079B">
        <w:rPr>
          <w:szCs w:val="24"/>
        </w:rPr>
        <w:t>discourag</w:t>
      </w:r>
      <w:r w:rsidR="00020597" w:rsidRPr="00F7079B">
        <w:rPr>
          <w:szCs w:val="24"/>
        </w:rPr>
        <w:t xml:space="preserve">es </w:t>
      </w:r>
      <w:r w:rsidR="00104867" w:rsidRPr="00F7079B">
        <w:rPr>
          <w:szCs w:val="24"/>
        </w:rPr>
        <w:t xml:space="preserve">them from continuing. </w:t>
      </w:r>
    </w:p>
    <w:p w14:paraId="2577165C" w14:textId="69B6E0DD" w:rsidR="153F8C83" w:rsidRPr="00F7079B" w:rsidRDefault="00104867" w:rsidP="79344E9E">
      <w:pPr>
        <w:rPr>
          <w:rFonts w:ascii="Calibri" w:eastAsia="Calibri" w:hAnsi="Calibri" w:cs="Calibri"/>
          <w:szCs w:val="24"/>
          <w:lang w:val="en-US"/>
        </w:rPr>
      </w:pPr>
      <w:r w:rsidRPr="00F7079B">
        <w:rPr>
          <w:szCs w:val="24"/>
        </w:rPr>
        <w:t>Thus, even with users of the patent system there is a failure to use it fully.</w:t>
      </w:r>
      <w:r w:rsidR="698BECD6" w:rsidRPr="00F7079B">
        <w:rPr>
          <w:szCs w:val="24"/>
        </w:rPr>
        <w:t xml:space="preserve"> </w:t>
      </w:r>
      <w:r w:rsidR="44528479" w:rsidRPr="00F7079B">
        <w:rPr>
          <w:szCs w:val="24"/>
        </w:rPr>
        <w:t>It is too costly.</w:t>
      </w:r>
      <w:r w:rsidR="34289185" w:rsidRPr="00F7079B">
        <w:rPr>
          <w:szCs w:val="24"/>
        </w:rPr>
        <w:t xml:space="preserve"> It will be too hard to get a result.</w:t>
      </w:r>
    </w:p>
    <w:p w14:paraId="50F07308" w14:textId="2C8CB2A2" w:rsidR="153F8C83" w:rsidRPr="00F7079B" w:rsidRDefault="44528479" w:rsidP="00104867">
      <w:pPr>
        <w:rPr>
          <w:rFonts w:ascii="Calibri" w:eastAsia="Calibri" w:hAnsi="Calibri" w:cs="Calibri"/>
          <w:lang w:val="en-US"/>
        </w:rPr>
      </w:pPr>
      <w:r>
        <w:t xml:space="preserve">But we are </w:t>
      </w:r>
      <w:r w:rsidR="7BC4AA3D">
        <w:t>mainly</w:t>
      </w:r>
      <w:r>
        <w:t xml:space="preserve"> talking about the non-users, those who avoid it altogether</w:t>
      </w:r>
      <w:r w:rsidR="015ACF0C">
        <w:t xml:space="preserve">, the </w:t>
      </w:r>
      <w:r w:rsidR="00020597">
        <w:t>‘</w:t>
      </w:r>
      <w:r w:rsidR="015ACF0C">
        <w:t>known unknowns</w:t>
      </w:r>
      <w:r w:rsidR="00020597">
        <w:t>’</w:t>
      </w:r>
      <w:r>
        <w:t>.</w:t>
      </w:r>
      <w:r w:rsidR="00861044">
        <w:t xml:space="preserve"> </w:t>
      </w:r>
      <w:r w:rsidR="2D94D0D0">
        <w:t>How numerous are the non-users of the patent system?</w:t>
      </w:r>
      <w:r w:rsidR="00861044">
        <w:t xml:space="preserve"> </w:t>
      </w:r>
      <w:r w:rsidR="2D94D0D0">
        <w:t>It is probable that the vast majority of R</w:t>
      </w:r>
      <w:r w:rsidR="74554E1C">
        <w:t>&amp;D</w:t>
      </w:r>
      <w:r w:rsidR="00020597">
        <w:t>-</w:t>
      </w:r>
      <w:r w:rsidR="74554E1C">
        <w:t>intensive companies do not use the patent system</w:t>
      </w:r>
      <w:r w:rsidR="00020597">
        <w:t xml:space="preserve"> </w:t>
      </w:r>
      <w:r w:rsidR="00020597" w:rsidDel="00C133A4">
        <w:t>–</w:t>
      </w:r>
      <w:r w:rsidR="74554E1C" w:rsidDel="00C133A4">
        <w:t xml:space="preserve"> </w:t>
      </w:r>
      <w:r w:rsidR="74554E1C">
        <w:t xml:space="preserve">at least if we compare the number of </w:t>
      </w:r>
      <w:r w:rsidR="00230C16">
        <w:t>Research and Development Tax Incentive (</w:t>
      </w:r>
      <w:r w:rsidR="74554E1C">
        <w:t>RDTI</w:t>
      </w:r>
      <w:r w:rsidR="00230C16">
        <w:t>)</w:t>
      </w:r>
      <w:r w:rsidR="74554E1C">
        <w:t xml:space="preserve"> reg</w:t>
      </w:r>
      <w:r w:rsidR="5A0E5719">
        <w:t>is</w:t>
      </w:r>
      <w:r w:rsidR="74554E1C">
        <w:t>trations with the</w:t>
      </w:r>
      <w:r w:rsidR="3D6F561F">
        <w:t xml:space="preserve"> number of patent filings each year.</w:t>
      </w:r>
      <w:r w:rsidR="00104867">
        <w:tab/>
      </w:r>
    </w:p>
    <w:p w14:paraId="2A8AD494" w14:textId="2D9134EB" w:rsidR="006B4E8F" w:rsidRDefault="005A6C71">
      <w:pPr>
        <w:pStyle w:val="NoSpacing"/>
        <w:rPr>
          <w:sz w:val="24"/>
          <w:szCs w:val="24"/>
        </w:rPr>
      </w:pPr>
      <w:r w:rsidRPr="00F7079B">
        <w:rPr>
          <w:sz w:val="24"/>
          <w:szCs w:val="24"/>
        </w:rPr>
        <w:lastRenderedPageBreak/>
        <w:t xml:space="preserve">The </w:t>
      </w:r>
      <w:r w:rsidR="00020597" w:rsidRPr="00F7079B">
        <w:rPr>
          <w:sz w:val="24"/>
          <w:szCs w:val="24"/>
        </w:rPr>
        <w:t>g</w:t>
      </w:r>
      <w:r w:rsidRPr="00F7079B">
        <w:rPr>
          <w:sz w:val="24"/>
          <w:szCs w:val="24"/>
        </w:rPr>
        <w:t xml:space="preserve">overnment </w:t>
      </w:r>
      <w:r w:rsidR="00020597" w:rsidRPr="00F7079B">
        <w:rPr>
          <w:sz w:val="24"/>
          <w:szCs w:val="24"/>
        </w:rPr>
        <w:t>r</w:t>
      </w:r>
      <w:r w:rsidR="00913469" w:rsidRPr="00F7079B">
        <w:rPr>
          <w:sz w:val="24"/>
          <w:szCs w:val="24"/>
        </w:rPr>
        <w:t xml:space="preserve">esponse to the </w:t>
      </w:r>
      <w:r w:rsidR="00C721F4" w:rsidRPr="00F7079B">
        <w:rPr>
          <w:sz w:val="24"/>
          <w:szCs w:val="24"/>
        </w:rPr>
        <w:t>PC</w:t>
      </w:r>
      <w:r w:rsidR="00913469" w:rsidRPr="00F7079B">
        <w:rPr>
          <w:sz w:val="24"/>
          <w:szCs w:val="24"/>
        </w:rPr>
        <w:t xml:space="preserve"> warnings was to attempt to </w:t>
      </w:r>
      <w:r w:rsidR="00066A29" w:rsidRPr="00F7079B">
        <w:rPr>
          <w:sz w:val="24"/>
          <w:szCs w:val="24"/>
        </w:rPr>
        <w:t>solve this</w:t>
      </w:r>
      <w:r w:rsidR="7ADBD18F" w:rsidRPr="00F7079B">
        <w:rPr>
          <w:sz w:val="24"/>
          <w:szCs w:val="24"/>
        </w:rPr>
        <w:t xml:space="preserve"> </w:t>
      </w:r>
      <w:r w:rsidR="46A52B96" w:rsidRPr="00F7079B">
        <w:rPr>
          <w:sz w:val="24"/>
          <w:szCs w:val="24"/>
        </w:rPr>
        <w:t xml:space="preserve">apparent </w:t>
      </w:r>
      <w:r w:rsidR="7ADBD18F" w:rsidRPr="00F7079B">
        <w:rPr>
          <w:sz w:val="24"/>
          <w:szCs w:val="24"/>
        </w:rPr>
        <w:t>boycott</w:t>
      </w:r>
      <w:r w:rsidR="00066A29" w:rsidRPr="00F7079B">
        <w:rPr>
          <w:sz w:val="24"/>
          <w:szCs w:val="24"/>
        </w:rPr>
        <w:t xml:space="preserve"> by relying</w:t>
      </w:r>
      <w:r w:rsidR="00913469" w:rsidRPr="00F7079B">
        <w:rPr>
          <w:sz w:val="24"/>
          <w:szCs w:val="24"/>
        </w:rPr>
        <w:t xml:space="preserve"> on</w:t>
      </w:r>
      <w:r w:rsidR="003C6232" w:rsidRPr="00F7079B">
        <w:rPr>
          <w:sz w:val="24"/>
          <w:szCs w:val="24"/>
        </w:rPr>
        <w:t xml:space="preserve"> alternative dispute resolution</w:t>
      </w:r>
      <w:r w:rsidR="00851E0B" w:rsidRPr="00F7079B">
        <w:rPr>
          <w:sz w:val="24"/>
          <w:szCs w:val="24"/>
        </w:rPr>
        <w:t xml:space="preserve"> in the form of </w:t>
      </w:r>
      <w:r w:rsidR="00104867" w:rsidRPr="00F7079B">
        <w:rPr>
          <w:sz w:val="24"/>
          <w:szCs w:val="24"/>
        </w:rPr>
        <w:t>the</w:t>
      </w:r>
      <w:r w:rsidR="00104867" w:rsidRPr="00F7079B" w:rsidDel="00494CE9">
        <w:rPr>
          <w:sz w:val="24"/>
          <w:szCs w:val="24"/>
        </w:rPr>
        <w:t xml:space="preserve"> </w:t>
      </w:r>
      <w:r w:rsidR="00494CE9">
        <w:rPr>
          <w:sz w:val="24"/>
          <w:szCs w:val="24"/>
        </w:rPr>
        <w:t>IP Australia</w:t>
      </w:r>
      <w:r w:rsidR="00851E0B" w:rsidRPr="00F7079B">
        <w:rPr>
          <w:sz w:val="24"/>
          <w:szCs w:val="24"/>
        </w:rPr>
        <w:t>-</w:t>
      </w:r>
      <w:r w:rsidR="003C6232" w:rsidRPr="00F7079B">
        <w:rPr>
          <w:sz w:val="24"/>
          <w:szCs w:val="24"/>
        </w:rPr>
        <w:t xml:space="preserve">administered </w:t>
      </w:r>
      <w:r w:rsidR="00851E0B" w:rsidRPr="00F7079B">
        <w:rPr>
          <w:sz w:val="24"/>
          <w:szCs w:val="24"/>
        </w:rPr>
        <w:t>Mediation Referral Service</w:t>
      </w:r>
      <w:r w:rsidR="00CC5C6B" w:rsidRPr="00F7079B">
        <w:rPr>
          <w:sz w:val="24"/>
          <w:szCs w:val="24"/>
        </w:rPr>
        <w:t xml:space="preserve"> (MRS)</w:t>
      </w:r>
      <w:r w:rsidR="00020597" w:rsidRPr="00F7079B">
        <w:rPr>
          <w:sz w:val="24"/>
          <w:szCs w:val="24"/>
        </w:rPr>
        <w:t xml:space="preserve"> </w:t>
      </w:r>
      <w:r w:rsidR="00020597" w:rsidRPr="00F7079B" w:rsidDel="00587C78">
        <w:rPr>
          <w:sz w:val="24"/>
          <w:szCs w:val="24"/>
        </w:rPr>
        <w:t>–</w:t>
      </w:r>
      <w:r w:rsidR="003C6232" w:rsidRPr="00F7079B" w:rsidDel="00587C78">
        <w:rPr>
          <w:sz w:val="24"/>
          <w:szCs w:val="24"/>
        </w:rPr>
        <w:t xml:space="preserve"> </w:t>
      </w:r>
      <w:r w:rsidR="003C6232" w:rsidRPr="00F7079B">
        <w:rPr>
          <w:sz w:val="24"/>
          <w:szCs w:val="24"/>
        </w:rPr>
        <w:t>but this was not a successful initiative</w:t>
      </w:r>
      <w:r w:rsidR="00D13DE8" w:rsidRPr="00F7079B">
        <w:rPr>
          <w:sz w:val="24"/>
          <w:szCs w:val="24"/>
        </w:rPr>
        <w:t>.</w:t>
      </w:r>
      <w:r w:rsidRPr="00F7079B">
        <w:rPr>
          <w:sz w:val="24"/>
          <w:szCs w:val="24"/>
        </w:rPr>
        <w:t xml:space="preserve"> </w:t>
      </w:r>
    </w:p>
    <w:p w14:paraId="3A6F165D" w14:textId="0E5D7C9A" w:rsidR="006B4E8F" w:rsidRDefault="006B4E8F">
      <w:pPr>
        <w:pStyle w:val="NoSpacing"/>
        <w:rPr>
          <w:sz w:val="24"/>
          <w:szCs w:val="24"/>
        </w:rPr>
      </w:pPr>
    </w:p>
    <w:p w14:paraId="580180FA" w14:textId="35F84E77" w:rsidR="00FE4FF5" w:rsidRDefault="006B4E8F">
      <w:pPr>
        <w:pStyle w:val="NoSpacing"/>
        <w:rPr>
          <w:rFonts w:cs="Arial (Body CS)"/>
          <w:spacing w:val="-2"/>
          <w:sz w:val="24"/>
          <w:szCs w:val="24"/>
        </w:rPr>
      </w:pPr>
      <w:r>
        <w:rPr>
          <w:rFonts w:cs="Arial (Body CS)"/>
          <w:spacing w:val="-2"/>
          <w:sz w:val="24"/>
          <w:szCs w:val="24"/>
        </w:rPr>
        <w:t>T</w:t>
      </w:r>
      <w:r w:rsidR="00CC5C6B" w:rsidRPr="00FF7AD6">
        <w:rPr>
          <w:rFonts w:cs="Arial (Body CS)"/>
          <w:spacing w:val="-2"/>
          <w:sz w:val="24"/>
          <w:szCs w:val="24"/>
        </w:rPr>
        <w:t>he other recommendation of the Productivity Commission</w:t>
      </w:r>
      <w:r w:rsidR="00180159" w:rsidRPr="00FF7AD6">
        <w:rPr>
          <w:rFonts w:cs="Arial (Body CS)"/>
          <w:spacing w:val="-2"/>
          <w:sz w:val="24"/>
          <w:szCs w:val="24"/>
        </w:rPr>
        <w:t xml:space="preserve"> (PC)</w:t>
      </w:r>
      <w:r w:rsidR="00CC5C6B" w:rsidRPr="00FF7AD6">
        <w:rPr>
          <w:rFonts w:cs="Arial (Body CS)"/>
          <w:spacing w:val="-2"/>
          <w:sz w:val="24"/>
          <w:szCs w:val="24"/>
        </w:rPr>
        <w:t xml:space="preserve"> was to implement a specialist </w:t>
      </w:r>
      <w:r w:rsidR="006B663B" w:rsidRPr="00FF7AD6">
        <w:rPr>
          <w:rFonts w:cs="Arial (Body CS)"/>
          <w:spacing w:val="-2"/>
          <w:sz w:val="24"/>
          <w:szCs w:val="24"/>
        </w:rPr>
        <w:t>intellectual property (</w:t>
      </w:r>
      <w:r w:rsidR="00CC5C6B" w:rsidRPr="00FF7AD6">
        <w:rPr>
          <w:rFonts w:cs="Arial (Body CS)"/>
          <w:spacing w:val="-2"/>
          <w:sz w:val="24"/>
          <w:szCs w:val="24"/>
        </w:rPr>
        <w:t>IP</w:t>
      </w:r>
      <w:r w:rsidR="006B663B" w:rsidRPr="00FF7AD6">
        <w:rPr>
          <w:rFonts w:cs="Arial (Body CS)"/>
          <w:spacing w:val="-2"/>
          <w:sz w:val="24"/>
          <w:szCs w:val="24"/>
        </w:rPr>
        <w:t>)</w:t>
      </w:r>
      <w:r w:rsidR="00CC5C6B" w:rsidRPr="00FF7AD6">
        <w:rPr>
          <w:rFonts w:cs="Arial (Body CS)"/>
          <w:spacing w:val="-2"/>
          <w:sz w:val="24"/>
          <w:szCs w:val="24"/>
        </w:rPr>
        <w:t xml:space="preserve"> list in the Federal Circuit Court</w:t>
      </w:r>
      <w:r w:rsidR="00B932A8" w:rsidRPr="00FF7AD6">
        <w:rPr>
          <w:rFonts w:cs="Arial (Body CS)"/>
          <w:spacing w:val="-2"/>
          <w:sz w:val="24"/>
          <w:szCs w:val="24"/>
        </w:rPr>
        <w:t xml:space="preserve"> (FCC)</w:t>
      </w:r>
      <w:r w:rsidR="00CC5C6B" w:rsidRPr="00FF7AD6">
        <w:rPr>
          <w:rFonts w:cs="Arial (Body CS)"/>
          <w:spacing w:val="-2"/>
          <w:sz w:val="24"/>
          <w:szCs w:val="24"/>
        </w:rPr>
        <w:t>, which would include an expanded patents jurisdiction for the FCC (in addition to its existing copyright, designs, plant breeders</w:t>
      </w:r>
      <w:r w:rsidR="00020597" w:rsidRPr="00FF7AD6">
        <w:rPr>
          <w:rFonts w:cs="Arial (Body CS)"/>
          <w:spacing w:val="-2"/>
          <w:sz w:val="24"/>
          <w:szCs w:val="24"/>
        </w:rPr>
        <w:t>’</w:t>
      </w:r>
      <w:r w:rsidR="00CC5C6B" w:rsidRPr="00FF7AD6">
        <w:rPr>
          <w:rFonts w:cs="Arial (Body CS)"/>
          <w:spacing w:val="-2"/>
          <w:sz w:val="24"/>
          <w:szCs w:val="24"/>
        </w:rPr>
        <w:t xml:space="preserve"> rights and trademarks jurisdiction</w:t>
      </w:r>
      <w:r w:rsidR="372795D9" w:rsidRPr="00FF7AD6">
        <w:rPr>
          <w:rFonts w:cs="Arial (Body CS)"/>
          <w:spacing w:val="-2"/>
          <w:sz w:val="24"/>
          <w:szCs w:val="24"/>
        </w:rPr>
        <w:t>)</w:t>
      </w:r>
      <w:r w:rsidR="00CC5C6B" w:rsidRPr="00FF7AD6">
        <w:rPr>
          <w:rFonts w:cs="Arial (Body CS)"/>
          <w:spacing w:val="-2"/>
          <w:sz w:val="24"/>
          <w:szCs w:val="24"/>
        </w:rPr>
        <w:t>. The IP list would incorporate similar features to the United Kingdom’s Intellectual Property Enterprise Court (IPEC), including limiting trials to two days, caps on costs and</w:t>
      </w:r>
      <w:r w:rsidR="0029455E" w:rsidRPr="00FF7AD6">
        <w:rPr>
          <w:rFonts w:cs="Arial (Body CS)"/>
          <w:spacing w:val="-2"/>
          <w:sz w:val="24"/>
          <w:szCs w:val="24"/>
        </w:rPr>
        <w:t xml:space="preserve"> </w:t>
      </w:r>
      <w:r w:rsidR="00CC5C6B" w:rsidRPr="00FF7AD6">
        <w:rPr>
          <w:rFonts w:cs="Arial (Body CS)"/>
          <w:spacing w:val="-2"/>
          <w:sz w:val="24"/>
          <w:szCs w:val="24"/>
        </w:rPr>
        <w:t>damages, and a small claims procedure.</w:t>
      </w:r>
      <w:r w:rsidR="00CE0107" w:rsidRPr="00FF7AD6">
        <w:rPr>
          <w:rStyle w:val="FootnoteReference"/>
          <w:rFonts w:cs="Arial (Body CS)"/>
          <w:spacing w:val="-2"/>
          <w:sz w:val="24"/>
          <w:szCs w:val="24"/>
        </w:rPr>
        <w:footnoteReference w:id="51"/>
      </w:r>
      <w:r w:rsidR="00CC5C6B" w:rsidRPr="00FF7AD6">
        <w:rPr>
          <w:rFonts w:cs="Arial (Body CS)"/>
          <w:spacing w:val="-2"/>
          <w:sz w:val="24"/>
          <w:szCs w:val="24"/>
        </w:rPr>
        <w:t xml:space="preserve"> </w:t>
      </w:r>
    </w:p>
    <w:p w14:paraId="29AEEE24" w14:textId="77777777" w:rsidR="004C6A9D" w:rsidRPr="00FF7AD6" w:rsidRDefault="004C6A9D">
      <w:pPr>
        <w:pStyle w:val="NoSpacing"/>
        <w:rPr>
          <w:rFonts w:cs="Arial (Body CS)"/>
          <w:spacing w:val="-2"/>
          <w:sz w:val="24"/>
          <w:szCs w:val="24"/>
        </w:rPr>
      </w:pPr>
    </w:p>
    <w:p w14:paraId="1AC52233" w14:textId="13096458" w:rsidR="00061097" w:rsidRPr="00F7079B" w:rsidRDefault="00CE0107" w:rsidP="00206250">
      <w:pPr>
        <w:pStyle w:val="NoSpacing"/>
        <w:spacing w:after="160" w:line="259" w:lineRule="auto"/>
        <w:rPr>
          <w:sz w:val="24"/>
          <w:szCs w:val="24"/>
        </w:rPr>
      </w:pPr>
      <w:r w:rsidRPr="00F7079B">
        <w:rPr>
          <w:sz w:val="24"/>
          <w:szCs w:val="24"/>
        </w:rPr>
        <w:t xml:space="preserve">The Australian Government </w:t>
      </w:r>
      <w:r w:rsidR="007512B9">
        <w:rPr>
          <w:sz w:val="24"/>
          <w:szCs w:val="24"/>
        </w:rPr>
        <w:t>noted</w:t>
      </w:r>
      <w:r w:rsidRPr="00F7079B">
        <w:rPr>
          <w:sz w:val="24"/>
          <w:szCs w:val="24"/>
        </w:rPr>
        <w:t xml:space="preserve"> this recommendation</w:t>
      </w:r>
      <w:r w:rsidR="00BC5D70">
        <w:rPr>
          <w:sz w:val="24"/>
          <w:szCs w:val="24"/>
        </w:rPr>
        <w:t>, meaning that no further action was taken</w:t>
      </w:r>
      <w:r w:rsidRPr="00F7079B">
        <w:rPr>
          <w:sz w:val="24"/>
          <w:szCs w:val="24"/>
        </w:rPr>
        <w:t xml:space="preserve">. It noted a pilot in the Melbourne Registry of the FCC </w:t>
      </w:r>
      <w:r w:rsidR="00061097" w:rsidRPr="00F7079B">
        <w:rPr>
          <w:sz w:val="24"/>
          <w:szCs w:val="24"/>
        </w:rPr>
        <w:t xml:space="preserve">(which has now been made permanent in the Sydney Registry) </w:t>
      </w:r>
      <w:r w:rsidRPr="00F7079B">
        <w:rPr>
          <w:sz w:val="24"/>
          <w:szCs w:val="24"/>
        </w:rPr>
        <w:t>to streamline its management of IP matters and</w:t>
      </w:r>
      <w:r w:rsidR="00FE4FF5" w:rsidRPr="00F7079B">
        <w:rPr>
          <w:sz w:val="24"/>
          <w:szCs w:val="24"/>
        </w:rPr>
        <w:t xml:space="preserve"> to</w:t>
      </w:r>
      <w:r w:rsidRPr="00F7079B">
        <w:rPr>
          <w:sz w:val="24"/>
          <w:szCs w:val="24"/>
        </w:rPr>
        <w:t xml:space="preserve"> increase the visibility of the FCC for IP matters. While the FCC closely considered the practices and procedures of the IPEC, there were several features of the IPEC that it did not adopt, including the cap on costs and damages. The </w:t>
      </w:r>
      <w:r w:rsidR="00FE4FF5" w:rsidRPr="00F7079B">
        <w:rPr>
          <w:sz w:val="24"/>
          <w:szCs w:val="24"/>
        </w:rPr>
        <w:t>g</w:t>
      </w:r>
      <w:r w:rsidRPr="00F7079B">
        <w:rPr>
          <w:sz w:val="24"/>
          <w:szCs w:val="24"/>
        </w:rPr>
        <w:t>overnment did not accept that the FCC should have patent jurisdiction, as it considered that patent matters are complex and should be dealt with by judges with the requisite expertise.</w:t>
      </w:r>
      <w:r w:rsidR="0029455E" w:rsidRPr="00F7079B">
        <w:rPr>
          <w:rStyle w:val="FootnoteReference"/>
          <w:sz w:val="24"/>
          <w:szCs w:val="24"/>
        </w:rPr>
        <w:footnoteReference w:id="52"/>
      </w:r>
      <w:r w:rsidRPr="00F7079B">
        <w:rPr>
          <w:sz w:val="24"/>
          <w:szCs w:val="24"/>
        </w:rPr>
        <w:t xml:space="preserve"> </w:t>
      </w:r>
    </w:p>
    <w:p w14:paraId="168729D5" w14:textId="24D60634" w:rsidR="00FE7941" w:rsidRDefault="00061097" w:rsidP="00D23455">
      <w:pPr>
        <w:pStyle w:val="NoSpacing"/>
        <w:rPr>
          <w:rFonts w:asciiTheme="majorHAnsi" w:eastAsiaTheme="majorEastAsia" w:hAnsiTheme="majorHAnsi" w:cstheme="majorBidi"/>
          <w:color w:val="005677" w:themeColor="text2"/>
          <w:sz w:val="48"/>
          <w:szCs w:val="48"/>
        </w:rPr>
      </w:pPr>
      <w:r w:rsidRPr="00F7079B">
        <w:rPr>
          <w:sz w:val="24"/>
          <w:szCs w:val="24"/>
        </w:rPr>
        <w:t xml:space="preserve">The failure to follow up on the IPEC model was a major deficiency and leaves our approach to </w:t>
      </w:r>
      <w:r w:rsidR="24FC36F1" w:rsidRPr="00F7079B">
        <w:rPr>
          <w:sz w:val="24"/>
          <w:szCs w:val="24"/>
        </w:rPr>
        <w:t>solving disputes within</w:t>
      </w:r>
      <w:r w:rsidRPr="00F7079B">
        <w:rPr>
          <w:sz w:val="24"/>
          <w:szCs w:val="24"/>
        </w:rPr>
        <w:t xml:space="preserve"> the pat</w:t>
      </w:r>
      <w:r w:rsidR="00FE7941" w:rsidRPr="00F7079B">
        <w:rPr>
          <w:sz w:val="24"/>
          <w:szCs w:val="24"/>
        </w:rPr>
        <w:t>ent system hanging in midair.</w:t>
      </w:r>
      <w:r w:rsidR="00FE7941">
        <w:br w:type="page"/>
      </w:r>
    </w:p>
    <w:p w14:paraId="378D1A0B" w14:textId="7552B942" w:rsidR="00B567B8" w:rsidRPr="00D71EA5" w:rsidRDefault="003136DB" w:rsidP="00102432">
      <w:pPr>
        <w:pStyle w:val="Heading1"/>
      </w:pPr>
      <w:bookmarkStart w:id="296" w:name="_Toc60760638"/>
      <w:bookmarkStart w:id="297" w:name="_Toc60834824"/>
      <w:bookmarkStart w:id="298" w:name="_Toc60836774"/>
      <w:bookmarkStart w:id="299" w:name="_Toc60997762"/>
      <w:bookmarkStart w:id="300" w:name="_Toc61015576"/>
      <w:bookmarkStart w:id="301" w:name="_Toc61269608"/>
      <w:bookmarkStart w:id="302" w:name="_Toc61356716"/>
      <w:bookmarkStart w:id="303" w:name="_Toc65159326"/>
      <w:r>
        <w:lastRenderedPageBreak/>
        <w:t>1</w:t>
      </w:r>
      <w:r w:rsidR="005173F6" w:rsidRPr="00585B6B">
        <w:t>6</w:t>
      </w:r>
      <w:r w:rsidR="00FE7941">
        <w:t xml:space="preserve"> </w:t>
      </w:r>
      <w:r w:rsidR="01DBD4B5" w:rsidRPr="7A33F704">
        <w:t>S</w:t>
      </w:r>
      <w:r w:rsidR="00FE7941">
        <w:t>olutions to the legal quagmire</w:t>
      </w:r>
      <w:bookmarkEnd w:id="296"/>
      <w:bookmarkEnd w:id="297"/>
      <w:bookmarkEnd w:id="298"/>
      <w:bookmarkEnd w:id="299"/>
      <w:bookmarkEnd w:id="300"/>
      <w:bookmarkEnd w:id="301"/>
      <w:bookmarkEnd w:id="302"/>
      <w:bookmarkEnd w:id="303"/>
    </w:p>
    <w:p w14:paraId="3A194AB4" w14:textId="3A8C6B61" w:rsidR="00725A46" w:rsidRPr="00F7079B" w:rsidRDefault="00CA2AC5" w:rsidP="00725A46">
      <w:pPr>
        <w:pStyle w:val="NoSpacing"/>
        <w:rPr>
          <w:sz w:val="24"/>
          <w:szCs w:val="24"/>
        </w:rPr>
      </w:pPr>
      <w:r w:rsidRPr="00F7079B">
        <w:rPr>
          <w:sz w:val="24"/>
          <w:szCs w:val="24"/>
        </w:rPr>
        <w:t xml:space="preserve">And so </w:t>
      </w:r>
      <w:r w:rsidR="00061097" w:rsidRPr="00F7079B">
        <w:rPr>
          <w:sz w:val="24"/>
          <w:szCs w:val="24"/>
        </w:rPr>
        <w:t>the</w:t>
      </w:r>
      <w:r w:rsidR="79915287" w:rsidRPr="00F7079B">
        <w:rPr>
          <w:sz w:val="24"/>
          <w:szCs w:val="24"/>
        </w:rPr>
        <w:t xml:space="preserve"> problem has not gone away</w:t>
      </w:r>
      <w:r w:rsidR="29F8A5F1" w:rsidRPr="00F7079B">
        <w:rPr>
          <w:sz w:val="24"/>
          <w:szCs w:val="24"/>
        </w:rPr>
        <w:t xml:space="preserve">. </w:t>
      </w:r>
      <w:r w:rsidR="7750403F" w:rsidRPr="00F7079B">
        <w:rPr>
          <w:sz w:val="24"/>
          <w:szCs w:val="24"/>
        </w:rPr>
        <w:t>Three</w:t>
      </w:r>
      <w:r w:rsidR="1DCD213C" w:rsidRPr="00F7079B">
        <w:rPr>
          <w:sz w:val="24"/>
          <w:szCs w:val="24"/>
        </w:rPr>
        <w:t xml:space="preserve"> years later</w:t>
      </w:r>
      <w:r w:rsidR="6107099C" w:rsidRPr="00F7079B">
        <w:rPr>
          <w:sz w:val="24"/>
          <w:szCs w:val="24"/>
        </w:rPr>
        <w:t xml:space="preserve"> we find another judge</w:t>
      </w:r>
      <w:r w:rsidR="1E658A05" w:rsidRPr="00F7079B">
        <w:rPr>
          <w:sz w:val="24"/>
          <w:szCs w:val="24"/>
        </w:rPr>
        <w:t xml:space="preserve"> raising the same problem but </w:t>
      </w:r>
      <w:r w:rsidR="3995CCE4" w:rsidRPr="00F7079B">
        <w:rPr>
          <w:sz w:val="24"/>
          <w:szCs w:val="24"/>
        </w:rPr>
        <w:t>in slightly different terms:</w:t>
      </w:r>
    </w:p>
    <w:p w14:paraId="4DE64C6A" w14:textId="1F612AF6" w:rsidR="00C80E7B" w:rsidRPr="00D23455" w:rsidRDefault="00C80E7B" w:rsidP="00601004">
      <w:pPr>
        <w:pStyle w:val="IntenseQuote"/>
        <w:pBdr>
          <w:top w:val="single" w:sz="4" w:space="6" w:color="EBF7F8" w:themeColor="accent5" w:themeTint="33"/>
          <w:left w:val="single" w:sz="4" w:space="4" w:color="EBF7F8" w:themeColor="accent5" w:themeTint="33"/>
          <w:bottom w:val="single" w:sz="4" w:space="6" w:color="EBF7F8" w:themeColor="accent5" w:themeTint="33"/>
          <w:right w:val="single" w:sz="4" w:space="4" w:color="EBF7F8" w:themeColor="accent5" w:themeTint="33"/>
        </w:pBdr>
        <w:shd w:val="clear" w:color="auto" w:fill="EBF7F8" w:themeFill="accent5" w:themeFillTint="33"/>
        <w:ind w:left="680" w:right="680"/>
        <w:jc w:val="left"/>
        <w:rPr>
          <w:szCs w:val="24"/>
        </w:rPr>
      </w:pPr>
      <w:r w:rsidRPr="00D23455">
        <w:rPr>
          <w:szCs w:val="24"/>
        </w:rPr>
        <w:t>Let me conclude with one final observation. The</w:t>
      </w:r>
      <w:r w:rsidR="001A005F" w:rsidRPr="00D23455">
        <w:rPr>
          <w:i w:val="0"/>
          <w:iCs w:val="0"/>
          <w:szCs w:val="24"/>
        </w:rPr>
        <w:t xml:space="preserve"> </w:t>
      </w:r>
      <w:r w:rsidRPr="00D23455">
        <w:rPr>
          <w:szCs w:val="24"/>
        </w:rPr>
        <w:t>hearing of these appeals has not proceeded smoothly. The three weeks initially set aside for the hearing turned out to be inadequate. The hearing had to be adjourned over for a further week of evidence months later, and then further adjourned for several days of closing addresses. The substantial adjournments were necessary to accommodate the other significant commitments of counsel, witnesses and the Court. I make no criticism. It is what it is. But the sheer length, complexity and delays involved in these appeals does give cause to reflect on the following questions. Should appeals of this type be permitted to proceed as re</w:t>
      </w:r>
      <w:r w:rsidR="00601004">
        <w:rPr>
          <w:szCs w:val="24"/>
        </w:rPr>
        <w:t>-</w:t>
      </w:r>
      <w:r w:rsidRPr="00D23455">
        <w:rPr>
          <w:szCs w:val="24"/>
        </w:rPr>
        <w:t xml:space="preserve">hearings </w:t>
      </w:r>
      <w:r w:rsidRPr="00D23455">
        <w:rPr>
          <w:i w:val="0"/>
          <w:iCs w:val="0"/>
          <w:szCs w:val="24"/>
        </w:rPr>
        <w:t>de novo</w:t>
      </w:r>
      <w:r w:rsidRPr="00D23455">
        <w:rPr>
          <w:szCs w:val="24"/>
        </w:rPr>
        <w:t xml:space="preserve"> allowing the parties to run any ground they like, whether raised before the delegate or not, and upon any evidence they choose, whether adduced or available to be adduced before the delegate or not? Or should they be permitted to proceed only upon the grounds and evidence led before the delegate with truly fresh evidence only being permitted in exceptional circumstances? Or should there be no appeal at all from the decision of the delegate, but only judicial review permitted demonstrating jurisdictional error? Or should there be an appeal for error of law only, and perhaps only with leave? Now these are policy questions, and legislative amendment would be necessary. But on any view it is not sufficient to tinker with the problem by fiddling with the standard of proof, which provided no real solution to deal with the length and complexity of what unfolded before me, notwithstanding the case management techniques available. But perhaps a more robust approach can be taken. One solution may be to put the parties on a chess clock to limit a hearing of the present type to 5 days rather than 5 weeks. And instead of 20 volumes of double-sided material as the standard length of a court book, this could be severely confined. Further, perhaps it is time for appellate courts to show some guidance in permitting short form reasons. Anyway, these reasons should not be further drawn out.</w:t>
      </w:r>
      <w:r w:rsidR="005A6C71" w:rsidRPr="00D23455">
        <w:rPr>
          <w:rStyle w:val="FootnoteReference"/>
          <w:i w:val="0"/>
          <w:iCs w:val="0"/>
          <w:szCs w:val="24"/>
        </w:rPr>
        <w:footnoteReference w:id="53"/>
      </w:r>
      <w:r w:rsidRPr="00D23455">
        <w:rPr>
          <w:i w:val="0"/>
          <w:iCs w:val="0"/>
          <w:szCs w:val="24"/>
        </w:rPr>
        <w:t xml:space="preserve"> </w:t>
      </w:r>
    </w:p>
    <w:p w14:paraId="4477DF08" w14:textId="77777777" w:rsidR="00D23455" w:rsidRDefault="00D23455" w:rsidP="005E3CFD">
      <w:pPr>
        <w:rPr>
          <w:szCs w:val="24"/>
        </w:rPr>
      </w:pPr>
      <w:r>
        <w:rPr>
          <w:szCs w:val="24"/>
        </w:rPr>
        <w:br w:type="page"/>
      </w:r>
    </w:p>
    <w:p w14:paraId="7F8F1BEF" w14:textId="54CCE088" w:rsidR="00F46924" w:rsidRDefault="005E3CFD" w:rsidP="005E3CFD">
      <w:pPr>
        <w:rPr>
          <w:szCs w:val="24"/>
        </w:rPr>
      </w:pPr>
      <w:r w:rsidRPr="00F7079B">
        <w:rPr>
          <w:szCs w:val="24"/>
        </w:rPr>
        <w:lastRenderedPageBreak/>
        <w:t>After the PC response the Federal Court introduced a new IP practice note in 2016,</w:t>
      </w:r>
      <w:r w:rsidR="000A77F2" w:rsidRPr="00F7079B">
        <w:rPr>
          <w:rStyle w:val="FootnoteReference"/>
          <w:szCs w:val="24"/>
        </w:rPr>
        <w:footnoteReference w:id="54"/>
      </w:r>
      <w:r w:rsidRPr="00F7079B">
        <w:rPr>
          <w:szCs w:val="24"/>
        </w:rPr>
        <w:t xml:space="preserve"> including some measures to encourage parties to refine the real issues and rein in costs. </w:t>
      </w:r>
      <w:r w:rsidR="00F46924" w:rsidRPr="00F7079B">
        <w:rPr>
          <w:szCs w:val="24"/>
        </w:rPr>
        <w:t>It is not useful for this review to give a detailed assessment of each individual aspect</w:t>
      </w:r>
      <w:r w:rsidR="00526E87" w:rsidRPr="00F7079B">
        <w:rPr>
          <w:szCs w:val="24"/>
        </w:rPr>
        <w:t xml:space="preserve"> of the practice note</w:t>
      </w:r>
      <w:r w:rsidR="00F46924" w:rsidRPr="00F7079B">
        <w:rPr>
          <w:szCs w:val="24"/>
        </w:rPr>
        <w:t xml:space="preserve">. </w:t>
      </w:r>
      <w:r w:rsidRPr="00F7079B">
        <w:rPr>
          <w:szCs w:val="24"/>
        </w:rPr>
        <w:t xml:space="preserve">However, </w:t>
      </w:r>
      <w:r w:rsidR="00F46924" w:rsidRPr="00F7079B">
        <w:rPr>
          <w:szCs w:val="24"/>
        </w:rPr>
        <w:t>it is appropriate to consider whether these changes as a whole have improved the situation</w:t>
      </w:r>
      <w:r w:rsidR="006B70F2">
        <w:rPr>
          <w:szCs w:val="24"/>
        </w:rPr>
        <w:t xml:space="preserve"> for SMEs</w:t>
      </w:r>
      <w:r w:rsidR="00F46924" w:rsidRPr="00F7079B">
        <w:rPr>
          <w:szCs w:val="24"/>
        </w:rPr>
        <w:t xml:space="preserve">. </w:t>
      </w:r>
    </w:p>
    <w:p w14:paraId="7893BAFB" w14:textId="59ED9EFA" w:rsidR="002B26AF" w:rsidRPr="00A66273" w:rsidRDefault="006B70F2" w:rsidP="002B26AF">
      <w:pPr>
        <w:rPr>
          <w:rFonts w:ascii="Calibri" w:eastAsia="Calibri" w:hAnsi="Calibri" w:cs="Arial"/>
          <w:szCs w:val="24"/>
        </w:rPr>
      </w:pPr>
      <w:r>
        <w:rPr>
          <w:rFonts w:ascii="Calibri" w:eastAsia="Calibri" w:hAnsi="Calibri" w:cs="Arial"/>
          <w:szCs w:val="24"/>
        </w:rPr>
        <w:t xml:space="preserve">It is worth noting at the outset that interviewees did not raise any concerns with the Federal Court’s ability to deal with more complex, high-value disputes between non-SMEs. For these types of cases the Court is widely seen as producing high-quality judgments. </w:t>
      </w:r>
    </w:p>
    <w:p w14:paraId="45173296" w14:textId="02ACF4DD" w:rsidR="002B26AF" w:rsidRPr="00A66273" w:rsidRDefault="002B26AF" w:rsidP="00A66273">
      <w:pPr>
        <w:pStyle w:val="Quote"/>
        <w:rPr>
          <w:szCs w:val="28"/>
        </w:rPr>
      </w:pPr>
      <w:r>
        <w:t xml:space="preserve">Everyone would rather save a dollar if they can, but for some, if the product is worth </w:t>
      </w:r>
      <w:r w:rsidR="00D34080">
        <w:t>$</w:t>
      </w:r>
      <w:r>
        <w:t>100</w:t>
      </w:r>
      <w:r w:rsidR="00D34080">
        <w:t xml:space="preserve"> </w:t>
      </w:r>
      <w:r>
        <w:t>m</w:t>
      </w:r>
      <w:r w:rsidR="00D34080">
        <w:t>illion</w:t>
      </w:r>
      <w:r>
        <w:t xml:space="preserve"> annually in Australia, they want to win their case, not at all costs, but they don’t want to leave too many stones unturned. Australia is known internationally as a rigorous and robust patent jurisdiction, our judges are well thought of.</w:t>
      </w:r>
    </w:p>
    <w:p w14:paraId="0B97ACCD" w14:textId="0A198BFD" w:rsidR="006B70F2" w:rsidRPr="00A66273" w:rsidRDefault="006B70F2" w:rsidP="005E3CFD">
      <w:pPr>
        <w:rPr>
          <w:rFonts w:ascii="Calibri" w:eastAsia="Calibri" w:hAnsi="Calibri" w:cs="Arial"/>
          <w:szCs w:val="24"/>
        </w:rPr>
      </w:pPr>
      <w:r>
        <w:rPr>
          <w:rFonts w:ascii="Calibri" w:eastAsia="Calibri" w:hAnsi="Calibri" w:cs="Arial"/>
          <w:szCs w:val="24"/>
        </w:rPr>
        <w:t xml:space="preserve">The question for this review is whether smaller businesses have confidence that they can enforce their patents at a reasonable cost. </w:t>
      </w:r>
    </w:p>
    <w:p w14:paraId="35C2F579" w14:textId="77777777" w:rsidR="00534F6C" w:rsidRDefault="00534F6C" w:rsidP="00534F6C">
      <w:pPr>
        <w:rPr>
          <w:szCs w:val="24"/>
        </w:rPr>
      </w:pPr>
      <w:r>
        <w:rPr>
          <w:szCs w:val="24"/>
        </w:rPr>
        <w:t xml:space="preserve">The table below shows the filing, finalisation and length data of recent patent cases in the Federal Court of Australia. </w:t>
      </w:r>
    </w:p>
    <w:p w14:paraId="135003B1" w14:textId="363DC8DA" w:rsidR="00534F6C" w:rsidRPr="000F48FC" w:rsidRDefault="00534F6C" w:rsidP="00534F6C">
      <w:pPr>
        <w:keepNext/>
        <w:spacing w:line="240" w:lineRule="auto"/>
        <w:rPr>
          <w:rFonts w:ascii="Calibri" w:eastAsia="Calibri" w:hAnsi="Calibri" w:cs="Times New Roman"/>
          <w:i/>
          <w:color w:val="005677"/>
          <w:szCs w:val="24"/>
        </w:rPr>
      </w:pPr>
      <w:r w:rsidRPr="000F48FC">
        <w:rPr>
          <w:rFonts w:ascii="Calibri" w:eastAsia="Calibri" w:hAnsi="Calibri" w:cs="Times New Roman"/>
          <w:i/>
          <w:color w:val="005677"/>
          <w:szCs w:val="24"/>
        </w:rPr>
        <w:t xml:space="preserve">Table </w:t>
      </w:r>
      <w:r w:rsidR="004C6A9D">
        <w:rPr>
          <w:rFonts w:ascii="Calibri" w:eastAsia="Calibri" w:hAnsi="Calibri" w:cs="Times New Roman"/>
          <w:i/>
          <w:color w:val="005677"/>
          <w:szCs w:val="24"/>
        </w:rPr>
        <w:t>2</w:t>
      </w:r>
      <w:r w:rsidRPr="000F48FC">
        <w:rPr>
          <w:rFonts w:ascii="Calibri" w:eastAsia="Calibri" w:hAnsi="Calibri" w:cs="Times New Roman"/>
          <w:i/>
          <w:color w:val="005677"/>
          <w:szCs w:val="24"/>
        </w:rPr>
        <w:t xml:space="preserve"> – </w:t>
      </w:r>
      <w:r>
        <w:rPr>
          <w:rFonts w:ascii="Calibri" w:eastAsia="Calibri" w:hAnsi="Calibri" w:cs="Times New Roman"/>
          <w:i/>
          <w:color w:val="005677"/>
          <w:szCs w:val="24"/>
        </w:rPr>
        <w:t>Patent filings, finalisations and time to finalisation</w:t>
      </w:r>
    </w:p>
    <w:tbl>
      <w:tblPr>
        <w:tblStyle w:val="ListTable3-Accent31"/>
        <w:tblW w:w="9014" w:type="dxa"/>
        <w:tblLook w:val="04A0" w:firstRow="1" w:lastRow="0" w:firstColumn="1" w:lastColumn="0" w:noHBand="0" w:noVBand="1"/>
        <w:tblCaption w:val="Sample table"/>
        <w:tblDescription w:val="Add text broadly describing the table. You do not need to replicate the whole contents."/>
      </w:tblPr>
      <w:tblGrid>
        <w:gridCol w:w="1271"/>
        <w:gridCol w:w="1134"/>
        <w:gridCol w:w="1559"/>
        <w:gridCol w:w="2552"/>
        <w:gridCol w:w="2498"/>
      </w:tblGrid>
      <w:tr w:rsidR="00534F6C" w:rsidRPr="00852CA8" w14:paraId="30C5D695" w14:textId="77777777" w:rsidTr="00A24A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1" w:type="dxa"/>
          </w:tcPr>
          <w:p w14:paraId="7FAA63E1" w14:textId="77777777" w:rsidR="00534F6C" w:rsidRPr="000F48FC" w:rsidRDefault="00534F6C" w:rsidP="00A24A1A">
            <w:pPr>
              <w:rPr>
                <w:rFonts w:ascii="Calibri" w:eastAsia="Calibri" w:hAnsi="Calibri" w:cs="Times New Roman"/>
                <w:szCs w:val="24"/>
              </w:rPr>
            </w:pPr>
            <w:r>
              <w:rPr>
                <w:rFonts w:ascii="Calibri" w:eastAsia="Calibri" w:hAnsi="Calibri" w:cs="Times New Roman"/>
                <w:szCs w:val="24"/>
              </w:rPr>
              <w:t>Fiscal y</w:t>
            </w:r>
            <w:r w:rsidRPr="000F48FC">
              <w:rPr>
                <w:rFonts w:ascii="Calibri" w:eastAsia="Calibri" w:hAnsi="Calibri" w:cs="Times New Roman"/>
                <w:szCs w:val="24"/>
              </w:rPr>
              <w:t>ear</w:t>
            </w:r>
          </w:p>
        </w:tc>
        <w:tc>
          <w:tcPr>
            <w:tcW w:w="1134" w:type="dxa"/>
          </w:tcPr>
          <w:p w14:paraId="46C6B2FD" w14:textId="77777777" w:rsidR="00534F6C" w:rsidRPr="000F48FC" w:rsidRDefault="00534F6C" w:rsidP="00A24A1A">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Pr>
                <w:rFonts w:ascii="Calibri" w:eastAsia="Calibri" w:hAnsi="Calibri" w:cs="Times New Roman"/>
                <w:szCs w:val="24"/>
              </w:rPr>
              <w:t>Filings</w:t>
            </w:r>
          </w:p>
        </w:tc>
        <w:tc>
          <w:tcPr>
            <w:tcW w:w="1559" w:type="dxa"/>
          </w:tcPr>
          <w:p w14:paraId="4FCD5E50" w14:textId="77777777" w:rsidR="00534F6C" w:rsidRPr="000F48FC" w:rsidRDefault="00534F6C" w:rsidP="00A24A1A">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Pr>
                <w:rFonts w:ascii="Calibri" w:eastAsia="Calibri" w:hAnsi="Calibri" w:cs="Times New Roman"/>
                <w:szCs w:val="24"/>
              </w:rPr>
              <w:t>Finalisations</w:t>
            </w:r>
          </w:p>
        </w:tc>
        <w:tc>
          <w:tcPr>
            <w:tcW w:w="2552" w:type="dxa"/>
          </w:tcPr>
          <w:p w14:paraId="14A80B11" w14:textId="77777777" w:rsidR="00534F6C" w:rsidRPr="000F48FC" w:rsidRDefault="00534F6C" w:rsidP="00A24A1A">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Pr>
                <w:rFonts w:ascii="Calibri" w:eastAsia="Calibri" w:hAnsi="Calibri" w:cs="Times New Roman"/>
                <w:szCs w:val="24"/>
              </w:rPr>
              <w:t>Time to finalisation (average year)</w:t>
            </w:r>
          </w:p>
        </w:tc>
        <w:tc>
          <w:tcPr>
            <w:tcW w:w="2498" w:type="dxa"/>
          </w:tcPr>
          <w:p w14:paraId="0DBD4327" w14:textId="77777777" w:rsidR="00534F6C" w:rsidRPr="000F48FC" w:rsidRDefault="00534F6C" w:rsidP="00A24A1A">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T</w:t>
            </w:r>
            <w:r>
              <w:rPr>
                <w:rFonts w:ascii="Calibri" w:eastAsia="Calibri" w:hAnsi="Calibri" w:cs="Times New Roman"/>
                <w:szCs w:val="24"/>
              </w:rPr>
              <w:t>ime to finalisation (median year)</w:t>
            </w:r>
          </w:p>
        </w:tc>
      </w:tr>
      <w:tr w:rsidR="00534F6C" w:rsidRPr="00852CA8" w14:paraId="0AF8617F" w14:textId="77777777" w:rsidTr="00A2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1B9590" w:themeFill="accent3"/>
            <w:vAlign w:val="center"/>
          </w:tcPr>
          <w:p w14:paraId="30C5DA70" w14:textId="77777777" w:rsidR="00534F6C" w:rsidRPr="000F48FC" w:rsidRDefault="00534F6C" w:rsidP="00A24A1A">
            <w:pPr>
              <w:rPr>
                <w:rFonts w:ascii="Calibri" w:eastAsia="Calibri" w:hAnsi="Calibri" w:cs="Times New Roman"/>
                <w:szCs w:val="24"/>
              </w:rPr>
            </w:pPr>
            <w:r>
              <w:rPr>
                <w:color w:val="FFFFFF" w:themeColor="background1"/>
              </w:rPr>
              <w:t>2011/12</w:t>
            </w:r>
          </w:p>
        </w:tc>
        <w:tc>
          <w:tcPr>
            <w:tcW w:w="1134" w:type="dxa"/>
            <w:vAlign w:val="center"/>
          </w:tcPr>
          <w:p w14:paraId="3159B907"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52</w:t>
            </w:r>
          </w:p>
        </w:tc>
        <w:tc>
          <w:tcPr>
            <w:tcW w:w="1559" w:type="dxa"/>
          </w:tcPr>
          <w:p w14:paraId="5A1C202D"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41</w:t>
            </w:r>
          </w:p>
        </w:tc>
        <w:tc>
          <w:tcPr>
            <w:tcW w:w="2552" w:type="dxa"/>
          </w:tcPr>
          <w:p w14:paraId="040B4800"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1.36</w:t>
            </w:r>
          </w:p>
        </w:tc>
        <w:tc>
          <w:tcPr>
            <w:tcW w:w="2498" w:type="dxa"/>
          </w:tcPr>
          <w:p w14:paraId="3FD5DFD2"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Cs w:val="24"/>
              </w:rPr>
            </w:pPr>
            <w:r>
              <w:t>0.75</w:t>
            </w:r>
          </w:p>
        </w:tc>
      </w:tr>
      <w:tr w:rsidR="00534F6C" w:rsidRPr="00852CA8" w14:paraId="645BA25B" w14:textId="77777777" w:rsidTr="00A24A1A">
        <w:tc>
          <w:tcPr>
            <w:cnfStyle w:val="001000000000" w:firstRow="0" w:lastRow="0" w:firstColumn="1" w:lastColumn="0" w:oddVBand="0" w:evenVBand="0" w:oddHBand="0" w:evenHBand="0" w:firstRowFirstColumn="0" w:firstRowLastColumn="0" w:lastRowFirstColumn="0" w:lastRowLastColumn="0"/>
            <w:tcW w:w="1271" w:type="dxa"/>
            <w:shd w:val="clear" w:color="auto" w:fill="1B9590" w:themeFill="accent3"/>
            <w:vAlign w:val="center"/>
          </w:tcPr>
          <w:p w14:paraId="75C0EF52" w14:textId="77777777" w:rsidR="00534F6C" w:rsidRPr="000F48FC" w:rsidRDefault="00534F6C" w:rsidP="00A24A1A">
            <w:pPr>
              <w:rPr>
                <w:rFonts w:ascii="Calibri" w:eastAsia="Calibri" w:hAnsi="Calibri" w:cs="Times New Roman"/>
                <w:szCs w:val="24"/>
              </w:rPr>
            </w:pPr>
            <w:r>
              <w:rPr>
                <w:color w:val="FFFFFF" w:themeColor="background1"/>
              </w:rPr>
              <w:t>2012/13</w:t>
            </w:r>
          </w:p>
        </w:tc>
        <w:tc>
          <w:tcPr>
            <w:tcW w:w="1134" w:type="dxa"/>
            <w:vAlign w:val="center"/>
          </w:tcPr>
          <w:p w14:paraId="05AA00BF"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55</w:t>
            </w:r>
          </w:p>
        </w:tc>
        <w:tc>
          <w:tcPr>
            <w:tcW w:w="1559" w:type="dxa"/>
          </w:tcPr>
          <w:p w14:paraId="65EB5ED9"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44</w:t>
            </w:r>
          </w:p>
        </w:tc>
        <w:tc>
          <w:tcPr>
            <w:tcW w:w="2552" w:type="dxa"/>
          </w:tcPr>
          <w:p w14:paraId="11A2A545"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1.98</w:t>
            </w:r>
          </w:p>
        </w:tc>
        <w:tc>
          <w:tcPr>
            <w:tcW w:w="2498" w:type="dxa"/>
          </w:tcPr>
          <w:p w14:paraId="27AAF3E7"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Cs w:val="24"/>
              </w:rPr>
            </w:pPr>
            <w:r>
              <w:t>1.50</w:t>
            </w:r>
          </w:p>
        </w:tc>
      </w:tr>
      <w:tr w:rsidR="00534F6C" w:rsidRPr="00852CA8" w14:paraId="7ED7CEA6" w14:textId="77777777" w:rsidTr="00A2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1B9590" w:themeFill="accent3"/>
            <w:vAlign w:val="center"/>
          </w:tcPr>
          <w:p w14:paraId="2A707B2A" w14:textId="77777777" w:rsidR="00534F6C" w:rsidRPr="000F48FC" w:rsidRDefault="00534F6C" w:rsidP="00A24A1A">
            <w:pPr>
              <w:rPr>
                <w:rFonts w:ascii="Calibri" w:eastAsia="Calibri" w:hAnsi="Calibri" w:cs="Times New Roman"/>
                <w:szCs w:val="24"/>
              </w:rPr>
            </w:pPr>
            <w:r>
              <w:rPr>
                <w:color w:val="FFFFFF" w:themeColor="background1"/>
              </w:rPr>
              <w:t>2013/14</w:t>
            </w:r>
          </w:p>
        </w:tc>
        <w:tc>
          <w:tcPr>
            <w:tcW w:w="1134" w:type="dxa"/>
            <w:vAlign w:val="center"/>
          </w:tcPr>
          <w:p w14:paraId="3831C8A2"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62</w:t>
            </w:r>
          </w:p>
        </w:tc>
        <w:tc>
          <w:tcPr>
            <w:tcW w:w="1559" w:type="dxa"/>
          </w:tcPr>
          <w:p w14:paraId="68EAC88A"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66</w:t>
            </w:r>
          </w:p>
        </w:tc>
        <w:tc>
          <w:tcPr>
            <w:tcW w:w="2552" w:type="dxa"/>
          </w:tcPr>
          <w:p w14:paraId="121C403C"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1.40</w:t>
            </w:r>
          </w:p>
        </w:tc>
        <w:tc>
          <w:tcPr>
            <w:tcW w:w="2498" w:type="dxa"/>
          </w:tcPr>
          <w:p w14:paraId="60D8F910"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Cs w:val="24"/>
              </w:rPr>
            </w:pPr>
            <w:r>
              <w:t>0.67</w:t>
            </w:r>
          </w:p>
        </w:tc>
      </w:tr>
      <w:tr w:rsidR="00534F6C" w:rsidRPr="00852CA8" w14:paraId="1C2FA9AC" w14:textId="77777777" w:rsidTr="00A24A1A">
        <w:tc>
          <w:tcPr>
            <w:cnfStyle w:val="001000000000" w:firstRow="0" w:lastRow="0" w:firstColumn="1" w:lastColumn="0" w:oddVBand="0" w:evenVBand="0" w:oddHBand="0" w:evenHBand="0" w:firstRowFirstColumn="0" w:firstRowLastColumn="0" w:lastRowFirstColumn="0" w:lastRowLastColumn="0"/>
            <w:tcW w:w="1271" w:type="dxa"/>
            <w:shd w:val="clear" w:color="auto" w:fill="1B9590" w:themeFill="accent3"/>
            <w:vAlign w:val="center"/>
          </w:tcPr>
          <w:p w14:paraId="381FAF77" w14:textId="77777777" w:rsidR="00534F6C" w:rsidRPr="000F48FC" w:rsidRDefault="00534F6C" w:rsidP="00A24A1A">
            <w:pPr>
              <w:rPr>
                <w:rFonts w:ascii="Calibri" w:eastAsia="Calibri" w:hAnsi="Calibri" w:cs="Times New Roman"/>
                <w:szCs w:val="24"/>
              </w:rPr>
            </w:pPr>
            <w:r>
              <w:rPr>
                <w:color w:val="FFFFFF" w:themeColor="background1"/>
              </w:rPr>
              <w:t>2014/15</w:t>
            </w:r>
          </w:p>
        </w:tc>
        <w:tc>
          <w:tcPr>
            <w:tcW w:w="1134" w:type="dxa"/>
            <w:vAlign w:val="center"/>
          </w:tcPr>
          <w:p w14:paraId="329B3722"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33</w:t>
            </w:r>
          </w:p>
        </w:tc>
        <w:tc>
          <w:tcPr>
            <w:tcW w:w="1559" w:type="dxa"/>
          </w:tcPr>
          <w:p w14:paraId="079ED119"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51</w:t>
            </w:r>
          </w:p>
        </w:tc>
        <w:tc>
          <w:tcPr>
            <w:tcW w:w="2552" w:type="dxa"/>
          </w:tcPr>
          <w:p w14:paraId="72C852F8"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1.52</w:t>
            </w:r>
          </w:p>
        </w:tc>
        <w:tc>
          <w:tcPr>
            <w:tcW w:w="2498" w:type="dxa"/>
          </w:tcPr>
          <w:p w14:paraId="0A23D85A"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Cs w:val="24"/>
              </w:rPr>
            </w:pPr>
            <w:r>
              <w:t>1.25</w:t>
            </w:r>
          </w:p>
        </w:tc>
      </w:tr>
      <w:tr w:rsidR="00534F6C" w:rsidRPr="00852CA8" w14:paraId="34E587D6" w14:textId="77777777" w:rsidTr="00A2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1B9590" w:themeFill="accent3"/>
            <w:vAlign w:val="center"/>
          </w:tcPr>
          <w:p w14:paraId="6B8CEF11" w14:textId="77777777" w:rsidR="00534F6C" w:rsidRPr="000F48FC" w:rsidRDefault="00534F6C" w:rsidP="00A24A1A">
            <w:pPr>
              <w:rPr>
                <w:rFonts w:ascii="Calibri" w:eastAsia="Calibri" w:hAnsi="Calibri" w:cs="Times New Roman"/>
                <w:szCs w:val="24"/>
              </w:rPr>
            </w:pPr>
            <w:r w:rsidRPr="0041471F">
              <w:rPr>
                <w:color w:val="FFFFFF" w:themeColor="background1"/>
              </w:rPr>
              <w:t>2015/16</w:t>
            </w:r>
          </w:p>
        </w:tc>
        <w:tc>
          <w:tcPr>
            <w:tcW w:w="1134" w:type="dxa"/>
            <w:vAlign w:val="center"/>
          </w:tcPr>
          <w:p w14:paraId="18BC593D"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56</w:t>
            </w:r>
          </w:p>
        </w:tc>
        <w:tc>
          <w:tcPr>
            <w:tcW w:w="1559" w:type="dxa"/>
          </w:tcPr>
          <w:p w14:paraId="0CB82898"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40</w:t>
            </w:r>
          </w:p>
        </w:tc>
        <w:tc>
          <w:tcPr>
            <w:tcW w:w="2552" w:type="dxa"/>
          </w:tcPr>
          <w:p w14:paraId="0FFA01E0"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1.25</w:t>
            </w:r>
          </w:p>
        </w:tc>
        <w:tc>
          <w:tcPr>
            <w:tcW w:w="2498" w:type="dxa"/>
          </w:tcPr>
          <w:p w14:paraId="052699C3"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b/>
                <w:szCs w:val="24"/>
              </w:rPr>
            </w:pPr>
            <w:r>
              <w:t>0.67</w:t>
            </w:r>
          </w:p>
        </w:tc>
      </w:tr>
      <w:tr w:rsidR="00534F6C" w:rsidRPr="00852CA8" w14:paraId="5E70C698" w14:textId="77777777" w:rsidTr="00A24A1A">
        <w:tc>
          <w:tcPr>
            <w:cnfStyle w:val="001000000000" w:firstRow="0" w:lastRow="0" w:firstColumn="1" w:lastColumn="0" w:oddVBand="0" w:evenVBand="0" w:oddHBand="0" w:evenHBand="0" w:firstRowFirstColumn="0" w:firstRowLastColumn="0" w:lastRowFirstColumn="0" w:lastRowLastColumn="0"/>
            <w:tcW w:w="1271" w:type="dxa"/>
            <w:shd w:val="clear" w:color="auto" w:fill="1B9590" w:themeFill="accent3"/>
            <w:vAlign w:val="center"/>
          </w:tcPr>
          <w:p w14:paraId="6498E6D8" w14:textId="77777777" w:rsidR="00534F6C" w:rsidRPr="000F48FC" w:rsidRDefault="00534F6C" w:rsidP="00A24A1A">
            <w:pPr>
              <w:rPr>
                <w:rFonts w:ascii="Calibri" w:eastAsia="Calibri" w:hAnsi="Calibri" w:cs="Times New Roman"/>
                <w:szCs w:val="24"/>
              </w:rPr>
            </w:pPr>
            <w:r w:rsidRPr="0041471F">
              <w:rPr>
                <w:color w:val="FFFFFF" w:themeColor="background1"/>
              </w:rPr>
              <w:t>2016/17</w:t>
            </w:r>
          </w:p>
        </w:tc>
        <w:tc>
          <w:tcPr>
            <w:tcW w:w="1134" w:type="dxa"/>
            <w:vAlign w:val="center"/>
          </w:tcPr>
          <w:p w14:paraId="58DCDEF5"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37</w:t>
            </w:r>
          </w:p>
        </w:tc>
        <w:tc>
          <w:tcPr>
            <w:tcW w:w="1559" w:type="dxa"/>
            <w:vAlign w:val="center"/>
          </w:tcPr>
          <w:p w14:paraId="2C624BD3"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49</w:t>
            </w:r>
          </w:p>
        </w:tc>
        <w:tc>
          <w:tcPr>
            <w:tcW w:w="2552" w:type="dxa"/>
            <w:vAlign w:val="center"/>
          </w:tcPr>
          <w:p w14:paraId="5203A9EE"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2.11</w:t>
            </w:r>
          </w:p>
        </w:tc>
        <w:tc>
          <w:tcPr>
            <w:tcW w:w="2498" w:type="dxa"/>
          </w:tcPr>
          <w:p w14:paraId="719AE5DA"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b/>
                <w:szCs w:val="24"/>
              </w:rPr>
            </w:pPr>
            <w:r>
              <w:t>1.20</w:t>
            </w:r>
          </w:p>
        </w:tc>
      </w:tr>
      <w:tr w:rsidR="00534F6C" w:rsidRPr="00852CA8" w14:paraId="78530142" w14:textId="77777777" w:rsidTr="00A2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1B9590" w:themeFill="accent3"/>
            <w:vAlign w:val="center"/>
          </w:tcPr>
          <w:p w14:paraId="277F8C5D" w14:textId="77777777" w:rsidR="00534F6C" w:rsidRPr="000F48FC" w:rsidRDefault="00534F6C" w:rsidP="00A24A1A">
            <w:pPr>
              <w:rPr>
                <w:rFonts w:ascii="Calibri" w:eastAsia="Calibri" w:hAnsi="Calibri" w:cs="Times New Roman"/>
                <w:szCs w:val="24"/>
              </w:rPr>
            </w:pPr>
            <w:r w:rsidRPr="0041471F">
              <w:rPr>
                <w:color w:val="FFFFFF" w:themeColor="background1"/>
              </w:rPr>
              <w:lastRenderedPageBreak/>
              <w:t>2017/18</w:t>
            </w:r>
          </w:p>
        </w:tc>
        <w:tc>
          <w:tcPr>
            <w:tcW w:w="1134" w:type="dxa"/>
            <w:vAlign w:val="center"/>
          </w:tcPr>
          <w:p w14:paraId="633888C6"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50</w:t>
            </w:r>
          </w:p>
        </w:tc>
        <w:tc>
          <w:tcPr>
            <w:tcW w:w="1559" w:type="dxa"/>
            <w:vAlign w:val="center"/>
          </w:tcPr>
          <w:p w14:paraId="0AE40E97"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55</w:t>
            </w:r>
          </w:p>
        </w:tc>
        <w:tc>
          <w:tcPr>
            <w:tcW w:w="2552" w:type="dxa"/>
            <w:vAlign w:val="center"/>
          </w:tcPr>
          <w:p w14:paraId="6A107797"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1.79</w:t>
            </w:r>
          </w:p>
        </w:tc>
        <w:tc>
          <w:tcPr>
            <w:tcW w:w="2498" w:type="dxa"/>
          </w:tcPr>
          <w:p w14:paraId="14C8D9AA"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b/>
                <w:szCs w:val="24"/>
              </w:rPr>
            </w:pPr>
            <w:r>
              <w:t>1.21</w:t>
            </w:r>
          </w:p>
        </w:tc>
      </w:tr>
      <w:tr w:rsidR="00534F6C" w:rsidRPr="00852CA8" w14:paraId="1D7E1578" w14:textId="77777777" w:rsidTr="00A24A1A">
        <w:tc>
          <w:tcPr>
            <w:cnfStyle w:val="001000000000" w:firstRow="0" w:lastRow="0" w:firstColumn="1" w:lastColumn="0" w:oddVBand="0" w:evenVBand="0" w:oddHBand="0" w:evenHBand="0" w:firstRowFirstColumn="0" w:firstRowLastColumn="0" w:lastRowFirstColumn="0" w:lastRowLastColumn="0"/>
            <w:tcW w:w="1271" w:type="dxa"/>
            <w:shd w:val="clear" w:color="auto" w:fill="1B9590" w:themeFill="accent3"/>
            <w:vAlign w:val="center"/>
          </w:tcPr>
          <w:p w14:paraId="23642B27" w14:textId="77777777" w:rsidR="00534F6C" w:rsidRPr="000F48FC" w:rsidRDefault="00534F6C" w:rsidP="00A24A1A">
            <w:pPr>
              <w:rPr>
                <w:rFonts w:ascii="Calibri" w:eastAsia="Calibri" w:hAnsi="Calibri" w:cs="Times New Roman"/>
                <w:szCs w:val="24"/>
              </w:rPr>
            </w:pPr>
            <w:r w:rsidRPr="0041471F">
              <w:rPr>
                <w:color w:val="FFFFFF" w:themeColor="background1"/>
              </w:rPr>
              <w:t>2018/19</w:t>
            </w:r>
          </w:p>
        </w:tc>
        <w:tc>
          <w:tcPr>
            <w:tcW w:w="1134" w:type="dxa"/>
            <w:vAlign w:val="center"/>
          </w:tcPr>
          <w:p w14:paraId="54D8397B"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 xml:space="preserve">60 </w:t>
            </w:r>
          </w:p>
        </w:tc>
        <w:tc>
          <w:tcPr>
            <w:tcW w:w="1559" w:type="dxa"/>
            <w:vAlign w:val="center"/>
          </w:tcPr>
          <w:p w14:paraId="0621F403"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54</w:t>
            </w:r>
          </w:p>
        </w:tc>
        <w:tc>
          <w:tcPr>
            <w:tcW w:w="2552" w:type="dxa"/>
            <w:vAlign w:val="center"/>
          </w:tcPr>
          <w:p w14:paraId="5F9ABFC6"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1.70</w:t>
            </w:r>
          </w:p>
        </w:tc>
        <w:tc>
          <w:tcPr>
            <w:tcW w:w="2498" w:type="dxa"/>
          </w:tcPr>
          <w:p w14:paraId="4EBC00F8"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b/>
                <w:szCs w:val="24"/>
              </w:rPr>
            </w:pPr>
            <w:r>
              <w:t>1.19</w:t>
            </w:r>
          </w:p>
        </w:tc>
      </w:tr>
      <w:tr w:rsidR="00534F6C" w:rsidRPr="00852CA8" w14:paraId="4D031282" w14:textId="77777777" w:rsidTr="00A2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1B9590" w:themeFill="accent3"/>
            <w:vAlign w:val="center"/>
          </w:tcPr>
          <w:p w14:paraId="090A5B3D" w14:textId="77777777" w:rsidR="00534F6C" w:rsidRPr="000F48FC" w:rsidRDefault="00534F6C" w:rsidP="00A24A1A">
            <w:pPr>
              <w:rPr>
                <w:rFonts w:ascii="Calibri" w:eastAsia="Calibri" w:hAnsi="Calibri" w:cs="Times New Roman"/>
                <w:szCs w:val="24"/>
              </w:rPr>
            </w:pPr>
            <w:r>
              <w:rPr>
                <w:color w:val="FFFFFF" w:themeColor="background1"/>
              </w:rPr>
              <w:t>2019/20</w:t>
            </w:r>
          </w:p>
        </w:tc>
        <w:tc>
          <w:tcPr>
            <w:tcW w:w="1134" w:type="dxa"/>
            <w:vAlign w:val="center"/>
          </w:tcPr>
          <w:p w14:paraId="6D5AE0F0"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30</w:t>
            </w:r>
          </w:p>
        </w:tc>
        <w:tc>
          <w:tcPr>
            <w:tcW w:w="1559" w:type="dxa"/>
            <w:vAlign w:val="center"/>
          </w:tcPr>
          <w:p w14:paraId="527456B7"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 xml:space="preserve">39 </w:t>
            </w:r>
          </w:p>
        </w:tc>
        <w:tc>
          <w:tcPr>
            <w:tcW w:w="2552" w:type="dxa"/>
            <w:vAlign w:val="center"/>
          </w:tcPr>
          <w:p w14:paraId="542F8A50"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t>1.53</w:t>
            </w:r>
          </w:p>
        </w:tc>
        <w:tc>
          <w:tcPr>
            <w:tcW w:w="2498" w:type="dxa"/>
          </w:tcPr>
          <w:p w14:paraId="3EDA051D"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b/>
                <w:szCs w:val="24"/>
              </w:rPr>
            </w:pPr>
            <w:r>
              <w:t>1.03</w:t>
            </w:r>
          </w:p>
        </w:tc>
      </w:tr>
      <w:tr w:rsidR="00534F6C" w:rsidRPr="00852CA8" w14:paraId="5FA8CF9A" w14:textId="77777777" w:rsidTr="00A24A1A">
        <w:tc>
          <w:tcPr>
            <w:cnfStyle w:val="001000000000" w:firstRow="0" w:lastRow="0" w:firstColumn="1" w:lastColumn="0" w:oddVBand="0" w:evenVBand="0" w:oddHBand="0" w:evenHBand="0" w:firstRowFirstColumn="0" w:firstRowLastColumn="0" w:lastRowFirstColumn="0" w:lastRowLastColumn="0"/>
            <w:tcW w:w="1271" w:type="dxa"/>
            <w:shd w:val="clear" w:color="auto" w:fill="1B9590" w:themeFill="accent3"/>
            <w:vAlign w:val="center"/>
          </w:tcPr>
          <w:p w14:paraId="09E9F16D" w14:textId="77777777" w:rsidR="00534F6C" w:rsidRPr="000F48FC" w:rsidRDefault="00534F6C" w:rsidP="00A24A1A">
            <w:pPr>
              <w:rPr>
                <w:rFonts w:ascii="Calibri" w:eastAsia="Calibri" w:hAnsi="Calibri" w:cs="Times New Roman"/>
                <w:szCs w:val="24"/>
              </w:rPr>
            </w:pPr>
            <w:r>
              <w:rPr>
                <w:color w:val="FFFFFF" w:themeColor="background1"/>
              </w:rPr>
              <w:t>2020/21</w:t>
            </w:r>
            <w:r>
              <w:rPr>
                <w:rStyle w:val="FootnoteReference"/>
                <w:color w:val="FFFFFF" w:themeColor="background1"/>
              </w:rPr>
              <w:footnoteReference w:id="55"/>
            </w:r>
            <w:r>
              <w:rPr>
                <w:color w:val="FFFFFF" w:themeColor="background1"/>
              </w:rPr>
              <w:t xml:space="preserve"> </w:t>
            </w:r>
          </w:p>
        </w:tc>
        <w:tc>
          <w:tcPr>
            <w:tcW w:w="1134" w:type="dxa"/>
            <w:vAlign w:val="center"/>
          </w:tcPr>
          <w:p w14:paraId="6EDFA129"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28</w:t>
            </w:r>
          </w:p>
        </w:tc>
        <w:tc>
          <w:tcPr>
            <w:tcW w:w="1559" w:type="dxa"/>
            <w:vAlign w:val="center"/>
          </w:tcPr>
          <w:p w14:paraId="14369570"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28</w:t>
            </w:r>
          </w:p>
        </w:tc>
        <w:tc>
          <w:tcPr>
            <w:tcW w:w="2552" w:type="dxa"/>
            <w:vAlign w:val="center"/>
          </w:tcPr>
          <w:p w14:paraId="0D0FA0C3"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t>1.39</w:t>
            </w:r>
          </w:p>
        </w:tc>
        <w:tc>
          <w:tcPr>
            <w:tcW w:w="2498" w:type="dxa"/>
          </w:tcPr>
          <w:p w14:paraId="2B971FB9" w14:textId="77777777" w:rsidR="00534F6C" w:rsidRPr="000F48FC" w:rsidRDefault="00534F6C" w:rsidP="00A24A1A">
            <w:pPr>
              <w:cnfStyle w:val="000000000000" w:firstRow="0" w:lastRow="0" w:firstColumn="0" w:lastColumn="0" w:oddVBand="0" w:evenVBand="0" w:oddHBand="0" w:evenHBand="0" w:firstRowFirstColumn="0" w:firstRowLastColumn="0" w:lastRowFirstColumn="0" w:lastRowLastColumn="0"/>
              <w:rPr>
                <w:b/>
                <w:szCs w:val="24"/>
              </w:rPr>
            </w:pPr>
            <w:r>
              <w:t>1.25</w:t>
            </w:r>
          </w:p>
        </w:tc>
      </w:tr>
      <w:tr w:rsidR="00534F6C" w:rsidRPr="00852CA8" w14:paraId="790CD5C8" w14:textId="77777777" w:rsidTr="00A2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1B9590" w:themeFill="accent3"/>
            <w:vAlign w:val="center"/>
          </w:tcPr>
          <w:p w14:paraId="6A312727" w14:textId="77777777" w:rsidR="00534F6C" w:rsidRPr="000F48FC" w:rsidRDefault="00534F6C" w:rsidP="00A24A1A">
            <w:pPr>
              <w:rPr>
                <w:rFonts w:ascii="Calibri" w:eastAsia="Calibri" w:hAnsi="Calibri" w:cs="Times New Roman"/>
                <w:szCs w:val="24"/>
              </w:rPr>
            </w:pPr>
            <w:r w:rsidRPr="0041471F">
              <w:rPr>
                <w:color w:val="FFFFFF" w:themeColor="background1"/>
              </w:rPr>
              <w:t>TOTAL</w:t>
            </w:r>
          </w:p>
        </w:tc>
        <w:tc>
          <w:tcPr>
            <w:tcW w:w="1134" w:type="dxa"/>
            <w:shd w:val="clear" w:color="auto" w:fill="1B9590" w:themeFill="accent3"/>
            <w:vAlign w:val="center"/>
          </w:tcPr>
          <w:p w14:paraId="7AB7E5B2"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Pr>
                <w:b/>
                <w:color w:val="FFFFFF" w:themeColor="background1"/>
              </w:rPr>
              <w:t>463</w:t>
            </w:r>
          </w:p>
        </w:tc>
        <w:tc>
          <w:tcPr>
            <w:tcW w:w="1559" w:type="dxa"/>
            <w:shd w:val="clear" w:color="auto" w:fill="1B9590" w:themeFill="accent3"/>
            <w:vAlign w:val="center"/>
          </w:tcPr>
          <w:p w14:paraId="7BF3D865"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Pr>
                <w:b/>
                <w:color w:val="FFFFFF" w:themeColor="background1"/>
              </w:rPr>
              <w:t>467</w:t>
            </w:r>
          </w:p>
        </w:tc>
        <w:tc>
          <w:tcPr>
            <w:tcW w:w="2552" w:type="dxa"/>
            <w:shd w:val="clear" w:color="auto" w:fill="1B9590" w:themeFill="accent3"/>
            <w:vAlign w:val="center"/>
          </w:tcPr>
          <w:p w14:paraId="54C188E9"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Pr>
                <w:b/>
                <w:color w:val="FFFFFF" w:themeColor="background1"/>
              </w:rPr>
              <w:t>1.62</w:t>
            </w:r>
          </w:p>
        </w:tc>
        <w:tc>
          <w:tcPr>
            <w:tcW w:w="2498" w:type="dxa"/>
            <w:shd w:val="clear" w:color="auto" w:fill="1B9590" w:themeFill="accent3"/>
          </w:tcPr>
          <w:p w14:paraId="1FAE33FB" w14:textId="77777777" w:rsidR="00534F6C" w:rsidRPr="000F48FC" w:rsidRDefault="00534F6C" w:rsidP="00A24A1A">
            <w:pPr>
              <w:cnfStyle w:val="000000100000" w:firstRow="0" w:lastRow="0" w:firstColumn="0" w:lastColumn="0" w:oddVBand="0" w:evenVBand="0" w:oddHBand="1" w:evenHBand="0" w:firstRowFirstColumn="0" w:firstRowLastColumn="0" w:lastRowFirstColumn="0" w:lastRowLastColumn="0"/>
              <w:rPr>
                <w:b/>
                <w:szCs w:val="24"/>
              </w:rPr>
            </w:pPr>
            <w:r>
              <w:rPr>
                <w:b/>
                <w:color w:val="FFFFFF" w:themeColor="background1"/>
              </w:rPr>
              <w:t>1.06</w:t>
            </w:r>
          </w:p>
        </w:tc>
      </w:tr>
    </w:tbl>
    <w:p w14:paraId="7C72634C" w14:textId="77777777" w:rsidR="00534F6C" w:rsidRPr="002138B8" w:rsidRDefault="00534F6C" w:rsidP="00534F6C">
      <w:pPr>
        <w:rPr>
          <w:i/>
          <w:szCs w:val="24"/>
        </w:rPr>
      </w:pPr>
      <w:r>
        <w:rPr>
          <w:szCs w:val="24"/>
        </w:rPr>
        <w:t xml:space="preserve">Source: </w:t>
      </w:r>
      <w:r>
        <w:rPr>
          <w:i/>
          <w:szCs w:val="24"/>
        </w:rPr>
        <w:t>Federal Court of Australia (2021)</w:t>
      </w:r>
    </w:p>
    <w:p w14:paraId="12DFC882" w14:textId="13CF2043" w:rsidR="00534F6C" w:rsidRPr="00F7079B" w:rsidRDefault="00534F6C" w:rsidP="00534F6C">
      <w:r w:rsidRPr="59A10D1C">
        <w:t>The number of annual filings and finalisations has not increased in the years since the IP</w:t>
      </w:r>
      <w:r w:rsidR="008D6F20">
        <w:rPr>
          <w:szCs w:val="24"/>
        </w:rPr>
        <w:t> </w:t>
      </w:r>
      <w:r w:rsidRPr="59A10D1C">
        <w:t>Practice</w:t>
      </w:r>
      <w:r w:rsidR="008D6F20">
        <w:rPr>
          <w:szCs w:val="24"/>
        </w:rPr>
        <w:t> </w:t>
      </w:r>
      <w:r w:rsidRPr="59A10D1C">
        <w:t>Note was introduced. It is instructive to compare this to the significant increase in patent filings when reforms were introduced to the predecessor of the UK’s</w:t>
      </w:r>
      <w:r w:rsidR="008D6F20">
        <w:rPr>
          <w:szCs w:val="24"/>
        </w:rPr>
        <w:t> </w:t>
      </w:r>
      <w:r w:rsidRPr="59A10D1C">
        <w:t>IP</w:t>
      </w:r>
      <w:r w:rsidR="008D6F20">
        <w:rPr>
          <w:szCs w:val="24"/>
        </w:rPr>
        <w:t> </w:t>
      </w:r>
      <w:r w:rsidRPr="59A10D1C">
        <w:t>Enterprise</w:t>
      </w:r>
      <w:r w:rsidR="008D6F20">
        <w:rPr>
          <w:szCs w:val="24"/>
        </w:rPr>
        <w:t> </w:t>
      </w:r>
      <w:r w:rsidRPr="59A10D1C">
        <w:t>Court.</w:t>
      </w:r>
      <w:r w:rsidRPr="59A10D1C">
        <w:rPr>
          <w:rStyle w:val="FootnoteReference"/>
        </w:rPr>
        <w:footnoteReference w:id="56"/>
      </w:r>
      <w:r w:rsidRPr="59A10D1C">
        <w:t xml:space="preserve"> Since the </w:t>
      </w:r>
      <w:r w:rsidR="455F859D" w:rsidRPr="59A10D1C">
        <w:t xml:space="preserve">Australian </w:t>
      </w:r>
      <w:r w:rsidRPr="59A10D1C">
        <w:t xml:space="preserve">practice change in 2016 the average time to resolve a case went up, and then the mean has dropped year by year since the initial spike (just returning to the pre-2016 average) while the median has stayed flat. This means that immediately after the IP Practice Note was introduced, cases took longer to resolve on average. Since then the cases that used to go </w:t>
      </w:r>
      <w:r w:rsidR="00B62DCC" w:rsidRPr="59A10D1C">
        <w:t xml:space="preserve">for </w:t>
      </w:r>
      <w:r w:rsidRPr="59A10D1C">
        <w:t>really long periods are now being resolve</w:t>
      </w:r>
      <w:r w:rsidR="4B0992A6" w:rsidRPr="59A10D1C">
        <w:t>d</w:t>
      </w:r>
      <w:r w:rsidRPr="59A10D1C">
        <w:t xml:space="preserve"> a </w:t>
      </w:r>
      <w:r w:rsidR="481A190D" w:rsidRPr="59A10D1C">
        <w:t>little more quickly</w:t>
      </w:r>
      <w:r w:rsidRPr="59A10D1C">
        <w:t>, but the proportion of cases taking more than a year has not budged.</w:t>
      </w:r>
    </w:p>
    <w:p w14:paraId="4B78F6A1" w14:textId="5A22C1D1" w:rsidR="000112B8" w:rsidRPr="00F7079B" w:rsidRDefault="00F46924" w:rsidP="004B7B81">
      <w:pPr>
        <w:rPr>
          <w:szCs w:val="24"/>
        </w:rPr>
      </w:pPr>
      <w:r w:rsidRPr="00F7079B">
        <w:rPr>
          <w:szCs w:val="24"/>
        </w:rPr>
        <w:t>Unfortunately, the IP practice note does</w:t>
      </w:r>
      <w:r w:rsidR="005E3CFD" w:rsidRPr="00F7079B">
        <w:rPr>
          <w:szCs w:val="24"/>
        </w:rPr>
        <w:t xml:space="preserve"> not appear to have substantially reduced the costs of patent litigation or made it more meaningfully accessible to SMEs. </w:t>
      </w:r>
      <w:r w:rsidR="000112B8" w:rsidRPr="00F7079B">
        <w:rPr>
          <w:szCs w:val="24"/>
        </w:rPr>
        <w:t>E</w:t>
      </w:r>
      <w:r w:rsidR="005E3CFD" w:rsidRPr="00F7079B">
        <w:rPr>
          <w:szCs w:val="24"/>
        </w:rPr>
        <w:t>xperienced patent lawyers still give estimates for patent litigation that are as high (if not higher) than</w:t>
      </w:r>
      <w:r w:rsidR="007A152C" w:rsidRPr="00F7079B">
        <w:rPr>
          <w:szCs w:val="24"/>
        </w:rPr>
        <w:t xml:space="preserve"> </w:t>
      </w:r>
      <w:r w:rsidR="005E3CFD" w:rsidRPr="00F7079B">
        <w:rPr>
          <w:szCs w:val="24"/>
        </w:rPr>
        <w:t>the PC found in 2016</w:t>
      </w:r>
      <w:r w:rsidR="000112B8" w:rsidRPr="00F7079B">
        <w:rPr>
          <w:szCs w:val="24"/>
        </w:rPr>
        <w:t xml:space="preserve">. </w:t>
      </w:r>
      <w:r w:rsidR="007A152C" w:rsidRPr="00F7079B">
        <w:rPr>
          <w:szCs w:val="24"/>
        </w:rPr>
        <w:t xml:space="preserve">A recent </w:t>
      </w:r>
      <w:r w:rsidR="000112B8" w:rsidRPr="00F7079B">
        <w:rPr>
          <w:szCs w:val="24"/>
        </w:rPr>
        <w:t>source from June 2020 says that</w:t>
      </w:r>
      <w:r w:rsidR="005E3CFD" w:rsidRPr="00F7079B">
        <w:rPr>
          <w:szCs w:val="24"/>
        </w:rPr>
        <w:t xml:space="preserve"> costs ‘are likely to exceed’ half a million dollars,</w:t>
      </w:r>
      <w:r w:rsidR="005E3CFD" w:rsidRPr="00F7079B">
        <w:rPr>
          <w:rStyle w:val="FootnoteReference"/>
          <w:szCs w:val="24"/>
        </w:rPr>
        <w:footnoteReference w:id="57"/>
      </w:r>
      <w:r w:rsidR="005E3CFD" w:rsidRPr="00F7079B">
        <w:rPr>
          <w:szCs w:val="24"/>
        </w:rPr>
        <w:t xml:space="preserve"> </w:t>
      </w:r>
      <w:r w:rsidR="000112B8" w:rsidRPr="00F7079B">
        <w:rPr>
          <w:szCs w:val="24"/>
        </w:rPr>
        <w:t>while a 2021 guide gives</w:t>
      </w:r>
      <w:r w:rsidRPr="00F7079B">
        <w:rPr>
          <w:szCs w:val="24"/>
        </w:rPr>
        <w:t xml:space="preserve"> </w:t>
      </w:r>
      <w:r w:rsidR="000112B8" w:rsidRPr="00F7079B">
        <w:rPr>
          <w:szCs w:val="24"/>
        </w:rPr>
        <w:t>a</w:t>
      </w:r>
      <w:r w:rsidRPr="00F7079B">
        <w:rPr>
          <w:szCs w:val="24"/>
        </w:rPr>
        <w:t xml:space="preserve"> range between $600,000 and $2.5 million.</w:t>
      </w:r>
      <w:r w:rsidRPr="00F7079B">
        <w:rPr>
          <w:rStyle w:val="FootnoteReference"/>
          <w:szCs w:val="24"/>
        </w:rPr>
        <w:footnoteReference w:id="58"/>
      </w:r>
      <w:r w:rsidRPr="00F7079B">
        <w:rPr>
          <w:szCs w:val="24"/>
        </w:rPr>
        <w:t xml:space="preserve"> </w:t>
      </w:r>
    </w:p>
    <w:p w14:paraId="34DC3B8D" w14:textId="39298B41" w:rsidR="004B7B81" w:rsidRPr="00601004" w:rsidRDefault="00F46924" w:rsidP="004B7B81">
      <w:pPr>
        <w:rPr>
          <w:rFonts w:cs="Arial (Body CS)"/>
          <w:spacing w:val="-6"/>
          <w:szCs w:val="24"/>
        </w:rPr>
      </w:pPr>
      <w:r w:rsidRPr="00601004">
        <w:rPr>
          <w:rFonts w:cs="Arial (Body CS)"/>
          <w:spacing w:val="-6"/>
          <w:szCs w:val="24"/>
        </w:rPr>
        <w:t>Some l</w:t>
      </w:r>
      <w:r w:rsidR="000A77F2" w:rsidRPr="00601004">
        <w:rPr>
          <w:rFonts w:cs="Arial (Body CS)"/>
          <w:spacing w:val="-6"/>
          <w:szCs w:val="24"/>
        </w:rPr>
        <w:t>itigator</w:t>
      </w:r>
      <w:r w:rsidRPr="00601004">
        <w:rPr>
          <w:rFonts w:cs="Arial (Body CS)"/>
          <w:spacing w:val="-6"/>
          <w:szCs w:val="24"/>
        </w:rPr>
        <w:t xml:space="preserve">s we talked to recognised the changes in the Federal Court’s IP practice note, while still acknowledging that that more needed to be done to make </w:t>
      </w:r>
      <w:r w:rsidR="004B7B81" w:rsidRPr="00601004">
        <w:rPr>
          <w:rFonts w:cs="Arial (Body CS)"/>
          <w:spacing w:val="-6"/>
          <w:szCs w:val="24"/>
        </w:rPr>
        <w:t>the system accessible to SMEs:</w:t>
      </w:r>
    </w:p>
    <w:p w14:paraId="7FE554C7" w14:textId="79CEC7D2" w:rsidR="004B7B81" w:rsidRPr="00601004" w:rsidRDefault="004B7B81" w:rsidP="00601004">
      <w:pPr>
        <w:pStyle w:val="Quote"/>
        <w:jc w:val="left"/>
        <w:rPr>
          <w:color w:val="auto"/>
          <w:szCs w:val="28"/>
        </w:rPr>
      </w:pPr>
      <w:r w:rsidRPr="00601004">
        <w:rPr>
          <w:szCs w:val="28"/>
        </w:rPr>
        <w:lastRenderedPageBreak/>
        <w:t xml:space="preserve">In relation to streamlining the process in Australia, obviously the federal court judges who hear IP matters, and patent matters in particular, have been interested in trying to arrive at case management techniques that are designed to make cases run faster and to reduce the number of issues that need to go to trial </w:t>
      </w:r>
      <w:r w:rsidRPr="00601004" w:rsidDel="00587C78">
        <w:rPr>
          <w:szCs w:val="28"/>
        </w:rPr>
        <w:t xml:space="preserve">– </w:t>
      </w:r>
      <w:r w:rsidRPr="00601004">
        <w:rPr>
          <w:szCs w:val="28"/>
        </w:rPr>
        <w:t>with greater or lesser success. … But there are nonetheless constraints. Particularly amongst the matters that are the bread and butter of the Federal Court, because very often they tend to be matters that are hard fought between large organisations that are also fighting this battle on corresponding patents in other jurisdictions as well. The instructions to the lawyers are to take all reasonable points. And the system has to be geared to enable that to occur. And it’s very hard to fit a small and streamlined case into this system that also has to be engineered to deal with the biggest of the cases.</w:t>
      </w:r>
      <w:r w:rsidRPr="00601004">
        <w:rPr>
          <w:i w:val="0"/>
          <w:color w:val="auto"/>
          <w:szCs w:val="28"/>
        </w:rPr>
        <w:t xml:space="preserve"> </w:t>
      </w:r>
    </w:p>
    <w:p w14:paraId="1BF25E37" w14:textId="56092255" w:rsidR="004B7B81" w:rsidRPr="00601004" w:rsidRDefault="004B7B81" w:rsidP="00601004">
      <w:pPr>
        <w:pStyle w:val="Quote"/>
        <w:jc w:val="left"/>
      </w:pPr>
      <w:r w:rsidRPr="00601004">
        <w:t>I totally agree that we need an alternative or parallel or some other jurisdiction or mechanism for determining probably what is the majority of disputes in relation to patents</w:t>
      </w:r>
      <w:r w:rsidRPr="00601004" w:rsidDel="00FE210C">
        <w:t xml:space="preserve"> </w:t>
      </w:r>
      <w:r w:rsidR="00BC3F9C">
        <w:t>–</w:t>
      </w:r>
      <w:r w:rsidR="00587C78" w:rsidRPr="00601004">
        <w:t xml:space="preserve"> </w:t>
      </w:r>
      <w:r w:rsidRPr="00601004">
        <w:t xml:space="preserve">which are not that complex. … even in the Federal Court we’re working </w:t>
      </w:r>
      <w:r w:rsidRPr="00601004" w:rsidDel="00587C78">
        <w:t xml:space="preserve">– </w:t>
      </w:r>
      <w:r w:rsidRPr="00601004">
        <w:t xml:space="preserve">including with the judges </w:t>
      </w:r>
      <w:r w:rsidRPr="00601004" w:rsidDel="00587C78">
        <w:t xml:space="preserve">– </w:t>
      </w:r>
      <w:r w:rsidRPr="00601004">
        <w:t>to try and streamline those. But still that type of litigation, no matter how streamlined, is still going to be out of reach of most small businesses. So we ha</w:t>
      </w:r>
      <w:r w:rsidR="000112B8" w:rsidRPr="00601004">
        <w:t>ve to be able to cater for them</w:t>
      </w:r>
      <w:r w:rsidRPr="00601004">
        <w:t xml:space="preserve">. </w:t>
      </w:r>
    </w:p>
    <w:p w14:paraId="06648493" w14:textId="6DA14F51" w:rsidR="00C80E7B" w:rsidRPr="00F7079B" w:rsidRDefault="00F46924" w:rsidP="5C780CF7">
      <w:pPr>
        <w:rPr>
          <w:szCs w:val="24"/>
        </w:rPr>
      </w:pPr>
      <w:r w:rsidRPr="00F7079B">
        <w:rPr>
          <w:szCs w:val="24"/>
        </w:rPr>
        <w:t>It is not surprising that the SMEs we spoke to still fear that they will be unable to afford to enforce their patents</w:t>
      </w:r>
      <w:r w:rsidR="000112B8" w:rsidRPr="00F7079B">
        <w:rPr>
          <w:szCs w:val="24"/>
        </w:rPr>
        <w:t>, despite the changes to the Federal Court’s practice note</w:t>
      </w:r>
      <w:r w:rsidRPr="00F7079B">
        <w:rPr>
          <w:szCs w:val="24"/>
        </w:rPr>
        <w:t xml:space="preserve">. </w:t>
      </w:r>
      <w:r w:rsidR="004B7B81" w:rsidRPr="00F7079B">
        <w:rPr>
          <w:szCs w:val="24"/>
        </w:rPr>
        <w:t>More needs to be done if they are to effectively enforce their patents.</w:t>
      </w:r>
      <w:r w:rsidR="3FF46587" w:rsidRPr="00F7079B">
        <w:rPr>
          <w:szCs w:val="24"/>
        </w:rPr>
        <w:t xml:space="preserve"> </w:t>
      </w:r>
    </w:p>
    <w:p w14:paraId="281B01E6" w14:textId="2E2A5AB7" w:rsidR="00C80E7B" w:rsidRDefault="3FF46587" w:rsidP="005E3CFD">
      <w:pPr>
        <w:rPr>
          <w:szCs w:val="24"/>
        </w:rPr>
      </w:pPr>
      <w:r w:rsidRPr="00F7079B">
        <w:rPr>
          <w:szCs w:val="24"/>
        </w:rPr>
        <w:t>It should be noted that</w:t>
      </w:r>
      <w:r w:rsidR="00A64FFF" w:rsidRPr="00F7079B">
        <w:rPr>
          <w:szCs w:val="24"/>
        </w:rPr>
        <w:t>,</w:t>
      </w:r>
      <w:r w:rsidRPr="00F7079B">
        <w:rPr>
          <w:szCs w:val="24"/>
        </w:rPr>
        <w:t xml:space="preserve"> in the course of this review</w:t>
      </w:r>
      <w:r w:rsidR="00A64FFF" w:rsidRPr="00F7079B">
        <w:rPr>
          <w:szCs w:val="24"/>
        </w:rPr>
        <w:t>,</w:t>
      </w:r>
      <w:r w:rsidRPr="00F7079B">
        <w:rPr>
          <w:szCs w:val="24"/>
        </w:rPr>
        <w:t xml:space="preserve"> we did consult a number of judges and former judges in the IP area</w:t>
      </w:r>
      <w:r w:rsidR="1E53DD54" w:rsidRPr="00F7079B">
        <w:rPr>
          <w:szCs w:val="24"/>
        </w:rPr>
        <w:t xml:space="preserve"> and as a result gained a much better understanding of the issues</w:t>
      </w:r>
      <w:r w:rsidR="00A64FFF" w:rsidRPr="00F7079B">
        <w:rPr>
          <w:szCs w:val="24"/>
        </w:rPr>
        <w:t xml:space="preserve"> </w:t>
      </w:r>
      <w:r w:rsidR="00A64FFF" w:rsidRPr="00F7079B" w:rsidDel="00587C78">
        <w:rPr>
          <w:szCs w:val="24"/>
        </w:rPr>
        <w:t xml:space="preserve">– </w:t>
      </w:r>
      <w:r w:rsidR="1E53DD54" w:rsidRPr="00F7079B">
        <w:rPr>
          <w:szCs w:val="24"/>
        </w:rPr>
        <w:t>though it should be noted that they are no</w:t>
      </w:r>
      <w:r w:rsidR="218E4513" w:rsidRPr="00F7079B">
        <w:rPr>
          <w:szCs w:val="24"/>
        </w:rPr>
        <w:t>t ultimately responsible for the suggestions made here.</w:t>
      </w:r>
    </w:p>
    <w:p w14:paraId="04B8042B" w14:textId="67477FBD" w:rsidR="001C7940" w:rsidRDefault="001C7940" w:rsidP="001C7940">
      <w:pPr>
        <w:pStyle w:val="Heading2"/>
      </w:pPr>
      <w:r>
        <w:t>(i) The courts</w:t>
      </w:r>
    </w:p>
    <w:p w14:paraId="22849594" w14:textId="77777777" w:rsidR="001C7940" w:rsidRPr="0053235B" w:rsidRDefault="001C7940" w:rsidP="001C7940">
      <w:pPr>
        <w:rPr>
          <w:rFonts w:cs="Arial (Body CS)"/>
          <w:spacing w:val="-2"/>
          <w:szCs w:val="24"/>
        </w:rPr>
      </w:pPr>
      <w:r w:rsidRPr="0053235B">
        <w:rPr>
          <w:rFonts w:cs="Arial (Body CS)"/>
          <w:spacing w:val="-2"/>
          <w:szCs w:val="24"/>
        </w:rPr>
        <w:t xml:space="preserve">The UK Intellectual Property Enterprise Court (IPEC) was founded under another name in 1990, under the law of England and Wales, in order to provide an accelerated and less costly hearing for intellectual property (IP) disputes. It has undergone several changes and a </w:t>
      </w:r>
      <w:r w:rsidRPr="0053235B">
        <w:rPr>
          <w:rFonts w:cs="Arial (Body CS)"/>
          <w:spacing w:val="-2"/>
          <w:szCs w:val="24"/>
        </w:rPr>
        <w:lastRenderedPageBreak/>
        <w:t>significant review: in 2010 procedural rules were introduced involving more streamlined time frames and caps on fees. In 2013 the original Patent County Court (PCC) became known as the IPEC, and it became part of the High Court. Cases are often transferred from the IPEC to the High Court and vice versa. It was reviewed in 2015, and an analysis of the success of the court has been given by Justice Colin Birss, in a lecture cited in the bibliography.</w:t>
      </w:r>
    </w:p>
    <w:p w14:paraId="536B0BD5" w14:textId="77777777" w:rsidR="001C7940" w:rsidRPr="00F7079B" w:rsidRDefault="001C7940" w:rsidP="001C7940">
      <w:pPr>
        <w:rPr>
          <w:szCs w:val="24"/>
        </w:rPr>
      </w:pPr>
      <w:r w:rsidRPr="00F7079B">
        <w:rPr>
          <w:szCs w:val="24"/>
        </w:rPr>
        <w:t xml:space="preserve">The IPEC is generally regarded as a success, and its name tells the story: the expedited and low-cost litigation offered by the court, including its small claims track, is seen as integral to the enterprise culture of Britain. </w:t>
      </w:r>
    </w:p>
    <w:p w14:paraId="4CB1C5A4" w14:textId="235091C3" w:rsidR="001C7940" w:rsidRPr="0053235B" w:rsidRDefault="001C7940" w:rsidP="001C7940">
      <w:pPr>
        <w:spacing w:after="0" w:line="240" w:lineRule="auto"/>
        <w:rPr>
          <w:rFonts w:cs="Arial (Body CS)"/>
          <w:spacing w:val="-4"/>
        </w:rPr>
      </w:pPr>
      <w:r w:rsidRPr="6B748703">
        <w:rPr>
          <w:rFonts w:cs="Arial (Body CS)"/>
          <w:spacing w:val="-4"/>
        </w:rPr>
        <w:t>Patent litigation in Australia is expensive. At the time of the PC inquiry in 2016, estimates of the minimum cost of a simple patent case were in the $200,000 to $500,000 range,</w:t>
      </w:r>
      <w:r w:rsidRPr="72EB7D45">
        <w:rPr>
          <w:rStyle w:val="FootnoteReference"/>
          <w:rFonts w:cs="Arial (Body CS)"/>
        </w:rPr>
        <w:footnoteReference w:id="59"/>
      </w:r>
      <w:r w:rsidRPr="6B748703">
        <w:rPr>
          <w:rFonts w:cs="Arial (Body CS)"/>
          <w:spacing w:val="-4"/>
        </w:rPr>
        <w:t xml:space="preserve"> whilst estimates of more complex cases can exceed $1,000,000.</w:t>
      </w:r>
      <w:r w:rsidRPr="6B748703">
        <w:rPr>
          <w:rStyle w:val="FootnoteReference"/>
          <w:rFonts w:cs="Arial (Body CS)"/>
          <w:spacing w:val="-4"/>
        </w:rPr>
        <w:footnoteReference w:id="60"/>
      </w:r>
      <w:r w:rsidRPr="6B748703">
        <w:rPr>
          <w:rFonts w:cs="Arial (Body CS)"/>
          <w:spacing w:val="-4"/>
        </w:rPr>
        <w:t xml:space="preserve"> Litigation costs have not decreased in the years since the PC’s review. One recent source from June 2020 says that costs ‘are likely to exceed’ half a million dollars,</w:t>
      </w:r>
      <w:r w:rsidRPr="6B748703">
        <w:rPr>
          <w:rStyle w:val="FootnoteReference"/>
          <w:rFonts w:cs="Arial (Body CS)"/>
          <w:spacing w:val="-4"/>
        </w:rPr>
        <w:footnoteReference w:id="61"/>
      </w:r>
      <w:r w:rsidRPr="6B748703">
        <w:rPr>
          <w:rFonts w:cs="Arial (Body CS)"/>
          <w:spacing w:val="-4"/>
        </w:rPr>
        <w:t xml:space="preserve"> while a 2021 guide gives a range between $600,000 and $2.5</w:t>
      </w:r>
      <w:r w:rsidR="008D6F20" w:rsidRPr="6B748703">
        <w:rPr>
          <w:rFonts w:cs="Arial (Body CS)"/>
        </w:rPr>
        <w:t> </w:t>
      </w:r>
      <w:r w:rsidRPr="6B748703">
        <w:rPr>
          <w:rFonts w:cs="Arial (Body CS)"/>
          <w:spacing w:val="-4"/>
        </w:rPr>
        <w:t>million.</w:t>
      </w:r>
      <w:r w:rsidRPr="6B748703">
        <w:rPr>
          <w:rStyle w:val="FootnoteReference"/>
          <w:rFonts w:cs="Arial (Body CS)"/>
          <w:spacing w:val="-4"/>
        </w:rPr>
        <w:footnoteReference w:id="62"/>
      </w:r>
      <w:r w:rsidRPr="6B748703">
        <w:rPr>
          <w:rFonts w:ascii="Times New Roman" w:hAnsi="Times New Roman" w:cs="Arial (Body CS)"/>
          <w:spacing w:val="-4"/>
          <w:lang w:eastAsia="en-AU"/>
        </w:rPr>
        <w:t xml:space="preserve"> </w:t>
      </w:r>
      <w:r w:rsidRPr="6B748703">
        <w:rPr>
          <w:rFonts w:cs="Arial (Body CS)"/>
          <w:spacing w:val="-4"/>
        </w:rPr>
        <w:t xml:space="preserve">These costs comprise Court fees, professional services fees and other disbursements. </w:t>
      </w:r>
    </w:p>
    <w:p w14:paraId="5AF8078F" w14:textId="3FAD288C" w:rsidR="001C7940" w:rsidRPr="0053235B" w:rsidRDefault="001C7940" w:rsidP="001C7940">
      <w:pPr>
        <w:rPr>
          <w:rFonts w:cs="Arial (Body CS)"/>
          <w:spacing w:val="-4"/>
          <w:szCs w:val="24"/>
        </w:rPr>
      </w:pPr>
      <w:r w:rsidRPr="0053235B">
        <w:rPr>
          <w:rFonts w:cs="Arial (Body CS)"/>
          <w:spacing w:val="-4"/>
          <w:szCs w:val="24"/>
        </w:rPr>
        <w:t xml:space="preserve">If we are serious about placing IP rights at the heart of our own enterprise culture, we will seek a quicker and cheaper way of solving IP </w:t>
      </w:r>
      <w:r>
        <w:rPr>
          <w:rFonts w:cs="Arial (Body CS)"/>
          <w:spacing w:val="-4"/>
          <w:szCs w:val="24"/>
        </w:rPr>
        <w:t>disputes</w:t>
      </w:r>
      <w:r w:rsidRPr="0053235B">
        <w:rPr>
          <w:rFonts w:cs="Arial (Body CS)"/>
          <w:spacing w:val="-4"/>
          <w:szCs w:val="24"/>
        </w:rPr>
        <w:t>, in particular for the SME community. IP rights are potential rights, which have to be established by administrative procedures, and it is not appropriate for the procedures to be allowed to become insurmountable.</w:t>
      </w:r>
    </w:p>
    <w:p w14:paraId="7846D0C3" w14:textId="77777777" w:rsidR="001C7940" w:rsidRPr="00F7079B" w:rsidRDefault="001C7940" w:rsidP="001C7940">
      <w:pPr>
        <w:rPr>
          <w:szCs w:val="24"/>
        </w:rPr>
      </w:pPr>
      <w:r w:rsidRPr="00F7079B">
        <w:rPr>
          <w:szCs w:val="24"/>
        </w:rPr>
        <w:t xml:space="preserve">A detailed description of the operation of the IPEC may be found in </w:t>
      </w:r>
      <w:r w:rsidRPr="00F7079B">
        <w:rPr>
          <w:b/>
          <w:szCs w:val="24"/>
        </w:rPr>
        <w:t>Appendix E</w:t>
      </w:r>
      <w:r w:rsidRPr="00F7079B">
        <w:rPr>
          <w:szCs w:val="24"/>
        </w:rPr>
        <w:t>. In broad terms the court operates along the following lines, which could be broadly replicated in an Australian court:</w:t>
      </w:r>
    </w:p>
    <w:p w14:paraId="4FC3C48C" w14:textId="77777777" w:rsidR="001C7940" w:rsidRPr="00F7079B" w:rsidRDefault="001C7940" w:rsidP="001C7940">
      <w:pPr>
        <w:pStyle w:val="ListParagraph"/>
        <w:numPr>
          <w:ilvl w:val="0"/>
          <w:numId w:val="29"/>
        </w:numPr>
        <w:spacing w:after="0"/>
        <w:rPr>
          <w:rFonts w:eastAsiaTheme="minorEastAsia"/>
          <w:szCs w:val="24"/>
        </w:rPr>
      </w:pPr>
      <w:r w:rsidRPr="00F7079B">
        <w:rPr>
          <w:szCs w:val="24"/>
        </w:rPr>
        <w:t>All IP cases, including patents, may be heard.</w:t>
      </w:r>
    </w:p>
    <w:p w14:paraId="24580481" w14:textId="77777777" w:rsidR="001C7940" w:rsidRPr="00F7079B" w:rsidRDefault="001C7940" w:rsidP="001C7940">
      <w:pPr>
        <w:pStyle w:val="ListParagraph"/>
        <w:numPr>
          <w:ilvl w:val="0"/>
          <w:numId w:val="29"/>
        </w:numPr>
        <w:spacing w:before="0" w:after="0"/>
        <w:rPr>
          <w:szCs w:val="24"/>
        </w:rPr>
      </w:pPr>
      <w:r w:rsidRPr="00F7079B">
        <w:rPr>
          <w:szCs w:val="24"/>
        </w:rPr>
        <w:t>There is a two-track system, one involving small claims (including other matters involving trade marks or designs for example) and the other, the multitrack system, is for more complicated matters such as patent issues.</w:t>
      </w:r>
    </w:p>
    <w:p w14:paraId="5FB193F1" w14:textId="77777777" w:rsidR="001C7940" w:rsidRPr="00F7079B" w:rsidRDefault="001C7940" w:rsidP="001C7940">
      <w:pPr>
        <w:pStyle w:val="ListParagraph"/>
        <w:numPr>
          <w:ilvl w:val="0"/>
          <w:numId w:val="29"/>
        </w:numPr>
        <w:spacing w:before="0" w:after="0"/>
        <w:rPr>
          <w:szCs w:val="24"/>
        </w:rPr>
      </w:pPr>
      <w:r w:rsidRPr="00F7079B">
        <w:rPr>
          <w:szCs w:val="24"/>
        </w:rPr>
        <w:t>The emphasis is on speedy resolution, but this requires substantial preparation in advance of the hearing, referred to as ‘active case management’ (ACM). Trials usually last no more than two, or three days at the most.</w:t>
      </w:r>
    </w:p>
    <w:p w14:paraId="3A855E8A" w14:textId="77777777" w:rsidR="001C7940" w:rsidRPr="00F7079B" w:rsidRDefault="001C7940" w:rsidP="001C7940">
      <w:pPr>
        <w:pStyle w:val="ListParagraph"/>
        <w:numPr>
          <w:ilvl w:val="0"/>
          <w:numId w:val="29"/>
        </w:numPr>
        <w:spacing w:before="0" w:after="0"/>
        <w:rPr>
          <w:szCs w:val="24"/>
        </w:rPr>
      </w:pPr>
      <w:r w:rsidRPr="00F7079B">
        <w:rPr>
          <w:szCs w:val="24"/>
        </w:rPr>
        <w:lastRenderedPageBreak/>
        <w:t>Court fees are low, matching the extent of the claim. For example the fee for a simple injunction is £528.</w:t>
      </w:r>
    </w:p>
    <w:p w14:paraId="2988B3BE" w14:textId="77777777" w:rsidR="001C7940" w:rsidRPr="00F7079B" w:rsidRDefault="001C7940" w:rsidP="001C7940">
      <w:pPr>
        <w:pStyle w:val="ListParagraph"/>
        <w:numPr>
          <w:ilvl w:val="0"/>
          <w:numId w:val="29"/>
        </w:numPr>
        <w:spacing w:before="0" w:after="0"/>
        <w:rPr>
          <w:szCs w:val="24"/>
        </w:rPr>
      </w:pPr>
      <w:r w:rsidRPr="00F7079B">
        <w:rPr>
          <w:szCs w:val="24"/>
        </w:rPr>
        <w:t>Remedies available are similar to those available in the High Court.</w:t>
      </w:r>
    </w:p>
    <w:p w14:paraId="7C64512B" w14:textId="77777777" w:rsidR="001C7940" w:rsidRPr="00F7079B" w:rsidRDefault="001C7940" w:rsidP="001C7940">
      <w:pPr>
        <w:pStyle w:val="ListParagraph"/>
        <w:numPr>
          <w:ilvl w:val="0"/>
          <w:numId w:val="29"/>
        </w:numPr>
        <w:spacing w:before="0" w:after="0"/>
        <w:rPr>
          <w:szCs w:val="24"/>
        </w:rPr>
      </w:pPr>
      <w:r w:rsidRPr="00F7079B">
        <w:rPr>
          <w:szCs w:val="24"/>
        </w:rPr>
        <w:t>Parties may self-represent, but are usually represented by a barrister or solicitor and, importantly, they may be represented by a patent attorney, or a trade mark attorney, which would be a useful innovation for us.</w:t>
      </w:r>
    </w:p>
    <w:p w14:paraId="2F8AD3F6" w14:textId="77777777" w:rsidR="001C7940" w:rsidRPr="00F7079B" w:rsidRDefault="001C7940" w:rsidP="001C7940">
      <w:pPr>
        <w:pStyle w:val="ListParagraph"/>
        <w:numPr>
          <w:ilvl w:val="0"/>
          <w:numId w:val="29"/>
        </w:numPr>
        <w:spacing w:before="0" w:after="360"/>
        <w:rPr>
          <w:szCs w:val="24"/>
        </w:rPr>
      </w:pPr>
      <w:r w:rsidRPr="00F7079B">
        <w:rPr>
          <w:szCs w:val="24"/>
        </w:rPr>
        <w:t>There is a cap on damages (£500,000) along with the caps on costs that can be awarded against a party (£50,000).</w:t>
      </w:r>
    </w:p>
    <w:p w14:paraId="7BF24939" w14:textId="77777777" w:rsidR="001C7940" w:rsidRPr="00F7079B" w:rsidRDefault="001C7940" w:rsidP="001C7940">
      <w:pPr>
        <w:rPr>
          <w:szCs w:val="24"/>
        </w:rPr>
      </w:pPr>
      <w:r w:rsidRPr="00F7079B">
        <w:rPr>
          <w:szCs w:val="24"/>
        </w:rPr>
        <w:t xml:space="preserve">Further information is given in </w:t>
      </w:r>
      <w:r w:rsidRPr="00F7079B">
        <w:rPr>
          <w:b/>
          <w:szCs w:val="24"/>
        </w:rPr>
        <w:t>Appendix E</w:t>
      </w:r>
      <w:r w:rsidRPr="00F7079B">
        <w:rPr>
          <w:szCs w:val="24"/>
        </w:rPr>
        <w:t xml:space="preserve"> about the great increase in the number of litigants since the reforms. From 2007 to 2010 (largely prior to the reforms) the average annual patent case count was 6.5. Between 2011 and 2013 the average annual patent case count increased to 23.3.</w:t>
      </w:r>
      <w:r w:rsidRPr="00F7079B">
        <w:rPr>
          <w:rStyle w:val="FootnoteReference"/>
          <w:szCs w:val="24"/>
        </w:rPr>
        <w:footnoteReference w:id="63"/>
      </w:r>
      <w:r w:rsidRPr="00F7079B">
        <w:rPr>
          <w:szCs w:val="24"/>
        </w:rPr>
        <w:t xml:space="preserve"> It is noteworthy that this is regarded as one of the successes of the IPEC, and while ‘the man in the street’ might be appalled at the idea of more litigation, the increased number of users means that the IP system is being seen as more accessible and user-friendly. This is the kind of outcome we want for Australia: people coming into the patent system because they are no longer intimidated by it.</w:t>
      </w:r>
    </w:p>
    <w:p w14:paraId="18D8C24F" w14:textId="7F56B334" w:rsidR="006B70F2" w:rsidRDefault="001C7940" w:rsidP="00B1097E">
      <w:pPr>
        <w:rPr>
          <w:szCs w:val="24"/>
        </w:rPr>
      </w:pPr>
      <w:r w:rsidRPr="00F7079B">
        <w:rPr>
          <w:szCs w:val="24"/>
        </w:rPr>
        <w:t xml:space="preserve">It is noted that decisions arising from such a court </w:t>
      </w:r>
      <w:r w:rsidRPr="00F7079B" w:rsidDel="00587C78">
        <w:rPr>
          <w:szCs w:val="24"/>
        </w:rPr>
        <w:t xml:space="preserve">– </w:t>
      </w:r>
      <w:r w:rsidRPr="00F7079B">
        <w:rPr>
          <w:szCs w:val="24"/>
        </w:rPr>
        <w:t xml:space="preserve">were a broadly similar structure to be introduced into the Federal Court of Australia (FCA) </w:t>
      </w:r>
      <w:r w:rsidRPr="00F7079B" w:rsidDel="00587C78">
        <w:rPr>
          <w:szCs w:val="24"/>
        </w:rPr>
        <w:t xml:space="preserve">– </w:t>
      </w:r>
      <w:r w:rsidRPr="00F7079B">
        <w:rPr>
          <w:szCs w:val="24"/>
        </w:rPr>
        <w:t xml:space="preserve">would be subject to appeal, and more complicated and expensive litigation could still be undertaken through the existing Court process if necessary. But trouble-free alternatives which are quick and inexpensive must be set up for those who want a simple process of clarification. </w:t>
      </w:r>
    </w:p>
    <w:p w14:paraId="18F00D24" w14:textId="1BA7A7A2" w:rsidR="001C7940" w:rsidRPr="00F7079B" w:rsidRDefault="006B70F2" w:rsidP="001C7940">
      <w:pPr>
        <w:spacing w:after="480"/>
        <w:rPr>
          <w:szCs w:val="24"/>
        </w:rPr>
      </w:pPr>
      <w:r>
        <w:rPr>
          <w:rFonts w:ascii="Calibri" w:eastAsia="Calibri" w:hAnsi="Calibri" w:cs="Arial"/>
          <w:szCs w:val="24"/>
        </w:rPr>
        <w:t>The Federal Court has substantial expertise that allows it to produce respected judgments in more complex patent cases. There is the opportunity to enlist the Federal Court’s expertise in patent cases to provide an additional stream for smaller businesses to have their patent disputes resolved at a reasonable cost. The exact name for this stream – whether it is called a ‘list’, a ‘fast-track’ or some other name – is less important than that it should be available and be known to be available. Knowing that such a stream is there if they need it will give small business more confidence to use the patent system to protect their innovations.</w:t>
      </w:r>
    </w:p>
    <w:p w14:paraId="16704F9E" w14:textId="77777777" w:rsidR="00F02BFF" w:rsidRDefault="00F02BFF">
      <w:pPr>
        <w:spacing w:before="0" w:after="160"/>
        <w:rPr>
          <w:b/>
          <w:color w:val="146F6B" w:themeColor="accent3" w:themeShade="BF"/>
          <w:sz w:val="28"/>
        </w:rPr>
      </w:pPr>
      <w:r>
        <w:rPr>
          <w:sz w:val="28"/>
        </w:rPr>
        <w:br w:type="page"/>
      </w:r>
    </w:p>
    <w:p w14:paraId="4C34D440" w14:textId="39F566AA" w:rsidR="001C7940" w:rsidRPr="009740B6" w:rsidRDefault="001C7940" w:rsidP="001C7940">
      <w:pPr>
        <w:pStyle w:val="Calloutbox"/>
        <w:rPr>
          <w:sz w:val="28"/>
        </w:rPr>
      </w:pPr>
      <w:r w:rsidRPr="009740B6">
        <w:rPr>
          <w:sz w:val="28"/>
        </w:rPr>
        <w:lastRenderedPageBreak/>
        <w:t xml:space="preserve">Recommendation </w:t>
      </w:r>
      <w:r>
        <w:rPr>
          <w:sz w:val="28"/>
        </w:rPr>
        <w:t>9</w:t>
      </w:r>
      <w:r w:rsidRPr="009740B6">
        <w:rPr>
          <w:sz w:val="28"/>
        </w:rPr>
        <w:t>:</w:t>
      </w:r>
    </w:p>
    <w:p w14:paraId="21BF819B" w14:textId="76115AD1" w:rsidR="001C7940" w:rsidRPr="00585B6B" w:rsidRDefault="001C7940" w:rsidP="001C7940">
      <w:pPr>
        <w:pStyle w:val="Calloutbox"/>
        <w:rPr>
          <w:sz w:val="28"/>
        </w:rPr>
      </w:pPr>
      <w:r w:rsidRPr="009740B6">
        <w:rPr>
          <w:b w:val="0"/>
          <w:bCs/>
          <w:color w:val="000000" w:themeColor="text1"/>
          <w:sz w:val="28"/>
        </w:rPr>
        <w:t xml:space="preserve">That the intellectual property practice of the Federal Court of Australia be </w:t>
      </w:r>
      <w:r w:rsidR="006B70F2">
        <w:rPr>
          <w:b w:val="0"/>
          <w:bCs/>
          <w:color w:val="000000" w:themeColor="text1"/>
          <w:sz w:val="28"/>
        </w:rPr>
        <w:t xml:space="preserve">enabled to </w:t>
      </w:r>
      <w:r w:rsidR="008C2D07">
        <w:rPr>
          <w:b w:val="0"/>
          <w:bCs/>
          <w:color w:val="000000" w:themeColor="text1"/>
          <w:sz w:val="28"/>
        </w:rPr>
        <w:t>provide</w:t>
      </w:r>
      <w:r w:rsidR="006B70F2">
        <w:rPr>
          <w:b w:val="0"/>
          <w:bCs/>
          <w:color w:val="000000" w:themeColor="text1"/>
          <w:sz w:val="28"/>
        </w:rPr>
        <w:t xml:space="preserve"> a stream for smaller disputes</w:t>
      </w:r>
      <w:r w:rsidR="006B70F2" w:rsidRPr="009740B6">
        <w:rPr>
          <w:b w:val="0"/>
          <w:bCs/>
          <w:color w:val="000000" w:themeColor="text1"/>
          <w:sz w:val="28"/>
        </w:rPr>
        <w:t xml:space="preserve"> </w:t>
      </w:r>
      <w:r w:rsidRPr="009740B6">
        <w:rPr>
          <w:b w:val="0"/>
          <w:bCs/>
          <w:color w:val="000000" w:themeColor="text1"/>
          <w:sz w:val="28"/>
        </w:rPr>
        <w:t>along the general lines of the Intellectual</w:t>
      </w:r>
      <w:r w:rsidR="00695C97">
        <w:rPr>
          <w:b w:val="0"/>
          <w:bCs/>
          <w:color w:val="000000" w:themeColor="text1"/>
          <w:sz w:val="28"/>
        </w:rPr>
        <w:t> </w:t>
      </w:r>
      <w:r w:rsidRPr="009740B6">
        <w:rPr>
          <w:b w:val="0"/>
          <w:bCs/>
          <w:color w:val="000000" w:themeColor="text1"/>
          <w:sz w:val="28"/>
        </w:rPr>
        <w:t>Property</w:t>
      </w:r>
      <w:r w:rsidR="00695C97">
        <w:rPr>
          <w:b w:val="0"/>
          <w:bCs/>
          <w:color w:val="000000" w:themeColor="text1"/>
          <w:sz w:val="28"/>
        </w:rPr>
        <w:t> </w:t>
      </w:r>
      <w:r w:rsidRPr="009740B6">
        <w:rPr>
          <w:b w:val="0"/>
          <w:bCs/>
          <w:color w:val="000000" w:themeColor="text1"/>
          <w:sz w:val="28"/>
        </w:rPr>
        <w:t>Enterprise</w:t>
      </w:r>
      <w:r w:rsidR="00695C97">
        <w:rPr>
          <w:b w:val="0"/>
          <w:bCs/>
          <w:color w:val="000000" w:themeColor="text1"/>
          <w:sz w:val="28"/>
        </w:rPr>
        <w:t> </w:t>
      </w:r>
      <w:r w:rsidRPr="009740B6">
        <w:rPr>
          <w:b w:val="0"/>
          <w:bCs/>
          <w:color w:val="000000" w:themeColor="text1"/>
          <w:sz w:val="28"/>
        </w:rPr>
        <w:t>Court</w:t>
      </w:r>
      <w:r w:rsidR="00695C97">
        <w:rPr>
          <w:b w:val="0"/>
          <w:bCs/>
          <w:color w:val="000000" w:themeColor="text1"/>
          <w:sz w:val="28"/>
        </w:rPr>
        <w:t> </w:t>
      </w:r>
      <w:r w:rsidRPr="009740B6">
        <w:rPr>
          <w:b w:val="0"/>
          <w:bCs/>
          <w:color w:val="000000" w:themeColor="text1"/>
          <w:sz w:val="28"/>
        </w:rPr>
        <w:t>of</w:t>
      </w:r>
      <w:r w:rsidR="00695C97">
        <w:rPr>
          <w:b w:val="0"/>
          <w:bCs/>
          <w:color w:val="000000" w:themeColor="text1"/>
          <w:sz w:val="28"/>
        </w:rPr>
        <w:t> </w:t>
      </w:r>
      <w:r w:rsidRPr="009740B6">
        <w:rPr>
          <w:b w:val="0"/>
          <w:bCs/>
          <w:color w:val="000000" w:themeColor="text1"/>
          <w:sz w:val="28"/>
        </w:rPr>
        <w:t>the</w:t>
      </w:r>
      <w:r w:rsidR="00695C97">
        <w:rPr>
          <w:b w:val="0"/>
          <w:bCs/>
          <w:color w:val="000000" w:themeColor="text1"/>
          <w:sz w:val="28"/>
        </w:rPr>
        <w:t> </w:t>
      </w:r>
      <w:r w:rsidRPr="009740B6">
        <w:rPr>
          <w:b w:val="0"/>
          <w:bCs/>
          <w:color w:val="000000" w:themeColor="text1"/>
          <w:sz w:val="28"/>
        </w:rPr>
        <w:t>UK, in order to provide at least one avenue for expedited and inexpensive trial processes. It is noted that IP</w:t>
      </w:r>
      <w:r w:rsidR="00695C97">
        <w:rPr>
          <w:b w:val="0"/>
          <w:bCs/>
          <w:color w:val="000000" w:themeColor="text1"/>
          <w:sz w:val="28"/>
        </w:rPr>
        <w:t> </w:t>
      </w:r>
      <w:r w:rsidRPr="009740B6">
        <w:rPr>
          <w:b w:val="0"/>
          <w:bCs/>
          <w:color w:val="000000" w:themeColor="text1"/>
          <w:sz w:val="28"/>
        </w:rPr>
        <w:t xml:space="preserve">Australia has agreed that it </w:t>
      </w:r>
      <w:r>
        <w:rPr>
          <w:b w:val="0"/>
          <w:bCs/>
          <w:color w:val="000000" w:themeColor="text1"/>
          <w:sz w:val="28"/>
        </w:rPr>
        <w:t>may</w:t>
      </w:r>
      <w:r w:rsidRPr="009740B6">
        <w:rPr>
          <w:b w:val="0"/>
          <w:bCs/>
          <w:color w:val="000000" w:themeColor="text1"/>
          <w:sz w:val="28"/>
        </w:rPr>
        <w:t xml:space="preserve"> be possible for it to facilitate funding for the new arrangements in accordance with the government’s cost-recovery policy.</w:t>
      </w:r>
    </w:p>
    <w:p w14:paraId="4ADBCF6E" w14:textId="77777777" w:rsidR="001C7940" w:rsidRDefault="001C7940" w:rsidP="001C7940">
      <w:pPr>
        <w:rPr>
          <w:rFonts w:asciiTheme="majorHAnsi" w:eastAsiaTheme="majorEastAsia" w:hAnsiTheme="majorHAnsi" w:cstheme="majorBidi"/>
          <w:color w:val="005677" w:themeColor="text2"/>
          <w:sz w:val="48"/>
          <w:szCs w:val="32"/>
        </w:rPr>
      </w:pPr>
      <w:r>
        <w:br w:type="page"/>
      </w:r>
    </w:p>
    <w:p w14:paraId="46F1EF42" w14:textId="77777777" w:rsidR="00BD7AB0" w:rsidRDefault="00BD7AB0" w:rsidP="005E3CFD">
      <w:pPr>
        <w:rPr>
          <w:szCs w:val="24"/>
        </w:rPr>
      </w:pPr>
    </w:p>
    <w:p w14:paraId="6388B779" w14:textId="10EB88A2" w:rsidR="00BD7AB0" w:rsidRDefault="001C7940" w:rsidP="005E3CFD">
      <w:pPr>
        <w:rPr>
          <w:szCs w:val="24"/>
          <w:highlight w:val="yellow"/>
        </w:rPr>
      </w:pPr>
      <w:r w:rsidRPr="00585B6B">
        <w:rPr>
          <w:sz w:val="36"/>
          <w:szCs w:val="36"/>
        </w:rPr>
        <w:t>(i</w:t>
      </w:r>
      <w:r>
        <w:rPr>
          <w:sz w:val="36"/>
          <w:szCs w:val="36"/>
        </w:rPr>
        <w:t>i</w:t>
      </w:r>
      <w:r w:rsidRPr="00585B6B">
        <w:rPr>
          <w:sz w:val="36"/>
          <w:szCs w:val="36"/>
        </w:rPr>
        <w:t xml:space="preserve">) </w:t>
      </w:r>
      <w:r>
        <w:rPr>
          <w:sz w:val="36"/>
          <w:szCs w:val="36"/>
        </w:rPr>
        <w:t>Ancillary steps</w:t>
      </w:r>
      <w:r w:rsidRPr="00585B6B">
        <w:rPr>
          <w:sz w:val="36"/>
          <w:szCs w:val="36"/>
        </w:rPr>
        <w:t xml:space="preserve"> </w:t>
      </w:r>
    </w:p>
    <w:p w14:paraId="6EAFA751" w14:textId="77132E0E" w:rsidR="00BD7AB0" w:rsidRPr="00B62DCC" w:rsidRDefault="00BD7AB0" w:rsidP="005E3CFD">
      <w:pPr>
        <w:rPr>
          <w:szCs w:val="24"/>
        </w:rPr>
      </w:pPr>
      <w:r w:rsidRPr="005E62C0">
        <w:rPr>
          <w:szCs w:val="24"/>
        </w:rPr>
        <w:t xml:space="preserve">The following additional steps could be taken to encourage more use of the patent system. </w:t>
      </w:r>
    </w:p>
    <w:p w14:paraId="5A5C7F35" w14:textId="442CCD4C" w:rsidR="00FE7941" w:rsidRDefault="00FE7941">
      <w:pPr>
        <w:pStyle w:val="Heading3"/>
      </w:pPr>
      <w:r w:rsidRPr="00585B6B">
        <w:t>(</w:t>
      </w:r>
      <w:r w:rsidR="001C7940">
        <w:t>a</w:t>
      </w:r>
      <w:r w:rsidRPr="00585B6B">
        <w:t xml:space="preserve">) </w:t>
      </w:r>
      <w:r w:rsidR="0625902E" w:rsidRPr="00585B6B">
        <w:t xml:space="preserve">Limiting the grounds for appeal </w:t>
      </w:r>
    </w:p>
    <w:p w14:paraId="45C76812" w14:textId="36748AD4" w:rsidR="002D6665" w:rsidRPr="00F7079B" w:rsidRDefault="00FE7941" w:rsidP="0B763DEE">
      <w:pPr>
        <w:rPr>
          <w:szCs w:val="24"/>
        </w:rPr>
      </w:pPr>
      <w:r w:rsidRPr="00F7079B">
        <w:rPr>
          <w:szCs w:val="24"/>
        </w:rPr>
        <w:t>T</w:t>
      </w:r>
      <w:r w:rsidR="51432E65" w:rsidRPr="00F7079B">
        <w:rPr>
          <w:szCs w:val="24"/>
        </w:rPr>
        <w:t>here is an opposition p</w:t>
      </w:r>
      <w:r w:rsidR="5B350492" w:rsidRPr="00F7079B">
        <w:rPr>
          <w:szCs w:val="24"/>
        </w:rPr>
        <w:t>hase</w:t>
      </w:r>
      <w:r w:rsidR="51432E65" w:rsidRPr="00F7079B">
        <w:rPr>
          <w:szCs w:val="24"/>
        </w:rPr>
        <w:t xml:space="preserve"> </w:t>
      </w:r>
      <w:r w:rsidR="2BCDB61B" w:rsidRPr="00F7079B">
        <w:rPr>
          <w:szCs w:val="24"/>
        </w:rPr>
        <w:t xml:space="preserve">within the patent application process, and this enables a thorough investigation of opposing patent </w:t>
      </w:r>
      <w:r w:rsidR="27E205E3" w:rsidRPr="00F7079B">
        <w:rPr>
          <w:szCs w:val="24"/>
        </w:rPr>
        <w:t>claims.</w:t>
      </w:r>
      <w:r w:rsidR="00861044" w:rsidRPr="00F7079B">
        <w:rPr>
          <w:szCs w:val="24"/>
        </w:rPr>
        <w:t xml:space="preserve"> </w:t>
      </w:r>
      <w:r w:rsidR="27E205E3" w:rsidRPr="00F7079B">
        <w:rPr>
          <w:szCs w:val="24"/>
        </w:rPr>
        <w:t>This is a feature of the Australian system</w:t>
      </w:r>
      <w:r w:rsidR="002D6665" w:rsidRPr="00F7079B">
        <w:rPr>
          <w:szCs w:val="24"/>
        </w:rPr>
        <w:t xml:space="preserve"> and is unusual</w:t>
      </w:r>
      <w:r w:rsidR="27E205E3" w:rsidRPr="00F7079B">
        <w:rPr>
          <w:szCs w:val="24"/>
        </w:rPr>
        <w:t xml:space="preserve">. </w:t>
      </w:r>
      <w:r w:rsidR="0B76894F" w:rsidRPr="00F7079B">
        <w:rPr>
          <w:szCs w:val="24"/>
        </w:rPr>
        <w:t>It does</w:t>
      </w:r>
      <w:r w:rsidR="000F2657">
        <w:rPr>
          <w:szCs w:val="24"/>
        </w:rPr>
        <w:t xml:space="preserve"> contribute to a sound patent. </w:t>
      </w:r>
      <w:r w:rsidR="229DF410" w:rsidRPr="00F7079B">
        <w:rPr>
          <w:szCs w:val="24"/>
        </w:rPr>
        <w:t>However</w:t>
      </w:r>
      <w:r w:rsidR="00DA62A8" w:rsidRPr="00F7079B">
        <w:rPr>
          <w:szCs w:val="24"/>
        </w:rPr>
        <w:t>,</w:t>
      </w:r>
      <w:r w:rsidR="229DF410" w:rsidRPr="00F7079B">
        <w:rPr>
          <w:szCs w:val="24"/>
        </w:rPr>
        <w:t xml:space="preserve"> a </w:t>
      </w:r>
      <w:r w:rsidR="1DD9B4FB" w:rsidRPr="00F7079B">
        <w:rPr>
          <w:szCs w:val="24"/>
        </w:rPr>
        <w:t>legal action</w:t>
      </w:r>
      <w:r w:rsidR="055E2A4F" w:rsidRPr="00F7079B">
        <w:rPr>
          <w:szCs w:val="24"/>
        </w:rPr>
        <w:t xml:space="preserve"> such as an</w:t>
      </w:r>
      <w:r w:rsidR="457EE9AC" w:rsidRPr="00F7079B">
        <w:rPr>
          <w:szCs w:val="24"/>
        </w:rPr>
        <w:t xml:space="preserve"> appeal can start again, bringing up new grounds and simply rerun the whole patent examination process, thus leading to </w:t>
      </w:r>
      <w:r w:rsidR="1E8ACF9C" w:rsidRPr="00F7079B">
        <w:rPr>
          <w:szCs w:val="24"/>
        </w:rPr>
        <w:t xml:space="preserve">a </w:t>
      </w:r>
      <w:r w:rsidR="00601004" w:rsidRPr="00F7079B">
        <w:rPr>
          <w:szCs w:val="24"/>
        </w:rPr>
        <w:t>long-drawn-out</w:t>
      </w:r>
      <w:r w:rsidR="00104867" w:rsidRPr="00F7079B">
        <w:rPr>
          <w:szCs w:val="24"/>
        </w:rPr>
        <w:t xml:space="preserve"> case, as exemplified in the passage from Justice Beach above</w:t>
      </w:r>
      <w:r w:rsidR="457EE9AC" w:rsidRPr="00F7079B">
        <w:rPr>
          <w:szCs w:val="24"/>
        </w:rPr>
        <w:t xml:space="preserve">. </w:t>
      </w:r>
    </w:p>
    <w:p w14:paraId="1CAB06F5" w14:textId="31953C0B" w:rsidR="00104867" w:rsidRPr="00F7079B" w:rsidRDefault="457EE9AC" w:rsidP="0B763DEE">
      <w:pPr>
        <w:rPr>
          <w:szCs w:val="24"/>
        </w:rPr>
      </w:pPr>
      <w:r w:rsidRPr="00F7079B">
        <w:rPr>
          <w:szCs w:val="24"/>
        </w:rPr>
        <w:t xml:space="preserve">One small step can be taken to reduce the complexity brought about by the ability to test any area of the </w:t>
      </w:r>
      <w:r w:rsidR="002E0105" w:rsidRPr="00F7079B">
        <w:rPr>
          <w:szCs w:val="24"/>
        </w:rPr>
        <w:t xml:space="preserve">patent’s validity </w:t>
      </w:r>
      <w:r w:rsidR="34E74D68" w:rsidRPr="00F7079B">
        <w:rPr>
          <w:szCs w:val="24"/>
        </w:rPr>
        <w:t xml:space="preserve">by </w:t>
      </w:r>
      <w:r w:rsidR="002E0105" w:rsidRPr="00F7079B">
        <w:rPr>
          <w:szCs w:val="24"/>
        </w:rPr>
        <w:t xml:space="preserve">raising </w:t>
      </w:r>
      <w:r w:rsidR="34E74D68" w:rsidRPr="00F7079B">
        <w:rPr>
          <w:szCs w:val="24"/>
        </w:rPr>
        <w:t>new grounds</w:t>
      </w:r>
      <w:r w:rsidR="00104867" w:rsidRPr="00F7079B">
        <w:rPr>
          <w:szCs w:val="24"/>
        </w:rPr>
        <w:t xml:space="preserve"> </w:t>
      </w:r>
      <w:r w:rsidR="002E0105" w:rsidRPr="00F7079B">
        <w:rPr>
          <w:szCs w:val="24"/>
        </w:rPr>
        <w:t xml:space="preserve">or adducing new evidence that was not considered at examination or opposition </w:t>
      </w:r>
      <w:r w:rsidR="00104867" w:rsidRPr="00F7079B">
        <w:rPr>
          <w:szCs w:val="24"/>
        </w:rPr>
        <w:t>(re</w:t>
      </w:r>
      <w:r w:rsidR="00601004">
        <w:rPr>
          <w:szCs w:val="24"/>
        </w:rPr>
        <w:t>-</w:t>
      </w:r>
      <w:r w:rsidR="00104867" w:rsidRPr="00F7079B">
        <w:rPr>
          <w:szCs w:val="24"/>
        </w:rPr>
        <w:t xml:space="preserve">hearings </w:t>
      </w:r>
      <w:r w:rsidR="00104867" w:rsidRPr="00F7079B">
        <w:rPr>
          <w:i/>
          <w:szCs w:val="24"/>
        </w:rPr>
        <w:t>de novo</w:t>
      </w:r>
      <w:r w:rsidR="00104867" w:rsidRPr="00F7079B">
        <w:rPr>
          <w:szCs w:val="24"/>
        </w:rPr>
        <w:t>)</w:t>
      </w:r>
      <w:r w:rsidR="34E74D68" w:rsidRPr="00F7079B">
        <w:rPr>
          <w:szCs w:val="24"/>
        </w:rPr>
        <w:t>.</w:t>
      </w:r>
      <w:r w:rsidRPr="00F7079B">
        <w:rPr>
          <w:szCs w:val="24"/>
        </w:rPr>
        <w:t xml:space="preserve"> </w:t>
      </w:r>
      <w:r w:rsidR="00104867" w:rsidRPr="00F7079B">
        <w:rPr>
          <w:szCs w:val="24"/>
        </w:rPr>
        <w:t xml:space="preserve">This is one cause of the length and costs of such appeals. </w:t>
      </w:r>
    </w:p>
    <w:p w14:paraId="5AC4DAD9" w14:textId="142F7732" w:rsidR="00375117" w:rsidRPr="00F7079B" w:rsidRDefault="00104867" w:rsidP="0B763DEE">
      <w:pPr>
        <w:rPr>
          <w:szCs w:val="24"/>
        </w:rPr>
      </w:pPr>
      <w:r w:rsidRPr="00F7079B">
        <w:rPr>
          <w:szCs w:val="24"/>
        </w:rPr>
        <w:t>Provision could</w:t>
      </w:r>
      <w:r w:rsidR="457EE9AC" w:rsidRPr="00F7079B">
        <w:rPr>
          <w:szCs w:val="24"/>
        </w:rPr>
        <w:t xml:space="preserve"> be made for a requirement to seek leave of </w:t>
      </w:r>
      <w:r w:rsidR="569E2A86" w:rsidRPr="00F7079B">
        <w:rPr>
          <w:szCs w:val="24"/>
        </w:rPr>
        <w:t xml:space="preserve">the </w:t>
      </w:r>
      <w:r w:rsidR="457EE9AC" w:rsidRPr="00F7079B">
        <w:rPr>
          <w:szCs w:val="24"/>
        </w:rPr>
        <w:t>judge</w:t>
      </w:r>
      <w:r w:rsidR="7A140810" w:rsidRPr="00F7079B">
        <w:rPr>
          <w:szCs w:val="24"/>
        </w:rPr>
        <w:t xml:space="preserve">, if </w:t>
      </w:r>
      <w:r w:rsidR="00CA2AC5" w:rsidRPr="00F7079B">
        <w:rPr>
          <w:szCs w:val="24"/>
        </w:rPr>
        <w:t>a party</w:t>
      </w:r>
      <w:r w:rsidR="7A140810" w:rsidRPr="00F7079B">
        <w:rPr>
          <w:szCs w:val="24"/>
        </w:rPr>
        <w:t xml:space="preserve"> wish</w:t>
      </w:r>
      <w:r w:rsidR="449DBF81" w:rsidRPr="00F7079B">
        <w:rPr>
          <w:szCs w:val="24"/>
        </w:rPr>
        <w:t>e</w:t>
      </w:r>
      <w:r w:rsidR="00CA2AC5" w:rsidRPr="00F7079B">
        <w:rPr>
          <w:szCs w:val="24"/>
        </w:rPr>
        <w:t>s</w:t>
      </w:r>
      <w:r w:rsidR="7A140810" w:rsidRPr="00F7079B">
        <w:rPr>
          <w:szCs w:val="24"/>
        </w:rPr>
        <w:t xml:space="preserve"> to raise new grounds </w:t>
      </w:r>
      <w:r w:rsidR="002E0105" w:rsidRPr="00F7079B">
        <w:rPr>
          <w:szCs w:val="24"/>
        </w:rPr>
        <w:t xml:space="preserve">or adduce new evidence </w:t>
      </w:r>
      <w:r w:rsidR="7A140810" w:rsidRPr="00F7079B">
        <w:rPr>
          <w:szCs w:val="24"/>
        </w:rPr>
        <w:t xml:space="preserve">which were not before the Commissioner in the original </w:t>
      </w:r>
      <w:r w:rsidR="002E0105" w:rsidRPr="00F7079B">
        <w:rPr>
          <w:szCs w:val="24"/>
        </w:rPr>
        <w:t xml:space="preserve">opposition </w:t>
      </w:r>
      <w:r w:rsidR="7A140810" w:rsidRPr="00F7079B">
        <w:rPr>
          <w:szCs w:val="24"/>
        </w:rPr>
        <w:t>process. In other words</w:t>
      </w:r>
      <w:r w:rsidR="049E9F67" w:rsidRPr="00F7079B">
        <w:rPr>
          <w:szCs w:val="24"/>
        </w:rPr>
        <w:t>,</w:t>
      </w:r>
      <w:r w:rsidR="7A140810" w:rsidRPr="00F7079B">
        <w:rPr>
          <w:szCs w:val="24"/>
        </w:rPr>
        <w:t xml:space="preserve"> appeals would be restricted to the facts and the grounds available to the Commissioner in the original decision and</w:t>
      </w:r>
      <w:r w:rsidR="00C539D0" w:rsidRPr="00F7079B">
        <w:rPr>
          <w:szCs w:val="24"/>
        </w:rPr>
        <w:t>,</w:t>
      </w:r>
      <w:r w:rsidR="7A140810" w:rsidRPr="00F7079B">
        <w:rPr>
          <w:szCs w:val="24"/>
        </w:rPr>
        <w:t xml:space="preserve"> if new matters are sought to be raised, the </w:t>
      </w:r>
      <w:r w:rsidR="3702DC1E" w:rsidRPr="00F7079B">
        <w:rPr>
          <w:szCs w:val="24"/>
        </w:rPr>
        <w:t>judge's</w:t>
      </w:r>
      <w:r w:rsidR="7A140810" w:rsidRPr="00F7079B">
        <w:rPr>
          <w:szCs w:val="24"/>
        </w:rPr>
        <w:t xml:space="preserve"> agreement would be required. </w:t>
      </w:r>
    </w:p>
    <w:p w14:paraId="18A9096E" w14:textId="2EF632D8" w:rsidR="00375117" w:rsidRPr="00F7079B" w:rsidRDefault="18E2632E" w:rsidP="00601004">
      <w:pPr>
        <w:spacing w:after="360"/>
        <w:rPr>
          <w:szCs w:val="24"/>
        </w:rPr>
      </w:pPr>
      <w:r w:rsidRPr="00F7079B">
        <w:rPr>
          <w:szCs w:val="24"/>
        </w:rPr>
        <w:t>S</w:t>
      </w:r>
      <w:r w:rsidR="7A140810" w:rsidRPr="00F7079B">
        <w:rPr>
          <w:szCs w:val="24"/>
        </w:rPr>
        <w:t xml:space="preserve">uch </w:t>
      </w:r>
      <w:r w:rsidR="5F9A9C01" w:rsidRPr="00F7079B">
        <w:rPr>
          <w:szCs w:val="24"/>
        </w:rPr>
        <w:t xml:space="preserve">a </w:t>
      </w:r>
      <w:r w:rsidR="7A140810" w:rsidRPr="00F7079B">
        <w:rPr>
          <w:szCs w:val="24"/>
        </w:rPr>
        <w:t xml:space="preserve">provision may reduce </w:t>
      </w:r>
      <w:r w:rsidR="3C822766" w:rsidRPr="00F7079B">
        <w:rPr>
          <w:szCs w:val="24"/>
        </w:rPr>
        <w:t xml:space="preserve">the </w:t>
      </w:r>
      <w:r w:rsidR="7A140810" w:rsidRPr="00F7079B">
        <w:rPr>
          <w:szCs w:val="24"/>
        </w:rPr>
        <w:t>complexity of the appeals process, limiting the options except to be explored unless otherwise agreed by the judge.</w:t>
      </w:r>
      <w:r w:rsidR="003A47E8" w:rsidRPr="00F7079B">
        <w:rPr>
          <w:szCs w:val="24"/>
        </w:rPr>
        <w:t xml:space="preserve"> This may also reduce the workload of the Court.</w:t>
      </w:r>
    </w:p>
    <w:p w14:paraId="04720E6E" w14:textId="7EAAA952" w:rsidR="0029455E" w:rsidRPr="00285B71" w:rsidRDefault="00601004" w:rsidP="00601004">
      <w:pPr>
        <w:pStyle w:val="Calloutbox"/>
        <w:rPr>
          <w:b w:val="0"/>
          <w:sz w:val="28"/>
          <w:szCs w:val="28"/>
        </w:rPr>
      </w:pPr>
      <w:r w:rsidRPr="009740B6">
        <w:rPr>
          <w:sz w:val="28"/>
        </w:rPr>
        <w:t xml:space="preserve">Recommendation </w:t>
      </w:r>
      <w:r w:rsidR="001C7940">
        <w:rPr>
          <w:sz w:val="28"/>
        </w:rPr>
        <w:t>10</w:t>
      </w:r>
      <w:r w:rsidRPr="009740B6">
        <w:rPr>
          <w:sz w:val="28"/>
        </w:rPr>
        <w:t>:</w:t>
      </w:r>
      <w:r>
        <w:rPr>
          <w:sz w:val="28"/>
        </w:rPr>
        <w:br/>
      </w:r>
      <w:r w:rsidRPr="009740B6">
        <w:rPr>
          <w:b w:val="0"/>
          <w:bCs/>
          <w:color w:val="000000" w:themeColor="text1"/>
          <w:sz w:val="28"/>
        </w:rPr>
        <w:t>That legislation be enacted such that if a party wishes to appeal a patent opposition, this appeal must be based on the facts and grounds originally available to the Commissioner of Patents, with new grounds being admitted only with the leave of the Court.</w:t>
      </w:r>
    </w:p>
    <w:p w14:paraId="40B37744" w14:textId="77777777" w:rsidR="00B1097E" w:rsidRDefault="00B1097E" w:rsidP="00601004">
      <w:pPr>
        <w:spacing w:before="480"/>
        <w:rPr>
          <w:szCs w:val="24"/>
        </w:rPr>
      </w:pPr>
      <w:r>
        <w:rPr>
          <w:szCs w:val="24"/>
        </w:rPr>
        <w:br w:type="page"/>
      </w:r>
    </w:p>
    <w:p w14:paraId="08D5DDDF" w14:textId="340F0EB1" w:rsidR="0027110D" w:rsidRPr="00F7079B" w:rsidRDefault="0027110D" w:rsidP="00601004">
      <w:pPr>
        <w:spacing w:before="480"/>
        <w:rPr>
          <w:szCs w:val="24"/>
        </w:rPr>
      </w:pPr>
      <w:r w:rsidRPr="00F7079B">
        <w:rPr>
          <w:szCs w:val="24"/>
        </w:rPr>
        <w:lastRenderedPageBreak/>
        <w:t xml:space="preserve">This recommendation </w:t>
      </w:r>
      <w:r w:rsidR="6D06918E" w:rsidRPr="00F7079B">
        <w:rPr>
          <w:szCs w:val="24"/>
        </w:rPr>
        <w:t xml:space="preserve">is </w:t>
      </w:r>
      <w:r w:rsidR="1C4362A9" w:rsidRPr="00F7079B">
        <w:rPr>
          <w:szCs w:val="24"/>
        </w:rPr>
        <w:t>one</w:t>
      </w:r>
      <w:r w:rsidR="6D06918E" w:rsidRPr="00F7079B">
        <w:rPr>
          <w:szCs w:val="24"/>
        </w:rPr>
        <w:t xml:space="preserve"> step in limiting the complexity of patent litigation, </w:t>
      </w:r>
      <w:r w:rsidR="015A783F" w:rsidRPr="00F7079B">
        <w:rPr>
          <w:szCs w:val="24"/>
        </w:rPr>
        <w:t xml:space="preserve">but </w:t>
      </w:r>
      <w:r w:rsidR="6D06918E" w:rsidRPr="00F7079B">
        <w:rPr>
          <w:szCs w:val="24"/>
        </w:rPr>
        <w:t>it is clear that a quick and affordable legal solution is needed for some litigants</w:t>
      </w:r>
      <w:r w:rsidRPr="00F7079B">
        <w:rPr>
          <w:szCs w:val="24"/>
        </w:rPr>
        <w:t xml:space="preserve"> </w:t>
      </w:r>
      <w:r w:rsidRPr="00F7079B" w:rsidDel="00587C78">
        <w:rPr>
          <w:szCs w:val="24"/>
        </w:rPr>
        <w:t>–</w:t>
      </w:r>
      <w:r w:rsidR="6D06918E" w:rsidRPr="00F7079B" w:rsidDel="00587C78">
        <w:rPr>
          <w:szCs w:val="24"/>
        </w:rPr>
        <w:t xml:space="preserve"> </w:t>
      </w:r>
      <w:r w:rsidR="6D06918E" w:rsidRPr="00F7079B">
        <w:rPr>
          <w:szCs w:val="24"/>
        </w:rPr>
        <w:t xml:space="preserve">in particular </w:t>
      </w:r>
      <w:r w:rsidRPr="00F7079B">
        <w:rPr>
          <w:szCs w:val="24"/>
        </w:rPr>
        <w:t xml:space="preserve">for those </w:t>
      </w:r>
      <w:r w:rsidR="38B8767A" w:rsidRPr="00F7079B">
        <w:rPr>
          <w:szCs w:val="24"/>
        </w:rPr>
        <w:t xml:space="preserve">from </w:t>
      </w:r>
      <w:r w:rsidR="6D06918E" w:rsidRPr="00F7079B">
        <w:rPr>
          <w:szCs w:val="24"/>
        </w:rPr>
        <w:t>the SME business sector</w:t>
      </w:r>
      <w:r w:rsidR="2BAB76C0" w:rsidRPr="00F7079B">
        <w:rPr>
          <w:szCs w:val="24"/>
        </w:rPr>
        <w:t>. We have examples both in Britain and Germany of attempts at speedy and affordable dispute resolution for IP matters</w:t>
      </w:r>
      <w:r w:rsidR="3D59D3E4" w:rsidRPr="00F7079B">
        <w:rPr>
          <w:szCs w:val="24"/>
        </w:rPr>
        <w:t>.</w:t>
      </w:r>
      <w:r w:rsidR="003D436E" w:rsidRPr="00F7079B">
        <w:rPr>
          <w:rStyle w:val="FootnoteReference"/>
          <w:szCs w:val="24"/>
        </w:rPr>
        <w:footnoteReference w:id="64"/>
      </w:r>
      <w:r w:rsidR="7CC61BE8" w:rsidRPr="00F7079B">
        <w:rPr>
          <w:szCs w:val="24"/>
        </w:rPr>
        <w:t xml:space="preserve"> </w:t>
      </w:r>
      <w:r w:rsidR="2907BD8C" w:rsidRPr="00F7079B">
        <w:rPr>
          <w:szCs w:val="24"/>
        </w:rPr>
        <w:t>Israel, whose success in building an IP-based enterprise culture is well-known, stresses the use of alternative dispute resolution.</w:t>
      </w:r>
      <w:r w:rsidR="003D436E" w:rsidRPr="00F7079B">
        <w:rPr>
          <w:rStyle w:val="FootnoteReference"/>
          <w:szCs w:val="24"/>
        </w:rPr>
        <w:footnoteReference w:id="65"/>
      </w:r>
      <w:r w:rsidR="4E30848A" w:rsidRPr="00F7079B">
        <w:rPr>
          <w:szCs w:val="24"/>
        </w:rPr>
        <w:t xml:space="preserve"> </w:t>
      </w:r>
    </w:p>
    <w:p w14:paraId="177766D9" w14:textId="1338E5D5" w:rsidR="00375117" w:rsidRPr="00F7079B" w:rsidRDefault="48A19AA4" w:rsidP="0B763DEE">
      <w:pPr>
        <w:rPr>
          <w:szCs w:val="24"/>
        </w:rPr>
      </w:pPr>
      <w:r w:rsidRPr="00F7079B">
        <w:rPr>
          <w:szCs w:val="24"/>
        </w:rPr>
        <w:t>Such measures are deemed to be crucial to the defence and development of an innovative business culture in those countries. And that should be our goal. We should not allow the small business sector to be defenceless when pitted against a highly resourced opponent who is willing to use the law to exhaust the opposition.</w:t>
      </w:r>
    </w:p>
    <w:p w14:paraId="607CC607" w14:textId="06060766" w:rsidR="00601004" w:rsidRDefault="48A19AA4" w:rsidP="0B763DEE">
      <w:pPr>
        <w:rPr>
          <w:szCs w:val="24"/>
        </w:rPr>
      </w:pPr>
      <w:r w:rsidRPr="00F7079B">
        <w:rPr>
          <w:szCs w:val="24"/>
        </w:rPr>
        <w:t xml:space="preserve">Many of our SMEs have international operations and might run into validity or infringement problems in other countries or jurisdictions. </w:t>
      </w:r>
      <w:r w:rsidR="00BC045C">
        <w:rPr>
          <w:szCs w:val="24"/>
        </w:rPr>
        <w:t>To help</w:t>
      </w:r>
      <w:r w:rsidRPr="00F7079B">
        <w:rPr>
          <w:szCs w:val="24"/>
        </w:rPr>
        <w:t xml:space="preserve"> solve those problems</w:t>
      </w:r>
      <w:r w:rsidR="00BC045C">
        <w:rPr>
          <w:szCs w:val="24"/>
        </w:rPr>
        <w:t xml:space="preserve"> </w:t>
      </w:r>
      <w:r w:rsidRPr="00F7079B">
        <w:rPr>
          <w:szCs w:val="24"/>
        </w:rPr>
        <w:t xml:space="preserve">we can join with international organisations </w:t>
      </w:r>
      <w:r w:rsidR="00BC045C">
        <w:rPr>
          <w:szCs w:val="24"/>
        </w:rPr>
        <w:t>to facilitate</w:t>
      </w:r>
      <w:r w:rsidRPr="00F7079B">
        <w:rPr>
          <w:szCs w:val="24"/>
        </w:rPr>
        <w:t xml:space="preserve"> quick and simple solutions, aiming to play a part in organisations such as the </w:t>
      </w:r>
      <w:r w:rsidR="11097F6A" w:rsidRPr="00F7079B">
        <w:rPr>
          <w:szCs w:val="24"/>
        </w:rPr>
        <w:t>W</w:t>
      </w:r>
      <w:r w:rsidRPr="00F7079B">
        <w:rPr>
          <w:szCs w:val="24"/>
        </w:rPr>
        <w:t xml:space="preserve">orld </w:t>
      </w:r>
      <w:r w:rsidR="11AE4D54" w:rsidRPr="00F7079B">
        <w:rPr>
          <w:szCs w:val="24"/>
        </w:rPr>
        <w:t>I</w:t>
      </w:r>
      <w:r w:rsidRPr="00F7079B">
        <w:rPr>
          <w:szCs w:val="24"/>
        </w:rPr>
        <w:t xml:space="preserve">ntellectual </w:t>
      </w:r>
      <w:r w:rsidR="3712418E" w:rsidRPr="00F7079B">
        <w:rPr>
          <w:szCs w:val="24"/>
        </w:rPr>
        <w:t>P</w:t>
      </w:r>
      <w:r w:rsidRPr="00F7079B">
        <w:rPr>
          <w:szCs w:val="24"/>
        </w:rPr>
        <w:t xml:space="preserve">roperty </w:t>
      </w:r>
      <w:r w:rsidR="025C19B6" w:rsidRPr="00F7079B">
        <w:rPr>
          <w:szCs w:val="24"/>
        </w:rPr>
        <w:t>O</w:t>
      </w:r>
      <w:r w:rsidRPr="00F7079B">
        <w:rPr>
          <w:szCs w:val="24"/>
        </w:rPr>
        <w:t>rganisation (</w:t>
      </w:r>
      <w:r w:rsidR="77582349" w:rsidRPr="00F7079B">
        <w:rPr>
          <w:szCs w:val="24"/>
        </w:rPr>
        <w:t>WIPO</w:t>
      </w:r>
      <w:r w:rsidR="00453406" w:rsidRPr="00F7079B">
        <w:rPr>
          <w:szCs w:val="24"/>
        </w:rPr>
        <w:t xml:space="preserve">), as the </w:t>
      </w:r>
      <w:r w:rsidR="0FEF80D8" w:rsidRPr="00F7079B">
        <w:rPr>
          <w:szCs w:val="24"/>
        </w:rPr>
        <w:t>WIPO</w:t>
      </w:r>
      <w:r w:rsidRPr="00F7079B">
        <w:rPr>
          <w:szCs w:val="24"/>
        </w:rPr>
        <w:t xml:space="preserve"> does offer an arbitration service for the international sphere</w:t>
      </w:r>
      <w:r w:rsidR="4614EC6F" w:rsidRPr="00F7079B">
        <w:rPr>
          <w:szCs w:val="24"/>
        </w:rPr>
        <w:t xml:space="preserve"> (see </w:t>
      </w:r>
      <w:r w:rsidR="00CF1712" w:rsidRPr="00F7079B">
        <w:rPr>
          <w:szCs w:val="24"/>
        </w:rPr>
        <w:t xml:space="preserve">footnote </w:t>
      </w:r>
      <w:r w:rsidR="4614EC6F" w:rsidRPr="00F7079B">
        <w:rPr>
          <w:szCs w:val="24"/>
        </w:rPr>
        <w:t>below)</w:t>
      </w:r>
      <w:r w:rsidRPr="00F7079B">
        <w:rPr>
          <w:szCs w:val="24"/>
        </w:rPr>
        <w:t>.</w:t>
      </w:r>
      <w:r w:rsidR="003D436E" w:rsidRPr="00F7079B">
        <w:rPr>
          <w:rStyle w:val="FootnoteReference"/>
          <w:szCs w:val="24"/>
        </w:rPr>
        <w:footnoteReference w:id="66"/>
      </w:r>
      <w:r w:rsidR="00601004">
        <w:rPr>
          <w:szCs w:val="24"/>
        </w:rPr>
        <w:br w:type="page"/>
      </w:r>
    </w:p>
    <w:p w14:paraId="6729C062" w14:textId="5DC87B2B" w:rsidR="001E463D" w:rsidRDefault="00FE7941">
      <w:pPr>
        <w:pStyle w:val="Heading3"/>
      </w:pPr>
      <w:r>
        <w:lastRenderedPageBreak/>
        <w:t>(</w:t>
      </w:r>
      <w:r w:rsidR="001C7940">
        <w:t>b</w:t>
      </w:r>
      <w:r>
        <w:t xml:space="preserve">) </w:t>
      </w:r>
      <w:r w:rsidR="001E463D">
        <w:t>Non-binding expert opinion</w:t>
      </w:r>
    </w:p>
    <w:p w14:paraId="4B4B33B3" w14:textId="5A780A6D" w:rsidR="00D07DBA" w:rsidRPr="00F7079B" w:rsidRDefault="2C437139" w:rsidP="0029455E">
      <w:pPr>
        <w:rPr>
          <w:szCs w:val="24"/>
        </w:rPr>
      </w:pPr>
      <w:r w:rsidRPr="00F7079B">
        <w:rPr>
          <w:b/>
          <w:bCs/>
          <w:szCs w:val="24"/>
        </w:rPr>
        <w:t xml:space="preserve">The non-binding expert opinion: </w:t>
      </w:r>
      <w:r w:rsidRPr="00F7079B">
        <w:rPr>
          <w:szCs w:val="24"/>
        </w:rPr>
        <w:t>this is not</w:t>
      </w:r>
      <w:r w:rsidR="51EDCB60" w:rsidRPr="00F7079B">
        <w:rPr>
          <w:szCs w:val="24"/>
        </w:rPr>
        <w:t xml:space="preserve"> </w:t>
      </w:r>
      <w:r w:rsidR="00AA6F9C" w:rsidRPr="00F7079B">
        <w:rPr>
          <w:szCs w:val="24"/>
        </w:rPr>
        <w:t>e</w:t>
      </w:r>
      <w:r w:rsidRPr="00F7079B">
        <w:rPr>
          <w:szCs w:val="24"/>
        </w:rPr>
        <w:t xml:space="preserve">xpert </w:t>
      </w:r>
      <w:r w:rsidR="00AA6F9C" w:rsidRPr="00F7079B">
        <w:rPr>
          <w:szCs w:val="24"/>
        </w:rPr>
        <w:t>d</w:t>
      </w:r>
      <w:r w:rsidRPr="00F7079B">
        <w:rPr>
          <w:szCs w:val="24"/>
        </w:rPr>
        <w:t>etermination, which is used in some jurisdictions</w:t>
      </w:r>
      <w:r w:rsidR="7BA3B8C2" w:rsidRPr="00F7079B">
        <w:rPr>
          <w:szCs w:val="24"/>
        </w:rPr>
        <w:t>, but rather an advisory service which seeks simply to provide an opinion on the legal position of the enquir</w:t>
      </w:r>
      <w:r w:rsidR="7A323B76" w:rsidRPr="00F7079B">
        <w:rPr>
          <w:szCs w:val="24"/>
        </w:rPr>
        <w:t>er</w:t>
      </w:r>
      <w:r w:rsidR="7BA3B8C2" w:rsidRPr="00F7079B">
        <w:rPr>
          <w:szCs w:val="24"/>
        </w:rPr>
        <w:t xml:space="preserve">, based on the facts supplied. In the British system this is available at a token charge of </w:t>
      </w:r>
      <w:r w:rsidR="00765F0A" w:rsidRPr="00F7079B">
        <w:rPr>
          <w:szCs w:val="24"/>
        </w:rPr>
        <w:t>£</w:t>
      </w:r>
      <w:r w:rsidR="7BA3B8C2" w:rsidRPr="00F7079B">
        <w:rPr>
          <w:szCs w:val="24"/>
        </w:rPr>
        <w:t xml:space="preserve">200 </w:t>
      </w:r>
      <w:r w:rsidR="720A4096" w:rsidRPr="00F7079B">
        <w:rPr>
          <w:szCs w:val="24"/>
        </w:rPr>
        <w:t xml:space="preserve">pounds </w:t>
      </w:r>
      <w:r w:rsidR="7BA3B8C2" w:rsidRPr="00F7079B">
        <w:rPr>
          <w:szCs w:val="24"/>
        </w:rPr>
        <w:t>but is said to be very useful in dispelling conflict,</w:t>
      </w:r>
      <w:r w:rsidR="00EA39E5">
        <w:rPr>
          <w:rStyle w:val="FootnoteReference"/>
          <w:szCs w:val="24"/>
        </w:rPr>
        <w:footnoteReference w:id="67"/>
      </w:r>
      <w:r w:rsidR="7BA3B8C2" w:rsidRPr="00F7079B">
        <w:rPr>
          <w:szCs w:val="24"/>
        </w:rPr>
        <w:t xml:space="preserve"> and in preventing highly priced litigation.</w:t>
      </w:r>
      <w:r w:rsidR="003D436E" w:rsidRPr="00F7079B">
        <w:rPr>
          <w:rStyle w:val="FootnoteReference"/>
          <w:szCs w:val="24"/>
        </w:rPr>
        <w:footnoteReference w:id="68"/>
      </w:r>
      <w:r w:rsidR="5662189C" w:rsidRPr="00F7079B">
        <w:rPr>
          <w:szCs w:val="24"/>
        </w:rPr>
        <w:t xml:space="preserve"> </w:t>
      </w:r>
      <w:r w:rsidR="00D43529">
        <w:rPr>
          <w:szCs w:val="24"/>
        </w:rPr>
        <w:t>The U</w:t>
      </w:r>
      <w:r w:rsidR="00EA39E5">
        <w:rPr>
          <w:szCs w:val="24"/>
        </w:rPr>
        <w:t>K system received</w:t>
      </w:r>
      <w:r w:rsidR="000644E4">
        <w:rPr>
          <w:szCs w:val="24"/>
        </w:rPr>
        <w:t xml:space="preserve"> an average of 26.7 requests each year since 2017 (see Appendix E for more information). Opinions are seen to offer many advantages to businesses in the UK, with many UK lawyers promoting the speed and low cost of the service.</w:t>
      </w:r>
      <w:r w:rsidR="000644E4">
        <w:rPr>
          <w:rStyle w:val="FootnoteReference"/>
          <w:szCs w:val="24"/>
        </w:rPr>
        <w:footnoteReference w:id="69"/>
      </w:r>
      <w:r w:rsidR="000644E4">
        <w:rPr>
          <w:szCs w:val="24"/>
        </w:rPr>
        <w:t xml:space="preserve"> </w:t>
      </w:r>
    </w:p>
    <w:p w14:paraId="38A0906D" w14:textId="16FEEE88" w:rsidR="0029455E" w:rsidRPr="00F7079B" w:rsidRDefault="3DF1CE5D" w:rsidP="00601004">
      <w:pPr>
        <w:spacing w:before="240" w:after="480"/>
        <w:rPr>
          <w:szCs w:val="24"/>
        </w:rPr>
      </w:pPr>
      <w:r w:rsidRPr="00F7079B">
        <w:rPr>
          <w:szCs w:val="24"/>
        </w:rPr>
        <w:t>IP Australia could undertake this responsibility as part of its advice</w:t>
      </w:r>
      <w:r w:rsidR="5DA5ADD5" w:rsidRPr="00F7079B">
        <w:rPr>
          <w:szCs w:val="24"/>
        </w:rPr>
        <w:t>-</w:t>
      </w:r>
      <w:r w:rsidRPr="00F7079B">
        <w:rPr>
          <w:szCs w:val="24"/>
        </w:rPr>
        <w:t>giving role, setting a reasonable fee designed to make the opinion service accessible to small and medium businesses, involving outside professionals such as patent attorneys as it sees fit.</w:t>
      </w:r>
      <w:r w:rsidR="007A5D0A">
        <w:rPr>
          <w:rStyle w:val="FootnoteReference"/>
          <w:szCs w:val="24"/>
        </w:rPr>
        <w:footnoteReference w:id="70"/>
      </w:r>
      <w:r w:rsidRPr="00F7079B">
        <w:rPr>
          <w:szCs w:val="24"/>
        </w:rPr>
        <w:t xml:space="preserve"> Such a service could well complement the </w:t>
      </w:r>
      <w:r w:rsidR="00D07DBA" w:rsidRPr="00F7079B">
        <w:rPr>
          <w:szCs w:val="24"/>
        </w:rPr>
        <w:t>C</w:t>
      </w:r>
      <w:r w:rsidRPr="00F7079B">
        <w:rPr>
          <w:szCs w:val="24"/>
        </w:rPr>
        <w:t xml:space="preserve">ase </w:t>
      </w:r>
      <w:r w:rsidR="00D07DBA" w:rsidRPr="00F7079B">
        <w:rPr>
          <w:szCs w:val="24"/>
        </w:rPr>
        <w:t>M</w:t>
      </w:r>
      <w:r w:rsidRPr="00F7079B">
        <w:rPr>
          <w:szCs w:val="24"/>
        </w:rPr>
        <w:t>anager service which is at present being trialled, even though the expert opinion may come at a different stage.</w:t>
      </w:r>
    </w:p>
    <w:p w14:paraId="6B7C3856" w14:textId="30567806" w:rsidR="00FE7941" w:rsidRPr="00FE7941" w:rsidRDefault="00601004" w:rsidP="000D6792">
      <w:pPr>
        <w:pStyle w:val="Calloutbox"/>
        <w:spacing w:after="600"/>
        <w:rPr>
          <w:b w:val="0"/>
          <w:bCs/>
          <w:sz w:val="28"/>
          <w:szCs w:val="28"/>
        </w:rPr>
      </w:pPr>
      <w:r w:rsidRPr="009740B6">
        <w:rPr>
          <w:sz w:val="28"/>
        </w:rPr>
        <w:t>Recommendation 1</w:t>
      </w:r>
      <w:r w:rsidR="001C7940">
        <w:rPr>
          <w:sz w:val="28"/>
        </w:rPr>
        <w:t>1</w:t>
      </w:r>
      <w:r w:rsidRPr="009740B6">
        <w:rPr>
          <w:sz w:val="28"/>
        </w:rPr>
        <w:t>:</w:t>
      </w:r>
      <w:r>
        <w:rPr>
          <w:sz w:val="28"/>
        </w:rPr>
        <w:br/>
      </w:r>
      <w:r w:rsidRPr="009740B6">
        <w:rPr>
          <w:b w:val="0"/>
          <w:bCs/>
          <w:color w:val="000000" w:themeColor="text1"/>
          <w:sz w:val="28"/>
        </w:rPr>
        <w:t>That IP Australia set up and actively promote a non-binding expert opinion service, at a cost which is not prohibitive but consistent with its mission as a full cost-recovery agency.</w:t>
      </w:r>
    </w:p>
    <w:p w14:paraId="57E2DDF9" w14:textId="1295E1D0" w:rsidR="00342FF5" w:rsidRPr="00342FF5" w:rsidRDefault="00FE7941" w:rsidP="005E62C0">
      <w:pPr>
        <w:pStyle w:val="Heading3"/>
      </w:pPr>
      <w:r>
        <w:lastRenderedPageBreak/>
        <w:t>(</w:t>
      </w:r>
      <w:r w:rsidR="001C7940">
        <w:t>c</w:t>
      </w:r>
      <w:r>
        <w:t xml:space="preserve">) </w:t>
      </w:r>
      <w:r w:rsidR="00342FF5">
        <w:t>Arbitration</w:t>
      </w:r>
    </w:p>
    <w:p w14:paraId="448EB515" w14:textId="77777777" w:rsidR="0047699A" w:rsidRPr="00601004" w:rsidRDefault="002156B2" w:rsidP="0B763DEE">
      <w:pPr>
        <w:rPr>
          <w:rFonts w:cs="Arial (Body CS)"/>
          <w:spacing w:val="-2"/>
          <w:szCs w:val="24"/>
        </w:rPr>
      </w:pPr>
      <w:r w:rsidRPr="00601004">
        <w:rPr>
          <w:rFonts w:cs="Arial (Body CS)"/>
          <w:spacing w:val="-2"/>
          <w:szCs w:val="24"/>
        </w:rPr>
        <w:t>Arbitration is a procedure in which a dispute is submitted, by agreement of the parties, to one or more arbitrators who make a binding decision on the dispute. In choosing arbitration, the parties opt for a private dispute resolution procedure instead of going to court.</w:t>
      </w:r>
      <w:r w:rsidRPr="00601004">
        <w:rPr>
          <w:rStyle w:val="FootnoteReference"/>
          <w:rFonts w:cs="Arial (Body CS)"/>
          <w:spacing w:val="-2"/>
          <w:szCs w:val="24"/>
        </w:rPr>
        <w:footnoteReference w:id="71"/>
      </w:r>
      <w:r w:rsidR="0047699A" w:rsidRPr="00601004">
        <w:rPr>
          <w:rFonts w:cs="Arial (Body CS)"/>
          <w:spacing w:val="-2"/>
          <w:szCs w:val="24"/>
        </w:rPr>
        <w:t xml:space="preserve"> </w:t>
      </w:r>
    </w:p>
    <w:p w14:paraId="092D39F9" w14:textId="175B2BCE" w:rsidR="000D6792" w:rsidRDefault="0047699A" w:rsidP="0B763DEE">
      <w:pPr>
        <w:rPr>
          <w:szCs w:val="24"/>
        </w:rPr>
      </w:pPr>
      <w:r w:rsidRPr="00F7079B">
        <w:rPr>
          <w:szCs w:val="24"/>
        </w:rPr>
        <w:t xml:space="preserve">Despite its widespread acceptance in most areas of commercial law, there are some court cases </w:t>
      </w:r>
      <w:r w:rsidR="008C219D" w:rsidRPr="00F7079B">
        <w:rPr>
          <w:szCs w:val="24"/>
        </w:rPr>
        <w:t xml:space="preserve">which raise doubt over </w:t>
      </w:r>
      <w:r w:rsidRPr="00F7079B">
        <w:rPr>
          <w:szCs w:val="24"/>
        </w:rPr>
        <w:t>whether disputes concerning patent validity are arbitrable.</w:t>
      </w:r>
      <w:r w:rsidR="00DB10F1" w:rsidRPr="00F7079B">
        <w:rPr>
          <w:rStyle w:val="FootnoteReference"/>
          <w:szCs w:val="24"/>
        </w:rPr>
        <w:footnoteReference w:id="72"/>
      </w:r>
      <w:r w:rsidRPr="00F7079B">
        <w:rPr>
          <w:szCs w:val="24"/>
        </w:rPr>
        <w:t xml:space="preserve"> There is a broader public interest in the grant of patents</w:t>
      </w:r>
      <w:r w:rsidR="00D17C3B" w:rsidRPr="00F7079B">
        <w:rPr>
          <w:szCs w:val="24"/>
        </w:rPr>
        <w:t xml:space="preserve">. </w:t>
      </w:r>
      <w:r w:rsidR="001418DE" w:rsidRPr="00F7079B">
        <w:rPr>
          <w:szCs w:val="24"/>
        </w:rPr>
        <w:t>For this reason,</w:t>
      </w:r>
      <w:r w:rsidR="00D17C3B" w:rsidRPr="00F7079B">
        <w:rPr>
          <w:szCs w:val="24"/>
        </w:rPr>
        <w:t xml:space="preserve"> the question of whether to grant or revoke a patent is reserved for the Commissioner of Patents or a court.</w:t>
      </w:r>
    </w:p>
    <w:p w14:paraId="5C962BA9" w14:textId="005DAD99" w:rsidR="002156B2" w:rsidRPr="00F7079B" w:rsidRDefault="00D17C3B" w:rsidP="0B763DEE">
      <w:pPr>
        <w:rPr>
          <w:bCs/>
          <w:szCs w:val="24"/>
        </w:rPr>
      </w:pPr>
      <w:r w:rsidRPr="00F7079B">
        <w:rPr>
          <w:szCs w:val="24"/>
        </w:rPr>
        <w:t>However, we were told that in practice this was not an issue. Parties seeking to arbitrate will ensure that their arbitral agreement only binds the parties, and does not attempt to bind the Commissioner or the courts.</w:t>
      </w:r>
      <w:r w:rsidR="00DB10F1" w:rsidRPr="00F7079B">
        <w:rPr>
          <w:rStyle w:val="FootnoteReference"/>
          <w:szCs w:val="24"/>
        </w:rPr>
        <w:footnoteReference w:id="73"/>
      </w:r>
      <w:r w:rsidRPr="00F7079B">
        <w:rPr>
          <w:szCs w:val="24"/>
        </w:rPr>
        <w:t xml:space="preserve"> </w:t>
      </w:r>
      <w:r w:rsidR="00810976" w:rsidRPr="00F7079B">
        <w:rPr>
          <w:szCs w:val="24"/>
        </w:rPr>
        <w:t>Furthermore, if any doubt remains that patent disputes were arbitrable, this could be fixed with a legislative amendment.</w:t>
      </w:r>
      <w:r w:rsidR="00810976" w:rsidRPr="00F7079B">
        <w:rPr>
          <w:rStyle w:val="FootnoteReference"/>
          <w:szCs w:val="24"/>
        </w:rPr>
        <w:footnoteReference w:id="74"/>
      </w:r>
      <w:r w:rsidR="00810976" w:rsidRPr="00F7079B">
        <w:rPr>
          <w:szCs w:val="24"/>
        </w:rPr>
        <w:t xml:space="preserve"> </w:t>
      </w:r>
    </w:p>
    <w:p w14:paraId="053ABA34" w14:textId="509E3CF7" w:rsidR="00375117" w:rsidRPr="00F7079B" w:rsidRDefault="31BE5079" w:rsidP="0B763DEE">
      <w:pPr>
        <w:rPr>
          <w:szCs w:val="24"/>
        </w:rPr>
      </w:pPr>
      <w:r w:rsidRPr="00F7079B">
        <w:rPr>
          <w:szCs w:val="24"/>
        </w:rPr>
        <w:t>An</w:t>
      </w:r>
      <w:r w:rsidR="3F2CA680" w:rsidRPr="00F7079B">
        <w:rPr>
          <w:szCs w:val="24"/>
        </w:rPr>
        <w:t xml:space="preserve"> arbitration service should be managed at arm</w:t>
      </w:r>
      <w:r w:rsidR="4CC785F8" w:rsidRPr="00F7079B">
        <w:rPr>
          <w:szCs w:val="24"/>
        </w:rPr>
        <w:t>’s</w:t>
      </w:r>
      <w:r w:rsidR="3F2CA680" w:rsidRPr="00F7079B">
        <w:rPr>
          <w:szCs w:val="24"/>
        </w:rPr>
        <w:t xml:space="preserve"> length </w:t>
      </w:r>
      <w:r w:rsidR="05289A4B" w:rsidRPr="00F7079B">
        <w:rPr>
          <w:szCs w:val="24"/>
        </w:rPr>
        <w:t>by</w:t>
      </w:r>
      <w:r w:rsidR="05289A4B" w:rsidRPr="00F7079B" w:rsidDel="00494CE9">
        <w:rPr>
          <w:szCs w:val="24"/>
        </w:rPr>
        <w:t xml:space="preserve"> </w:t>
      </w:r>
      <w:r w:rsidR="00494CE9">
        <w:rPr>
          <w:szCs w:val="24"/>
        </w:rPr>
        <w:t>IP Australia</w:t>
      </w:r>
      <w:r w:rsidR="00625B9E" w:rsidRPr="00F7079B">
        <w:rPr>
          <w:szCs w:val="24"/>
        </w:rPr>
        <w:t>.</w:t>
      </w:r>
      <w:r w:rsidR="00635DDB" w:rsidRPr="00F7079B">
        <w:rPr>
          <w:szCs w:val="24"/>
        </w:rPr>
        <w:t xml:space="preserve"> </w:t>
      </w:r>
      <w:r w:rsidR="00625B9E" w:rsidRPr="00F7079B">
        <w:rPr>
          <w:szCs w:val="24"/>
        </w:rPr>
        <w:t>That is,</w:t>
      </w:r>
      <w:r w:rsidR="00494CE9">
        <w:rPr>
          <w:szCs w:val="24"/>
        </w:rPr>
        <w:t xml:space="preserve"> IP Australia</w:t>
      </w:r>
      <w:r w:rsidR="00625B9E" w:rsidRPr="00F7079B">
        <w:rPr>
          <w:szCs w:val="24"/>
        </w:rPr>
        <w:t xml:space="preserve"> should provide the facilities, rules and administrative support for arbitrations. However, the actual arbitrations should be conducted by independent arbitrators, not </w:t>
      </w:r>
      <w:r w:rsidR="00FF7976" w:rsidRPr="00F7079B">
        <w:rPr>
          <w:szCs w:val="24"/>
        </w:rPr>
        <w:t>by</w:t>
      </w:r>
      <w:r w:rsidR="00FF7976" w:rsidRPr="00F7079B" w:rsidDel="00494CE9">
        <w:rPr>
          <w:szCs w:val="24"/>
        </w:rPr>
        <w:t xml:space="preserve"> </w:t>
      </w:r>
      <w:r w:rsidR="00494CE9">
        <w:rPr>
          <w:szCs w:val="24"/>
        </w:rPr>
        <w:t>IP Australia</w:t>
      </w:r>
      <w:r w:rsidR="00625B9E" w:rsidRPr="00F7079B">
        <w:rPr>
          <w:szCs w:val="24"/>
        </w:rPr>
        <w:t xml:space="preserve"> staff. The arbitration</w:t>
      </w:r>
      <w:r w:rsidR="3F2CA680" w:rsidRPr="00F7079B">
        <w:rPr>
          <w:szCs w:val="24"/>
        </w:rPr>
        <w:t xml:space="preserve"> should operate swiftly and inexpensively.</w:t>
      </w:r>
      <w:r w:rsidR="5A66984F" w:rsidRPr="00F7079B">
        <w:rPr>
          <w:szCs w:val="24"/>
        </w:rPr>
        <w:t xml:space="preserve"> Its </w:t>
      </w:r>
      <w:r w:rsidR="00E21663" w:rsidRPr="00F7079B">
        <w:rPr>
          <w:szCs w:val="24"/>
        </w:rPr>
        <w:t>ai</w:t>
      </w:r>
      <w:r w:rsidR="00635DDB" w:rsidRPr="00F7079B">
        <w:rPr>
          <w:szCs w:val="24"/>
        </w:rPr>
        <w:t xml:space="preserve">m </w:t>
      </w:r>
      <w:r w:rsidR="5A66984F" w:rsidRPr="00F7079B">
        <w:rPr>
          <w:szCs w:val="24"/>
        </w:rPr>
        <w:t>should be to provide a focal point for the small and medium business community, so that it becomes clear that differences of opinion and legal conflict can be settled quickly and without requiring inordinately high expenditure</w:t>
      </w:r>
      <w:r w:rsidR="237E74C5" w:rsidRPr="00F7079B">
        <w:rPr>
          <w:szCs w:val="24"/>
        </w:rPr>
        <w:t>. O</w:t>
      </w:r>
      <w:r w:rsidR="5A66984F" w:rsidRPr="00F7079B">
        <w:rPr>
          <w:szCs w:val="24"/>
        </w:rPr>
        <w:t>ne of the purposes of establishing such a service is to send a message to the community and</w:t>
      </w:r>
      <w:r w:rsidR="00FF7976" w:rsidRPr="00F7079B">
        <w:rPr>
          <w:szCs w:val="24"/>
        </w:rPr>
        <w:t>,</w:t>
      </w:r>
      <w:r w:rsidR="5A66984F" w:rsidRPr="00F7079B">
        <w:rPr>
          <w:szCs w:val="24"/>
        </w:rPr>
        <w:t xml:space="preserve"> for this reason</w:t>
      </w:r>
      <w:r w:rsidR="00FF7976" w:rsidRPr="00F7079B">
        <w:rPr>
          <w:szCs w:val="24"/>
        </w:rPr>
        <w:t>,</w:t>
      </w:r>
      <w:r w:rsidR="5A66984F" w:rsidRPr="00F7079B">
        <w:rPr>
          <w:szCs w:val="24"/>
        </w:rPr>
        <w:t xml:space="preserve"> communication and marketing of the service is an essential part of the initiative</w:t>
      </w:r>
      <w:r w:rsidR="52AF624E" w:rsidRPr="00F7079B">
        <w:rPr>
          <w:szCs w:val="24"/>
        </w:rPr>
        <w:t>. A</w:t>
      </w:r>
      <w:r w:rsidR="5A66984F" w:rsidRPr="00F7079B">
        <w:rPr>
          <w:szCs w:val="24"/>
        </w:rPr>
        <w:t>ctive communication will be necessary if the intention is to reassure the SME community that the patent system is usable.</w:t>
      </w:r>
      <w:r w:rsidR="00BC045C">
        <w:rPr>
          <w:rStyle w:val="FootnoteReference"/>
          <w:szCs w:val="24"/>
        </w:rPr>
        <w:footnoteReference w:id="75"/>
      </w:r>
    </w:p>
    <w:p w14:paraId="7B429FED" w14:textId="54BD9D71" w:rsidR="00375117" w:rsidRPr="000D6792" w:rsidRDefault="28938DAD" w:rsidP="0B763DEE">
      <w:pPr>
        <w:rPr>
          <w:rFonts w:cs="Arial (Body CS)"/>
          <w:spacing w:val="-2"/>
          <w:szCs w:val="24"/>
        </w:rPr>
      </w:pPr>
      <w:r w:rsidRPr="000D6792">
        <w:rPr>
          <w:rFonts w:cs="Arial (Body CS)"/>
          <w:spacing w:val="-2"/>
          <w:szCs w:val="24"/>
        </w:rPr>
        <w:lastRenderedPageBreak/>
        <w:t>In relation to</w:t>
      </w:r>
      <w:r w:rsidR="5A66984F" w:rsidRPr="000D6792">
        <w:rPr>
          <w:rFonts w:cs="Arial (Body CS)"/>
          <w:spacing w:val="-2"/>
          <w:szCs w:val="24"/>
        </w:rPr>
        <w:t xml:space="preserve"> speed and cost, there is now widespread interest in the international </w:t>
      </w:r>
      <w:r w:rsidR="4C85DB23" w:rsidRPr="000D6792">
        <w:rPr>
          <w:rFonts w:cs="Arial (Body CS)"/>
          <w:spacing w:val="-2"/>
          <w:szCs w:val="24"/>
        </w:rPr>
        <w:t>community</w:t>
      </w:r>
      <w:r w:rsidR="5A66984F" w:rsidRPr="000D6792">
        <w:rPr>
          <w:rFonts w:cs="Arial (Body CS)"/>
          <w:spacing w:val="-2"/>
          <w:szCs w:val="24"/>
        </w:rPr>
        <w:t xml:space="preserve"> in trouble-free resolution </w:t>
      </w:r>
      <w:r w:rsidR="4915EAF0" w:rsidRPr="000D6792">
        <w:rPr>
          <w:rFonts w:cs="Arial (Body CS)"/>
          <w:spacing w:val="-2"/>
          <w:szCs w:val="24"/>
        </w:rPr>
        <w:t xml:space="preserve">of </w:t>
      </w:r>
      <w:r w:rsidR="5A66984F" w:rsidRPr="000D6792">
        <w:rPr>
          <w:rFonts w:cs="Arial (Body CS)"/>
          <w:spacing w:val="-2"/>
          <w:szCs w:val="24"/>
        </w:rPr>
        <w:t>patent disputes. Most parties (but not all) genuinely want clarity and want to dispel doubt o</w:t>
      </w:r>
      <w:r w:rsidR="60D1DC7A" w:rsidRPr="000D6792">
        <w:rPr>
          <w:rFonts w:cs="Arial (Body CS)"/>
          <w:spacing w:val="-2"/>
          <w:szCs w:val="24"/>
        </w:rPr>
        <w:t>ver t</w:t>
      </w:r>
      <w:r w:rsidR="5A66984F" w:rsidRPr="000D6792">
        <w:rPr>
          <w:rFonts w:cs="Arial (Body CS)"/>
          <w:spacing w:val="-2"/>
          <w:szCs w:val="24"/>
        </w:rPr>
        <w:t xml:space="preserve">he infringement or </w:t>
      </w:r>
      <w:r w:rsidR="46A376E1" w:rsidRPr="000D6792">
        <w:rPr>
          <w:rFonts w:cs="Arial (Body CS)"/>
          <w:spacing w:val="-2"/>
          <w:szCs w:val="24"/>
        </w:rPr>
        <w:t>v</w:t>
      </w:r>
      <w:r w:rsidR="5A66984F" w:rsidRPr="000D6792">
        <w:rPr>
          <w:rFonts w:cs="Arial (Body CS)"/>
          <w:spacing w:val="-2"/>
          <w:szCs w:val="24"/>
        </w:rPr>
        <w:t>alidity issues which confront them.</w:t>
      </w:r>
    </w:p>
    <w:p w14:paraId="62964583" w14:textId="2CF8997E" w:rsidR="00375117" w:rsidRPr="000D6792" w:rsidRDefault="5A66984F" w:rsidP="008E34D4">
      <w:pPr>
        <w:spacing w:after="360"/>
        <w:rPr>
          <w:rFonts w:cs="Arial (Body CS)"/>
          <w:spacing w:val="-2"/>
        </w:rPr>
      </w:pPr>
      <w:r w:rsidRPr="59A10D1C">
        <w:rPr>
          <w:rFonts w:cs="Arial (Body CS)"/>
          <w:spacing w:val="-2"/>
        </w:rPr>
        <w:t xml:space="preserve">Arbitration will often be tailored to the interests of the parties and their capacity to agree, and will sometimes have the character of </w:t>
      </w:r>
      <w:r w:rsidR="231FCFE3" w:rsidRPr="59A10D1C">
        <w:rPr>
          <w:rFonts w:cs="Arial (Body CS)"/>
          <w:spacing w:val="-2"/>
        </w:rPr>
        <w:t>a</w:t>
      </w:r>
      <w:r w:rsidRPr="59A10D1C">
        <w:rPr>
          <w:rFonts w:cs="Arial (Body CS)"/>
          <w:spacing w:val="-2"/>
        </w:rPr>
        <w:t xml:space="preserve"> commercial settlement. </w:t>
      </w:r>
      <w:r w:rsidR="64440ECC" w:rsidRPr="59A10D1C">
        <w:rPr>
          <w:rFonts w:cs="Arial (Body CS)"/>
          <w:spacing w:val="-2"/>
        </w:rPr>
        <w:t>For t</w:t>
      </w:r>
      <w:r w:rsidRPr="59A10D1C">
        <w:rPr>
          <w:rFonts w:cs="Arial (Body CS)"/>
          <w:spacing w:val="-2"/>
        </w:rPr>
        <w:t>his reason</w:t>
      </w:r>
      <w:r w:rsidR="003F37DD" w:rsidRPr="59A10D1C">
        <w:rPr>
          <w:rFonts w:cs="Arial (Body CS)"/>
          <w:spacing w:val="-2"/>
        </w:rPr>
        <w:t>,</w:t>
      </w:r>
      <w:r w:rsidRPr="59A10D1C">
        <w:rPr>
          <w:rFonts w:cs="Arial (Body CS)"/>
          <w:spacing w:val="-2"/>
        </w:rPr>
        <w:t xml:space="preserve"> a</w:t>
      </w:r>
      <w:r w:rsidR="00240DC4" w:rsidRPr="59A10D1C">
        <w:rPr>
          <w:rFonts w:cs="Arial (Body CS)"/>
          <w:spacing w:val="-2"/>
        </w:rPr>
        <w:t>rbitration has its limitations</w:t>
      </w:r>
      <w:r w:rsidR="003F37DD" w:rsidRPr="59A10D1C">
        <w:rPr>
          <w:rFonts w:cs="Arial (Body CS)"/>
          <w:spacing w:val="-2"/>
        </w:rPr>
        <w:t xml:space="preserve"> </w:t>
      </w:r>
      <w:r w:rsidR="00BC3F9C" w:rsidRPr="59A10D1C">
        <w:rPr>
          <w:rFonts w:cs="Arial (Body CS)"/>
          <w:spacing w:val="-2"/>
        </w:rPr>
        <w:t>–</w:t>
      </w:r>
      <w:r w:rsidR="00B5659A" w:rsidRPr="59A10D1C">
        <w:rPr>
          <w:rFonts w:cs="Arial (Body CS)"/>
          <w:spacing w:val="-2"/>
        </w:rPr>
        <w:t xml:space="preserve"> </w:t>
      </w:r>
      <w:r w:rsidR="00A74C21" w:rsidRPr="0020157F">
        <w:rPr>
          <w:rFonts w:ascii="Calibri" w:eastAsia="Calibri" w:hAnsi="Calibri" w:cs="Calibri"/>
        </w:rPr>
        <w:t>in that the decision is only binding on the parties to the dispute.</w:t>
      </w:r>
      <w:r w:rsidR="00861044" w:rsidRPr="59A10D1C">
        <w:rPr>
          <w:rFonts w:cs="Arial (Body CS)"/>
          <w:spacing w:val="-2"/>
        </w:rPr>
        <w:t xml:space="preserve"> </w:t>
      </w:r>
      <w:r w:rsidRPr="59A10D1C">
        <w:rPr>
          <w:rFonts w:cs="Arial (Body CS)"/>
          <w:spacing w:val="-2"/>
        </w:rPr>
        <w:t>Nevertheless</w:t>
      </w:r>
      <w:r w:rsidR="003F37DD" w:rsidRPr="59A10D1C">
        <w:rPr>
          <w:rFonts w:cs="Arial (Body CS)"/>
          <w:spacing w:val="-2"/>
        </w:rPr>
        <w:t>,</w:t>
      </w:r>
      <w:r w:rsidRPr="59A10D1C">
        <w:rPr>
          <w:rFonts w:cs="Arial (Body CS)"/>
          <w:spacing w:val="-2"/>
        </w:rPr>
        <w:t xml:space="preserve"> the mere existence of a quick and decisive way of settling a dispute should help create a more</w:t>
      </w:r>
      <w:r w:rsidR="002156B2" w:rsidRPr="59A10D1C">
        <w:rPr>
          <w:rFonts w:cs="Arial (Body CS)"/>
          <w:spacing w:val="-2"/>
        </w:rPr>
        <w:t xml:space="preserve"> user-</w:t>
      </w:r>
      <w:r w:rsidRPr="59A10D1C">
        <w:rPr>
          <w:rFonts w:cs="Arial (Body CS)"/>
          <w:spacing w:val="-2"/>
        </w:rPr>
        <w:t>friendly IP culture</w:t>
      </w:r>
      <w:r w:rsidR="002156B2" w:rsidRPr="59A10D1C">
        <w:rPr>
          <w:rFonts w:cs="Arial (Body CS)"/>
          <w:spacing w:val="-2"/>
        </w:rPr>
        <w:t xml:space="preserve"> for SMEs.</w:t>
      </w:r>
    </w:p>
    <w:p w14:paraId="05730B41" w14:textId="21DF7C9D" w:rsidR="000D6792" w:rsidRDefault="000D6792" w:rsidP="008E34D4">
      <w:pPr>
        <w:pStyle w:val="Calloutbox"/>
        <w:spacing w:after="240"/>
        <w:rPr>
          <w:sz w:val="28"/>
        </w:rPr>
      </w:pPr>
      <w:r w:rsidRPr="009740B6">
        <w:rPr>
          <w:sz w:val="28"/>
        </w:rPr>
        <w:t>Recommendation 1</w:t>
      </w:r>
      <w:r w:rsidR="001C7940">
        <w:rPr>
          <w:sz w:val="28"/>
        </w:rPr>
        <w:t>2</w:t>
      </w:r>
      <w:r w:rsidRPr="009740B6">
        <w:rPr>
          <w:sz w:val="28"/>
        </w:rPr>
        <w:t>:</w:t>
      </w:r>
      <w:r w:rsidR="00F91741">
        <w:rPr>
          <w:sz w:val="28"/>
        </w:rPr>
        <w:br/>
      </w:r>
      <w:r w:rsidRPr="009740B6">
        <w:rPr>
          <w:b w:val="0"/>
          <w:bCs/>
          <w:color w:val="000000" w:themeColor="text1"/>
          <w:sz w:val="28"/>
        </w:rPr>
        <w:t>That IP Australia set up an arbitration service designed to settle patent disputes quickly and at low cost.</w:t>
      </w:r>
      <w:r w:rsidR="000A5BD4" w:rsidRPr="00585B6B">
        <w:rPr>
          <w:sz w:val="28"/>
        </w:rPr>
        <w:t xml:space="preserve"> </w:t>
      </w:r>
    </w:p>
    <w:p w14:paraId="2B70F617" w14:textId="5620A4A4" w:rsidR="00034A4E" w:rsidRPr="00F7079B" w:rsidRDefault="00034A4E" w:rsidP="00034A4E">
      <w:pPr>
        <w:rPr>
          <w:szCs w:val="24"/>
        </w:rPr>
      </w:pPr>
      <w:r w:rsidRPr="00F7079B">
        <w:rPr>
          <w:szCs w:val="24"/>
        </w:rPr>
        <w:t xml:space="preserve">With regard to international issues, the World Intellectual Property Organization (WIPO) does offer an arbitration service </w:t>
      </w:r>
      <w:r w:rsidR="00A74C21">
        <w:rPr>
          <w:szCs w:val="24"/>
        </w:rPr>
        <w:t>which can hear both national and</w:t>
      </w:r>
      <w:r w:rsidRPr="00F7079B">
        <w:rPr>
          <w:szCs w:val="24"/>
        </w:rPr>
        <w:t xml:space="preserve"> international </w:t>
      </w:r>
      <w:r w:rsidR="00A74C21">
        <w:rPr>
          <w:szCs w:val="24"/>
        </w:rPr>
        <w:t>disputes</w:t>
      </w:r>
      <w:r w:rsidRPr="00F7079B">
        <w:rPr>
          <w:szCs w:val="24"/>
        </w:rPr>
        <w:t xml:space="preserve">. Australia should develop its cooperation with WIPO and take steps to </w:t>
      </w:r>
      <w:r w:rsidR="00A74C21">
        <w:rPr>
          <w:szCs w:val="24"/>
        </w:rPr>
        <w:t>promote and facilitate</w:t>
      </w:r>
      <w:r w:rsidR="00A74C21" w:rsidRPr="00F7079B">
        <w:rPr>
          <w:szCs w:val="24"/>
        </w:rPr>
        <w:t xml:space="preserve"> </w:t>
      </w:r>
      <w:r w:rsidRPr="00F7079B">
        <w:rPr>
          <w:szCs w:val="24"/>
        </w:rPr>
        <w:t>its arbitration service be</w:t>
      </w:r>
      <w:r w:rsidR="00A74C21">
        <w:rPr>
          <w:szCs w:val="24"/>
        </w:rPr>
        <w:t>ing</w:t>
      </w:r>
      <w:r w:rsidRPr="00F7079B">
        <w:rPr>
          <w:szCs w:val="24"/>
        </w:rPr>
        <w:t xml:space="preserve"> offered in Australia, in association with</w:t>
      </w:r>
      <w:r w:rsidR="00494CE9">
        <w:rPr>
          <w:szCs w:val="24"/>
        </w:rPr>
        <w:t xml:space="preserve"> IP Australia</w:t>
      </w:r>
      <w:r w:rsidRPr="00F7079B">
        <w:rPr>
          <w:szCs w:val="24"/>
        </w:rPr>
        <w:t>. The WIPO arbitration service is described at this website.</w:t>
      </w:r>
      <w:r w:rsidRPr="00F7079B">
        <w:rPr>
          <w:rStyle w:val="FootnoteReference"/>
          <w:szCs w:val="24"/>
        </w:rPr>
        <w:footnoteReference w:id="76"/>
      </w:r>
    </w:p>
    <w:p w14:paraId="279DA421" w14:textId="16F1A1B6" w:rsidR="00034A4E" w:rsidRPr="00F7079B" w:rsidRDefault="00034A4E" w:rsidP="008E34D4">
      <w:pPr>
        <w:spacing w:after="360"/>
        <w:rPr>
          <w:szCs w:val="24"/>
        </w:rPr>
      </w:pPr>
      <w:r w:rsidRPr="00F7079B">
        <w:rPr>
          <w:szCs w:val="24"/>
        </w:rPr>
        <w:t xml:space="preserve">It also places an emphasis on speed and limited expense. If the WIPO service </w:t>
      </w:r>
      <w:r w:rsidR="00E57903">
        <w:rPr>
          <w:szCs w:val="24"/>
        </w:rPr>
        <w:t>were used in Australia</w:t>
      </w:r>
      <w:r w:rsidRPr="00F7079B">
        <w:rPr>
          <w:szCs w:val="24"/>
        </w:rPr>
        <w:t xml:space="preserve">, it may encourage a further degree of internationalisation of Australian patents, which in all likelihood is sorely needed. This could be a small step in encouraging the export of Australian IP. </w:t>
      </w:r>
      <w:r w:rsidR="00E3043B" w:rsidRPr="00F7079B">
        <w:rPr>
          <w:szCs w:val="24"/>
        </w:rPr>
        <w:t>And t</w:t>
      </w:r>
      <w:r w:rsidRPr="00F7079B">
        <w:rPr>
          <w:szCs w:val="24"/>
        </w:rPr>
        <w:t>here is no problem about</w:t>
      </w:r>
      <w:r w:rsidR="00494CE9">
        <w:rPr>
          <w:szCs w:val="24"/>
        </w:rPr>
        <w:t xml:space="preserve"> IP Australia</w:t>
      </w:r>
      <w:r w:rsidRPr="00F7079B">
        <w:rPr>
          <w:szCs w:val="24"/>
        </w:rPr>
        <w:t xml:space="preserve"> offering a similar service: the two can compete.</w:t>
      </w:r>
    </w:p>
    <w:p w14:paraId="29E59996" w14:textId="00404F92" w:rsidR="0053235B" w:rsidRPr="009740B6" w:rsidRDefault="0053235B" w:rsidP="0053235B">
      <w:pPr>
        <w:pStyle w:val="Calloutbox"/>
        <w:rPr>
          <w:sz w:val="28"/>
        </w:rPr>
      </w:pPr>
      <w:r w:rsidRPr="009740B6">
        <w:rPr>
          <w:sz w:val="28"/>
        </w:rPr>
        <w:t>Recommendation 1</w:t>
      </w:r>
      <w:r w:rsidR="001C7940">
        <w:rPr>
          <w:sz w:val="28"/>
        </w:rPr>
        <w:t>3</w:t>
      </w:r>
      <w:r w:rsidRPr="009740B6">
        <w:rPr>
          <w:sz w:val="28"/>
        </w:rPr>
        <w:t>:</w:t>
      </w:r>
    </w:p>
    <w:p w14:paraId="32CB6E2C" w14:textId="414E6B45" w:rsidR="008E34D4" w:rsidRPr="008E34D4" w:rsidRDefault="0053235B" w:rsidP="008E34D4">
      <w:pPr>
        <w:pStyle w:val="Calloutbox"/>
        <w:spacing w:after="600"/>
        <w:rPr>
          <w:b w:val="0"/>
          <w:bCs/>
          <w:color w:val="000000" w:themeColor="text1"/>
          <w:sz w:val="28"/>
        </w:rPr>
      </w:pPr>
      <w:r w:rsidRPr="009740B6">
        <w:rPr>
          <w:b w:val="0"/>
          <w:bCs/>
          <w:color w:val="000000" w:themeColor="text1"/>
          <w:sz w:val="28"/>
        </w:rPr>
        <w:t>That IP Australia seek to cooperate with the W</w:t>
      </w:r>
      <w:r w:rsidR="00DD3C7D" w:rsidRPr="009740B6">
        <w:rPr>
          <w:b w:val="0"/>
          <w:bCs/>
          <w:color w:val="000000" w:themeColor="text1"/>
          <w:sz w:val="28"/>
        </w:rPr>
        <w:t>orld</w:t>
      </w:r>
      <w:r w:rsidR="00DD3C7D">
        <w:rPr>
          <w:b w:val="0"/>
          <w:bCs/>
          <w:color w:val="000000" w:themeColor="text1"/>
          <w:sz w:val="28"/>
        </w:rPr>
        <w:t xml:space="preserve"> </w:t>
      </w:r>
      <w:r w:rsidR="00DD3C7D" w:rsidRPr="009740B6">
        <w:rPr>
          <w:b w:val="0"/>
          <w:bCs/>
          <w:color w:val="000000" w:themeColor="text1"/>
          <w:sz w:val="28"/>
        </w:rPr>
        <w:t>Intellectual</w:t>
      </w:r>
      <w:r w:rsidR="00DD3C7D">
        <w:rPr>
          <w:b w:val="0"/>
          <w:bCs/>
          <w:color w:val="000000" w:themeColor="text1"/>
          <w:sz w:val="28"/>
        </w:rPr>
        <w:t xml:space="preserve"> </w:t>
      </w:r>
      <w:r w:rsidR="00DD3C7D" w:rsidRPr="009740B6">
        <w:rPr>
          <w:b w:val="0"/>
          <w:bCs/>
          <w:color w:val="000000" w:themeColor="text1"/>
          <w:sz w:val="28"/>
        </w:rPr>
        <w:t>Property</w:t>
      </w:r>
      <w:r w:rsidR="00DD3C7D">
        <w:rPr>
          <w:b w:val="0"/>
          <w:bCs/>
          <w:color w:val="000000" w:themeColor="text1"/>
          <w:sz w:val="28"/>
        </w:rPr>
        <w:t xml:space="preserve"> </w:t>
      </w:r>
      <w:r w:rsidR="00DD3C7D" w:rsidRPr="009740B6">
        <w:rPr>
          <w:b w:val="0"/>
          <w:bCs/>
          <w:color w:val="000000" w:themeColor="text1"/>
          <w:sz w:val="28"/>
        </w:rPr>
        <w:t>Organization</w:t>
      </w:r>
      <w:r w:rsidR="00DD3C7D">
        <w:rPr>
          <w:b w:val="0"/>
          <w:bCs/>
          <w:color w:val="000000" w:themeColor="text1"/>
          <w:sz w:val="28"/>
        </w:rPr>
        <w:t xml:space="preserve"> </w:t>
      </w:r>
      <w:r w:rsidRPr="009740B6">
        <w:rPr>
          <w:b w:val="0"/>
          <w:bCs/>
          <w:color w:val="000000" w:themeColor="text1"/>
          <w:sz w:val="28"/>
        </w:rPr>
        <w:t>(WIPO) in facilitating the possibility of WIPO arbitration in Australia for parties with transnational patent issues, or who seek an arbitration of known international standing.</w:t>
      </w:r>
      <w:r w:rsidR="008E34D4">
        <w:rPr>
          <w:sz w:val="28"/>
        </w:rPr>
        <w:br w:type="page"/>
      </w:r>
    </w:p>
    <w:p w14:paraId="087DED5C" w14:textId="5006DFFB" w:rsidR="0053235B" w:rsidRPr="009740B6" w:rsidRDefault="0053235B" w:rsidP="0053235B">
      <w:pPr>
        <w:pStyle w:val="Calloutbox"/>
        <w:rPr>
          <w:sz w:val="28"/>
        </w:rPr>
      </w:pPr>
      <w:r w:rsidRPr="009740B6">
        <w:rPr>
          <w:sz w:val="28"/>
        </w:rPr>
        <w:lastRenderedPageBreak/>
        <w:t>Recommendation 1</w:t>
      </w:r>
      <w:r w:rsidR="001C7940">
        <w:rPr>
          <w:sz w:val="28"/>
        </w:rPr>
        <w:t>4</w:t>
      </w:r>
      <w:r w:rsidRPr="009740B6">
        <w:rPr>
          <w:sz w:val="28"/>
        </w:rPr>
        <w:t>:</w:t>
      </w:r>
    </w:p>
    <w:p w14:paraId="0A48C8BB" w14:textId="121D1E30" w:rsidR="00034A4E" w:rsidRPr="00585B6B" w:rsidRDefault="0053235B" w:rsidP="0053235B">
      <w:pPr>
        <w:pStyle w:val="Calloutbox"/>
        <w:spacing w:after="480"/>
        <w:rPr>
          <w:sz w:val="28"/>
        </w:rPr>
      </w:pPr>
      <w:r w:rsidRPr="009740B6">
        <w:rPr>
          <w:b w:val="0"/>
          <w:bCs/>
          <w:color w:val="000000" w:themeColor="text1"/>
          <w:sz w:val="28"/>
        </w:rPr>
        <w:t xml:space="preserve">That IP Australia add to its model contract in the IP toolkit a recommendation that parties agree to a dispute resolution method, possibly including an option to adopt the IP Australia arbitration process or the </w:t>
      </w:r>
      <w:r w:rsidR="00DD3C7D" w:rsidRPr="009740B6">
        <w:rPr>
          <w:b w:val="0"/>
          <w:bCs/>
          <w:color w:val="000000" w:themeColor="text1"/>
          <w:sz w:val="28"/>
        </w:rPr>
        <w:t>World</w:t>
      </w:r>
      <w:r w:rsidR="00DD3C7D">
        <w:rPr>
          <w:rStyle w:val="CommentReference"/>
          <w:b w:val="0"/>
          <w:color w:val="auto"/>
        </w:rPr>
        <w:t xml:space="preserve"> </w:t>
      </w:r>
      <w:r w:rsidR="00DD3C7D" w:rsidRPr="009740B6">
        <w:rPr>
          <w:b w:val="0"/>
          <w:bCs/>
          <w:color w:val="000000" w:themeColor="text1"/>
          <w:sz w:val="28"/>
        </w:rPr>
        <w:t>Intellectual</w:t>
      </w:r>
      <w:r w:rsidR="00DD3C7D">
        <w:rPr>
          <w:b w:val="0"/>
          <w:bCs/>
          <w:color w:val="000000" w:themeColor="text1"/>
          <w:sz w:val="28"/>
        </w:rPr>
        <w:t xml:space="preserve"> </w:t>
      </w:r>
      <w:r w:rsidR="00DD3C7D" w:rsidRPr="009740B6">
        <w:rPr>
          <w:b w:val="0"/>
          <w:bCs/>
          <w:color w:val="000000" w:themeColor="text1"/>
          <w:sz w:val="28"/>
        </w:rPr>
        <w:t>Property</w:t>
      </w:r>
      <w:r w:rsidR="00DD3C7D">
        <w:rPr>
          <w:b w:val="0"/>
          <w:bCs/>
          <w:color w:val="000000" w:themeColor="text1"/>
          <w:sz w:val="28"/>
        </w:rPr>
        <w:t xml:space="preserve"> </w:t>
      </w:r>
      <w:r w:rsidRPr="009740B6">
        <w:rPr>
          <w:b w:val="0"/>
          <w:bCs/>
          <w:color w:val="000000" w:themeColor="text1"/>
          <w:sz w:val="28"/>
        </w:rPr>
        <w:t>Organisation arbitration process, should these two possibilities be established.</w:t>
      </w:r>
    </w:p>
    <w:p w14:paraId="4B3278CB" w14:textId="77777777" w:rsidR="00B62DCC" w:rsidRDefault="00B62DCC">
      <w:pPr>
        <w:spacing w:before="0" w:after="160"/>
        <w:rPr>
          <w:rFonts w:asciiTheme="majorHAnsi" w:eastAsiaTheme="majorEastAsia" w:hAnsiTheme="majorHAnsi" w:cstheme="majorBidi"/>
          <w:color w:val="005677" w:themeColor="text2"/>
          <w:sz w:val="48"/>
          <w:szCs w:val="32"/>
        </w:rPr>
      </w:pPr>
      <w:bookmarkStart w:id="304" w:name="_Toc59109344"/>
      <w:bookmarkStart w:id="305" w:name="_Toc60760639"/>
      <w:bookmarkStart w:id="306" w:name="_Toc60834825"/>
      <w:bookmarkStart w:id="307" w:name="_Toc60836775"/>
      <w:bookmarkStart w:id="308" w:name="_Toc60997763"/>
      <w:bookmarkStart w:id="309" w:name="_Toc61015577"/>
      <w:bookmarkStart w:id="310" w:name="_Toc61269609"/>
      <w:bookmarkStart w:id="311" w:name="_Toc61356717"/>
      <w:r>
        <w:br w:type="page"/>
      </w:r>
    </w:p>
    <w:p w14:paraId="0F0EA9FB" w14:textId="43A5D03C" w:rsidR="00B4578A" w:rsidRDefault="00A543B4" w:rsidP="00102432">
      <w:pPr>
        <w:pStyle w:val="Heading1"/>
      </w:pPr>
      <w:bookmarkStart w:id="312" w:name="_Toc65159327"/>
      <w:r w:rsidRPr="00A7404F">
        <w:lastRenderedPageBreak/>
        <w:t>1</w:t>
      </w:r>
      <w:r w:rsidR="00A7404F" w:rsidRPr="00585B6B">
        <w:t>7</w:t>
      </w:r>
      <w:r w:rsidRPr="00A7404F">
        <w:t xml:space="preserve"> </w:t>
      </w:r>
      <w:r w:rsidR="00B4578A" w:rsidRPr="00A7404F">
        <w:t>Government</w:t>
      </w:r>
      <w:r w:rsidR="00B4578A" w:rsidRPr="00FD3424">
        <w:t xml:space="preserve"> </w:t>
      </w:r>
      <w:r w:rsidR="00452454">
        <w:t>c</w:t>
      </w:r>
      <w:r w:rsidR="3A380790">
        <w:t xml:space="preserve">ommercial </w:t>
      </w:r>
      <w:r w:rsidR="00452454">
        <w:t>i</w:t>
      </w:r>
      <w:r w:rsidR="00B4578A" w:rsidRPr="00FD3424">
        <w:t>ntervention</w:t>
      </w:r>
      <w:bookmarkEnd w:id="304"/>
      <w:bookmarkEnd w:id="305"/>
      <w:bookmarkEnd w:id="306"/>
      <w:bookmarkEnd w:id="307"/>
      <w:bookmarkEnd w:id="308"/>
      <w:bookmarkEnd w:id="309"/>
      <w:bookmarkEnd w:id="310"/>
      <w:bookmarkEnd w:id="311"/>
      <w:bookmarkEnd w:id="312"/>
    </w:p>
    <w:p w14:paraId="0850CCA2" w14:textId="1A70DA19" w:rsidR="00FE7941" w:rsidRDefault="00FE7941" w:rsidP="00FE7941">
      <w:pPr>
        <w:pStyle w:val="Heading2"/>
      </w:pPr>
      <w:r>
        <w:t xml:space="preserve">(i) </w:t>
      </w:r>
      <w:r w:rsidR="00725A46" w:rsidRPr="072FCA73">
        <w:t xml:space="preserve">Research and </w:t>
      </w:r>
      <w:r w:rsidR="00725A46" w:rsidRPr="00FE7941">
        <w:t>Development</w:t>
      </w:r>
      <w:r w:rsidR="00725A46" w:rsidRPr="072FCA73">
        <w:t xml:space="preserve"> Tax Incentive</w:t>
      </w:r>
      <w:r w:rsidR="0037642B">
        <w:t xml:space="preserve"> Scheme</w:t>
      </w:r>
    </w:p>
    <w:p w14:paraId="475D529F" w14:textId="252679AE" w:rsidR="006014CD" w:rsidRPr="00F7079B" w:rsidRDefault="009F4059" w:rsidP="00A86C8F">
      <w:pPr>
        <w:rPr>
          <w:szCs w:val="24"/>
        </w:rPr>
      </w:pPr>
      <w:r w:rsidRPr="00F7079B">
        <w:rPr>
          <w:szCs w:val="24"/>
        </w:rPr>
        <w:t xml:space="preserve">The review considered </w:t>
      </w:r>
      <w:r w:rsidR="009A39D3" w:rsidRPr="00F7079B">
        <w:rPr>
          <w:szCs w:val="24"/>
        </w:rPr>
        <w:t xml:space="preserve">a variety of suggestions from respondents </w:t>
      </w:r>
      <w:r w:rsidR="00B91406" w:rsidRPr="00F7079B">
        <w:rPr>
          <w:szCs w:val="24"/>
        </w:rPr>
        <w:t xml:space="preserve">about government subsidy for the patent process, including comments on </w:t>
      </w:r>
      <w:r w:rsidR="00553EAC" w:rsidRPr="00F7079B">
        <w:rPr>
          <w:szCs w:val="24"/>
        </w:rPr>
        <w:t>recent changes to the Research</w:t>
      </w:r>
      <w:r w:rsidR="00DD3C7D">
        <w:rPr>
          <w:szCs w:val="24"/>
        </w:rPr>
        <w:t xml:space="preserve"> </w:t>
      </w:r>
      <w:r w:rsidR="00DD3C7D" w:rsidRPr="00F7079B">
        <w:rPr>
          <w:szCs w:val="24"/>
        </w:rPr>
        <w:t>and</w:t>
      </w:r>
      <w:r w:rsidR="00DD3C7D">
        <w:rPr>
          <w:szCs w:val="24"/>
        </w:rPr>
        <w:t xml:space="preserve"> </w:t>
      </w:r>
      <w:r w:rsidR="00DD3C7D" w:rsidRPr="00F7079B">
        <w:rPr>
          <w:szCs w:val="24"/>
        </w:rPr>
        <w:t>Development</w:t>
      </w:r>
      <w:r w:rsidR="00DD3C7D">
        <w:rPr>
          <w:szCs w:val="24"/>
        </w:rPr>
        <w:t xml:space="preserve"> </w:t>
      </w:r>
      <w:r w:rsidR="00DD3C7D" w:rsidRPr="00F7079B">
        <w:rPr>
          <w:szCs w:val="24"/>
        </w:rPr>
        <w:t>Tax</w:t>
      </w:r>
      <w:r w:rsidR="00DD3C7D">
        <w:rPr>
          <w:szCs w:val="24"/>
        </w:rPr>
        <w:t xml:space="preserve"> </w:t>
      </w:r>
      <w:r w:rsidR="00DD3C7D" w:rsidRPr="00F7079B">
        <w:rPr>
          <w:szCs w:val="24"/>
        </w:rPr>
        <w:t>Incentive</w:t>
      </w:r>
      <w:r w:rsidR="00DD3C7D">
        <w:rPr>
          <w:szCs w:val="24"/>
        </w:rPr>
        <w:t xml:space="preserve"> </w:t>
      </w:r>
      <w:r w:rsidR="00553EAC" w:rsidRPr="00F7079B">
        <w:rPr>
          <w:szCs w:val="24"/>
        </w:rPr>
        <w:t>(RDTI)</w:t>
      </w:r>
      <w:r w:rsidR="005E07A6" w:rsidRPr="00F7079B">
        <w:rPr>
          <w:szCs w:val="24"/>
        </w:rPr>
        <w:t>.</w:t>
      </w:r>
    </w:p>
    <w:p w14:paraId="453C9368" w14:textId="3076A9D8" w:rsidR="00A86C8F" w:rsidRPr="00F7079B" w:rsidRDefault="00A86C8F" w:rsidP="00A86C8F">
      <w:pPr>
        <w:rPr>
          <w:szCs w:val="24"/>
        </w:rPr>
      </w:pPr>
      <w:r w:rsidRPr="00F7079B">
        <w:rPr>
          <w:szCs w:val="24"/>
        </w:rPr>
        <w:t xml:space="preserve">A 2016 review of the </w:t>
      </w:r>
      <w:r w:rsidR="005E07A6" w:rsidRPr="00F7079B">
        <w:rPr>
          <w:szCs w:val="24"/>
        </w:rPr>
        <w:t>RDTI</w:t>
      </w:r>
      <w:r w:rsidRPr="00F7079B">
        <w:rPr>
          <w:szCs w:val="24"/>
        </w:rPr>
        <w:t xml:space="preserve"> found that the definition of ‘eligible R&amp;D’ was fit for purpose and aligned with international best practice</w:t>
      </w:r>
      <w:r w:rsidR="00903540" w:rsidRPr="00F7079B">
        <w:rPr>
          <w:szCs w:val="24"/>
        </w:rPr>
        <w:t>:</w:t>
      </w:r>
      <w:r w:rsidR="00B549CE" w:rsidRPr="00F7079B">
        <w:rPr>
          <w:szCs w:val="24"/>
        </w:rPr>
        <w:t xml:space="preserve"> t</w:t>
      </w:r>
      <w:r w:rsidRPr="00F7079B">
        <w:rPr>
          <w:szCs w:val="24"/>
        </w:rPr>
        <w:t xml:space="preserve">he </w:t>
      </w:r>
      <w:r w:rsidR="00EB0FCC">
        <w:rPr>
          <w:szCs w:val="24"/>
        </w:rPr>
        <w:t xml:space="preserve">Australian </w:t>
      </w:r>
      <w:r w:rsidRPr="00F7079B">
        <w:rPr>
          <w:szCs w:val="24"/>
        </w:rPr>
        <w:t xml:space="preserve">Government accepted this recommendation and no change was made to the definition at that time. </w:t>
      </w:r>
      <w:r w:rsidR="00A70C3A" w:rsidRPr="00F7079B">
        <w:rPr>
          <w:szCs w:val="24"/>
        </w:rPr>
        <w:t>More recently</w:t>
      </w:r>
      <w:r w:rsidRPr="00F7079B">
        <w:rPr>
          <w:szCs w:val="24"/>
        </w:rPr>
        <w:t xml:space="preserve">, in consideration of the impacts of COVID-19 on business investment in R&amp;D, the government again considered the RDTI scheme and legislated enhanced reforms through the </w:t>
      </w:r>
      <w:r w:rsidRPr="00F7079B">
        <w:rPr>
          <w:i/>
          <w:iCs/>
          <w:szCs w:val="24"/>
        </w:rPr>
        <w:t>Treasury</w:t>
      </w:r>
      <w:r w:rsidR="00695C97">
        <w:rPr>
          <w:i/>
          <w:iCs/>
          <w:szCs w:val="24"/>
        </w:rPr>
        <w:t> </w:t>
      </w:r>
      <w:r w:rsidRPr="00F7079B">
        <w:rPr>
          <w:i/>
          <w:iCs/>
          <w:szCs w:val="24"/>
        </w:rPr>
        <w:t>Laws</w:t>
      </w:r>
      <w:r w:rsidR="00695C97">
        <w:rPr>
          <w:i/>
          <w:iCs/>
          <w:szCs w:val="24"/>
        </w:rPr>
        <w:t> </w:t>
      </w:r>
      <w:r w:rsidRPr="00F7079B">
        <w:rPr>
          <w:i/>
          <w:iCs/>
          <w:szCs w:val="24"/>
        </w:rPr>
        <w:t>Amendment</w:t>
      </w:r>
      <w:r w:rsidR="00695C97">
        <w:rPr>
          <w:i/>
          <w:iCs/>
          <w:szCs w:val="24"/>
        </w:rPr>
        <w:t> </w:t>
      </w:r>
      <w:r w:rsidRPr="00F7079B">
        <w:rPr>
          <w:i/>
          <w:iCs/>
          <w:szCs w:val="24"/>
        </w:rPr>
        <w:t>(A Plan for the COVID19 Economic Recovery) Act 2020</w:t>
      </w:r>
      <w:r w:rsidRPr="00F7079B">
        <w:rPr>
          <w:szCs w:val="24"/>
        </w:rPr>
        <w:t xml:space="preserve">. </w:t>
      </w:r>
    </w:p>
    <w:p w14:paraId="0C2B90F9" w14:textId="531CB0EC" w:rsidR="00A86C8F" w:rsidRPr="00F7079B" w:rsidRDefault="00A86C8F" w:rsidP="00A86C8F">
      <w:r w:rsidRPr="5F6745F0">
        <w:t>The</w:t>
      </w:r>
      <w:r w:rsidR="00A70C3A" w:rsidRPr="5F6745F0">
        <w:t>se</w:t>
      </w:r>
      <w:r w:rsidRPr="5F6745F0">
        <w:t xml:space="preserve"> changes to the</w:t>
      </w:r>
      <w:r w:rsidR="426CA203" w:rsidRPr="5F6745F0">
        <w:t xml:space="preserve"> </w:t>
      </w:r>
      <w:r w:rsidRPr="5F6745F0">
        <w:t>RDTI Scheme were frequently mentioned</w:t>
      </w:r>
      <w:r w:rsidR="00F50050" w:rsidRPr="5F6745F0">
        <w:t xml:space="preserve"> by respondents</w:t>
      </w:r>
      <w:r w:rsidRPr="5F6745F0">
        <w:t>,</w:t>
      </w:r>
      <w:r w:rsidRPr="72EB7D45">
        <w:rPr>
          <w:vertAlign w:val="superscript"/>
        </w:rPr>
        <w:footnoteReference w:id="77"/>
      </w:r>
      <w:r w:rsidRPr="5F6745F0">
        <w:t xml:space="preserve"> and one regularly repeated call was for the expenses involved in patenting </w:t>
      </w:r>
      <w:r w:rsidR="00BC3F9C">
        <w:t>–</w:t>
      </w:r>
      <w:r w:rsidR="00B5659A" w:rsidRPr="5F6745F0">
        <w:t xml:space="preserve"> </w:t>
      </w:r>
      <w:r w:rsidRPr="5F6745F0">
        <w:t>both the</w:t>
      </w:r>
      <w:r w:rsidR="00494CE9">
        <w:t xml:space="preserve"> IP Australia</w:t>
      </w:r>
      <w:r w:rsidRPr="5F6745F0">
        <w:t xml:space="preserve"> fees and associated professional fees of patent attorneys or lawyers who had worked on the filing </w:t>
      </w:r>
      <w:r w:rsidR="00BC3F9C">
        <w:t>–</w:t>
      </w:r>
      <w:r w:rsidR="00B5659A" w:rsidRPr="5F6745F0">
        <w:t xml:space="preserve"> </w:t>
      </w:r>
      <w:r w:rsidRPr="5F6745F0">
        <w:t>to be included in the list of expenses considered eligible for the RDTI offset.</w:t>
      </w:r>
    </w:p>
    <w:p w14:paraId="1AEE5CD8" w14:textId="072167E3" w:rsidR="0055031F" w:rsidRPr="00F7079B" w:rsidRDefault="0055031F" w:rsidP="00646B31">
      <w:pPr>
        <w:rPr>
          <w:szCs w:val="24"/>
        </w:rPr>
      </w:pPr>
      <w:r w:rsidRPr="00F7079B">
        <w:rPr>
          <w:rFonts w:asciiTheme="majorHAnsi" w:eastAsiaTheme="majorEastAsia" w:hAnsiTheme="majorHAnsi" w:cstheme="majorBidi"/>
          <w:szCs w:val="24"/>
        </w:rPr>
        <w:t>T</w:t>
      </w:r>
      <w:r w:rsidR="004425A5" w:rsidRPr="00F7079B">
        <w:rPr>
          <w:rFonts w:asciiTheme="majorHAnsi" w:eastAsiaTheme="majorEastAsia" w:hAnsiTheme="majorHAnsi" w:cstheme="majorBidi"/>
          <w:szCs w:val="24"/>
        </w:rPr>
        <w:t xml:space="preserve">he review </w:t>
      </w:r>
      <w:r w:rsidR="00C63103" w:rsidRPr="00F7079B">
        <w:rPr>
          <w:rFonts w:asciiTheme="majorHAnsi" w:eastAsiaTheme="majorEastAsia" w:hAnsiTheme="majorHAnsi" w:cstheme="majorBidi"/>
          <w:szCs w:val="24"/>
        </w:rPr>
        <w:t xml:space="preserve">did not consider this </w:t>
      </w:r>
      <w:r w:rsidR="00CB32DC" w:rsidRPr="00F7079B">
        <w:rPr>
          <w:rFonts w:asciiTheme="majorHAnsi" w:eastAsiaTheme="majorEastAsia" w:hAnsiTheme="majorHAnsi" w:cstheme="majorBidi"/>
          <w:szCs w:val="24"/>
        </w:rPr>
        <w:t>proposed change</w:t>
      </w:r>
      <w:r w:rsidRPr="00F7079B">
        <w:rPr>
          <w:rFonts w:asciiTheme="majorHAnsi" w:eastAsiaTheme="majorEastAsia" w:hAnsiTheme="majorHAnsi" w:cstheme="majorBidi"/>
          <w:szCs w:val="24"/>
        </w:rPr>
        <w:t xml:space="preserve"> because, i</w:t>
      </w:r>
      <w:r w:rsidR="00CB32DC" w:rsidRPr="00F7079B">
        <w:rPr>
          <w:rFonts w:asciiTheme="majorHAnsi" w:eastAsiaTheme="majorEastAsia" w:hAnsiTheme="majorHAnsi" w:cstheme="majorBidi"/>
          <w:szCs w:val="24"/>
        </w:rPr>
        <w:t xml:space="preserve">n its view, </w:t>
      </w:r>
      <w:r w:rsidR="00646B31" w:rsidRPr="00F7079B">
        <w:rPr>
          <w:szCs w:val="24"/>
        </w:rPr>
        <w:t>including patenting expenses as an eligible activity</w:t>
      </w:r>
      <w:r w:rsidR="00E00C5D">
        <w:rPr>
          <w:szCs w:val="24"/>
        </w:rPr>
        <w:t xml:space="preserve"> or </w:t>
      </w:r>
      <w:r w:rsidR="00646B31" w:rsidRPr="00F7079B">
        <w:rPr>
          <w:szCs w:val="24"/>
        </w:rPr>
        <w:t xml:space="preserve">expense under the RDTI </w:t>
      </w:r>
      <w:r w:rsidR="000F4007" w:rsidRPr="00F7079B">
        <w:rPr>
          <w:szCs w:val="24"/>
        </w:rPr>
        <w:t>would</w:t>
      </w:r>
      <w:r w:rsidR="00646B31" w:rsidRPr="00F7079B">
        <w:rPr>
          <w:szCs w:val="24"/>
        </w:rPr>
        <w:t xml:space="preserve"> not align with the objectives of the </w:t>
      </w:r>
      <w:r w:rsidR="004425A5" w:rsidRPr="00F7079B">
        <w:rPr>
          <w:szCs w:val="24"/>
        </w:rPr>
        <w:t>scheme</w:t>
      </w:r>
      <w:r w:rsidR="000E6A5F" w:rsidRPr="00F7079B">
        <w:rPr>
          <w:szCs w:val="24"/>
        </w:rPr>
        <w:t xml:space="preserve">, which are to: </w:t>
      </w:r>
    </w:p>
    <w:p w14:paraId="46892399" w14:textId="6D3D5AE9" w:rsidR="00755165" w:rsidRPr="00F7079B" w:rsidRDefault="003F02E6" w:rsidP="00EF2722">
      <w:pPr>
        <w:pStyle w:val="ListParagraph"/>
        <w:numPr>
          <w:ilvl w:val="0"/>
          <w:numId w:val="64"/>
        </w:numPr>
        <w:spacing w:before="0" w:after="0"/>
        <w:rPr>
          <w:szCs w:val="24"/>
        </w:rPr>
      </w:pPr>
      <w:r w:rsidRPr="00F7079B">
        <w:rPr>
          <w:szCs w:val="24"/>
        </w:rPr>
        <w:t xml:space="preserve">encourage </w:t>
      </w:r>
      <w:r w:rsidR="00B45A33" w:rsidRPr="00F7079B">
        <w:rPr>
          <w:szCs w:val="24"/>
        </w:rPr>
        <w:t>the discovery of hitherto unknown scientific facts</w:t>
      </w:r>
    </w:p>
    <w:p w14:paraId="5DE01E2C" w14:textId="112CC9FA" w:rsidR="00B45A33" w:rsidRPr="00F7079B" w:rsidRDefault="003F02E6" w:rsidP="00EF2722">
      <w:pPr>
        <w:pStyle w:val="ListParagraph"/>
        <w:numPr>
          <w:ilvl w:val="0"/>
          <w:numId w:val="64"/>
        </w:numPr>
        <w:spacing w:after="360"/>
        <w:rPr>
          <w:szCs w:val="24"/>
        </w:rPr>
      </w:pPr>
      <w:r w:rsidRPr="00F7079B">
        <w:rPr>
          <w:szCs w:val="24"/>
        </w:rPr>
        <w:t xml:space="preserve">encourage </w:t>
      </w:r>
      <w:r w:rsidR="00646B31" w:rsidRPr="00F7079B">
        <w:rPr>
          <w:szCs w:val="24"/>
        </w:rPr>
        <w:t xml:space="preserve">companies to invest in R&amp;D activities that they would not otherwise </w:t>
      </w:r>
      <w:r w:rsidR="007A4E48" w:rsidRPr="00F7079B">
        <w:rPr>
          <w:szCs w:val="24"/>
        </w:rPr>
        <w:t>consider</w:t>
      </w:r>
      <w:r w:rsidR="00646B31" w:rsidRPr="00F7079B">
        <w:rPr>
          <w:szCs w:val="24"/>
        </w:rPr>
        <w:t xml:space="preserve">, and that are likely to deliver spillover benefits to the broader economy. </w:t>
      </w:r>
    </w:p>
    <w:p w14:paraId="1BC339D9" w14:textId="2B196456" w:rsidR="00646B31" w:rsidRPr="00F7079B" w:rsidRDefault="00646B31" w:rsidP="00646B31">
      <w:pPr>
        <w:rPr>
          <w:szCs w:val="24"/>
        </w:rPr>
      </w:pPr>
      <w:r w:rsidRPr="00F7079B">
        <w:rPr>
          <w:szCs w:val="24"/>
        </w:rPr>
        <w:t xml:space="preserve">As such, the program seeks to support R&amp;D activities </w:t>
      </w:r>
      <w:r w:rsidRPr="00F7079B">
        <w:rPr>
          <w:i/>
          <w:iCs/>
          <w:szCs w:val="24"/>
        </w:rPr>
        <w:t>whose outcome cannot be known or determined in advance on the basis of current knowledge</w:t>
      </w:r>
      <w:r w:rsidRPr="00F7079B">
        <w:rPr>
          <w:szCs w:val="24"/>
        </w:rPr>
        <w:t>, and c</w:t>
      </w:r>
      <w:r w:rsidR="0055031F" w:rsidRPr="00F7079B">
        <w:rPr>
          <w:szCs w:val="24"/>
        </w:rPr>
        <w:t>ould</w:t>
      </w:r>
      <w:r w:rsidRPr="00F7079B">
        <w:rPr>
          <w:szCs w:val="24"/>
        </w:rPr>
        <w:t xml:space="preserve"> only be determined by applying a systematic progression of work</w:t>
      </w:r>
      <w:r w:rsidR="00A32CC5" w:rsidRPr="00F7079B">
        <w:rPr>
          <w:szCs w:val="24"/>
        </w:rPr>
        <w:t>.</w:t>
      </w:r>
      <w:r w:rsidR="00755165" w:rsidRPr="00F7079B">
        <w:rPr>
          <w:szCs w:val="24"/>
        </w:rPr>
        <w:t xml:space="preserve"> </w:t>
      </w:r>
      <w:r w:rsidR="00DC6D82" w:rsidRPr="00F7079B">
        <w:rPr>
          <w:rFonts w:asciiTheme="majorHAnsi" w:eastAsiaTheme="majorEastAsia" w:hAnsiTheme="majorHAnsi" w:cstheme="majorBidi"/>
          <w:szCs w:val="24"/>
        </w:rPr>
        <w:t>Because</w:t>
      </w:r>
      <w:r w:rsidR="004C11EA" w:rsidRPr="00F7079B">
        <w:rPr>
          <w:rFonts w:asciiTheme="majorHAnsi" w:eastAsiaTheme="majorEastAsia" w:hAnsiTheme="majorHAnsi" w:cstheme="majorBidi"/>
          <w:szCs w:val="24"/>
        </w:rPr>
        <w:t xml:space="preserve"> t</w:t>
      </w:r>
      <w:r w:rsidR="00A32CC5" w:rsidRPr="00F7079B">
        <w:rPr>
          <w:rFonts w:asciiTheme="majorHAnsi" w:eastAsiaTheme="majorEastAsia" w:hAnsiTheme="majorHAnsi" w:cstheme="majorBidi"/>
          <w:szCs w:val="24"/>
        </w:rPr>
        <w:t xml:space="preserve">he activity of filing a patent application and incurring associated costs comes at a later stage, when matters are </w:t>
      </w:r>
      <w:r w:rsidR="00E76C18" w:rsidRPr="00F7079B">
        <w:rPr>
          <w:rFonts w:asciiTheme="majorHAnsi" w:eastAsiaTheme="majorEastAsia" w:hAnsiTheme="majorHAnsi" w:cstheme="majorBidi"/>
          <w:szCs w:val="24"/>
        </w:rPr>
        <w:t xml:space="preserve">already </w:t>
      </w:r>
      <w:r w:rsidR="00A32CC5" w:rsidRPr="00F7079B">
        <w:rPr>
          <w:rFonts w:asciiTheme="majorHAnsi" w:eastAsiaTheme="majorEastAsia" w:hAnsiTheme="majorHAnsi" w:cstheme="majorBidi"/>
          <w:szCs w:val="24"/>
        </w:rPr>
        <w:t xml:space="preserve">known and understood, it falls outside the RDTI as presently conceived. </w:t>
      </w:r>
    </w:p>
    <w:p w14:paraId="015C9A00" w14:textId="6B722A1B" w:rsidR="00096D53" w:rsidRPr="00F7079B" w:rsidRDefault="00E76C18" w:rsidP="00C64F45">
      <w:pPr>
        <w:rPr>
          <w:rFonts w:asciiTheme="majorHAnsi" w:eastAsiaTheme="majorEastAsia" w:hAnsiTheme="majorHAnsi" w:cstheme="majorBidi"/>
          <w:szCs w:val="24"/>
        </w:rPr>
      </w:pPr>
      <w:r w:rsidRPr="00F7079B">
        <w:rPr>
          <w:szCs w:val="24"/>
        </w:rPr>
        <w:t>Although the suggested change falls outside the scope of the RDTI</w:t>
      </w:r>
      <w:r w:rsidR="00006C85" w:rsidRPr="00F7079B">
        <w:rPr>
          <w:szCs w:val="24"/>
        </w:rPr>
        <w:t xml:space="preserve">, </w:t>
      </w:r>
      <w:r w:rsidR="009E4F94" w:rsidRPr="00F7079B">
        <w:rPr>
          <w:szCs w:val="24"/>
        </w:rPr>
        <w:t>t</w:t>
      </w:r>
      <w:r w:rsidR="004C11EA" w:rsidRPr="00F7079B">
        <w:rPr>
          <w:szCs w:val="24"/>
        </w:rPr>
        <w:t xml:space="preserve">he review </w:t>
      </w:r>
      <w:r w:rsidR="009E4F94" w:rsidRPr="00F7079B">
        <w:rPr>
          <w:szCs w:val="24"/>
        </w:rPr>
        <w:t xml:space="preserve">does </w:t>
      </w:r>
      <w:r w:rsidR="004C11EA" w:rsidRPr="00F7079B">
        <w:rPr>
          <w:szCs w:val="24"/>
        </w:rPr>
        <w:t>consider that</w:t>
      </w:r>
      <w:r w:rsidR="00096D53" w:rsidRPr="00F7079B">
        <w:rPr>
          <w:szCs w:val="24"/>
        </w:rPr>
        <w:t xml:space="preserve"> </w:t>
      </w:r>
      <w:r w:rsidR="003A3A1E" w:rsidRPr="00F7079B">
        <w:rPr>
          <w:szCs w:val="24"/>
        </w:rPr>
        <w:t xml:space="preserve">the concept of </w:t>
      </w:r>
      <w:r w:rsidR="00646B31" w:rsidRPr="00F7079B">
        <w:rPr>
          <w:szCs w:val="24"/>
        </w:rPr>
        <w:t xml:space="preserve">supporting SMEs with the costs of patenting their discoveries </w:t>
      </w:r>
      <w:r w:rsidR="00805F6F" w:rsidRPr="00F7079B">
        <w:rPr>
          <w:szCs w:val="24"/>
        </w:rPr>
        <w:t>by</w:t>
      </w:r>
      <w:r w:rsidR="00646B31" w:rsidRPr="00F7079B">
        <w:rPr>
          <w:szCs w:val="24"/>
        </w:rPr>
        <w:t xml:space="preserve"> other means </w:t>
      </w:r>
      <w:r w:rsidR="00805F6F" w:rsidRPr="00F7079B">
        <w:rPr>
          <w:szCs w:val="24"/>
        </w:rPr>
        <w:t>would be</w:t>
      </w:r>
      <w:r w:rsidR="00646B31" w:rsidRPr="00F7079B">
        <w:rPr>
          <w:szCs w:val="24"/>
        </w:rPr>
        <w:t xml:space="preserve"> eminently reasonable for a country seeking to develop a modern manufacturing industry.</w:t>
      </w:r>
      <w:r w:rsidR="00C64F45" w:rsidRPr="00F7079B">
        <w:rPr>
          <w:rFonts w:asciiTheme="majorHAnsi" w:eastAsiaTheme="majorEastAsia" w:hAnsiTheme="majorHAnsi" w:cstheme="majorBidi"/>
          <w:szCs w:val="24"/>
        </w:rPr>
        <w:t xml:space="preserve"> </w:t>
      </w:r>
    </w:p>
    <w:p w14:paraId="103B8063" w14:textId="59C83567" w:rsidR="00C64F45" w:rsidRPr="00F7079B" w:rsidRDefault="00C64F45" w:rsidP="00C64F45">
      <w:pPr>
        <w:rPr>
          <w:szCs w:val="24"/>
        </w:rPr>
      </w:pPr>
      <w:r w:rsidRPr="00F7079B">
        <w:rPr>
          <w:rFonts w:asciiTheme="majorHAnsi" w:eastAsiaTheme="majorEastAsia" w:hAnsiTheme="majorHAnsi" w:cstheme="majorBidi"/>
          <w:szCs w:val="24"/>
        </w:rPr>
        <w:lastRenderedPageBreak/>
        <w:t xml:space="preserve">It </w:t>
      </w:r>
      <w:r w:rsidR="009E4F94" w:rsidRPr="00F7079B">
        <w:rPr>
          <w:rFonts w:asciiTheme="majorHAnsi" w:eastAsiaTheme="majorEastAsia" w:hAnsiTheme="majorHAnsi" w:cstheme="majorBidi"/>
          <w:szCs w:val="24"/>
        </w:rPr>
        <w:t xml:space="preserve">also </w:t>
      </w:r>
      <w:r w:rsidRPr="00F7079B">
        <w:rPr>
          <w:rFonts w:asciiTheme="majorHAnsi" w:eastAsiaTheme="majorEastAsia" w:hAnsiTheme="majorHAnsi" w:cstheme="majorBidi"/>
          <w:szCs w:val="24"/>
        </w:rPr>
        <w:t xml:space="preserve">notes that patent and associated costs are dealt with under </w:t>
      </w:r>
      <w:r w:rsidR="00805F6F" w:rsidRPr="00F7079B">
        <w:rPr>
          <w:rFonts w:asciiTheme="majorHAnsi" w:eastAsiaTheme="majorEastAsia" w:hAnsiTheme="majorHAnsi" w:cstheme="majorBidi"/>
          <w:szCs w:val="24"/>
        </w:rPr>
        <w:t>two existing</w:t>
      </w:r>
      <w:r w:rsidRPr="00F7079B">
        <w:rPr>
          <w:rFonts w:asciiTheme="majorHAnsi" w:eastAsiaTheme="majorEastAsia" w:hAnsiTheme="majorHAnsi" w:cstheme="majorBidi"/>
          <w:szCs w:val="24"/>
        </w:rPr>
        <w:t xml:space="preserve"> government programs</w:t>
      </w:r>
      <w:r w:rsidR="00903540" w:rsidRPr="00F7079B">
        <w:rPr>
          <w:rFonts w:asciiTheme="majorHAnsi" w:eastAsiaTheme="majorEastAsia" w:hAnsiTheme="majorHAnsi" w:cstheme="majorBidi"/>
          <w:szCs w:val="24"/>
        </w:rPr>
        <w:t>, as discussed below</w:t>
      </w:r>
      <w:r w:rsidR="00896B0C">
        <w:rPr>
          <w:rFonts w:asciiTheme="majorHAnsi" w:eastAsiaTheme="majorEastAsia" w:hAnsiTheme="majorHAnsi" w:cstheme="majorBidi"/>
          <w:szCs w:val="24"/>
        </w:rPr>
        <w:t>:</w:t>
      </w:r>
    </w:p>
    <w:p w14:paraId="55B91714" w14:textId="3B0B6627" w:rsidR="00C64F45" w:rsidRPr="002E503A" w:rsidRDefault="00C64F45" w:rsidP="005E62C0">
      <w:pPr>
        <w:pStyle w:val="ListParagraph"/>
        <w:numPr>
          <w:ilvl w:val="0"/>
          <w:numId w:val="49"/>
        </w:numPr>
        <w:rPr>
          <w:b/>
        </w:rPr>
      </w:pPr>
      <w:r w:rsidRPr="002E503A">
        <w:rPr>
          <w:rFonts w:asciiTheme="majorHAnsi" w:eastAsiaTheme="majorEastAsia" w:hAnsiTheme="majorHAnsi" w:cstheme="majorBidi"/>
          <w:b/>
          <w:sz w:val="28"/>
          <w:lang w:val="fr-FR"/>
        </w:rPr>
        <w:t xml:space="preserve">Entrepreneurs’ Programme: Accelerating Commercialisation </w:t>
      </w:r>
      <w:r w:rsidR="001E5B76">
        <w:rPr>
          <w:rFonts w:asciiTheme="majorHAnsi" w:eastAsiaTheme="majorEastAsia" w:hAnsiTheme="majorHAnsi" w:cstheme="majorBidi"/>
          <w:b/>
          <w:sz w:val="28"/>
          <w:lang w:val="fr-FR"/>
        </w:rPr>
        <w:t>G</w:t>
      </w:r>
      <w:r w:rsidRPr="002E503A">
        <w:rPr>
          <w:rFonts w:asciiTheme="majorHAnsi" w:eastAsiaTheme="majorEastAsia" w:hAnsiTheme="majorHAnsi" w:cstheme="majorBidi"/>
          <w:b/>
          <w:sz w:val="28"/>
          <w:lang w:val="fr-FR"/>
        </w:rPr>
        <w:t>rants</w:t>
      </w:r>
      <w:r w:rsidRPr="00A3636E">
        <w:rPr>
          <w:rStyle w:val="FootnoteReference"/>
          <w:rFonts w:asciiTheme="majorHAnsi" w:eastAsiaTheme="majorEastAsia" w:hAnsiTheme="majorHAnsi" w:cstheme="majorBidi"/>
          <w:sz w:val="28"/>
        </w:rPr>
        <w:footnoteReference w:id="78"/>
      </w:r>
    </w:p>
    <w:p w14:paraId="2F89762F" w14:textId="77777777" w:rsidR="001E5B76" w:rsidRPr="00F7079B" w:rsidRDefault="00C64F45" w:rsidP="00492C81">
      <w:pPr>
        <w:pStyle w:val="ListParagraph"/>
        <w:numPr>
          <w:ilvl w:val="0"/>
          <w:numId w:val="0"/>
        </w:numPr>
        <w:ind w:left="284"/>
        <w:rPr>
          <w:szCs w:val="24"/>
        </w:rPr>
      </w:pPr>
      <w:r w:rsidRPr="00F7079B">
        <w:rPr>
          <w:szCs w:val="24"/>
        </w:rPr>
        <w:t xml:space="preserve">This grant opportunity provides financial assistance to help small and medium businesses, entrepreneurs and researchers commercialise novel products, processes and services. The grant amount will be up to 50 per cent of eligible project costs up to the maximum grant limit, with progress payments made in advance. </w:t>
      </w:r>
    </w:p>
    <w:p w14:paraId="38B72E30" w14:textId="7C81F927" w:rsidR="00C64F45" w:rsidRPr="00F7079B" w:rsidRDefault="00C64F45" w:rsidP="001E5B76">
      <w:pPr>
        <w:ind w:left="284"/>
      </w:pPr>
      <w:r w:rsidRPr="72EB7D45">
        <w:t>Eligible activities must be directly related to commercialisation of a novel offering and can include professional costs to develop an intellectual property (IP) strategy</w:t>
      </w:r>
      <w:r w:rsidR="00FB6BF5" w:rsidRPr="00F7079B">
        <w:rPr>
          <w:szCs w:val="24"/>
        </w:rPr>
        <w:t>;</w:t>
      </w:r>
      <w:r w:rsidRPr="72EB7D45">
        <w:t xml:space="preserve"> reasonable costs to protect IP, such as IP insurance</w:t>
      </w:r>
      <w:r w:rsidR="00FB6BF5" w:rsidRPr="00F7079B">
        <w:rPr>
          <w:szCs w:val="24"/>
        </w:rPr>
        <w:t>;</w:t>
      </w:r>
      <w:r w:rsidRPr="72EB7D45">
        <w:t xml:space="preserve"> and other costs to obtain and maintain a patent. The cost of defending IP rights is not eligible</w:t>
      </w:r>
      <w:r w:rsidR="66BB6ABD" w:rsidRPr="72EB7D45">
        <w:t>.</w:t>
      </w:r>
      <w:r w:rsidRPr="72EB7D45">
        <w:rPr>
          <w:rStyle w:val="FootnoteReference"/>
          <w:rFonts w:eastAsiaTheme="minorEastAsia"/>
        </w:rPr>
        <w:footnoteReference w:id="79"/>
      </w:r>
    </w:p>
    <w:p w14:paraId="6673ABB2" w14:textId="77777777" w:rsidR="00C64F45" w:rsidRPr="00F267E6" w:rsidRDefault="00C64F45" w:rsidP="005E62C0">
      <w:pPr>
        <w:pStyle w:val="ListParagraph"/>
        <w:numPr>
          <w:ilvl w:val="0"/>
          <w:numId w:val="49"/>
        </w:numPr>
        <w:rPr>
          <w:rFonts w:asciiTheme="majorHAnsi" w:eastAsiaTheme="majorEastAsia" w:hAnsiTheme="majorHAnsi" w:cstheme="majorBidi"/>
          <w:sz w:val="28"/>
        </w:rPr>
      </w:pPr>
      <w:r w:rsidRPr="002E503A">
        <w:rPr>
          <w:rFonts w:asciiTheme="majorHAnsi" w:eastAsiaTheme="majorEastAsia" w:hAnsiTheme="majorHAnsi" w:cstheme="majorBidi"/>
          <w:b/>
          <w:sz w:val="28"/>
        </w:rPr>
        <w:t>Export Market Development Grants (EMDG) scheme</w:t>
      </w:r>
      <w:r w:rsidRPr="79344E9E">
        <w:rPr>
          <w:rStyle w:val="FootnoteReference"/>
          <w:rFonts w:asciiTheme="majorHAnsi" w:eastAsiaTheme="majorEastAsia" w:hAnsiTheme="majorHAnsi" w:cstheme="majorBidi"/>
          <w:sz w:val="28"/>
        </w:rPr>
        <w:footnoteReference w:id="80"/>
      </w:r>
      <w:r w:rsidRPr="79344E9E">
        <w:rPr>
          <w:rFonts w:asciiTheme="majorHAnsi" w:eastAsiaTheme="majorEastAsia" w:hAnsiTheme="majorHAnsi" w:cstheme="majorBidi"/>
          <w:sz w:val="28"/>
        </w:rPr>
        <w:t xml:space="preserve"> </w:t>
      </w:r>
    </w:p>
    <w:p w14:paraId="40362B1A" w14:textId="77777777" w:rsidR="00FB6BF5" w:rsidRPr="00F7079B" w:rsidRDefault="00C64F45" w:rsidP="0067321E">
      <w:pPr>
        <w:pStyle w:val="ListParagraph"/>
        <w:numPr>
          <w:ilvl w:val="0"/>
          <w:numId w:val="0"/>
        </w:numPr>
        <w:ind w:left="284"/>
        <w:rPr>
          <w:szCs w:val="24"/>
        </w:rPr>
      </w:pPr>
      <w:r w:rsidRPr="00F7079B">
        <w:rPr>
          <w:szCs w:val="24"/>
        </w:rPr>
        <w:t xml:space="preserve">This scheme is designed to encourage Australian SMEs to increase international marketing and promotion expenditure. Eligible exporters are reimbursed up to 50 per cent of eligible export promotion expenses, up to a maximum of $150,000. </w:t>
      </w:r>
    </w:p>
    <w:p w14:paraId="7E8EB7B5" w14:textId="17735FFD" w:rsidR="00C64F45" w:rsidRPr="00F7079B" w:rsidRDefault="00C64F45" w:rsidP="00076042">
      <w:pPr>
        <w:ind w:left="284"/>
        <w:rPr>
          <w:szCs w:val="24"/>
        </w:rPr>
      </w:pPr>
      <w:r w:rsidRPr="00F7079B">
        <w:rPr>
          <w:szCs w:val="24"/>
        </w:rPr>
        <w:t>Eligible expenditure can include third party costs to obtain and extend eligible IP rights in another country and IP insurance costs to protect eligible IP rights in another country.</w:t>
      </w:r>
      <w:r w:rsidRPr="00F7079B">
        <w:rPr>
          <w:rStyle w:val="FootnoteReference"/>
          <w:szCs w:val="24"/>
        </w:rPr>
        <w:footnoteReference w:id="81"/>
      </w:r>
      <w:r w:rsidRPr="00F7079B">
        <w:rPr>
          <w:szCs w:val="24"/>
        </w:rPr>
        <w:t xml:space="preserve"> Businesses cannot claim for costs associated with defending their IP rights.</w:t>
      </w:r>
      <w:r w:rsidRPr="00F7079B">
        <w:rPr>
          <w:rStyle w:val="FootnoteReference"/>
          <w:szCs w:val="24"/>
        </w:rPr>
        <w:footnoteReference w:id="82"/>
      </w:r>
      <w:r w:rsidRPr="00F7079B">
        <w:rPr>
          <w:szCs w:val="24"/>
        </w:rPr>
        <w:t xml:space="preserve"> However, eligible expenditure may change under new rules being developed in light of the recent passing of the </w:t>
      </w:r>
      <w:r w:rsidRPr="00F7079B">
        <w:rPr>
          <w:i/>
          <w:szCs w:val="24"/>
        </w:rPr>
        <w:t>Export Market Development Grants Legislation Amendment Act 2020</w:t>
      </w:r>
      <w:r w:rsidRPr="00F7079B">
        <w:rPr>
          <w:szCs w:val="24"/>
        </w:rPr>
        <w:t>.</w:t>
      </w:r>
      <w:r w:rsidRPr="00F7079B">
        <w:rPr>
          <w:rStyle w:val="FootnoteReference"/>
          <w:szCs w:val="24"/>
        </w:rPr>
        <w:footnoteReference w:id="83"/>
      </w:r>
      <w:r w:rsidRPr="00F7079B">
        <w:rPr>
          <w:szCs w:val="24"/>
        </w:rPr>
        <w:t xml:space="preserve"> </w:t>
      </w:r>
    </w:p>
    <w:p w14:paraId="15C20A71" w14:textId="506FE7AF" w:rsidR="00FE7941" w:rsidRDefault="00FE7941" w:rsidP="00FE7941">
      <w:pPr>
        <w:pStyle w:val="Heading2"/>
      </w:pPr>
      <w:r>
        <w:lastRenderedPageBreak/>
        <w:t xml:space="preserve">(ii) </w:t>
      </w:r>
      <w:r w:rsidR="32E59890" w:rsidRPr="00FE7941">
        <w:t>Patent</w:t>
      </w:r>
      <w:r w:rsidR="32E59890" w:rsidRPr="072FCA73">
        <w:t xml:space="preserve"> box</w:t>
      </w:r>
    </w:p>
    <w:p w14:paraId="4EFFD585" w14:textId="00412A5B" w:rsidR="00CB4FC7" w:rsidRPr="00F7079B" w:rsidRDefault="00FE7941" w:rsidP="00FE7941">
      <w:pPr>
        <w:rPr>
          <w:szCs w:val="24"/>
        </w:rPr>
      </w:pPr>
      <w:r w:rsidRPr="00F7079B">
        <w:rPr>
          <w:szCs w:val="24"/>
        </w:rPr>
        <w:t>S</w:t>
      </w:r>
      <w:r w:rsidR="2A8CF99E" w:rsidRPr="00F7079B">
        <w:rPr>
          <w:szCs w:val="24"/>
        </w:rPr>
        <w:t>ome</w:t>
      </w:r>
      <w:r w:rsidR="0E359329" w:rsidRPr="00F7079B">
        <w:rPr>
          <w:szCs w:val="24"/>
        </w:rPr>
        <w:t xml:space="preserve"> respondents referred to </w:t>
      </w:r>
      <w:r w:rsidR="0039412D" w:rsidRPr="00F7079B">
        <w:rPr>
          <w:szCs w:val="24"/>
        </w:rPr>
        <w:t xml:space="preserve">a </w:t>
      </w:r>
      <w:r w:rsidR="0E359329" w:rsidRPr="00F7079B">
        <w:rPr>
          <w:szCs w:val="24"/>
        </w:rPr>
        <w:t xml:space="preserve">preferential tax regime for innovative companies known as the </w:t>
      </w:r>
      <w:r w:rsidR="0001197B" w:rsidRPr="00F7079B">
        <w:rPr>
          <w:szCs w:val="24"/>
        </w:rPr>
        <w:t>‘</w:t>
      </w:r>
      <w:r w:rsidR="0E359329" w:rsidRPr="00F7079B">
        <w:rPr>
          <w:szCs w:val="24"/>
        </w:rPr>
        <w:t>patent box</w:t>
      </w:r>
      <w:r w:rsidR="0001197B" w:rsidRPr="00F7079B">
        <w:rPr>
          <w:szCs w:val="24"/>
        </w:rPr>
        <w:t>’</w:t>
      </w:r>
      <w:r w:rsidR="0E359329" w:rsidRPr="00F7079B">
        <w:rPr>
          <w:szCs w:val="24"/>
        </w:rPr>
        <w:t xml:space="preserve"> approach</w:t>
      </w:r>
      <w:r w:rsidR="00BE4BE5" w:rsidRPr="00F7079B">
        <w:rPr>
          <w:szCs w:val="24"/>
        </w:rPr>
        <w:t xml:space="preserve"> </w:t>
      </w:r>
      <w:r w:rsidR="00BC3F9C">
        <w:rPr>
          <w:szCs w:val="24"/>
        </w:rPr>
        <w:t>–</w:t>
      </w:r>
      <w:r w:rsidR="00B5659A" w:rsidRPr="00F7079B">
        <w:rPr>
          <w:szCs w:val="24"/>
        </w:rPr>
        <w:t xml:space="preserve"> </w:t>
      </w:r>
      <w:r w:rsidR="00BE4BE5" w:rsidRPr="00F7079B">
        <w:rPr>
          <w:szCs w:val="24"/>
        </w:rPr>
        <w:t xml:space="preserve">a tax incentive scheme which reduces the tax payable on income derived from intellectual property (particularly </w:t>
      </w:r>
      <w:r w:rsidR="00A44C0E" w:rsidRPr="00F7079B">
        <w:rPr>
          <w:szCs w:val="24"/>
        </w:rPr>
        <w:t xml:space="preserve">from </w:t>
      </w:r>
      <w:r w:rsidR="00BE4BE5" w:rsidRPr="00F7079B">
        <w:rPr>
          <w:szCs w:val="24"/>
        </w:rPr>
        <w:t xml:space="preserve">patents). </w:t>
      </w:r>
      <w:r w:rsidR="007A152C" w:rsidRPr="00F7079B">
        <w:rPr>
          <w:szCs w:val="24"/>
        </w:rPr>
        <w:t>It is argued that the</w:t>
      </w:r>
      <w:r w:rsidR="00BE4BE5" w:rsidRPr="00F7079B">
        <w:rPr>
          <w:szCs w:val="24"/>
        </w:rPr>
        <w:t xml:space="preserve"> scheme </w:t>
      </w:r>
      <w:r w:rsidR="00CB4FC7" w:rsidRPr="00F7079B">
        <w:rPr>
          <w:szCs w:val="24"/>
        </w:rPr>
        <w:t>would create</w:t>
      </w:r>
      <w:r w:rsidR="00BE4BE5" w:rsidRPr="00F7079B">
        <w:rPr>
          <w:szCs w:val="24"/>
        </w:rPr>
        <w:t xml:space="preserve"> an incentive for </w:t>
      </w:r>
      <w:r w:rsidR="00CB4FC7" w:rsidRPr="00F7079B">
        <w:rPr>
          <w:szCs w:val="24"/>
        </w:rPr>
        <w:t xml:space="preserve">Australian </w:t>
      </w:r>
      <w:r w:rsidR="00BE4BE5" w:rsidRPr="00F7079B">
        <w:rPr>
          <w:szCs w:val="24"/>
        </w:rPr>
        <w:t xml:space="preserve">companies to </w:t>
      </w:r>
      <w:r w:rsidR="00CB4FC7" w:rsidRPr="00F7079B">
        <w:rPr>
          <w:szCs w:val="24"/>
        </w:rPr>
        <w:t>both:</w:t>
      </w:r>
    </w:p>
    <w:p w14:paraId="110E7D1E" w14:textId="77777777" w:rsidR="00CB4FC7" w:rsidRPr="00F7079B" w:rsidRDefault="00BE4BE5" w:rsidP="0039794E">
      <w:pPr>
        <w:pStyle w:val="ListParagraph"/>
        <w:numPr>
          <w:ilvl w:val="0"/>
          <w:numId w:val="64"/>
        </w:numPr>
        <w:ind w:left="426" w:hanging="284"/>
        <w:rPr>
          <w:szCs w:val="24"/>
        </w:rPr>
      </w:pPr>
      <w:r w:rsidRPr="00F7079B">
        <w:rPr>
          <w:szCs w:val="24"/>
        </w:rPr>
        <w:t>retain and commerciali</w:t>
      </w:r>
      <w:r w:rsidR="00C6725D" w:rsidRPr="00F7079B">
        <w:rPr>
          <w:szCs w:val="24"/>
        </w:rPr>
        <w:t>s</w:t>
      </w:r>
      <w:r w:rsidRPr="00F7079B">
        <w:rPr>
          <w:szCs w:val="24"/>
        </w:rPr>
        <w:t xml:space="preserve">e patented inventions </w:t>
      </w:r>
    </w:p>
    <w:p w14:paraId="7B0ACDB9" w14:textId="69722C93" w:rsidR="00BE4BE5" w:rsidRPr="00F7079B" w:rsidRDefault="00CF5DBF" w:rsidP="0039794E">
      <w:pPr>
        <w:pStyle w:val="ListParagraph"/>
        <w:numPr>
          <w:ilvl w:val="0"/>
          <w:numId w:val="64"/>
        </w:numPr>
        <w:ind w:left="426" w:hanging="284"/>
        <w:rPr>
          <w:szCs w:val="24"/>
        </w:rPr>
      </w:pPr>
      <w:r w:rsidRPr="00F7079B">
        <w:rPr>
          <w:szCs w:val="24"/>
        </w:rPr>
        <w:t>file patent applications</w:t>
      </w:r>
      <w:r w:rsidR="00BE4BE5" w:rsidRPr="00F7079B">
        <w:rPr>
          <w:szCs w:val="24"/>
        </w:rPr>
        <w:t xml:space="preserve"> for new inventions </w:t>
      </w:r>
      <w:r w:rsidR="00C20F32" w:rsidRPr="00F7079B">
        <w:rPr>
          <w:szCs w:val="24"/>
        </w:rPr>
        <w:t xml:space="preserve">in </w:t>
      </w:r>
      <w:r w:rsidR="00A44C0E" w:rsidRPr="00F7079B">
        <w:rPr>
          <w:szCs w:val="24"/>
        </w:rPr>
        <w:t>Australia</w:t>
      </w:r>
      <w:r w:rsidR="00BE4BE5" w:rsidRPr="00F7079B">
        <w:rPr>
          <w:szCs w:val="24"/>
        </w:rPr>
        <w:t>. </w:t>
      </w:r>
    </w:p>
    <w:p w14:paraId="69C49DE0" w14:textId="4FDB5F0E" w:rsidR="32E59890" w:rsidRPr="00EF2722" w:rsidRDefault="0E359329" w:rsidP="00EF2722">
      <w:pPr>
        <w:spacing w:after="480"/>
        <w:rPr>
          <w:rFonts w:cs="Arial (Body CS)"/>
          <w:spacing w:val="-2"/>
          <w:szCs w:val="24"/>
        </w:rPr>
      </w:pPr>
      <w:r w:rsidRPr="00EF2722">
        <w:rPr>
          <w:rFonts w:cs="Arial (Body CS)"/>
          <w:spacing w:val="-2"/>
          <w:szCs w:val="24"/>
        </w:rPr>
        <w:t>In Britain</w:t>
      </w:r>
      <w:r w:rsidR="004C6ECA" w:rsidRPr="00EF2722">
        <w:rPr>
          <w:rFonts w:cs="Arial (Body CS)"/>
          <w:spacing w:val="-2"/>
          <w:szCs w:val="24"/>
        </w:rPr>
        <w:t>,</w:t>
      </w:r>
      <w:r w:rsidRPr="00EF2722">
        <w:rPr>
          <w:rFonts w:cs="Arial (Body CS)"/>
          <w:spacing w:val="-2"/>
          <w:szCs w:val="24"/>
        </w:rPr>
        <w:t xml:space="preserve"> companies with innovative content have a reduced rate corporate tax </w:t>
      </w:r>
      <w:r w:rsidR="00ED7661" w:rsidRPr="00EF2722">
        <w:rPr>
          <w:rFonts w:cs="Arial (Body CS)"/>
          <w:spacing w:val="-2"/>
          <w:szCs w:val="24"/>
        </w:rPr>
        <w:t>rate of 10%</w:t>
      </w:r>
      <w:r w:rsidRPr="00EF2722">
        <w:rPr>
          <w:rFonts w:cs="Arial (Body CS)"/>
          <w:spacing w:val="-2"/>
          <w:szCs w:val="24"/>
        </w:rPr>
        <w:t>.</w:t>
      </w:r>
      <w:r w:rsidR="00ED7661" w:rsidRPr="00EF2722">
        <w:rPr>
          <w:rStyle w:val="FootnoteReference"/>
          <w:rFonts w:cs="Arial (Body CS)"/>
          <w:spacing w:val="-2"/>
          <w:szCs w:val="24"/>
        </w:rPr>
        <w:footnoteReference w:id="84"/>
      </w:r>
      <w:r w:rsidRPr="00EF2722">
        <w:rPr>
          <w:rFonts w:cs="Arial (Body CS)"/>
          <w:spacing w:val="-2"/>
          <w:szCs w:val="24"/>
        </w:rPr>
        <w:t xml:space="preserve"> In France</w:t>
      </w:r>
      <w:r w:rsidR="00B20308" w:rsidRPr="00EF2722">
        <w:rPr>
          <w:rFonts w:cs="Arial (Body CS)"/>
          <w:spacing w:val="-2"/>
          <w:szCs w:val="24"/>
        </w:rPr>
        <w:t>,</w:t>
      </w:r>
      <w:r w:rsidRPr="00EF2722">
        <w:rPr>
          <w:rFonts w:cs="Arial (Body CS)"/>
          <w:spacing w:val="-2"/>
          <w:szCs w:val="24"/>
        </w:rPr>
        <w:t xml:space="preserve"> new legislation in 2019 makes a similar tax concessions, with what appears to be an attractive feature of the French patent box regime</w:t>
      </w:r>
      <w:r w:rsidR="00B20308" w:rsidRPr="00EF2722">
        <w:rPr>
          <w:rFonts w:cs="Arial (Body CS)"/>
          <w:spacing w:val="-2"/>
          <w:szCs w:val="24"/>
        </w:rPr>
        <w:t xml:space="preserve"> </w:t>
      </w:r>
      <w:r w:rsidR="00BC3F9C">
        <w:rPr>
          <w:rFonts w:cs="Arial (Body CS)"/>
          <w:spacing w:val="-2"/>
          <w:szCs w:val="24"/>
        </w:rPr>
        <w:t>–</w:t>
      </w:r>
      <w:r w:rsidR="00B5659A" w:rsidRPr="00EF2722">
        <w:rPr>
          <w:rFonts w:cs="Arial (Body CS)"/>
          <w:spacing w:val="-2"/>
          <w:szCs w:val="24"/>
        </w:rPr>
        <w:t xml:space="preserve"> </w:t>
      </w:r>
      <w:r w:rsidRPr="00EF2722">
        <w:rPr>
          <w:rFonts w:cs="Arial (Body CS)"/>
          <w:spacing w:val="-2"/>
          <w:szCs w:val="24"/>
        </w:rPr>
        <w:t xml:space="preserve">namely that licence fee revenue is taxed at a rate of </w:t>
      </w:r>
      <w:r w:rsidR="00B20308" w:rsidRPr="00EF2722">
        <w:rPr>
          <w:rFonts w:cs="Arial (Body CS)"/>
          <w:spacing w:val="-2"/>
          <w:szCs w:val="24"/>
        </w:rPr>
        <w:t xml:space="preserve">only </w:t>
      </w:r>
      <w:r w:rsidRPr="00EF2722">
        <w:rPr>
          <w:rFonts w:cs="Arial (Body CS)"/>
          <w:spacing w:val="-2"/>
          <w:szCs w:val="24"/>
        </w:rPr>
        <w:t>10%</w:t>
      </w:r>
      <w:r w:rsidR="49BAF711" w:rsidRPr="00EF2722">
        <w:rPr>
          <w:rFonts w:cs="Arial (Body CS)"/>
          <w:spacing w:val="-2"/>
          <w:szCs w:val="24"/>
        </w:rPr>
        <w:t>.</w:t>
      </w:r>
      <w:r w:rsidR="32E59890" w:rsidRPr="00EF2722">
        <w:rPr>
          <w:rStyle w:val="FootnoteReference"/>
          <w:rFonts w:cs="Arial (Body CS)"/>
          <w:spacing w:val="-2"/>
          <w:szCs w:val="24"/>
        </w:rPr>
        <w:footnoteReference w:id="85"/>
      </w:r>
      <w:r w:rsidRPr="00EF2722">
        <w:rPr>
          <w:rFonts w:cs="Arial (Body CS)"/>
          <w:spacing w:val="-2"/>
          <w:szCs w:val="24"/>
        </w:rPr>
        <w:t xml:space="preserve"> This is </w:t>
      </w:r>
      <w:r w:rsidR="1A7050FA" w:rsidRPr="00EF2722">
        <w:rPr>
          <w:rFonts w:cs="Arial (Body CS)"/>
          <w:spacing w:val="-2"/>
          <w:szCs w:val="24"/>
        </w:rPr>
        <w:t xml:space="preserve">much </w:t>
      </w:r>
      <w:r w:rsidRPr="00EF2722">
        <w:rPr>
          <w:rFonts w:cs="Arial (Body CS)"/>
          <w:spacing w:val="-2"/>
          <w:szCs w:val="24"/>
        </w:rPr>
        <w:t>less than the normal company tax rate, and is part of a determined attempt by France to attract innovative companies into France.</w:t>
      </w:r>
      <w:r w:rsidR="32E59890" w:rsidRPr="00EF2722">
        <w:rPr>
          <w:rStyle w:val="FootnoteReference"/>
          <w:rFonts w:cs="Arial (Body CS)"/>
          <w:spacing w:val="-2"/>
          <w:szCs w:val="24"/>
        </w:rPr>
        <w:footnoteReference w:id="86"/>
      </w:r>
    </w:p>
    <w:p w14:paraId="49FFDFB5" w14:textId="6E712292" w:rsidR="004F4244" w:rsidRPr="00E4757B" w:rsidRDefault="00EF2722" w:rsidP="00EF2722">
      <w:pPr>
        <w:pStyle w:val="Calloutbox"/>
        <w:rPr>
          <w:b w:val="0"/>
          <w:bCs/>
          <w:sz w:val="28"/>
          <w:szCs w:val="28"/>
        </w:rPr>
      </w:pPr>
      <w:r w:rsidRPr="0080588A">
        <w:rPr>
          <w:color w:val="276C6C" w:themeColor="accent4" w:themeShade="80"/>
          <w:sz w:val="28"/>
        </w:rPr>
        <w:t>Finding 2:</w:t>
      </w:r>
      <w:r>
        <w:rPr>
          <w:color w:val="276C6C" w:themeColor="accent4" w:themeShade="80"/>
          <w:sz w:val="28"/>
        </w:rPr>
        <w:br/>
      </w:r>
      <w:r w:rsidRPr="009740B6">
        <w:rPr>
          <w:b w:val="0"/>
          <w:bCs/>
          <w:color w:val="000000" w:themeColor="text1"/>
          <w:sz w:val="28"/>
        </w:rPr>
        <w:t xml:space="preserve">The </w:t>
      </w:r>
      <w:r w:rsidR="00EB0FCC">
        <w:rPr>
          <w:b w:val="0"/>
          <w:bCs/>
          <w:color w:val="000000" w:themeColor="text1"/>
          <w:sz w:val="28"/>
        </w:rPr>
        <w:t xml:space="preserve">Australian </w:t>
      </w:r>
      <w:r w:rsidRPr="009740B6">
        <w:rPr>
          <w:b w:val="0"/>
          <w:bCs/>
          <w:color w:val="000000" w:themeColor="text1"/>
          <w:sz w:val="28"/>
        </w:rPr>
        <w:t>Government’s support for patenting and associated costs is adequate.</w:t>
      </w:r>
      <w:r w:rsidR="002820BB" w:rsidRPr="018B3673">
        <w:rPr>
          <w:b w:val="0"/>
          <w:bCs/>
          <w:sz w:val="28"/>
          <w:szCs w:val="28"/>
        </w:rPr>
        <w:t xml:space="preserve"> </w:t>
      </w:r>
    </w:p>
    <w:p w14:paraId="7B520B57" w14:textId="77777777" w:rsidR="00EF2722" w:rsidRDefault="00EF2722" w:rsidP="00102432">
      <w:pPr>
        <w:pStyle w:val="Heading1"/>
      </w:pPr>
      <w:bookmarkStart w:id="313" w:name="_Toc60760640"/>
      <w:bookmarkStart w:id="314" w:name="_Toc60834826"/>
      <w:bookmarkStart w:id="315" w:name="_Toc60836776"/>
      <w:bookmarkStart w:id="316" w:name="_Toc60997764"/>
      <w:bookmarkStart w:id="317" w:name="_Toc61015578"/>
      <w:bookmarkStart w:id="318" w:name="_Toc61269610"/>
      <w:bookmarkStart w:id="319" w:name="_Toc61356718"/>
      <w:r>
        <w:br w:type="page"/>
      </w:r>
    </w:p>
    <w:p w14:paraId="5BEFD7B9" w14:textId="036CADBE" w:rsidR="00C21E94" w:rsidRPr="00CD369E" w:rsidRDefault="003136DB" w:rsidP="00102432">
      <w:pPr>
        <w:pStyle w:val="Heading1"/>
        <w:rPr>
          <w:color w:val="0070C0"/>
        </w:rPr>
      </w:pPr>
      <w:bookmarkStart w:id="320" w:name="_Toc65159328"/>
      <w:r w:rsidRPr="00A7404F">
        <w:lastRenderedPageBreak/>
        <w:t>1</w:t>
      </w:r>
      <w:r w:rsidR="00A7404F" w:rsidRPr="00585B6B">
        <w:t>8</w:t>
      </w:r>
      <w:r w:rsidR="00FE7941" w:rsidRPr="00A7404F">
        <w:t xml:space="preserve"> A</w:t>
      </w:r>
      <w:r w:rsidR="00474B18">
        <w:t xml:space="preserve"> national </w:t>
      </w:r>
      <w:r w:rsidR="75F21606">
        <w:t xml:space="preserve">commercialisation and </w:t>
      </w:r>
      <w:r w:rsidR="2AB149BF">
        <w:t>patent</w:t>
      </w:r>
      <w:r w:rsidR="748268FB">
        <w:t xml:space="preserve"> defence</w:t>
      </w:r>
      <w:r w:rsidR="75F21606" w:rsidRPr="79344E9E">
        <w:rPr>
          <w:color w:val="14BDFF" w:themeColor="text2" w:themeTint="99"/>
        </w:rPr>
        <w:t xml:space="preserve"> </w:t>
      </w:r>
      <w:r w:rsidR="488D14D4" w:rsidRPr="00585B6B">
        <w:t>fund</w:t>
      </w:r>
      <w:bookmarkEnd w:id="313"/>
      <w:bookmarkEnd w:id="314"/>
      <w:bookmarkEnd w:id="315"/>
      <w:bookmarkEnd w:id="316"/>
      <w:bookmarkEnd w:id="317"/>
      <w:bookmarkEnd w:id="318"/>
      <w:bookmarkEnd w:id="319"/>
      <w:bookmarkEnd w:id="320"/>
    </w:p>
    <w:p w14:paraId="65B02FDE" w14:textId="1467A20D" w:rsidR="76C596DB" w:rsidRPr="00F7079B" w:rsidRDefault="409BBCD3" w:rsidP="6D7EA4D6">
      <w:pPr>
        <w:rPr>
          <w:szCs w:val="24"/>
        </w:rPr>
      </w:pPr>
      <w:r w:rsidRPr="00F7079B">
        <w:rPr>
          <w:szCs w:val="24"/>
        </w:rPr>
        <w:t xml:space="preserve">Patenting should lie within a commercialisation strategy, </w:t>
      </w:r>
      <w:r w:rsidR="06D96632" w:rsidRPr="00F7079B">
        <w:rPr>
          <w:szCs w:val="24"/>
        </w:rPr>
        <w:t>a</w:t>
      </w:r>
      <w:r w:rsidRPr="00F7079B">
        <w:rPr>
          <w:szCs w:val="24"/>
        </w:rPr>
        <w:t>nd commercialisation should start early. The low use of the</w:t>
      </w:r>
      <w:r w:rsidR="2C6BC329" w:rsidRPr="00F7079B">
        <w:rPr>
          <w:szCs w:val="24"/>
        </w:rPr>
        <w:t xml:space="preserve"> patent system by Australian </w:t>
      </w:r>
      <w:r w:rsidR="00BE02A6" w:rsidRPr="00F7079B">
        <w:rPr>
          <w:szCs w:val="24"/>
        </w:rPr>
        <w:t>small to medium enterprises (</w:t>
      </w:r>
      <w:r w:rsidR="00EF5244" w:rsidRPr="00F7079B">
        <w:rPr>
          <w:szCs w:val="24"/>
        </w:rPr>
        <w:t>SMEs</w:t>
      </w:r>
      <w:r w:rsidR="00BE02A6" w:rsidRPr="00F7079B">
        <w:rPr>
          <w:szCs w:val="24"/>
        </w:rPr>
        <w:t>)</w:t>
      </w:r>
      <w:r w:rsidR="2C6BC329" w:rsidRPr="00F7079B">
        <w:rPr>
          <w:szCs w:val="24"/>
        </w:rPr>
        <w:t xml:space="preserve"> can only be addressed by comprehensive government activity, </w:t>
      </w:r>
      <w:r w:rsidR="59C3F4E9" w:rsidRPr="00F7079B">
        <w:rPr>
          <w:szCs w:val="24"/>
        </w:rPr>
        <w:t>mobilising public and</w:t>
      </w:r>
      <w:r w:rsidR="2C6BC329" w:rsidRPr="00F7079B">
        <w:rPr>
          <w:szCs w:val="24"/>
        </w:rPr>
        <w:t xml:space="preserve"> private </w:t>
      </w:r>
      <w:r w:rsidR="3D2E6095" w:rsidRPr="00F7079B">
        <w:rPr>
          <w:szCs w:val="24"/>
        </w:rPr>
        <w:t>resources</w:t>
      </w:r>
      <w:r w:rsidR="2C6BC329" w:rsidRPr="00F7079B">
        <w:rPr>
          <w:szCs w:val="24"/>
        </w:rPr>
        <w:t>, legal professionals</w:t>
      </w:r>
      <w:r w:rsidR="40EABD6A" w:rsidRPr="00F7079B">
        <w:rPr>
          <w:szCs w:val="24"/>
        </w:rPr>
        <w:t>,</w:t>
      </w:r>
      <w:r w:rsidR="2C6BC329" w:rsidRPr="00F7079B">
        <w:rPr>
          <w:szCs w:val="24"/>
        </w:rPr>
        <w:t xml:space="preserve"> patent attorneys</w:t>
      </w:r>
      <w:r w:rsidR="2993051D" w:rsidRPr="00F7079B">
        <w:rPr>
          <w:szCs w:val="24"/>
        </w:rPr>
        <w:t>,</w:t>
      </w:r>
      <w:r w:rsidR="2C6BC329" w:rsidRPr="00F7079B">
        <w:rPr>
          <w:szCs w:val="24"/>
        </w:rPr>
        <w:t xml:space="preserve"> venture capital funds</w:t>
      </w:r>
      <w:r w:rsidR="25E816A9" w:rsidRPr="00F7079B">
        <w:rPr>
          <w:szCs w:val="24"/>
        </w:rPr>
        <w:t xml:space="preserve"> and family offices</w:t>
      </w:r>
      <w:r w:rsidR="2C6BC329" w:rsidRPr="00F7079B">
        <w:rPr>
          <w:szCs w:val="24"/>
        </w:rPr>
        <w:t>.</w:t>
      </w:r>
    </w:p>
    <w:p w14:paraId="68B187C0" w14:textId="73047318" w:rsidR="08ED7166" w:rsidRPr="00EF2722" w:rsidRDefault="20303952" w:rsidP="3D350BA3">
      <w:pPr>
        <w:rPr>
          <w:rFonts w:cs="Arial (Body CS)"/>
          <w:spacing w:val="-2"/>
          <w:szCs w:val="24"/>
        </w:rPr>
      </w:pPr>
      <w:r w:rsidRPr="00EF2722">
        <w:rPr>
          <w:rFonts w:cs="Arial (Body CS)"/>
          <w:spacing w:val="-2"/>
          <w:szCs w:val="24"/>
        </w:rPr>
        <w:t xml:space="preserve">Government </w:t>
      </w:r>
      <w:r w:rsidR="2AD67CF2" w:rsidRPr="00EF2722">
        <w:rPr>
          <w:rFonts w:cs="Arial (Body CS)"/>
          <w:spacing w:val="-2"/>
          <w:szCs w:val="24"/>
        </w:rPr>
        <w:t xml:space="preserve">and its private allies </w:t>
      </w:r>
      <w:r w:rsidRPr="00EF2722">
        <w:rPr>
          <w:rFonts w:cs="Arial (Body CS)"/>
          <w:spacing w:val="-2"/>
          <w:szCs w:val="24"/>
        </w:rPr>
        <w:t>ha</w:t>
      </w:r>
      <w:r w:rsidR="65749A82" w:rsidRPr="00EF2722">
        <w:rPr>
          <w:rFonts w:cs="Arial (Body CS)"/>
          <w:spacing w:val="-2"/>
          <w:szCs w:val="24"/>
        </w:rPr>
        <w:t>ve</w:t>
      </w:r>
      <w:r w:rsidRPr="00EF2722">
        <w:rPr>
          <w:rFonts w:cs="Arial (Body CS)"/>
          <w:spacing w:val="-2"/>
          <w:szCs w:val="24"/>
        </w:rPr>
        <w:t xml:space="preserve"> to actively seek out inventions, even before the patent stage</w:t>
      </w:r>
      <w:r w:rsidR="0625E044" w:rsidRPr="00EF2722">
        <w:rPr>
          <w:rFonts w:cs="Arial (Body CS)"/>
          <w:spacing w:val="-2"/>
          <w:szCs w:val="24"/>
        </w:rPr>
        <w:t>,</w:t>
      </w:r>
      <w:r w:rsidRPr="00EF2722">
        <w:rPr>
          <w:rFonts w:cs="Arial (Body CS)"/>
          <w:spacing w:val="-2"/>
          <w:szCs w:val="24"/>
        </w:rPr>
        <w:t xml:space="preserve"> and begin to invest or facilitate investment, along with offering coaching in strategy and </w:t>
      </w:r>
      <w:r w:rsidR="006B663B" w:rsidRPr="00EF2722">
        <w:rPr>
          <w:rFonts w:cs="Arial (Body CS)"/>
          <w:spacing w:val="-2"/>
          <w:szCs w:val="24"/>
        </w:rPr>
        <w:t>intellectual property (</w:t>
      </w:r>
      <w:r w:rsidRPr="00EF2722">
        <w:rPr>
          <w:rFonts w:cs="Arial (Body CS)"/>
          <w:spacing w:val="-2"/>
          <w:szCs w:val="24"/>
        </w:rPr>
        <w:t>IP</w:t>
      </w:r>
      <w:r w:rsidR="006B663B" w:rsidRPr="00EF2722">
        <w:rPr>
          <w:rFonts w:cs="Arial (Body CS)"/>
          <w:spacing w:val="-2"/>
          <w:szCs w:val="24"/>
        </w:rPr>
        <w:t>)</w:t>
      </w:r>
      <w:r w:rsidRPr="00EF2722">
        <w:rPr>
          <w:rFonts w:cs="Arial (Body CS)"/>
          <w:spacing w:val="-2"/>
          <w:szCs w:val="24"/>
        </w:rPr>
        <w:t xml:space="preserve"> management</w:t>
      </w:r>
      <w:r w:rsidR="2D325488" w:rsidRPr="00EF2722">
        <w:rPr>
          <w:rFonts w:cs="Arial (Body CS)"/>
          <w:spacing w:val="-2"/>
          <w:szCs w:val="24"/>
        </w:rPr>
        <w:t>.</w:t>
      </w:r>
      <w:r w:rsidR="4ED5431B" w:rsidRPr="00EF2722">
        <w:rPr>
          <w:rFonts w:cs="Arial (Body CS)"/>
          <w:spacing w:val="-2"/>
          <w:szCs w:val="24"/>
        </w:rPr>
        <w:t xml:space="preserve"> An invention </w:t>
      </w:r>
      <w:r w:rsidR="00C451A3">
        <w:rPr>
          <w:rFonts w:cs="Arial (Body CS)"/>
          <w:spacing w:val="-2"/>
          <w:szCs w:val="24"/>
        </w:rPr>
        <w:t>may</w:t>
      </w:r>
      <w:r w:rsidR="00C451A3" w:rsidRPr="00EF2722">
        <w:rPr>
          <w:rFonts w:cs="Arial (Body CS)"/>
          <w:spacing w:val="-2"/>
          <w:szCs w:val="24"/>
        </w:rPr>
        <w:t xml:space="preserve"> </w:t>
      </w:r>
      <w:r w:rsidR="4ED5431B" w:rsidRPr="00EF2722">
        <w:rPr>
          <w:rFonts w:cs="Arial (Body CS)"/>
          <w:spacing w:val="-2"/>
          <w:szCs w:val="24"/>
        </w:rPr>
        <w:t>lead to the creation of an SME, which may grow.</w:t>
      </w:r>
      <w:r w:rsidR="74459677" w:rsidRPr="00EF2722">
        <w:rPr>
          <w:rFonts w:cs="Arial (Body CS)"/>
          <w:spacing w:val="-2"/>
          <w:szCs w:val="24"/>
        </w:rPr>
        <w:t xml:space="preserve"> An involvement with the patent system may </w:t>
      </w:r>
      <w:r w:rsidR="006D1D67">
        <w:rPr>
          <w:rFonts w:cs="Arial (Body CS)"/>
          <w:spacing w:val="-2"/>
          <w:szCs w:val="24"/>
        </w:rPr>
        <w:t>increase the</w:t>
      </w:r>
      <w:r w:rsidR="74459677" w:rsidRPr="00EF2722">
        <w:rPr>
          <w:rFonts w:cs="Arial (Body CS)"/>
          <w:spacing w:val="-2"/>
          <w:szCs w:val="24"/>
        </w:rPr>
        <w:t xml:space="preserve"> capacity</w:t>
      </w:r>
      <w:r w:rsidR="006D1D67">
        <w:rPr>
          <w:rFonts w:cs="Arial (Body CS)"/>
          <w:spacing w:val="-2"/>
          <w:szCs w:val="24"/>
        </w:rPr>
        <w:t xml:space="preserve"> for companies to commercialise their products overseas.</w:t>
      </w:r>
    </w:p>
    <w:p w14:paraId="6E837846" w14:textId="16C094F3" w:rsidR="213B8B72" w:rsidRPr="00F7079B" w:rsidRDefault="2D325488" w:rsidP="3D350BA3">
      <w:pPr>
        <w:rPr>
          <w:szCs w:val="24"/>
        </w:rPr>
      </w:pPr>
      <w:r w:rsidRPr="00F7079B">
        <w:rPr>
          <w:szCs w:val="24"/>
        </w:rPr>
        <w:t xml:space="preserve">This means actively going to institutions </w:t>
      </w:r>
      <w:r w:rsidR="00CF15A5" w:rsidRPr="00F7079B">
        <w:rPr>
          <w:szCs w:val="24"/>
        </w:rPr>
        <w:t xml:space="preserve">where there is limited commercialisation assistance, </w:t>
      </w:r>
      <w:r w:rsidRPr="00F7079B">
        <w:rPr>
          <w:szCs w:val="24"/>
        </w:rPr>
        <w:t>such as hospitals, small businesses</w:t>
      </w:r>
      <w:r w:rsidR="00B80C92" w:rsidRPr="00F7079B">
        <w:rPr>
          <w:szCs w:val="24"/>
        </w:rPr>
        <w:t xml:space="preserve"> </w:t>
      </w:r>
      <w:r w:rsidRPr="00F7079B">
        <w:rPr>
          <w:szCs w:val="24"/>
        </w:rPr>
        <w:t>and even universities, asking questions and seeking out information.</w:t>
      </w:r>
      <w:r w:rsidR="3338F29D" w:rsidRPr="00F7079B">
        <w:rPr>
          <w:szCs w:val="24"/>
        </w:rPr>
        <w:t xml:space="preserve"> Hospitals often have foundations which fund research of an applied kind, but ther</w:t>
      </w:r>
      <w:r w:rsidR="5D79450D" w:rsidRPr="00F7079B">
        <w:rPr>
          <w:szCs w:val="24"/>
        </w:rPr>
        <w:t>e</w:t>
      </w:r>
      <w:r w:rsidR="3338F29D" w:rsidRPr="00F7079B">
        <w:rPr>
          <w:szCs w:val="24"/>
        </w:rPr>
        <w:t xml:space="preserve"> i</w:t>
      </w:r>
      <w:r w:rsidR="726D1EF5" w:rsidRPr="00F7079B">
        <w:rPr>
          <w:szCs w:val="24"/>
        </w:rPr>
        <w:t>s</w:t>
      </w:r>
      <w:r w:rsidR="3338F29D" w:rsidRPr="00F7079B">
        <w:rPr>
          <w:szCs w:val="24"/>
        </w:rPr>
        <w:t xml:space="preserve"> littl</w:t>
      </w:r>
      <w:r w:rsidR="43F23D29" w:rsidRPr="00F7079B">
        <w:rPr>
          <w:szCs w:val="24"/>
        </w:rPr>
        <w:t>e</w:t>
      </w:r>
      <w:r w:rsidR="3A0E51AB" w:rsidRPr="00F7079B">
        <w:rPr>
          <w:szCs w:val="24"/>
        </w:rPr>
        <w:t xml:space="preserve"> in the way of assistance for patenting or commercialisation</w:t>
      </w:r>
      <w:r w:rsidR="62EF70EA" w:rsidRPr="00F7079B">
        <w:rPr>
          <w:szCs w:val="24"/>
        </w:rPr>
        <w:t xml:space="preserve"> of the findings</w:t>
      </w:r>
      <w:r w:rsidR="3BF331B8" w:rsidRPr="00F7079B">
        <w:rPr>
          <w:szCs w:val="24"/>
        </w:rPr>
        <w:t>.</w:t>
      </w:r>
      <w:r w:rsidR="00EF5244" w:rsidRPr="00F7079B">
        <w:rPr>
          <w:szCs w:val="24"/>
        </w:rPr>
        <w:t xml:space="preserve"> An invention in a hospital which is successfully commercialised will lead to another SME</w:t>
      </w:r>
      <w:r w:rsidR="59AF509E" w:rsidRPr="00F7079B">
        <w:rPr>
          <w:szCs w:val="24"/>
        </w:rPr>
        <w:t xml:space="preserve">, and </w:t>
      </w:r>
      <w:r w:rsidR="00B80C92" w:rsidRPr="00F7079B">
        <w:rPr>
          <w:szCs w:val="24"/>
        </w:rPr>
        <w:t xml:space="preserve">to </w:t>
      </w:r>
      <w:r w:rsidR="59AF509E" w:rsidRPr="00F7079B">
        <w:rPr>
          <w:szCs w:val="24"/>
        </w:rPr>
        <w:t>more jobs at every level</w:t>
      </w:r>
      <w:r w:rsidR="00EF5244" w:rsidRPr="00F7079B">
        <w:rPr>
          <w:szCs w:val="24"/>
        </w:rPr>
        <w:t>.</w:t>
      </w:r>
    </w:p>
    <w:p w14:paraId="6A0F581F" w14:textId="553D3BF5" w:rsidR="213B8B72" w:rsidRPr="00F7079B" w:rsidRDefault="2D325488" w:rsidP="3D350BA3">
      <w:pPr>
        <w:rPr>
          <w:szCs w:val="24"/>
        </w:rPr>
      </w:pPr>
      <w:r w:rsidRPr="00F7079B">
        <w:rPr>
          <w:szCs w:val="24"/>
        </w:rPr>
        <w:t>If such a group were established it might also ease the problem in universities, where commercialisation is often a difficulty, and where there is often a doubt as to whether the University will back it when litigation comes up. It may be eas</w:t>
      </w:r>
      <w:r w:rsidR="61979BC6" w:rsidRPr="00F7079B">
        <w:rPr>
          <w:szCs w:val="24"/>
        </w:rPr>
        <w:t>ier</w:t>
      </w:r>
      <w:r w:rsidRPr="00F7079B">
        <w:rPr>
          <w:szCs w:val="24"/>
        </w:rPr>
        <w:t xml:space="preserve"> for many universities, particularly regional universities</w:t>
      </w:r>
      <w:r w:rsidR="5C7E62B7" w:rsidRPr="00F7079B">
        <w:rPr>
          <w:szCs w:val="24"/>
        </w:rPr>
        <w:t>,</w:t>
      </w:r>
      <w:r w:rsidRPr="00F7079B">
        <w:rPr>
          <w:szCs w:val="24"/>
        </w:rPr>
        <w:t xml:space="preserve"> to outsource to such a body</w:t>
      </w:r>
      <w:r w:rsidR="01323D14" w:rsidRPr="00F7079B">
        <w:rPr>
          <w:szCs w:val="24"/>
        </w:rPr>
        <w:t>.</w:t>
      </w:r>
    </w:p>
    <w:p w14:paraId="643641D9" w14:textId="23E4F59E" w:rsidR="00DD1D45" w:rsidRPr="00F7079B" w:rsidRDefault="2064885E">
      <w:r>
        <w:t>G</w:t>
      </w:r>
      <w:r w:rsidR="149A45B9">
        <w:t>o</w:t>
      </w:r>
      <w:r w:rsidR="1E68C4A0">
        <w:t xml:space="preserve">vernment </w:t>
      </w:r>
      <w:r w:rsidR="6D5A437F">
        <w:t>p</w:t>
      </w:r>
      <w:r w:rsidR="0D8F26FB">
        <w:t xml:space="preserve">rotection </w:t>
      </w:r>
      <w:r w:rsidR="3EA2A088">
        <w:t xml:space="preserve">or </w:t>
      </w:r>
      <w:r w:rsidR="6B1002EC">
        <w:t xml:space="preserve">facilitating of protection </w:t>
      </w:r>
      <w:r w:rsidR="0D8F26FB">
        <w:t xml:space="preserve">for patents </w:t>
      </w:r>
      <w:r w:rsidR="6B72E54A">
        <w:t xml:space="preserve">of national importance, both in security </w:t>
      </w:r>
      <w:r w:rsidR="3608471A">
        <w:t xml:space="preserve">and </w:t>
      </w:r>
      <w:r w:rsidR="6B72E54A">
        <w:t xml:space="preserve">defence terms, but also in terms of national commercial growth, should also be considered. </w:t>
      </w:r>
      <w:r w:rsidR="5A9ECBBC">
        <w:t xml:space="preserve">Too often </w:t>
      </w:r>
      <w:r w:rsidR="4C946AA2">
        <w:t xml:space="preserve">Australian inventions depart overseas </w:t>
      </w:r>
      <w:r w:rsidR="722D3C01">
        <w:t xml:space="preserve">as the free market operates in its own best interests. There are numerous </w:t>
      </w:r>
      <w:r w:rsidR="45BE66C9">
        <w:t xml:space="preserve">small inventors and small companies without significant </w:t>
      </w:r>
      <w:r w:rsidR="0C35DDC3">
        <w:t xml:space="preserve">wealth, and these generate ideas which are left to the mercy of the market and </w:t>
      </w:r>
      <w:r w:rsidR="00BC3F9C">
        <w:t>–</w:t>
      </w:r>
      <w:r w:rsidR="00B5659A">
        <w:t xml:space="preserve"> </w:t>
      </w:r>
      <w:r w:rsidR="0C35DDC3">
        <w:t xml:space="preserve">in our open economy </w:t>
      </w:r>
      <w:r w:rsidR="00BC3F9C">
        <w:t>–</w:t>
      </w:r>
      <w:r w:rsidR="00B5659A">
        <w:t xml:space="preserve"> </w:t>
      </w:r>
      <w:r w:rsidR="6A864293">
        <w:t xml:space="preserve">to large investors from </w:t>
      </w:r>
      <w:r w:rsidR="65D6A935">
        <w:t>countries with deep capital markets.</w:t>
      </w:r>
      <w:r w:rsidR="16E18B98">
        <w:t xml:space="preserve"> Malicious litigation can </w:t>
      </w:r>
      <w:r w:rsidR="5285B902">
        <w:t>lead to inventions being swallowed up by big external companies.</w:t>
      </w:r>
    </w:p>
    <w:p w14:paraId="58ECBAA8" w14:textId="6E5077DB" w:rsidR="23DD811E" w:rsidRDefault="23DD811E" w:rsidP="3A87EC44">
      <w:pPr>
        <w:rPr>
          <w:szCs w:val="24"/>
        </w:rPr>
      </w:pPr>
      <w:r>
        <w:t>Any such intervention by government would have to be structured so as to ob</w:t>
      </w:r>
      <w:r w:rsidR="56847044">
        <w:t>serve commitments given in trade agreements, and related legislation</w:t>
      </w:r>
      <w:r w:rsidR="61CC3704">
        <w:t>. The shape of the partnership would be partly det</w:t>
      </w:r>
      <w:r w:rsidR="6ADAC9EB">
        <w:t>e</w:t>
      </w:r>
      <w:r w:rsidR="61CC3704">
        <w:t>rmined by such considerations</w:t>
      </w:r>
      <w:r w:rsidR="641EC2C7">
        <w:t>.</w:t>
      </w:r>
      <w:r>
        <w:t xml:space="preserve"> </w:t>
      </w:r>
    </w:p>
    <w:p w14:paraId="1B6CA931" w14:textId="52476C3F" w:rsidR="00543F9E" w:rsidRPr="00F7079B" w:rsidRDefault="79AB081F" w:rsidP="3D350BA3">
      <w:r w:rsidRPr="4DC56483">
        <w:t>Venture capital</w:t>
      </w:r>
      <w:r w:rsidR="007A152C" w:rsidRPr="4DC56483">
        <w:t xml:space="preserve"> owners</w:t>
      </w:r>
      <w:r w:rsidR="00B0561E" w:rsidRPr="00F7079B">
        <w:rPr>
          <w:szCs w:val="24"/>
        </w:rPr>
        <w:t xml:space="preserve"> </w:t>
      </w:r>
      <w:r w:rsidR="00BC3F9C">
        <w:t>–</w:t>
      </w:r>
      <w:r w:rsidR="00D23D0E">
        <w:t xml:space="preserve"> </w:t>
      </w:r>
      <w:r w:rsidR="3DD63809" w:rsidRPr="4DC56483">
        <w:t xml:space="preserve">though </w:t>
      </w:r>
      <w:r w:rsidR="00B256BA" w:rsidRPr="4DC56483">
        <w:t>funds have</w:t>
      </w:r>
      <w:r w:rsidR="3DD63809" w:rsidRPr="4DC56483">
        <w:t xml:space="preserve"> grown appreciably</w:t>
      </w:r>
      <w:r w:rsidR="3F8B39C0" w:rsidRPr="4DC56483">
        <w:t xml:space="preserve"> in </w:t>
      </w:r>
      <w:r w:rsidR="00B0561E" w:rsidRPr="4DC56483">
        <w:t xml:space="preserve">the </w:t>
      </w:r>
      <w:r w:rsidR="3F8B39C0" w:rsidRPr="4DC56483">
        <w:t>volume available</w:t>
      </w:r>
      <w:r w:rsidR="00BC2926">
        <w:t xml:space="preserve"> </w:t>
      </w:r>
      <w:r w:rsidR="00BC3F9C">
        <w:t>–</w:t>
      </w:r>
      <w:r w:rsidR="00BC2926">
        <w:t xml:space="preserve"> </w:t>
      </w:r>
      <w:r w:rsidR="00B256BA" w:rsidRPr="4DC56483">
        <w:t>are</w:t>
      </w:r>
      <w:r w:rsidRPr="00F7079B">
        <w:rPr>
          <w:szCs w:val="24"/>
        </w:rPr>
        <w:t xml:space="preserve"> </w:t>
      </w:r>
      <w:r w:rsidR="4B656BBC" w:rsidRPr="4DC56483">
        <w:t>tough to convince</w:t>
      </w:r>
      <w:r w:rsidRPr="4DC56483">
        <w:t>, and private funds and family offices are very choosy about what they invest in.</w:t>
      </w:r>
      <w:r w:rsidR="15152753" w:rsidRPr="00F7079B">
        <w:rPr>
          <w:szCs w:val="24"/>
        </w:rPr>
        <w:t xml:space="preserve"> </w:t>
      </w:r>
      <w:r w:rsidR="37E73913" w:rsidRPr="4DC56483">
        <w:t>There is nothing wrong with this</w:t>
      </w:r>
      <w:r w:rsidR="00CE1907" w:rsidRPr="00F7079B">
        <w:rPr>
          <w:szCs w:val="24"/>
        </w:rPr>
        <w:t>,</w:t>
      </w:r>
      <w:r w:rsidR="37E73913" w:rsidRPr="4DC56483">
        <w:t xml:space="preserve"> of course</w:t>
      </w:r>
      <w:r w:rsidR="00630EB2" w:rsidRPr="00F7079B">
        <w:rPr>
          <w:szCs w:val="24"/>
        </w:rPr>
        <w:t xml:space="preserve"> </w:t>
      </w:r>
      <w:r w:rsidR="00BC3F9C">
        <w:t>–</w:t>
      </w:r>
      <w:r w:rsidR="00D23D0E">
        <w:t xml:space="preserve"> </w:t>
      </w:r>
      <w:r w:rsidR="37E73913" w:rsidRPr="4DC56483">
        <w:t xml:space="preserve">since investors want a return, and they are not there simply to make a donation. But venture capital is not so much </w:t>
      </w:r>
      <w:r w:rsidR="006C365A" w:rsidRPr="00F7079B">
        <w:rPr>
          <w:szCs w:val="24"/>
        </w:rPr>
        <w:t>‘</w:t>
      </w:r>
      <w:r w:rsidR="37E73913" w:rsidRPr="4DC56483">
        <w:t>risk capital</w:t>
      </w:r>
      <w:r w:rsidR="006C365A" w:rsidRPr="00F7079B">
        <w:rPr>
          <w:szCs w:val="24"/>
        </w:rPr>
        <w:t>’</w:t>
      </w:r>
      <w:r w:rsidR="37E73913" w:rsidRPr="4DC56483">
        <w:t xml:space="preserve"> as </w:t>
      </w:r>
      <w:r w:rsidR="006C365A" w:rsidRPr="00F7079B">
        <w:rPr>
          <w:szCs w:val="24"/>
        </w:rPr>
        <w:t>‘</w:t>
      </w:r>
      <w:r w:rsidR="37E73913" w:rsidRPr="4DC56483">
        <w:t>risk minimisation capital</w:t>
      </w:r>
      <w:r w:rsidR="006C365A" w:rsidRPr="00F7079B">
        <w:rPr>
          <w:szCs w:val="24"/>
        </w:rPr>
        <w:t>’</w:t>
      </w:r>
      <w:r w:rsidR="37E73913" w:rsidRPr="4DC56483">
        <w:t>, because the investors</w:t>
      </w:r>
      <w:r w:rsidR="73E421C1" w:rsidRPr="4DC56483">
        <w:t xml:space="preserve">’ criteria for success </w:t>
      </w:r>
      <w:r w:rsidR="00636404" w:rsidRPr="4DC56483">
        <w:t xml:space="preserve">at certain </w:t>
      </w:r>
      <w:r w:rsidR="00636404" w:rsidRPr="4DC56483">
        <w:lastRenderedPageBreak/>
        <w:t xml:space="preserve">levels </w:t>
      </w:r>
      <w:r w:rsidR="73E421C1" w:rsidRPr="4DC56483">
        <w:t>are defined within the very narrow confines of company solvency and investor return</w:t>
      </w:r>
      <w:r w:rsidR="000C37AC" w:rsidRPr="4DC56483">
        <w:t>: t</w:t>
      </w:r>
      <w:r w:rsidR="73E421C1" w:rsidRPr="4DC56483">
        <w:t>his is why they are choosy</w:t>
      </w:r>
      <w:r w:rsidR="5542E391" w:rsidRPr="00F7079B">
        <w:rPr>
          <w:szCs w:val="24"/>
        </w:rPr>
        <w:t>.</w:t>
      </w:r>
      <w:r w:rsidRPr="4DC56483">
        <w:rPr>
          <w:rStyle w:val="FootnoteReference"/>
        </w:rPr>
        <w:footnoteReference w:id="87"/>
      </w:r>
      <w:r w:rsidR="00E4757B" w:rsidRPr="00F7079B">
        <w:rPr>
          <w:szCs w:val="24"/>
        </w:rPr>
        <w:t xml:space="preserve"> </w:t>
      </w:r>
      <w:r w:rsidR="49200606" w:rsidRPr="74A8E8D3">
        <w:t>A government fund may be able to take a larger view.</w:t>
      </w:r>
    </w:p>
    <w:p w14:paraId="4942AA8B" w14:textId="796BFA26" w:rsidR="006B417B" w:rsidRPr="00F7079B" w:rsidRDefault="171EA399" w:rsidP="3D350BA3">
      <w:r>
        <w:t>There is a need for coordination of public and private resources</w:t>
      </w:r>
      <w:r w:rsidR="21424612">
        <w:t xml:space="preserve">, because it will be in the interests of the Australian economy and of Australian employment growth to seek ways of keeping and nurturing such IP developments. </w:t>
      </w:r>
      <w:r w:rsidR="3503E0E7">
        <w:t>Government coordination can assist in preserving and developing critical technologies as they are identified.</w:t>
      </w:r>
      <w:r w:rsidR="21424612">
        <w:t xml:space="preserve"> </w:t>
      </w:r>
    </w:p>
    <w:p w14:paraId="1738F84F" w14:textId="796BFA26" w:rsidR="6A74359F" w:rsidRDefault="6A74359F" w:rsidP="5888621E">
      <w:pPr>
        <w:rPr>
          <w:rFonts w:cs="Arial (Body CS)"/>
        </w:rPr>
      </w:pPr>
      <w:r w:rsidRPr="5888621E">
        <w:rPr>
          <w:rFonts w:cs="Arial (Body CS)"/>
        </w:rPr>
        <w:t xml:space="preserve">What is needed, in addition, is a pool of funds to support a program of this kind, and a business strategy for the </w:t>
      </w:r>
      <w:r w:rsidR="4E9AAA5A" w:rsidRPr="4DC56483">
        <w:rPr>
          <w:rFonts w:cs="Arial (Body CS)"/>
        </w:rPr>
        <w:t>partnership</w:t>
      </w:r>
      <w:r w:rsidRPr="5888621E">
        <w:rPr>
          <w:rFonts w:cs="Arial (Body CS)"/>
        </w:rPr>
        <w:t xml:space="preserve"> which envisages either full cost recovery or a profit. Not a great deal separates these two alternatives. Having a patent accepted by such a group should be treated as a matter of high prestige. Their stamp of approval should mobilise a response.</w:t>
      </w:r>
    </w:p>
    <w:p w14:paraId="6A024CBA" w14:textId="7FB70C2C" w:rsidR="001D2ACD" w:rsidRPr="00F7079B" w:rsidRDefault="1C40B5B8" w:rsidP="316EFCA8">
      <w:r>
        <w:t>There is no need for this to be a</w:t>
      </w:r>
      <w:r w:rsidR="4FCCC724">
        <w:t xml:space="preserve"> new</w:t>
      </w:r>
      <w:r>
        <w:t xml:space="preserve"> impost on the taxpayer.</w:t>
      </w:r>
      <w:r w:rsidR="127EE298">
        <w:t xml:space="preserve"> </w:t>
      </w:r>
      <w:r w:rsidR="0E0E0746">
        <w:t>The</w:t>
      </w:r>
      <w:r w:rsidR="21E679AA">
        <w:t xml:space="preserve"> starting point for investigating how to do this should be </w:t>
      </w:r>
      <w:r w:rsidR="0E0E0746">
        <w:t>models</w:t>
      </w:r>
      <w:r w:rsidR="53B0A133">
        <w:t xml:space="preserve"> </w:t>
      </w:r>
      <w:r w:rsidR="5D0A29B1">
        <w:t>f</w:t>
      </w:r>
      <w:r w:rsidR="27B41084">
        <w:t>rom</w:t>
      </w:r>
      <w:r w:rsidR="77E9F7E7">
        <w:t xml:space="preserve"> elsewhere, </w:t>
      </w:r>
      <w:r w:rsidR="0E0E0746">
        <w:t xml:space="preserve">such as the </w:t>
      </w:r>
      <w:r w:rsidR="51A9AE0F">
        <w:t>I</w:t>
      </w:r>
      <w:r w:rsidR="0E0E0746">
        <w:t xml:space="preserve">sraeli model of government/private cooperation, or </w:t>
      </w:r>
      <w:r w:rsidR="05550831">
        <w:t>Canadian</w:t>
      </w:r>
      <w:r w:rsidR="0E0E0746">
        <w:t xml:space="preserve"> public/private partnerships such as the Canadian</w:t>
      </w:r>
      <w:r w:rsidR="13DB18C5">
        <w:t xml:space="preserve"> Regenerative </w:t>
      </w:r>
      <w:r w:rsidR="77CF6555">
        <w:t>M</w:t>
      </w:r>
      <w:r w:rsidR="13DB18C5">
        <w:t>edici</w:t>
      </w:r>
      <w:r w:rsidR="39B8766F">
        <w:t>ne Consortium</w:t>
      </w:r>
      <w:r w:rsidR="53B0A133">
        <w:t xml:space="preserve"> </w:t>
      </w:r>
      <w:r w:rsidR="39B8766F">
        <w:t>which also operate</w:t>
      </w:r>
      <w:r w:rsidR="2EA57E25">
        <w:t>s</w:t>
      </w:r>
      <w:r w:rsidR="39B8766F">
        <w:t xml:space="preserve"> in Australia</w:t>
      </w:r>
      <w:r w:rsidR="5371D3EE">
        <w:t xml:space="preserve"> and </w:t>
      </w:r>
      <w:r w:rsidR="68AB6535">
        <w:t xml:space="preserve">which </w:t>
      </w:r>
      <w:r w:rsidR="2EA57E25">
        <w:t>is</w:t>
      </w:r>
      <w:r w:rsidR="5371D3EE">
        <w:t xml:space="preserve"> </w:t>
      </w:r>
      <w:r w:rsidR="39B8766F">
        <w:t>seeking opportunities</w:t>
      </w:r>
      <w:r w:rsidR="7094ACA0">
        <w:t>, it should be noted</w:t>
      </w:r>
      <w:r w:rsidR="7EA33C0B">
        <w:t>.</w:t>
      </w:r>
      <w:r w:rsidR="05B2D0FE">
        <w:t xml:space="preserve"> </w:t>
      </w:r>
    </w:p>
    <w:p w14:paraId="2ECCC15E" w14:textId="796BFA26" w:rsidR="001D2ACD" w:rsidRPr="00EF2722" w:rsidRDefault="27EF6F69" w:rsidP="5888621E">
      <w:pPr>
        <w:rPr>
          <w:rFonts w:cs="Arial (Body CS)"/>
        </w:rPr>
      </w:pPr>
      <w:r w:rsidRPr="74A8E8D3">
        <w:rPr>
          <w:rFonts w:cs="Arial (Body CS)"/>
        </w:rPr>
        <w:t>There are therefore two main legs to this proposed public/private partnership</w:t>
      </w:r>
      <w:r w:rsidR="2CE6093D" w:rsidRPr="74A8E8D3">
        <w:rPr>
          <w:rFonts w:cs="Arial (Body CS)"/>
        </w:rPr>
        <w:t>:</w:t>
      </w:r>
    </w:p>
    <w:p w14:paraId="137EDBE1" w14:textId="29099758" w:rsidR="5888621E" w:rsidRDefault="2CE6093D" w:rsidP="002411C9">
      <w:pPr>
        <w:pStyle w:val="ListParagraph"/>
        <w:numPr>
          <w:ilvl w:val="0"/>
          <w:numId w:val="71"/>
        </w:numPr>
        <w:spacing w:before="120" w:after="120"/>
        <w:ind w:left="714"/>
        <w:rPr>
          <w:rFonts w:cs="Arial (Body CS)"/>
        </w:rPr>
      </w:pPr>
      <w:r w:rsidRPr="00955DA8">
        <w:rPr>
          <w:rFonts w:cs="Arial (Body CS)"/>
        </w:rPr>
        <w:t>A commercialisation service, offering advice and mentoring ("curation")</w:t>
      </w:r>
      <w:r w:rsidR="1A512B46" w:rsidRPr="00955DA8">
        <w:rPr>
          <w:rFonts w:cs="Arial (Body CS)"/>
        </w:rPr>
        <w:t xml:space="preserve"> on</w:t>
      </w:r>
      <w:r w:rsidR="00955DA8" w:rsidRPr="00955DA8">
        <w:rPr>
          <w:rFonts w:cs="Arial (Body CS)"/>
        </w:rPr>
        <w:t xml:space="preserve"> </w:t>
      </w:r>
      <w:r w:rsidR="57952457" w:rsidRPr="00955DA8">
        <w:rPr>
          <w:rFonts w:cs="Arial (Body CS)"/>
        </w:rPr>
        <w:t xml:space="preserve">how to develop commercial </w:t>
      </w:r>
      <w:r w:rsidR="32E3B6C7" w:rsidRPr="00955DA8">
        <w:rPr>
          <w:rFonts w:cs="Arial (Body CS)"/>
        </w:rPr>
        <w:t xml:space="preserve">technology </w:t>
      </w:r>
      <w:r w:rsidR="57952457" w:rsidRPr="00955DA8">
        <w:rPr>
          <w:rFonts w:cs="Arial (Body CS)"/>
        </w:rPr>
        <w:t>prospects</w:t>
      </w:r>
      <w:r w:rsidR="5341E5E6" w:rsidRPr="00955DA8">
        <w:rPr>
          <w:rFonts w:cs="Arial (Body CS)"/>
        </w:rPr>
        <w:t xml:space="preserve"> discovered throug</w:t>
      </w:r>
      <w:r w:rsidR="02F5D3EF" w:rsidRPr="00955DA8">
        <w:rPr>
          <w:rFonts w:cs="Arial (Body CS)"/>
        </w:rPr>
        <w:t>h</w:t>
      </w:r>
      <w:r w:rsidR="5341E5E6" w:rsidRPr="00955DA8">
        <w:rPr>
          <w:rFonts w:cs="Arial (Body CS)"/>
        </w:rPr>
        <w:t xml:space="preserve"> pro</w:t>
      </w:r>
      <w:r w:rsidR="1692DC80" w:rsidRPr="00955DA8">
        <w:rPr>
          <w:rFonts w:cs="Arial (Body CS)"/>
        </w:rPr>
        <w:t>s</w:t>
      </w:r>
      <w:r w:rsidR="5341E5E6" w:rsidRPr="00955DA8">
        <w:rPr>
          <w:rFonts w:cs="Arial (Body CS)"/>
        </w:rPr>
        <w:t>pective audit or other means, and funded on a fee for service basis.</w:t>
      </w:r>
      <w:r w:rsidR="15FEC42B" w:rsidRPr="00955DA8">
        <w:rPr>
          <w:rFonts w:cs="Arial (Body CS)"/>
        </w:rPr>
        <w:t xml:space="preserve"> This service would use privately available commerci</w:t>
      </w:r>
      <w:r w:rsidR="2B5651B8" w:rsidRPr="00955DA8">
        <w:rPr>
          <w:rFonts w:cs="Arial (Body CS)"/>
        </w:rPr>
        <w:t>alisation</w:t>
      </w:r>
      <w:r w:rsidR="15FEC42B" w:rsidRPr="00955DA8">
        <w:rPr>
          <w:rFonts w:cs="Arial (Body CS)"/>
        </w:rPr>
        <w:t xml:space="preserve"> services, coordi</w:t>
      </w:r>
      <w:r w:rsidR="64AC8EE5" w:rsidRPr="00955DA8">
        <w:rPr>
          <w:rFonts w:cs="Arial (Body CS)"/>
        </w:rPr>
        <w:t xml:space="preserve">nated </w:t>
      </w:r>
      <w:r w:rsidR="15FEC42B" w:rsidRPr="00955DA8">
        <w:rPr>
          <w:rFonts w:cs="Arial (Body CS)"/>
        </w:rPr>
        <w:t>by go</w:t>
      </w:r>
      <w:r w:rsidR="09CB32FD" w:rsidRPr="00955DA8">
        <w:rPr>
          <w:rFonts w:cs="Arial (Body CS)"/>
        </w:rPr>
        <w:t>vernment.</w:t>
      </w:r>
      <w:r w:rsidR="2305E5C3" w:rsidRPr="00955DA8">
        <w:rPr>
          <w:rFonts w:cs="Arial (Body CS)"/>
        </w:rPr>
        <w:t xml:space="preserve"> The model would be</w:t>
      </w:r>
      <w:r w:rsidR="43B3732A" w:rsidRPr="00955DA8">
        <w:rPr>
          <w:rFonts w:cs="Arial (Body CS)"/>
        </w:rPr>
        <w:t xml:space="preserve"> a successful universi</w:t>
      </w:r>
      <w:r w:rsidR="33F86EEA" w:rsidRPr="00955DA8">
        <w:rPr>
          <w:rFonts w:cs="Arial (Body CS)"/>
        </w:rPr>
        <w:t xml:space="preserve">ty commercialisation office of which there are several in Australia, </w:t>
      </w:r>
      <w:r w:rsidR="74B4CA9D" w:rsidRPr="00955DA8">
        <w:rPr>
          <w:rFonts w:cs="Arial (Body CS)"/>
        </w:rPr>
        <w:t>that of the CSIRO, or</w:t>
      </w:r>
      <w:r w:rsidR="33F86EEA" w:rsidRPr="00955DA8">
        <w:rPr>
          <w:rFonts w:cs="Arial (Body CS)"/>
        </w:rPr>
        <w:t xml:space="preserve"> that of the highly su</w:t>
      </w:r>
      <w:r w:rsidR="7444F286" w:rsidRPr="00955DA8">
        <w:rPr>
          <w:rFonts w:cs="Arial (Body CS)"/>
        </w:rPr>
        <w:t>ccessful</w:t>
      </w:r>
      <w:r w:rsidR="33F86EEA" w:rsidRPr="00955DA8">
        <w:rPr>
          <w:rFonts w:cs="Arial (Body CS)"/>
        </w:rPr>
        <w:t xml:space="preserve"> Im</w:t>
      </w:r>
      <w:r w:rsidR="05B86AC0" w:rsidRPr="00955DA8">
        <w:rPr>
          <w:rFonts w:cs="Arial (Body CS)"/>
        </w:rPr>
        <w:t>p</w:t>
      </w:r>
      <w:r w:rsidR="33F86EEA" w:rsidRPr="00955DA8">
        <w:rPr>
          <w:rFonts w:cs="Arial (Body CS)"/>
        </w:rPr>
        <w:t>erial College London.</w:t>
      </w:r>
      <w:r w:rsidR="43B3732A" w:rsidRPr="00955DA8">
        <w:rPr>
          <w:rFonts w:cs="Arial (Body CS)"/>
        </w:rPr>
        <w:t xml:space="preserve"> </w:t>
      </w:r>
    </w:p>
    <w:p w14:paraId="3664E599" w14:textId="6FFFE3D5" w:rsidR="43FC2D5E" w:rsidRDefault="1F918934" w:rsidP="4DC56483">
      <w:pPr>
        <w:pStyle w:val="ListParagraph"/>
        <w:numPr>
          <w:ilvl w:val="0"/>
          <w:numId w:val="72"/>
        </w:numPr>
        <w:rPr>
          <w:rFonts w:eastAsiaTheme="minorEastAsia"/>
        </w:rPr>
      </w:pPr>
      <w:r w:rsidRPr="4DC56483">
        <w:rPr>
          <w:rFonts w:cs="Arial (Body CS)"/>
        </w:rPr>
        <w:t xml:space="preserve">A funding </w:t>
      </w:r>
      <w:r w:rsidR="0FE95A56" w:rsidRPr="4DC56483">
        <w:rPr>
          <w:rFonts w:cs="Arial (Body CS)"/>
        </w:rPr>
        <w:t>source</w:t>
      </w:r>
      <w:r w:rsidR="5888621E" w:rsidRPr="4DC56483">
        <w:rPr>
          <w:rFonts w:cs="Arial (Body CS)"/>
        </w:rPr>
        <w:t>,</w:t>
      </w:r>
      <w:r w:rsidR="0132991E" w:rsidRPr="4DC56483">
        <w:rPr>
          <w:rFonts w:cs="Arial (Body CS)"/>
        </w:rPr>
        <w:t xml:space="preserve"> structured appropriately </w:t>
      </w:r>
      <w:r w:rsidR="52440265" w:rsidRPr="4DC56483">
        <w:rPr>
          <w:rFonts w:cs="Arial (Body CS)"/>
        </w:rPr>
        <w:t>with respect to our</w:t>
      </w:r>
      <w:r w:rsidR="77EF776E" w:rsidRPr="4DC56483">
        <w:rPr>
          <w:rFonts w:cs="Arial (Body CS)"/>
        </w:rPr>
        <w:t xml:space="preserve"> trade obligations,</w:t>
      </w:r>
      <w:r w:rsidR="130F1086" w:rsidRPr="4DC56483">
        <w:rPr>
          <w:rFonts w:cs="Arial (Body CS)"/>
        </w:rPr>
        <w:t xml:space="preserve"> </w:t>
      </w:r>
      <w:r w:rsidR="43FC2D5E" w:rsidRPr="4DC56483">
        <w:rPr>
          <w:rFonts w:cs="Arial (Body CS)"/>
        </w:rPr>
        <w:t>w</w:t>
      </w:r>
      <w:r w:rsidR="20BA2626" w:rsidRPr="4DC56483">
        <w:rPr>
          <w:rFonts w:cs="Arial (Body CS)"/>
        </w:rPr>
        <w:t xml:space="preserve">hich would couple private investment with government investment in an </w:t>
      </w:r>
      <w:r w:rsidR="190D56B5" w:rsidRPr="4DC56483">
        <w:rPr>
          <w:rFonts w:cs="Arial (Body CS)"/>
        </w:rPr>
        <w:t>a</w:t>
      </w:r>
      <w:r w:rsidR="20BA2626" w:rsidRPr="4DC56483">
        <w:rPr>
          <w:rFonts w:cs="Arial (Body CS)"/>
        </w:rPr>
        <w:t>ppropr</w:t>
      </w:r>
      <w:r w:rsidR="21AD20F2" w:rsidRPr="4DC56483">
        <w:rPr>
          <w:rFonts w:cs="Arial (Body CS)"/>
        </w:rPr>
        <w:t>iate form, with parties on both sides agreeing to the inves</w:t>
      </w:r>
      <w:r w:rsidR="4586DCFE" w:rsidRPr="4DC56483">
        <w:rPr>
          <w:rFonts w:cs="Arial (Body CS)"/>
        </w:rPr>
        <w:t>t</w:t>
      </w:r>
      <w:r w:rsidR="21AD20F2" w:rsidRPr="4DC56483">
        <w:rPr>
          <w:rFonts w:cs="Arial (Body CS)"/>
        </w:rPr>
        <w:t>ment</w:t>
      </w:r>
      <w:r w:rsidR="3FA478BC" w:rsidRPr="4DC56483">
        <w:rPr>
          <w:rFonts w:cs="Arial (Body CS)"/>
        </w:rPr>
        <w:t xml:space="preserve"> and working together on it.</w:t>
      </w:r>
      <w:r w:rsidR="21AD20F2" w:rsidRPr="4DC56483">
        <w:rPr>
          <w:rFonts w:cs="Arial (Body CS)"/>
        </w:rPr>
        <w:t xml:space="preserve"> </w:t>
      </w:r>
      <w:r w:rsidR="42D7D7BF" w:rsidRPr="4DC56483">
        <w:rPr>
          <w:rFonts w:cs="Arial (Body CS)"/>
        </w:rPr>
        <w:t>This would involve a selection process, not an application process bound by rules, which would then lead to exp</w:t>
      </w:r>
      <w:r w:rsidR="5E11C98E" w:rsidRPr="4DC56483">
        <w:rPr>
          <w:rFonts w:cs="Arial (Body CS)"/>
        </w:rPr>
        <w:t>ensive</w:t>
      </w:r>
      <w:r w:rsidR="42D7D7BF" w:rsidRPr="4DC56483">
        <w:rPr>
          <w:rFonts w:cs="Arial (Body CS)"/>
        </w:rPr>
        <w:t xml:space="preserve"> li</w:t>
      </w:r>
      <w:r w:rsidR="0977C7AC" w:rsidRPr="4DC56483">
        <w:rPr>
          <w:rFonts w:cs="Arial (Body CS)"/>
        </w:rPr>
        <w:t>tigation</w:t>
      </w:r>
      <w:r w:rsidR="7369571B" w:rsidRPr="4DC56483">
        <w:rPr>
          <w:rFonts w:cs="Arial (Body CS)"/>
        </w:rPr>
        <w:t>.</w:t>
      </w:r>
    </w:p>
    <w:p w14:paraId="323595C7" w14:textId="53839CF3" w:rsidR="7A33F704" w:rsidRPr="00F7079B" w:rsidRDefault="12731FD9" w:rsidP="008C3F6B">
      <w:r w:rsidRPr="3A87EC44">
        <w:t>Funds may be available</w:t>
      </w:r>
      <w:r w:rsidR="4CF9E10E" w:rsidRPr="00F7079B">
        <w:rPr>
          <w:szCs w:val="24"/>
        </w:rPr>
        <w:t xml:space="preserve"> </w:t>
      </w:r>
      <w:r w:rsidR="68BC04B1" w:rsidRPr="3A87EC44">
        <w:t>f</w:t>
      </w:r>
      <w:r w:rsidR="28575018" w:rsidRPr="3A87EC44">
        <w:t>rom</w:t>
      </w:r>
      <w:r w:rsidR="68BC04B1" w:rsidRPr="3A87EC44">
        <w:t xml:space="preserve"> the Significant Investor Visa </w:t>
      </w:r>
      <w:r w:rsidR="77A8CB7D" w:rsidRPr="3A87EC44">
        <w:t>S</w:t>
      </w:r>
      <w:r w:rsidR="4CF9E10E" w:rsidRPr="3A87EC44">
        <w:t>cheme</w:t>
      </w:r>
      <w:r w:rsidR="62DE7F8B" w:rsidRPr="3A87EC44">
        <w:t xml:space="preserve">, which </w:t>
      </w:r>
      <w:r w:rsidR="4CF9E10E" w:rsidRPr="3A87EC44">
        <w:t>already provides for funds to be invested in</w:t>
      </w:r>
      <w:r w:rsidR="185232B4" w:rsidRPr="3A87EC44">
        <w:t xml:space="preserve"> start-ups and</w:t>
      </w:r>
      <w:r w:rsidR="4CF9E10E" w:rsidRPr="00F7079B">
        <w:rPr>
          <w:szCs w:val="24"/>
        </w:rPr>
        <w:t xml:space="preserve"> </w:t>
      </w:r>
      <w:r w:rsidR="6EEC88A0" w:rsidRPr="3A87EC44">
        <w:t>emerging companies</w:t>
      </w:r>
      <w:r w:rsidR="4736D13C" w:rsidRPr="00F7079B">
        <w:rPr>
          <w:szCs w:val="24"/>
        </w:rPr>
        <w:t xml:space="preserve">. </w:t>
      </w:r>
      <w:r w:rsidR="34CEF008" w:rsidRPr="3A87EC44">
        <w:t>A</w:t>
      </w:r>
      <w:r w:rsidR="42BAB033" w:rsidRPr="3A87EC44">
        <w:t xml:space="preserve"> national </w:t>
      </w:r>
      <w:r w:rsidR="46E86765" w:rsidRPr="3A87EC44">
        <w:t>commercialisation</w:t>
      </w:r>
      <w:r w:rsidR="42BAB033" w:rsidRPr="3A87EC44">
        <w:t xml:space="preserve"> partnership</w:t>
      </w:r>
      <w:r w:rsidR="5472F680" w:rsidRPr="3A87EC44">
        <w:t xml:space="preserve"> could easily satisfy the present rules</w:t>
      </w:r>
      <w:r w:rsidR="1C54311A" w:rsidRPr="3A87EC44">
        <w:t>. It may</w:t>
      </w:r>
      <w:r w:rsidR="0BB17958" w:rsidRPr="3A87EC44">
        <w:t xml:space="preserve"> be</w:t>
      </w:r>
      <w:r w:rsidR="50DB6CC8" w:rsidRPr="00F7079B">
        <w:rPr>
          <w:szCs w:val="24"/>
        </w:rPr>
        <w:t xml:space="preserve"> </w:t>
      </w:r>
      <w:r w:rsidR="1C54311A" w:rsidRPr="3A87EC44">
        <w:t>that</w:t>
      </w:r>
      <w:r w:rsidR="581D3F2F" w:rsidRPr="3A87EC44">
        <w:t xml:space="preserve"> the new Australian</w:t>
      </w:r>
      <w:r w:rsidR="00695C97">
        <w:t> </w:t>
      </w:r>
      <w:r w:rsidR="34CEF008" w:rsidRPr="3A87EC44">
        <w:t>B</w:t>
      </w:r>
      <w:r w:rsidR="581D3F2F" w:rsidRPr="3A87EC44">
        <w:t>usiness</w:t>
      </w:r>
      <w:r w:rsidR="00695C97">
        <w:t> </w:t>
      </w:r>
      <w:r w:rsidR="34CEF008" w:rsidRPr="3A87EC44">
        <w:t>G</w:t>
      </w:r>
      <w:r w:rsidR="581D3F2F" w:rsidRPr="3A87EC44">
        <w:t>rowth</w:t>
      </w:r>
      <w:r w:rsidR="00695C97">
        <w:t> </w:t>
      </w:r>
      <w:r w:rsidR="34CEF008" w:rsidRPr="3A87EC44">
        <w:t>F</w:t>
      </w:r>
      <w:r w:rsidR="581D3F2F" w:rsidRPr="3A87EC44">
        <w:t xml:space="preserve">und, </w:t>
      </w:r>
      <w:r w:rsidR="7E8C05DB" w:rsidRPr="3A87EC44">
        <w:t xml:space="preserve">in which the </w:t>
      </w:r>
      <w:r w:rsidR="00DD3C7C">
        <w:t>Australian Government</w:t>
      </w:r>
      <w:r w:rsidR="7E8C05DB" w:rsidRPr="3A87EC44">
        <w:t xml:space="preserve"> is an investor,</w:t>
      </w:r>
      <w:r w:rsidR="00066A94" w:rsidRPr="3A87EC44">
        <w:rPr>
          <w:rStyle w:val="FootnoteReference"/>
        </w:rPr>
        <w:footnoteReference w:id="88"/>
      </w:r>
      <w:r w:rsidR="4CFAF497" w:rsidRPr="00F7079B">
        <w:rPr>
          <w:szCs w:val="24"/>
        </w:rPr>
        <w:t xml:space="preserve"> </w:t>
      </w:r>
      <w:r w:rsidR="28C60932" w:rsidRPr="3A87EC44">
        <w:t>could treat such a program as a division of its own activities</w:t>
      </w:r>
      <w:r w:rsidR="2770BEE8" w:rsidRPr="00F7079B">
        <w:rPr>
          <w:szCs w:val="24"/>
        </w:rPr>
        <w:t xml:space="preserve"> (</w:t>
      </w:r>
      <w:r w:rsidR="36AFAAB9" w:rsidRPr="3A87EC44">
        <w:t xml:space="preserve">though at present its rules provide </w:t>
      </w:r>
      <w:r w:rsidR="36AFAAB9" w:rsidRPr="3A87EC44">
        <w:lastRenderedPageBreak/>
        <w:t>for businesses which already have some degree of market success</w:t>
      </w:r>
      <w:r w:rsidR="4CFAF497" w:rsidRPr="00F7079B">
        <w:rPr>
          <w:szCs w:val="24"/>
        </w:rPr>
        <w:t>.</w:t>
      </w:r>
      <w:r w:rsidR="00864969" w:rsidRPr="3A87EC44">
        <w:rPr>
          <w:rStyle w:val="FootnoteReference"/>
        </w:rPr>
        <w:footnoteReference w:id="89"/>
      </w:r>
      <w:r w:rsidR="2770BEE8" w:rsidRPr="00F7079B">
        <w:rPr>
          <w:szCs w:val="24"/>
        </w:rPr>
        <w:t>)</w:t>
      </w:r>
      <w:r w:rsidR="71ECA497" w:rsidRPr="3A87EC44">
        <w:t xml:space="preserve"> Alternatively</w:t>
      </w:r>
      <w:r w:rsidR="2770BEE8" w:rsidRPr="00F7079B">
        <w:rPr>
          <w:szCs w:val="24"/>
        </w:rPr>
        <w:t>,</w:t>
      </w:r>
      <w:r w:rsidR="71ECA497" w:rsidRPr="3A87EC44">
        <w:t xml:space="preserve"> </w:t>
      </w:r>
      <w:r w:rsidR="006D1D67">
        <w:t>funding for such a direct action group could be offset with savings from the reduction in the benefits provided under the</w:t>
      </w:r>
      <w:r w:rsidR="71ECA497" w:rsidRPr="3A87EC44">
        <w:t xml:space="preserve"> RDTI.</w:t>
      </w:r>
      <w:r w:rsidR="6C4C374E" w:rsidRPr="3A87EC44">
        <w:rPr>
          <w:rStyle w:val="FootnoteReference"/>
        </w:rPr>
        <w:t xml:space="preserve"> </w:t>
      </w:r>
    </w:p>
    <w:p w14:paraId="66AAB590" w14:textId="0A319E4F" w:rsidR="41005241" w:rsidRPr="00F7079B" w:rsidRDefault="41005241" w:rsidP="79344E9E">
      <w:pPr>
        <w:rPr>
          <w:szCs w:val="24"/>
        </w:rPr>
      </w:pPr>
      <w:r w:rsidRPr="00F7079B">
        <w:rPr>
          <w:szCs w:val="24"/>
        </w:rPr>
        <w:t>This would involve choosing inventive areas for funding and development</w:t>
      </w:r>
      <w:r w:rsidR="1A706098" w:rsidRPr="00F7079B">
        <w:rPr>
          <w:szCs w:val="24"/>
        </w:rPr>
        <w:t>, but the mission of the MMI</w:t>
      </w:r>
      <w:r w:rsidRPr="00F7079B">
        <w:rPr>
          <w:szCs w:val="24"/>
        </w:rPr>
        <w:t xml:space="preserve"> </w:t>
      </w:r>
      <w:r w:rsidR="50DD2BE2" w:rsidRPr="00F7079B">
        <w:rPr>
          <w:szCs w:val="24"/>
        </w:rPr>
        <w:t>is taking us in that direction, and to a certain extent the government does a lot of choosing already. T</w:t>
      </w:r>
      <w:r w:rsidR="5BBD424C" w:rsidRPr="00F7079B">
        <w:rPr>
          <w:szCs w:val="24"/>
        </w:rPr>
        <w:t>h</w:t>
      </w:r>
      <w:r w:rsidR="4A93174A" w:rsidRPr="00F7079B">
        <w:rPr>
          <w:szCs w:val="24"/>
        </w:rPr>
        <w:t>e RDTI appr</w:t>
      </w:r>
      <w:r w:rsidR="0A260A22" w:rsidRPr="00F7079B">
        <w:rPr>
          <w:szCs w:val="24"/>
        </w:rPr>
        <w:t>oach</w:t>
      </w:r>
      <w:r w:rsidR="4A93174A" w:rsidRPr="00F7079B">
        <w:rPr>
          <w:szCs w:val="24"/>
        </w:rPr>
        <w:t xml:space="preserve"> is </w:t>
      </w:r>
      <w:r w:rsidR="002908A7" w:rsidRPr="00F7079B">
        <w:rPr>
          <w:szCs w:val="24"/>
        </w:rPr>
        <w:t>different to this</w:t>
      </w:r>
      <w:r w:rsidR="4A93174A" w:rsidRPr="00F7079B">
        <w:rPr>
          <w:szCs w:val="24"/>
        </w:rPr>
        <w:t>: essentially it spends sev</w:t>
      </w:r>
      <w:r w:rsidR="461CF0B0" w:rsidRPr="00F7079B">
        <w:rPr>
          <w:szCs w:val="24"/>
        </w:rPr>
        <w:t>eral</w:t>
      </w:r>
      <w:r w:rsidR="4A93174A" w:rsidRPr="00F7079B">
        <w:rPr>
          <w:szCs w:val="24"/>
        </w:rPr>
        <w:t xml:space="preserve"> billion dollars </w:t>
      </w:r>
      <w:r w:rsidR="3EFA4FCB" w:rsidRPr="00F7079B">
        <w:rPr>
          <w:szCs w:val="24"/>
        </w:rPr>
        <w:t xml:space="preserve">on trust </w:t>
      </w:r>
      <w:r w:rsidR="4A93174A" w:rsidRPr="00F7079B">
        <w:rPr>
          <w:szCs w:val="24"/>
        </w:rPr>
        <w:t xml:space="preserve">and leaves it to the </w:t>
      </w:r>
      <w:r w:rsidR="2C7E6280" w:rsidRPr="00F7079B">
        <w:rPr>
          <w:szCs w:val="24"/>
        </w:rPr>
        <w:t>ma</w:t>
      </w:r>
      <w:r w:rsidR="4A93174A" w:rsidRPr="00F7079B">
        <w:rPr>
          <w:szCs w:val="24"/>
        </w:rPr>
        <w:t>rket.</w:t>
      </w:r>
    </w:p>
    <w:p w14:paraId="4F666378" w14:textId="49B31DE0" w:rsidR="36DEB7B0" w:rsidRPr="00F7079B" w:rsidRDefault="40977388" w:rsidP="5888621E">
      <w:pPr>
        <w:spacing w:after="240"/>
      </w:pPr>
      <w:r>
        <w:t>A board of experts drawn f</w:t>
      </w:r>
      <w:r w:rsidR="502B6C06">
        <w:t>rom</w:t>
      </w:r>
      <w:r>
        <w:t xml:space="preserve"> the commer</w:t>
      </w:r>
      <w:r w:rsidR="7C795AC7">
        <w:t>ci</w:t>
      </w:r>
      <w:r>
        <w:t>al wo</w:t>
      </w:r>
      <w:r w:rsidR="6B313DAD">
        <w:t>rld</w:t>
      </w:r>
      <w:r>
        <w:t>, familiar with start-up issues, s</w:t>
      </w:r>
      <w:r w:rsidR="14241440">
        <w:t xml:space="preserve">et </w:t>
      </w:r>
      <w:r>
        <w:t>up by the A</w:t>
      </w:r>
      <w:r w:rsidR="7FE02A34">
        <w:t>us</w:t>
      </w:r>
      <w:r>
        <w:t>tralian government but operati</w:t>
      </w:r>
      <w:r w:rsidR="46AE75EC">
        <w:t xml:space="preserve">ng </w:t>
      </w:r>
      <w:r w:rsidR="0F37FB73">
        <w:t>semi-</w:t>
      </w:r>
      <w:r w:rsidR="46AE75EC">
        <w:t>inde</w:t>
      </w:r>
      <w:r w:rsidR="2FCACDB3">
        <w:t>pendently</w:t>
      </w:r>
      <w:r w:rsidR="46AE75EC">
        <w:t>, should be charged with this r</w:t>
      </w:r>
      <w:r w:rsidR="78264D63">
        <w:t>es</w:t>
      </w:r>
      <w:r w:rsidR="46AE75EC">
        <w:t>ponsibility.</w:t>
      </w:r>
      <w:r w:rsidR="0008AAE6">
        <w:t xml:space="preserve"> Talent scouts should be employed</w:t>
      </w:r>
      <w:r w:rsidR="679FEE19">
        <w:t>,</w:t>
      </w:r>
      <w:r w:rsidR="0008AAE6">
        <w:t xml:space="preserve"> as they are in sports and other industries.</w:t>
      </w:r>
      <w:r w:rsidR="4F14ACB1">
        <w:t xml:space="preserve"> The way R</w:t>
      </w:r>
      <w:r w:rsidR="00562B3A">
        <w:t>&amp;</w:t>
      </w:r>
      <w:r w:rsidR="4F14ACB1">
        <w:t>D is supported in Australia should be completely reconceived along these lines.</w:t>
      </w:r>
    </w:p>
    <w:p w14:paraId="05C29358" w14:textId="522B44F5" w:rsidR="77064C93" w:rsidRPr="00D24667" w:rsidRDefault="00D24667" w:rsidP="51EF8C39">
      <w:pPr>
        <w:pStyle w:val="Calloutbox"/>
        <w:rPr>
          <w:sz w:val="28"/>
          <w:szCs w:val="28"/>
        </w:rPr>
      </w:pPr>
      <w:r w:rsidRPr="51EF8C39">
        <w:rPr>
          <w:sz w:val="28"/>
          <w:szCs w:val="28"/>
        </w:rPr>
        <w:t>Recommendation 15:</w:t>
      </w:r>
      <w:r>
        <w:br/>
      </w:r>
      <w:r w:rsidRPr="51EF8C39">
        <w:rPr>
          <w:b w:val="0"/>
          <w:color w:val="000000" w:themeColor="text1"/>
          <w:sz w:val="28"/>
          <w:szCs w:val="28"/>
        </w:rPr>
        <w:t xml:space="preserve">That the Australian </w:t>
      </w:r>
      <w:r w:rsidR="00DD3C7C" w:rsidRPr="51EF8C39">
        <w:rPr>
          <w:b w:val="0"/>
          <w:color w:val="000000" w:themeColor="text1"/>
          <w:sz w:val="28"/>
          <w:szCs w:val="28"/>
        </w:rPr>
        <w:t>G</w:t>
      </w:r>
      <w:r w:rsidRPr="51EF8C39">
        <w:rPr>
          <w:b w:val="0"/>
          <w:color w:val="000000" w:themeColor="text1"/>
          <w:sz w:val="28"/>
          <w:szCs w:val="28"/>
        </w:rPr>
        <w:t xml:space="preserve">overnment should </w:t>
      </w:r>
      <w:r w:rsidR="00E57903" w:rsidRPr="51EF8C39">
        <w:rPr>
          <w:b w:val="0"/>
          <w:color w:val="000000" w:themeColor="text1"/>
          <w:sz w:val="28"/>
          <w:szCs w:val="28"/>
        </w:rPr>
        <w:t xml:space="preserve">investigate the possibility of </w:t>
      </w:r>
      <w:r w:rsidRPr="51EF8C39">
        <w:rPr>
          <w:b w:val="0"/>
          <w:color w:val="000000" w:themeColor="text1"/>
          <w:sz w:val="28"/>
          <w:szCs w:val="28"/>
        </w:rPr>
        <w:t>set</w:t>
      </w:r>
      <w:r w:rsidR="00E57903" w:rsidRPr="51EF8C39">
        <w:rPr>
          <w:b w:val="0"/>
          <w:color w:val="000000" w:themeColor="text1"/>
          <w:sz w:val="28"/>
          <w:szCs w:val="28"/>
        </w:rPr>
        <w:t>ting</w:t>
      </w:r>
      <w:r w:rsidRPr="51EF8C39">
        <w:rPr>
          <w:b w:val="0"/>
          <w:color w:val="000000" w:themeColor="text1"/>
          <w:sz w:val="28"/>
          <w:szCs w:val="28"/>
        </w:rPr>
        <w:t xml:space="preserve"> up a national commercialisation and patent defence fund, with a view to seeking out and protecting Australian inventions deemed to be in the national interest </w:t>
      </w:r>
      <w:r w:rsidR="00BC3F9C">
        <w:rPr>
          <w:b w:val="0"/>
          <w:color w:val="000000" w:themeColor="text1"/>
          <w:sz w:val="28"/>
          <w:szCs w:val="28"/>
        </w:rPr>
        <w:t>–</w:t>
      </w:r>
      <w:r w:rsidR="00B5659A" w:rsidRPr="51EF8C39">
        <w:rPr>
          <w:b w:val="0"/>
          <w:color w:val="000000" w:themeColor="text1"/>
          <w:sz w:val="28"/>
          <w:szCs w:val="28"/>
        </w:rPr>
        <w:t xml:space="preserve"> </w:t>
      </w:r>
      <w:r w:rsidRPr="51EF8C39">
        <w:rPr>
          <w:b w:val="0"/>
          <w:color w:val="000000" w:themeColor="text1"/>
          <w:sz w:val="28"/>
          <w:szCs w:val="28"/>
        </w:rPr>
        <w:t xml:space="preserve">whether in terms of national security or commercial development </w:t>
      </w:r>
      <w:r w:rsidR="00BC3F9C">
        <w:rPr>
          <w:b w:val="0"/>
          <w:color w:val="000000" w:themeColor="text1"/>
          <w:sz w:val="28"/>
          <w:szCs w:val="28"/>
        </w:rPr>
        <w:t>–</w:t>
      </w:r>
      <w:r w:rsidR="00B5659A" w:rsidRPr="51EF8C39">
        <w:rPr>
          <w:b w:val="0"/>
          <w:color w:val="000000" w:themeColor="text1"/>
          <w:sz w:val="28"/>
          <w:szCs w:val="28"/>
        </w:rPr>
        <w:t xml:space="preserve"> </w:t>
      </w:r>
      <w:r w:rsidRPr="51EF8C39">
        <w:rPr>
          <w:b w:val="0"/>
          <w:color w:val="000000" w:themeColor="text1"/>
          <w:sz w:val="28"/>
          <w:szCs w:val="28"/>
        </w:rPr>
        <w:t>and seeing them through to a successful commercialisation</w:t>
      </w:r>
      <w:r w:rsidR="00962A8F" w:rsidRPr="51EF8C39">
        <w:rPr>
          <w:b w:val="0"/>
          <w:sz w:val="28"/>
          <w:szCs w:val="28"/>
        </w:rPr>
        <w:t>.</w:t>
      </w:r>
      <w:r w:rsidRPr="51EF8C39">
        <w:rPr>
          <w:rFonts w:asciiTheme="majorHAnsi" w:eastAsiaTheme="majorEastAsia" w:hAnsiTheme="majorHAnsi" w:cstheme="majorBidi"/>
          <w:color w:val="005677" w:themeColor="text2"/>
          <w:sz w:val="48"/>
          <w:szCs w:val="48"/>
        </w:rPr>
        <w:br w:type="page"/>
      </w:r>
    </w:p>
    <w:p w14:paraId="3493EEBA" w14:textId="65D3A1E9" w:rsidR="7CCBCA55" w:rsidRDefault="0065361F" w:rsidP="00102432">
      <w:pPr>
        <w:pStyle w:val="Heading1"/>
      </w:pPr>
      <w:bookmarkStart w:id="321" w:name="_Toc59109345"/>
      <w:bookmarkStart w:id="322" w:name="_Toc60760641"/>
      <w:bookmarkStart w:id="323" w:name="_Toc60834827"/>
      <w:bookmarkStart w:id="324" w:name="_Toc60836777"/>
      <w:bookmarkStart w:id="325" w:name="_Toc60997765"/>
      <w:bookmarkStart w:id="326" w:name="_Toc61015579"/>
      <w:bookmarkStart w:id="327" w:name="_Toc61269611"/>
      <w:bookmarkStart w:id="328" w:name="_Toc61356719"/>
      <w:bookmarkStart w:id="329" w:name="_Toc65159329"/>
      <w:r>
        <w:lastRenderedPageBreak/>
        <w:t>19</w:t>
      </w:r>
      <w:r w:rsidR="00A543B4">
        <w:t xml:space="preserve"> </w:t>
      </w:r>
      <w:r w:rsidR="00FE7941">
        <w:t xml:space="preserve">IP </w:t>
      </w:r>
      <w:r w:rsidR="00C02DA5">
        <w:t>i</w:t>
      </w:r>
      <w:r w:rsidR="7CCBCA55">
        <w:t>nsurance</w:t>
      </w:r>
      <w:bookmarkEnd w:id="321"/>
      <w:bookmarkEnd w:id="322"/>
      <w:bookmarkEnd w:id="323"/>
      <w:bookmarkEnd w:id="324"/>
      <w:bookmarkEnd w:id="325"/>
      <w:bookmarkEnd w:id="326"/>
      <w:bookmarkEnd w:id="327"/>
      <w:bookmarkEnd w:id="328"/>
      <w:bookmarkEnd w:id="329"/>
    </w:p>
    <w:p w14:paraId="45202899" w14:textId="17DCD44B" w:rsidR="00903540" w:rsidRPr="00CE4C52" w:rsidRDefault="7CCBCA55" w:rsidP="77064C93">
      <w:pPr>
        <w:rPr>
          <w:rFonts w:cs="Arial (Body CS)"/>
          <w:szCs w:val="24"/>
        </w:rPr>
      </w:pPr>
      <w:r w:rsidRPr="00CE4C52">
        <w:rPr>
          <w:rFonts w:cs="Arial (Body CS)"/>
          <w:szCs w:val="24"/>
        </w:rPr>
        <w:t>A number of parties raised the</w:t>
      </w:r>
      <w:r w:rsidR="4776D787" w:rsidRPr="00CE4C52">
        <w:rPr>
          <w:rFonts w:cs="Arial (Body CS)"/>
          <w:szCs w:val="24"/>
        </w:rPr>
        <w:t xml:space="preserve"> q</w:t>
      </w:r>
      <w:r w:rsidRPr="00CE4C52">
        <w:rPr>
          <w:rFonts w:cs="Arial (Body CS)"/>
          <w:szCs w:val="24"/>
        </w:rPr>
        <w:t>uestion of whether litigation insurance could be set up at a reasonable price in order to allay fears over the possibility of</w:t>
      </w:r>
      <w:r w:rsidR="145C8BBC" w:rsidRPr="00CE4C52">
        <w:rPr>
          <w:rFonts w:cs="Arial (Body CS)"/>
          <w:szCs w:val="24"/>
        </w:rPr>
        <w:t xml:space="preserve"> very expensive litigation involved with the patent system. The European Union has taken an interest in this issue</w:t>
      </w:r>
      <w:r w:rsidR="21144F0C" w:rsidRPr="00CE4C52">
        <w:rPr>
          <w:rFonts w:cs="Arial (Body CS)"/>
          <w:szCs w:val="24"/>
        </w:rPr>
        <w:t xml:space="preserve"> and is actively exploring it.</w:t>
      </w:r>
      <w:r w:rsidRPr="00CE4C52">
        <w:rPr>
          <w:rStyle w:val="FootnoteReference"/>
          <w:rFonts w:cs="Arial (Body CS)"/>
          <w:szCs w:val="24"/>
        </w:rPr>
        <w:footnoteReference w:id="90"/>
      </w:r>
      <w:r w:rsidR="7132F7D5" w:rsidRPr="00CE4C52">
        <w:rPr>
          <w:rFonts w:cs="Arial (Body CS)"/>
          <w:szCs w:val="24"/>
        </w:rPr>
        <w:t xml:space="preserve"> </w:t>
      </w:r>
    </w:p>
    <w:p w14:paraId="598BD508" w14:textId="601C0256" w:rsidR="7CCBCA55" w:rsidRPr="00F7079B" w:rsidRDefault="23D1B507" w:rsidP="77064C93">
      <w:pPr>
        <w:rPr>
          <w:szCs w:val="24"/>
        </w:rPr>
      </w:pPr>
      <w:r w:rsidRPr="00F7079B">
        <w:rPr>
          <w:szCs w:val="24"/>
        </w:rPr>
        <w:t>At the moment the open-ended</w:t>
      </w:r>
      <w:r w:rsidR="2ABC2B1F" w:rsidRPr="00F7079B">
        <w:rPr>
          <w:szCs w:val="24"/>
        </w:rPr>
        <w:t>ness</w:t>
      </w:r>
      <w:r w:rsidR="00F21ED7" w:rsidRPr="00F7079B">
        <w:rPr>
          <w:szCs w:val="24"/>
        </w:rPr>
        <w:t xml:space="preserve"> of patent litigation</w:t>
      </w:r>
      <w:r w:rsidRPr="00F7079B">
        <w:rPr>
          <w:szCs w:val="24"/>
        </w:rPr>
        <w:t xml:space="preserve"> no doubt make</w:t>
      </w:r>
      <w:r w:rsidR="00F21ED7" w:rsidRPr="00F7079B">
        <w:rPr>
          <w:szCs w:val="24"/>
        </w:rPr>
        <w:t>s</w:t>
      </w:r>
      <w:r w:rsidRPr="00F7079B">
        <w:rPr>
          <w:szCs w:val="24"/>
        </w:rPr>
        <w:t xml:space="preserve"> it very hard for an insurance company to enter the market with a useful product</w:t>
      </w:r>
      <w:r w:rsidR="00AB0495" w:rsidRPr="00F7079B">
        <w:rPr>
          <w:szCs w:val="24"/>
        </w:rPr>
        <w:t xml:space="preserve">, though IP Australia does explain the nature of </w:t>
      </w:r>
      <w:r w:rsidR="006B663B" w:rsidRPr="00F7079B">
        <w:rPr>
          <w:szCs w:val="24"/>
        </w:rPr>
        <w:t>intellectual property (</w:t>
      </w:r>
      <w:r w:rsidR="00AB0495" w:rsidRPr="00F7079B">
        <w:rPr>
          <w:szCs w:val="24"/>
        </w:rPr>
        <w:t>IP</w:t>
      </w:r>
      <w:r w:rsidR="006B663B" w:rsidRPr="00F7079B">
        <w:rPr>
          <w:szCs w:val="24"/>
        </w:rPr>
        <w:t>)</w:t>
      </w:r>
      <w:r w:rsidR="00AB0495" w:rsidRPr="00F7079B">
        <w:rPr>
          <w:szCs w:val="24"/>
        </w:rPr>
        <w:t xml:space="preserve"> insurance on its website.</w:t>
      </w:r>
      <w:r w:rsidR="00AB0495" w:rsidRPr="00F7079B">
        <w:rPr>
          <w:rStyle w:val="FootnoteReference"/>
          <w:szCs w:val="24"/>
        </w:rPr>
        <w:footnoteReference w:id="91"/>
      </w:r>
      <w:r w:rsidRPr="00F7079B">
        <w:rPr>
          <w:szCs w:val="24"/>
        </w:rPr>
        <w:t xml:space="preserve"> But where</w:t>
      </w:r>
      <w:r w:rsidR="032427A0" w:rsidRPr="00F7079B">
        <w:rPr>
          <w:szCs w:val="24"/>
        </w:rPr>
        <w:t xml:space="preserve"> there are capped costs, and a known maximum expenditure, it may be much easier </w:t>
      </w:r>
      <w:r w:rsidR="00AB0495" w:rsidRPr="00F7079B">
        <w:rPr>
          <w:szCs w:val="24"/>
        </w:rPr>
        <w:t>for insurers to plan a</w:t>
      </w:r>
      <w:r w:rsidR="032427A0" w:rsidRPr="00F7079B">
        <w:rPr>
          <w:szCs w:val="24"/>
        </w:rPr>
        <w:t xml:space="preserve"> product which provides cover up to a certain level, for certain kinds of process</w:t>
      </w:r>
      <w:r w:rsidR="6B509393" w:rsidRPr="00F7079B">
        <w:rPr>
          <w:szCs w:val="24"/>
        </w:rPr>
        <w:t>es</w:t>
      </w:r>
      <w:r w:rsidR="03A859C2" w:rsidRPr="00F7079B">
        <w:rPr>
          <w:szCs w:val="24"/>
        </w:rPr>
        <w:t xml:space="preserve">, such as arbitrations, or even a truncated </w:t>
      </w:r>
      <w:r w:rsidR="002C34E8" w:rsidRPr="00F7079B">
        <w:rPr>
          <w:szCs w:val="24"/>
        </w:rPr>
        <w:t>Federal Court of Australia (</w:t>
      </w:r>
      <w:r w:rsidR="00B932A8" w:rsidRPr="00F7079B">
        <w:rPr>
          <w:szCs w:val="24"/>
        </w:rPr>
        <w:t>FCA</w:t>
      </w:r>
      <w:r w:rsidR="002C34E8" w:rsidRPr="00F7079B">
        <w:rPr>
          <w:szCs w:val="24"/>
        </w:rPr>
        <w:t>)</w:t>
      </w:r>
      <w:r w:rsidR="004F4244" w:rsidRPr="00F7079B">
        <w:rPr>
          <w:szCs w:val="24"/>
        </w:rPr>
        <w:t xml:space="preserve"> </w:t>
      </w:r>
      <w:r w:rsidR="03A859C2" w:rsidRPr="00F7079B">
        <w:rPr>
          <w:szCs w:val="24"/>
        </w:rPr>
        <w:t>process.</w:t>
      </w:r>
    </w:p>
    <w:p w14:paraId="5DDBDB2C" w14:textId="2668E028" w:rsidR="61A61053" w:rsidRPr="00F7079B" w:rsidRDefault="006268F9" w:rsidP="00585B6B">
      <w:pPr>
        <w:pStyle w:val="paragraph"/>
        <w:textAlignment w:val="baseline"/>
        <w:rPr>
          <w:rFonts w:asciiTheme="minorHAnsi" w:hAnsiTheme="minorHAnsi" w:cstheme="minorBidi"/>
        </w:rPr>
      </w:pPr>
      <w:r w:rsidRPr="00F7079B">
        <w:rPr>
          <w:rFonts w:asciiTheme="minorHAnsi" w:hAnsiTheme="minorHAnsi" w:cstheme="minorBidi"/>
        </w:rPr>
        <w:t>Estimates of the annual premiums (as a percentage of the total insured amount) for patent enforcement</w:t>
      </w:r>
      <w:r w:rsidRPr="00F7079B">
        <w:rPr>
          <w:rFonts w:asciiTheme="minorHAnsi" w:hAnsiTheme="minorHAnsi" w:cstheme="minorBidi"/>
          <w:b/>
          <w:bCs/>
        </w:rPr>
        <w:t xml:space="preserve"> </w:t>
      </w:r>
      <w:r w:rsidRPr="00F7079B">
        <w:rPr>
          <w:rFonts w:asciiTheme="minorHAnsi" w:hAnsiTheme="minorHAnsi" w:cstheme="minorBidi"/>
        </w:rPr>
        <w:t xml:space="preserve">insurance range from just under 1% to 1.5% </w:t>
      </w:r>
      <w:r w:rsidR="00FE11FB" w:rsidRPr="00F7079B">
        <w:rPr>
          <w:rFonts w:asciiTheme="minorHAnsi" w:hAnsiTheme="minorHAnsi" w:cstheme="minorBidi"/>
        </w:rPr>
        <w:t>at the lower end</w:t>
      </w:r>
      <w:r w:rsidR="78F5A759" w:rsidRPr="74A8E8D3">
        <w:rPr>
          <w:rFonts w:asciiTheme="minorHAnsi" w:hAnsiTheme="minorHAnsi" w:cstheme="minorBidi"/>
        </w:rPr>
        <w:t>,</w:t>
      </w:r>
      <w:r w:rsidRPr="0F7A0311">
        <w:rPr>
          <w:rStyle w:val="FootnoteReference"/>
          <w:rFonts w:asciiTheme="minorHAnsi" w:hAnsiTheme="minorHAnsi" w:cstheme="minorBidi"/>
        </w:rPr>
        <w:footnoteReference w:id="92"/>
      </w:r>
      <w:r w:rsidR="00FE11FB" w:rsidRPr="74A8E8D3">
        <w:rPr>
          <w:rStyle w:val="FootnoteReference"/>
          <w:rFonts w:asciiTheme="minorHAnsi" w:hAnsiTheme="minorHAnsi" w:cstheme="minorBidi"/>
        </w:rPr>
        <w:t xml:space="preserve"> </w:t>
      </w:r>
      <w:r w:rsidR="00FE11FB" w:rsidRPr="00F7079B">
        <w:rPr>
          <w:rFonts w:asciiTheme="minorHAnsi" w:hAnsiTheme="minorHAnsi" w:cstheme="minorBidi"/>
        </w:rPr>
        <w:t xml:space="preserve">and between </w:t>
      </w:r>
      <w:r w:rsidRPr="00F7079B">
        <w:rPr>
          <w:rFonts w:asciiTheme="minorHAnsi" w:hAnsiTheme="minorHAnsi" w:cstheme="minorBidi"/>
        </w:rPr>
        <w:t>2</w:t>
      </w:r>
      <w:r w:rsidR="00FE11FB" w:rsidRPr="00F7079B">
        <w:rPr>
          <w:rFonts w:asciiTheme="minorHAnsi" w:hAnsiTheme="minorHAnsi" w:cstheme="minorBidi"/>
        </w:rPr>
        <w:t xml:space="preserve">% and </w:t>
      </w:r>
      <w:r w:rsidRPr="00F7079B">
        <w:rPr>
          <w:rFonts w:asciiTheme="minorHAnsi" w:hAnsiTheme="minorHAnsi" w:cstheme="minorBidi"/>
        </w:rPr>
        <w:t>5%</w:t>
      </w:r>
      <w:r w:rsidR="00FE11FB" w:rsidRPr="00F7079B">
        <w:rPr>
          <w:rFonts w:asciiTheme="minorHAnsi" w:hAnsiTheme="minorHAnsi" w:cstheme="minorBidi"/>
        </w:rPr>
        <w:t xml:space="preserve"> </w:t>
      </w:r>
      <w:r w:rsidR="002F022C" w:rsidRPr="00F7079B">
        <w:rPr>
          <w:rFonts w:asciiTheme="minorHAnsi" w:hAnsiTheme="minorHAnsi" w:cstheme="minorBidi"/>
        </w:rPr>
        <w:t>at the higher end</w:t>
      </w:r>
      <w:r w:rsidR="006541D3">
        <w:rPr>
          <w:rFonts w:asciiTheme="minorHAnsi" w:hAnsiTheme="minorHAnsi" w:cstheme="minorBidi"/>
        </w:rPr>
        <w:t>.</w:t>
      </w:r>
      <w:r w:rsidRPr="00F7079B">
        <w:rPr>
          <w:rStyle w:val="FootnoteReference"/>
          <w:rFonts w:asciiTheme="minorHAnsi" w:hAnsiTheme="minorHAnsi" w:cstheme="minorBidi"/>
        </w:rPr>
        <w:footnoteReference w:id="93"/>
      </w:r>
      <w:r w:rsidRPr="00F7079B">
        <w:rPr>
          <w:rFonts w:asciiTheme="minorHAnsi" w:hAnsiTheme="minorHAnsi" w:cstheme="minorBidi"/>
        </w:rPr>
        <w:t xml:space="preserve"> There is usually also a co-payment of between 15</w:t>
      </w:r>
      <w:r w:rsidR="002F022C" w:rsidRPr="00F7079B">
        <w:rPr>
          <w:rFonts w:asciiTheme="minorHAnsi" w:hAnsiTheme="minorHAnsi" w:cstheme="minorBidi"/>
        </w:rPr>
        <w:t xml:space="preserve">% and </w:t>
      </w:r>
      <w:r w:rsidRPr="00F7079B">
        <w:rPr>
          <w:rFonts w:asciiTheme="minorHAnsi" w:hAnsiTheme="minorHAnsi" w:cstheme="minorBidi"/>
        </w:rPr>
        <w:t>25% of the total actually spe</w:t>
      </w:r>
      <w:r w:rsidR="3FACAE71" w:rsidRPr="00F7079B">
        <w:rPr>
          <w:rFonts w:asciiTheme="minorHAnsi" w:hAnsiTheme="minorHAnsi" w:cstheme="minorBidi"/>
        </w:rPr>
        <w:t>nt</w:t>
      </w:r>
      <w:r w:rsidR="006541D3">
        <w:rPr>
          <w:rFonts w:asciiTheme="minorHAnsi" w:hAnsiTheme="minorHAnsi" w:cstheme="minorBidi"/>
        </w:rPr>
        <w:t>.</w:t>
      </w:r>
      <w:r w:rsidRPr="00F7079B">
        <w:rPr>
          <w:rStyle w:val="FootnoteReference"/>
          <w:rFonts w:asciiTheme="minorHAnsi" w:hAnsiTheme="minorHAnsi" w:cstheme="minorBidi"/>
        </w:rPr>
        <w:footnoteReference w:id="94"/>
      </w:r>
      <w:r w:rsidRPr="00F7079B">
        <w:rPr>
          <w:rFonts w:asciiTheme="minorHAnsi" w:hAnsiTheme="minorHAnsi" w:cstheme="minorBidi"/>
        </w:rPr>
        <w:t xml:space="preserve"> </w:t>
      </w:r>
    </w:p>
    <w:p w14:paraId="0F58B27D" w14:textId="390AD074" w:rsidR="03A859C2" w:rsidRPr="00F7079B" w:rsidRDefault="03A859C2" w:rsidP="00D24667">
      <w:pPr>
        <w:spacing w:after="360"/>
        <w:rPr>
          <w:szCs w:val="24"/>
        </w:rPr>
      </w:pPr>
      <w:r w:rsidRPr="00F7079B">
        <w:rPr>
          <w:szCs w:val="24"/>
        </w:rPr>
        <w:t>If and when these changes to court processes</w:t>
      </w:r>
      <w:r w:rsidR="001162B8" w:rsidRPr="00F7079B">
        <w:rPr>
          <w:szCs w:val="24"/>
        </w:rPr>
        <w:t xml:space="preserve"> </w:t>
      </w:r>
      <w:r w:rsidR="00BC3F9C">
        <w:rPr>
          <w:szCs w:val="24"/>
        </w:rPr>
        <w:t>–</w:t>
      </w:r>
      <w:r w:rsidR="00B5659A" w:rsidRPr="00F7079B">
        <w:rPr>
          <w:szCs w:val="24"/>
        </w:rPr>
        <w:t xml:space="preserve"> </w:t>
      </w:r>
      <w:r w:rsidRPr="00F7079B">
        <w:rPr>
          <w:szCs w:val="24"/>
        </w:rPr>
        <w:t>and the introduction of arbitration services</w:t>
      </w:r>
      <w:r w:rsidR="001162B8" w:rsidRPr="00F7079B">
        <w:rPr>
          <w:szCs w:val="24"/>
        </w:rPr>
        <w:t xml:space="preserve"> </w:t>
      </w:r>
      <w:r w:rsidR="00BC3F9C">
        <w:rPr>
          <w:szCs w:val="24"/>
        </w:rPr>
        <w:t>–</w:t>
      </w:r>
      <w:r w:rsidR="00B5659A" w:rsidRPr="00F7079B">
        <w:rPr>
          <w:szCs w:val="24"/>
        </w:rPr>
        <w:t xml:space="preserve"> </w:t>
      </w:r>
      <w:r w:rsidRPr="00F7079B">
        <w:rPr>
          <w:szCs w:val="24"/>
        </w:rPr>
        <w:t xml:space="preserve">are implemented, then it may be possible to interest </w:t>
      </w:r>
      <w:r w:rsidR="00AB0495" w:rsidRPr="00F7079B">
        <w:rPr>
          <w:szCs w:val="24"/>
        </w:rPr>
        <w:t xml:space="preserve">more </w:t>
      </w:r>
      <w:r w:rsidRPr="00F7079B">
        <w:rPr>
          <w:szCs w:val="24"/>
        </w:rPr>
        <w:t>insurance companies in such products.</w:t>
      </w:r>
      <w:r w:rsidR="1B391B28" w:rsidRPr="00F7079B">
        <w:rPr>
          <w:szCs w:val="24"/>
        </w:rPr>
        <w:t xml:space="preserve"> In the meantime</w:t>
      </w:r>
      <w:r w:rsidR="00446F90" w:rsidRPr="00F7079B">
        <w:rPr>
          <w:szCs w:val="24"/>
        </w:rPr>
        <w:t>,</w:t>
      </w:r>
      <w:r w:rsidR="1B391B28" w:rsidRPr="00F7079B">
        <w:rPr>
          <w:szCs w:val="24"/>
        </w:rPr>
        <w:t xml:space="preserve"> the activities of the European Union in the insurance area should be closely monitored.</w:t>
      </w:r>
    </w:p>
    <w:p w14:paraId="2B78F52B" w14:textId="2B6C51A6" w:rsidR="00FE7941" w:rsidRDefault="00D24667" w:rsidP="00D24667">
      <w:pPr>
        <w:pStyle w:val="Calloutbox"/>
        <w:rPr>
          <w:rFonts w:asciiTheme="majorHAnsi" w:eastAsiaTheme="majorEastAsia" w:hAnsiTheme="majorHAnsi" w:cstheme="majorBidi"/>
          <w:color w:val="005677" w:themeColor="text2"/>
          <w:sz w:val="48"/>
          <w:szCs w:val="48"/>
        </w:rPr>
      </w:pPr>
      <w:bookmarkStart w:id="330" w:name="_Toc59109346"/>
      <w:bookmarkStart w:id="331" w:name="_Toc19023743"/>
      <w:bookmarkEnd w:id="284"/>
      <w:bookmarkEnd w:id="285"/>
      <w:bookmarkEnd w:id="286"/>
      <w:bookmarkEnd w:id="287"/>
      <w:r w:rsidRPr="0080588A">
        <w:rPr>
          <w:color w:val="276C6C" w:themeColor="accent4" w:themeShade="80"/>
          <w:sz w:val="28"/>
        </w:rPr>
        <w:t>Finding 3:</w:t>
      </w:r>
      <w:r>
        <w:rPr>
          <w:color w:val="276C6C" w:themeColor="accent4" w:themeShade="80"/>
          <w:sz w:val="28"/>
        </w:rPr>
        <w:br/>
      </w:r>
      <w:r w:rsidRPr="00CE4C52">
        <w:rPr>
          <w:rFonts w:cs="Arial (Body CS)"/>
          <w:b w:val="0"/>
          <w:bCs/>
          <w:color w:val="000000" w:themeColor="text1"/>
          <w:spacing w:val="-6"/>
          <w:sz w:val="28"/>
        </w:rPr>
        <w:t>The implementation of the legal and alternative dispute resolution steps advocated in this review may well lead to litigation insurance becoming a viable option.</w:t>
      </w:r>
    </w:p>
    <w:p w14:paraId="3050A28B" w14:textId="69D898AA" w:rsidR="00290604" w:rsidRDefault="003136DB" w:rsidP="00102432">
      <w:pPr>
        <w:pStyle w:val="Heading1"/>
      </w:pPr>
      <w:bookmarkStart w:id="332" w:name="_Toc60760642"/>
      <w:bookmarkStart w:id="333" w:name="_Toc60834828"/>
      <w:bookmarkStart w:id="334" w:name="_Toc60836778"/>
      <w:bookmarkStart w:id="335" w:name="_Toc60997766"/>
      <w:bookmarkStart w:id="336" w:name="_Toc61015580"/>
      <w:bookmarkStart w:id="337" w:name="_Toc61269612"/>
      <w:bookmarkStart w:id="338" w:name="_Toc61356720"/>
      <w:bookmarkStart w:id="339" w:name="_Toc65159330"/>
      <w:r w:rsidRPr="0065361F">
        <w:lastRenderedPageBreak/>
        <w:t>2</w:t>
      </w:r>
      <w:r w:rsidR="0065361F" w:rsidRPr="00585B6B">
        <w:t>0</w:t>
      </w:r>
      <w:r w:rsidR="00FE7941">
        <w:t xml:space="preserve"> </w:t>
      </w:r>
      <w:r w:rsidR="00567320">
        <w:t>H</w:t>
      </w:r>
      <w:r w:rsidR="001835A4">
        <w:t xml:space="preserve">idden </w:t>
      </w:r>
      <w:r w:rsidR="000C04F1">
        <w:t>p</w:t>
      </w:r>
      <w:r w:rsidR="001835A4">
        <w:t>otential</w:t>
      </w:r>
      <w:r w:rsidR="51BE64CE">
        <w:t xml:space="preserve"> and the </w:t>
      </w:r>
      <w:r w:rsidR="00CF15A5">
        <w:t>‘</w:t>
      </w:r>
      <w:r w:rsidR="51BE64CE">
        <w:t>Flying Squad</w:t>
      </w:r>
      <w:r w:rsidR="00CF15A5">
        <w:t>’</w:t>
      </w:r>
      <w:r w:rsidR="51BE64CE">
        <w:t xml:space="preserve"> approach</w:t>
      </w:r>
      <w:bookmarkEnd w:id="330"/>
      <w:bookmarkEnd w:id="332"/>
      <w:bookmarkEnd w:id="333"/>
      <w:bookmarkEnd w:id="334"/>
      <w:bookmarkEnd w:id="335"/>
      <w:bookmarkEnd w:id="336"/>
      <w:bookmarkEnd w:id="337"/>
      <w:bookmarkEnd w:id="338"/>
      <w:bookmarkEnd w:id="339"/>
    </w:p>
    <w:p w14:paraId="5684EF7A" w14:textId="3ABBBD24" w:rsidR="00567320" w:rsidRPr="00F7079B" w:rsidRDefault="00417D2D" w:rsidP="00567320">
      <w:pPr>
        <w:rPr>
          <w:szCs w:val="24"/>
        </w:rPr>
      </w:pPr>
      <w:r w:rsidRPr="00F7079B">
        <w:rPr>
          <w:szCs w:val="24"/>
        </w:rPr>
        <w:t>T</w:t>
      </w:r>
      <w:r w:rsidR="002E58C9" w:rsidRPr="00F7079B">
        <w:rPr>
          <w:szCs w:val="24"/>
        </w:rPr>
        <w:t>his reviewer</w:t>
      </w:r>
      <w:r w:rsidR="004237B1" w:rsidRPr="00F7079B">
        <w:rPr>
          <w:szCs w:val="24"/>
        </w:rPr>
        <w:t xml:space="preserve"> once had the experience of being invited</w:t>
      </w:r>
      <w:r w:rsidR="00C378CB" w:rsidRPr="00F7079B">
        <w:rPr>
          <w:szCs w:val="24"/>
        </w:rPr>
        <w:t xml:space="preserve"> to review the engineering </w:t>
      </w:r>
      <w:r w:rsidR="00C02DA5" w:rsidRPr="00F7079B">
        <w:rPr>
          <w:szCs w:val="24"/>
        </w:rPr>
        <w:t>d</w:t>
      </w:r>
      <w:r w:rsidR="00C378CB" w:rsidRPr="00F7079B">
        <w:rPr>
          <w:szCs w:val="24"/>
        </w:rPr>
        <w:t>epartment of a small regional university</w:t>
      </w:r>
      <w:r w:rsidR="00845E75" w:rsidRPr="00F7079B">
        <w:rPr>
          <w:szCs w:val="24"/>
        </w:rPr>
        <w:t>: there was</w:t>
      </w:r>
      <w:r w:rsidR="001C12D6" w:rsidRPr="00F7079B">
        <w:rPr>
          <w:szCs w:val="24"/>
        </w:rPr>
        <w:t xml:space="preserve"> a lot of excitement and inventive activity</w:t>
      </w:r>
      <w:r w:rsidR="00091B1F" w:rsidRPr="00F7079B">
        <w:rPr>
          <w:szCs w:val="24"/>
        </w:rPr>
        <w:t xml:space="preserve"> in the group</w:t>
      </w:r>
      <w:r w:rsidR="00FE5455" w:rsidRPr="00F7079B">
        <w:rPr>
          <w:szCs w:val="24"/>
        </w:rPr>
        <w:t>,</w:t>
      </w:r>
      <w:r w:rsidR="00B24AF5" w:rsidRPr="00F7079B">
        <w:rPr>
          <w:szCs w:val="24"/>
        </w:rPr>
        <w:t xml:space="preserve"> </w:t>
      </w:r>
      <w:r w:rsidR="00FC4977" w:rsidRPr="00F7079B">
        <w:rPr>
          <w:szCs w:val="24"/>
        </w:rPr>
        <w:t>and a strong sense of teamwork. A</w:t>
      </w:r>
      <w:r w:rsidR="00624F86" w:rsidRPr="00F7079B">
        <w:rPr>
          <w:szCs w:val="24"/>
        </w:rPr>
        <w:t xml:space="preserve"> significant patent attorney firm</w:t>
      </w:r>
      <w:r w:rsidR="00206E5B" w:rsidRPr="00F7079B">
        <w:rPr>
          <w:szCs w:val="24"/>
        </w:rPr>
        <w:t xml:space="preserve"> from Sydney</w:t>
      </w:r>
      <w:r w:rsidR="000C5F33" w:rsidRPr="00F7079B">
        <w:rPr>
          <w:szCs w:val="24"/>
        </w:rPr>
        <w:t xml:space="preserve"> agreed to send</w:t>
      </w:r>
      <w:r w:rsidR="00A0614A" w:rsidRPr="00F7079B">
        <w:rPr>
          <w:szCs w:val="24"/>
        </w:rPr>
        <w:t xml:space="preserve"> a patent attorney</w:t>
      </w:r>
      <w:r w:rsidR="006A0081" w:rsidRPr="00F7079B">
        <w:rPr>
          <w:szCs w:val="24"/>
        </w:rPr>
        <w:t xml:space="preserve"> </w:t>
      </w:r>
      <w:r w:rsidR="008E49D0" w:rsidRPr="00F7079B">
        <w:rPr>
          <w:szCs w:val="24"/>
        </w:rPr>
        <w:t>(</w:t>
      </w:r>
      <w:r w:rsidR="00BD59F7" w:rsidRPr="00F7079B">
        <w:rPr>
          <w:szCs w:val="24"/>
        </w:rPr>
        <w:t xml:space="preserve">with </w:t>
      </w:r>
      <w:r w:rsidR="006A0081" w:rsidRPr="00F7079B">
        <w:rPr>
          <w:szCs w:val="24"/>
        </w:rPr>
        <w:t>a mechanical engineering background</w:t>
      </w:r>
      <w:r w:rsidR="008E49D0" w:rsidRPr="00F7079B">
        <w:rPr>
          <w:szCs w:val="24"/>
        </w:rPr>
        <w:t>)</w:t>
      </w:r>
      <w:r w:rsidR="00552BB8" w:rsidRPr="00F7079B">
        <w:rPr>
          <w:szCs w:val="24"/>
        </w:rPr>
        <w:t xml:space="preserve"> to</w:t>
      </w:r>
      <w:r w:rsidR="00843958" w:rsidRPr="00F7079B">
        <w:rPr>
          <w:szCs w:val="24"/>
        </w:rPr>
        <w:t xml:space="preserve"> check out the possibilities</w:t>
      </w:r>
      <w:r w:rsidR="00BE2809" w:rsidRPr="00F7079B">
        <w:rPr>
          <w:szCs w:val="24"/>
        </w:rPr>
        <w:t>.</w:t>
      </w:r>
      <w:r w:rsidR="002B2A86" w:rsidRPr="00F7079B">
        <w:rPr>
          <w:szCs w:val="24"/>
        </w:rPr>
        <w:t xml:space="preserve"> She reported that there were nine patentable inventions</w:t>
      </w:r>
      <w:r w:rsidR="00AC207D" w:rsidRPr="00F7079B">
        <w:rPr>
          <w:szCs w:val="24"/>
        </w:rPr>
        <w:t xml:space="preserve"> arising out of the work of the </w:t>
      </w:r>
      <w:r w:rsidR="00BD59F7" w:rsidRPr="00F7079B">
        <w:rPr>
          <w:szCs w:val="24"/>
        </w:rPr>
        <w:t>d</w:t>
      </w:r>
      <w:r w:rsidR="00AC207D" w:rsidRPr="00F7079B">
        <w:rPr>
          <w:szCs w:val="24"/>
        </w:rPr>
        <w:t>epartment</w:t>
      </w:r>
      <w:r w:rsidR="00FE2950" w:rsidRPr="00F7079B">
        <w:rPr>
          <w:szCs w:val="24"/>
        </w:rPr>
        <w:t>,</w:t>
      </w:r>
      <w:r w:rsidR="001D6B06" w:rsidRPr="00F7079B">
        <w:rPr>
          <w:szCs w:val="24"/>
        </w:rPr>
        <w:t xml:space="preserve"> and</w:t>
      </w:r>
      <w:r w:rsidR="00A3729F" w:rsidRPr="00F7079B">
        <w:rPr>
          <w:szCs w:val="24"/>
        </w:rPr>
        <w:t xml:space="preserve"> </w:t>
      </w:r>
      <w:r w:rsidR="28DFD5D4" w:rsidRPr="00F7079B">
        <w:rPr>
          <w:szCs w:val="24"/>
        </w:rPr>
        <w:t xml:space="preserve">also </w:t>
      </w:r>
      <w:r w:rsidR="00A3729F" w:rsidRPr="00F7079B">
        <w:rPr>
          <w:szCs w:val="24"/>
        </w:rPr>
        <w:t>that</w:t>
      </w:r>
      <w:r w:rsidR="0034479C" w:rsidRPr="00F7079B">
        <w:rPr>
          <w:szCs w:val="24"/>
        </w:rPr>
        <w:t xml:space="preserve"> there was no awareness of</w:t>
      </w:r>
      <w:r w:rsidR="00056F5C" w:rsidRPr="00F7079B">
        <w:rPr>
          <w:szCs w:val="24"/>
        </w:rPr>
        <w:t xml:space="preserve"> th</w:t>
      </w:r>
      <w:r w:rsidR="5799C660" w:rsidRPr="00F7079B">
        <w:rPr>
          <w:szCs w:val="24"/>
        </w:rPr>
        <w:t xml:space="preserve">is on </w:t>
      </w:r>
      <w:r w:rsidR="00056F5C" w:rsidRPr="00F7079B">
        <w:rPr>
          <w:szCs w:val="24"/>
        </w:rPr>
        <w:t>the</w:t>
      </w:r>
      <w:r w:rsidR="000A741B" w:rsidRPr="00F7079B">
        <w:rPr>
          <w:szCs w:val="24"/>
        </w:rPr>
        <w:t xml:space="preserve"> </w:t>
      </w:r>
      <w:r w:rsidR="5799C660" w:rsidRPr="00F7079B">
        <w:rPr>
          <w:szCs w:val="24"/>
        </w:rPr>
        <w:t>part</w:t>
      </w:r>
      <w:r w:rsidR="007F62BC" w:rsidRPr="00F7079B">
        <w:rPr>
          <w:szCs w:val="24"/>
        </w:rPr>
        <w:t xml:space="preserve"> of</w:t>
      </w:r>
      <w:r w:rsidR="00CF3D76" w:rsidRPr="00F7079B">
        <w:rPr>
          <w:szCs w:val="24"/>
        </w:rPr>
        <w:t xml:space="preserve"> the </w:t>
      </w:r>
      <w:r w:rsidR="5799C660" w:rsidRPr="00F7079B">
        <w:rPr>
          <w:szCs w:val="24"/>
        </w:rPr>
        <w:t>staff</w:t>
      </w:r>
      <w:r w:rsidRPr="00F7079B">
        <w:rPr>
          <w:szCs w:val="24"/>
        </w:rPr>
        <w:t>.</w:t>
      </w:r>
    </w:p>
    <w:p w14:paraId="30BD6B82" w14:textId="488CD7F2" w:rsidR="008E34D0" w:rsidRPr="00F7079B" w:rsidRDefault="00A17C29" w:rsidP="00567320">
      <w:pPr>
        <w:rPr>
          <w:szCs w:val="24"/>
        </w:rPr>
      </w:pPr>
      <w:r w:rsidRPr="00F7079B">
        <w:rPr>
          <w:szCs w:val="24"/>
        </w:rPr>
        <w:t>Universities are complex organisations</w:t>
      </w:r>
      <w:r w:rsidR="00887871" w:rsidRPr="00F7079B">
        <w:rPr>
          <w:szCs w:val="24"/>
        </w:rPr>
        <w:t xml:space="preserve"> and</w:t>
      </w:r>
      <w:r w:rsidR="003148C7" w:rsidRPr="00F7079B">
        <w:rPr>
          <w:szCs w:val="24"/>
        </w:rPr>
        <w:t xml:space="preserve"> the</w:t>
      </w:r>
      <w:r w:rsidR="00CE6E8F" w:rsidRPr="00F7079B">
        <w:rPr>
          <w:szCs w:val="24"/>
        </w:rPr>
        <w:t>re</w:t>
      </w:r>
      <w:r w:rsidR="00905612" w:rsidRPr="00F7079B">
        <w:rPr>
          <w:szCs w:val="24"/>
        </w:rPr>
        <w:t xml:space="preserve"> were many reasons for</w:t>
      </w:r>
      <w:r w:rsidR="00127E4B" w:rsidRPr="00F7079B">
        <w:rPr>
          <w:szCs w:val="24"/>
        </w:rPr>
        <w:t xml:space="preserve"> the inactivity over</w:t>
      </w:r>
      <w:r w:rsidR="000109FD" w:rsidRPr="00F7079B">
        <w:rPr>
          <w:szCs w:val="24"/>
        </w:rPr>
        <w:t xml:space="preserve"> these inventions</w:t>
      </w:r>
      <w:r w:rsidR="00CB24B1" w:rsidRPr="00F7079B">
        <w:rPr>
          <w:szCs w:val="24"/>
        </w:rPr>
        <w:t>,</w:t>
      </w:r>
      <w:r w:rsidR="00543373" w:rsidRPr="00F7079B">
        <w:rPr>
          <w:szCs w:val="24"/>
        </w:rPr>
        <w:t xml:space="preserve"> but that is another </w:t>
      </w:r>
      <w:r w:rsidR="00E1536A" w:rsidRPr="00F7079B">
        <w:rPr>
          <w:szCs w:val="24"/>
        </w:rPr>
        <w:t xml:space="preserve">matter. </w:t>
      </w:r>
      <w:r w:rsidR="009B0F88" w:rsidRPr="00F7079B">
        <w:rPr>
          <w:szCs w:val="24"/>
        </w:rPr>
        <w:t>It is sufficient to note that</w:t>
      </w:r>
      <w:r w:rsidR="008E49D0" w:rsidRPr="00F7079B">
        <w:rPr>
          <w:szCs w:val="24"/>
        </w:rPr>
        <w:t>,</w:t>
      </w:r>
      <w:r w:rsidR="00ED3AB7" w:rsidRPr="00F7079B">
        <w:rPr>
          <w:szCs w:val="24"/>
        </w:rPr>
        <w:t xml:space="preserve"> in the course of</w:t>
      </w:r>
      <w:r w:rsidR="00D845C7" w:rsidRPr="00F7079B">
        <w:rPr>
          <w:szCs w:val="24"/>
        </w:rPr>
        <w:t xml:space="preserve"> their ordinary work</w:t>
      </w:r>
      <w:r w:rsidR="00847CE1" w:rsidRPr="00F7079B">
        <w:rPr>
          <w:szCs w:val="24"/>
        </w:rPr>
        <w:t>, this</w:t>
      </w:r>
      <w:r w:rsidR="00254D0C" w:rsidRPr="00F7079B">
        <w:rPr>
          <w:szCs w:val="24"/>
        </w:rPr>
        <w:t xml:space="preserve"> university department had</w:t>
      </w:r>
      <w:r w:rsidR="007705C8" w:rsidRPr="00F7079B">
        <w:rPr>
          <w:szCs w:val="24"/>
        </w:rPr>
        <w:t xml:space="preserve"> created a number of</w:t>
      </w:r>
      <w:r w:rsidR="005C66F3" w:rsidRPr="00F7079B">
        <w:rPr>
          <w:szCs w:val="24"/>
        </w:rPr>
        <w:t xml:space="preserve"> inventions</w:t>
      </w:r>
      <w:r w:rsidR="00D108EE" w:rsidRPr="00F7079B">
        <w:rPr>
          <w:szCs w:val="24"/>
        </w:rPr>
        <w:t>, but had not</w:t>
      </w:r>
      <w:r w:rsidR="00111546" w:rsidRPr="00F7079B">
        <w:rPr>
          <w:szCs w:val="24"/>
        </w:rPr>
        <w:t xml:space="preserve"> developed them</w:t>
      </w:r>
      <w:r w:rsidR="007605B0" w:rsidRPr="00F7079B">
        <w:rPr>
          <w:szCs w:val="24"/>
        </w:rPr>
        <w:t>.</w:t>
      </w:r>
    </w:p>
    <w:p w14:paraId="5A489211" w14:textId="078D74D8" w:rsidR="007605B0" w:rsidRPr="00F7079B" w:rsidRDefault="00284978" w:rsidP="00567320">
      <w:pPr>
        <w:rPr>
          <w:szCs w:val="24"/>
        </w:rPr>
      </w:pPr>
      <w:r w:rsidRPr="00F7079B">
        <w:rPr>
          <w:szCs w:val="24"/>
        </w:rPr>
        <w:t>How many times could this situation be repeated</w:t>
      </w:r>
      <w:r w:rsidR="00C6582C" w:rsidRPr="00F7079B">
        <w:rPr>
          <w:szCs w:val="24"/>
        </w:rPr>
        <w:t xml:space="preserve"> in Australia’s</w:t>
      </w:r>
      <w:r w:rsidR="00FD616B" w:rsidRPr="00F7079B">
        <w:rPr>
          <w:szCs w:val="24"/>
        </w:rPr>
        <w:t xml:space="preserve"> </w:t>
      </w:r>
      <w:r w:rsidR="001A5641" w:rsidRPr="00F7079B">
        <w:rPr>
          <w:szCs w:val="24"/>
        </w:rPr>
        <w:t>43</w:t>
      </w:r>
      <w:r w:rsidR="00FD616B" w:rsidRPr="00F7079B">
        <w:rPr>
          <w:szCs w:val="24"/>
        </w:rPr>
        <w:t xml:space="preserve"> universities</w:t>
      </w:r>
      <w:r w:rsidR="00273E2D" w:rsidRPr="00F7079B">
        <w:rPr>
          <w:szCs w:val="24"/>
        </w:rPr>
        <w:t>?</w:t>
      </w:r>
      <w:r w:rsidR="003B16BC" w:rsidRPr="00F7079B">
        <w:rPr>
          <w:szCs w:val="24"/>
        </w:rPr>
        <w:t xml:space="preserve"> </w:t>
      </w:r>
      <w:r w:rsidR="12954D7B" w:rsidRPr="00F7079B">
        <w:rPr>
          <w:szCs w:val="24"/>
        </w:rPr>
        <w:t>Or engineering businesses, or mining companies, or mining suppliers?</w:t>
      </w:r>
      <w:r w:rsidR="00861044" w:rsidRPr="00F7079B">
        <w:rPr>
          <w:szCs w:val="24"/>
        </w:rPr>
        <w:t xml:space="preserve"> </w:t>
      </w:r>
      <w:r w:rsidR="770B8E26" w:rsidRPr="00F7079B">
        <w:rPr>
          <w:szCs w:val="24"/>
        </w:rPr>
        <w:t xml:space="preserve">Or in </w:t>
      </w:r>
      <w:r w:rsidR="00490B58" w:rsidRPr="00F7079B">
        <w:rPr>
          <w:szCs w:val="24"/>
        </w:rPr>
        <w:t>a</w:t>
      </w:r>
      <w:r w:rsidR="770B8E26" w:rsidRPr="00F7079B">
        <w:rPr>
          <w:szCs w:val="24"/>
        </w:rPr>
        <w:t>gribusiness?</w:t>
      </w:r>
      <w:r w:rsidR="00861044" w:rsidRPr="00F7079B">
        <w:rPr>
          <w:szCs w:val="24"/>
        </w:rPr>
        <w:t xml:space="preserve"> </w:t>
      </w:r>
      <w:r w:rsidR="003B16BC" w:rsidRPr="00F7079B">
        <w:rPr>
          <w:szCs w:val="24"/>
        </w:rPr>
        <w:t>Is there a general</w:t>
      </w:r>
      <w:r w:rsidR="000E4744" w:rsidRPr="00F7079B">
        <w:rPr>
          <w:szCs w:val="24"/>
        </w:rPr>
        <w:t xml:space="preserve"> understanding</w:t>
      </w:r>
      <w:r w:rsidR="00DC5375" w:rsidRPr="00F7079B">
        <w:rPr>
          <w:szCs w:val="24"/>
        </w:rPr>
        <w:t xml:space="preserve"> of what is patentable and what is not</w:t>
      </w:r>
      <w:r w:rsidR="00340F43" w:rsidRPr="00F7079B">
        <w:rPr>
          <w:szCs w:val="24"/>
        </w:rPr>
        <w:t>?</w:t>
      </w:r>
      <w:r w:rsidR="004C3F81" w:rsidRPr="00F7079B">
        <w:rPr>
          <w:szCs w:val="24"/>
        </w:rPr>
        <w:t xml:space="preserve"> </w:t>
      </w:r>
      <w:r w:rsidR="002954D5" w:rsidRPr="00F7079B">
        <w:rPr>
          <w:szCs w:val="24"/>
        </w:rPr>
        <w:t xml:space="preserve">How many researchers have </w:t>
      </w:r>
      <w:r w:rsidR="00781045" w:rsidRPr="00F7079B">
        <w:rPr>
          <w:szCs w:val="24"/>
        </w:rPr>
        <w:t xml:space="preserve">invented something, without knowing </w:t>
      </w:r>
      <w:r w:rsidR="002062AE" w:rsidRPr="00F7079B">
        <w:rPr>
          <w:szCs w:val="24"/>
        </w:rPr>
        <w:t xml:space="preserve">that it is </w:t>
      </w:r>
      <w:r w:rsidR="005D65B3" w:rsidRPr="00F7079B">
        <w:rPr>
          <w:szCs w:val="24"/>
        </w:rPr>
        <w:t>‘</w:t>
      </w:r>
      <w:r w:rsidR="002062AE" w:rsidRPr="00F7079B">
        <w:rPr>
          <w:szCs w:val="24"/>
        </w:rPr>
        <w:t>an invention</w:t>
      </w:r>
      <w:r w:rsidR="005D65B3" w:rsidRPr="00F7079B">
        <w:rPr>
          <w:szCs w:val="24"/>
        </w:rPr>
        <w:t>’</w:t>
      </w:r>
      <w:r w:rsidR="002062AE" w:rsidRPr="00F7079B">
        <w:rPr>
          <w:szCs w:val="24"/>
        </w:rPr>
        <w:t xml:space="preserve"> </w:t>
      </w:r>
      <w:r w:rsidR="00E30946" w:rsidRPr="00F7079B">
        <w:rPr>
          <w:szCs w:val="24"/>
        </w:rPr>
        <w:t xml:space="preserve">in terms of the </w:t>
      </w:r>
      <w:r w:rsidR="000A7715" w:rsidRPr="00F7079B">
        <w:rPr>
          <w:i/>
          <w:iCs/>
          <w:szCs w:val="24"/>
        </w:rPr>
        <w:t>P</w:t>
      </w:r>
      <w:r w:rsidR="00E30946" w:rsidRPr="00F7079B">
        <w:rPr>
          <w:i/>
          <w:iCs/>
          <w:szCs w:val="24"/>
        </w:rPr>
        <w:t xml:space="preserve">atents </w:t>
      </w:r>
      <w:r w:rsidR="000A7715" w:rsidRPr="00F7079B">
        <w:rPr>
          <w:i/>
          <w:iCs/>
          <w:szCs w:val="24"/>
        </w:rPr>
        <w:t>A</w:t>
      </w:r>
      <w:r w:rsidR="00E30946" w:rsidRPr="00F7079B">
        <w:rPr>
          <w:i/>
          <w:iCs/>
          <w:szCs w:val="24"/>
        </w:rPr>
        <w:t>ct</w:t>
      </w:r>
      <w:r w:rsidR="00170699" w:rsidRPr="00F7079B">
        <w:rPr>
          <w:i/>
          <w:iCs/>
          <w:szCs w:val="24"/>
        </w:rPr>
        <w:t xml:space="preserve"> 1990</w:t>
      </w:r>
      <w:r w:rsidR="00E30946" w:rsidRPr="00F7079B">
        <w:rPr>
          <w:szCs w:val="24"/>
        </w:rPr>
        <w:t xml:space="preserve">? </w:t>
      </w:r>
      <w:r w:rsidR="004C3F81" w:rsidRPr="00F7079B">
        <w:rPr>
          <w:szCs w:val="24"/>
        </w:rPr>
        <w:t>How much would be discovered</w:t>
      </w:r>
      <w:r w:rsidR="00A24CF7" w:rsidRPr="00F7079B">
        <w:rPr>
          <w:szCs w:val="24"/>
        </w:rPr>
        <w:t xml:space="preserve"> if a patent attorney</w:t>
      </w:r>
      <w:r w:rsidR="0011410F" w:rsidRPr="00F7079B">
        <w:rPr>
          <w:szCs w:val="24"/>
        </w:rPr>
        <w:t xml:space="preserve"> were to venture into</w:t>
      </w:r>
      <w:r w:rsidR="00B21E6F" w:rsidRPr="00F7079B">
        <w:rPr>
          <w:szCs w:val="24"/>
        </w:rPr>
        <w:t xml:space="preserve"> various university departments</w:t>
      </w:r>
      <w:r w:rsidR="7606E984" w:rsidRPr="00F7079B">
        <w:rPr>
          <w:szCs w:val="24"/>
        </w:rPr>
        <w:t>, or small companies,</w:t>
      </w:r>
      <w:r w:rsidR="00B21E6F" w:rsidRPr="00F7079B">
        <w:rPr>
          <w:szCs w:val="24"/>
        </w:rPr>
        <w:t xml:space="preserve"> and</w:t>
      </w:r>
      <w:r w:rsidR="00CB73A2" w:rsidRPr="00F7079B">
        <w:rPr>
          <w:szCs w:val="24"/>
        </w:rPr>
        <w:t xml:space="preserve"> ask to look at the</w:t>
      </w:r>
      <w:r w:rsidR="00DF7434" w:rsidRPr="00F7079B">
        <w:rPr>
          <w:szCs w:val="24"/>
        </w:rPr>
        <w:t xml:space="preserve"> research being carried out</w:t>
      </w:r>
      <w:r w:rsidR="00E5417B" w:rsidRPr="00F7079B">
        <w:rPr>
          <w:szCs w:val="24"/>
        </w:rPr>
        <w:t>?</w:t>
      </w:r>
    </w:p>
    <w:p w14:paraId="16F2F506" w14:textId="2DC63034" w:rsidR="0009036A" w:rsidRPr="00F7079B" w:rsidRDefault="00003651" w:rsidP="00567320">
      <w:pPr>
        <w:rPr>
          <w:szCs w:val="24"/>
        </w:rPr>
      </w:pPr>
      <w:r w:rsidRPr="4D879BC5">
        <w:t>We might term this</w:t>
      </w:r>
      <w:r w:rsidR="00E84CC1" w:rsidRPr="4D879BC5">
        <w:t xml:space="preserve"> a </w:t>
      </w:r>
      <w:r w:rsidR="00E84CC1" w:rsidRPr="4D879BC5">
        <w:rPr>
          <w:b/>
        </w:rPr>
        <w:t xml:space="preserve">prospective intellectual property </w:t>
      </w:r>
      <w:r w:rsidR="006B663B" w:rsidRPr="4D879BC5">
        <w:rPr>
          <w:b/>
        </w:rPr>
        <w:t xml:space="preserve">(IP) </w:t>
      </w:r>
      <w:r w:rsidR="00E84CC1" w:rsidRPr="4D879BC5">
        <w:rPr>
          <w:b/>
        </w:rPr>
        <w:t>audit</w:t>
      </w:r>
      <w:r w:rsidR="006268F9" w:rsidRPr="00F7079B">
        <w:rPr>
          <w:szCs w:val="24"/>
        </w:rPr>
        <w:t>,</w:t>
      </w:r>
      <w:r w:rsidR="006268F9" w:rsidRPr="4D879BC5">
        <w:rPr>
          <w:rStyle w:val="FootnoteReference"/>
        </w:rPr>
        <w:footnoteReference w:id="95"/>
      </w:r>
      <w:r w:rsidR="006268F9" w:rsidRPr="00F7079B">
        <w:rPr>
          <w:szCs w:val="24"/>
        </w:rPr>
        <w:t xml:space="preserve"> </w:t>
      </w:r>
      <w:r w:rsidR="00942705" w:rsidRPr="4D879BC5">
        <w:t>whereby</w:t>
      </w:r>
      <w:r w:rsidR="00536258" w:rsidRPr="4D879BC5">
        <w:t xml:space="preserve"> a patent attorney</w:t>
      </w:r>
      <w:r w:rsidR="000F74E2" w:rsidRPr="4D879BC5">
        <w:t xml:space="preserve"> is invited</w:t>
      </w:r>
      <w:r w:rsidR="00681794" w:rsidRPr="4D879BC5">
        <w:t xml:space="preserve"> not simply to talk to the staff</w:t>
      </w:r>
      <w:r w:rsidR="00983DED" w:rsidRPr="4D879BC5">
        <w:t xml:space="preserve"> but</w:t>
      </w:r>
      <w:r w:rsidR="006041F5" w:rsidRPr="00F7079B">
        <w:rPr>
          <w:szCs w:val="24"/>
        </w:rPr>
        <w:t xml:space="preserve"> </w:t>
      </w:r>
      <w:r w:rsidR="00BC3F9C">
        <w:t>–</w:t>
      </w:r>
      <w:r w:rsidR="00B5659A">
        <w:t xml:space="preserve"> </w:t>
      </w:r>
      <w:r w:rsidR="006041F5" w:rsidRPr="4D879BC5">
        <w:t xml:space="preserve">with their help </w:t>
      </w:r>
      <w:r w:rsidR="00BC3F9C">
        <w:t>–</w:t>
      </w:r>
      <w:r w:rsidR="00B5659A">
        <w:t xml:space="preserve"> </w:t>
      </w:r>
      <w:r w:rsidR="006041F5" w:rsidRPr="4D879BC5">
        <w:t>to</w:t>
      </w:r>
      <w:r w:rsidR="000B44B9" w:rsidRPr="4D879BC5">
        <w:t xml:space="preserve"> actively investigate</w:t>
      </w:r>
      <w:r w:rsidR="00F905F4" w:rsidRPr="4D879BC5">
        <w:t xml:space="preserve"> the research</w:t>
      </w:r>
      <w:r w:rsidR="003C0864" w:rsidRPr="4D879BC5">
        <w:t xml:space="preserve"> being carried out</w:t>
      </w:r>
      <w:r w:rsidR="00FB6CC0" w:rsidRPr="00F7079B">
        <w:rPr>
          <w:szCs w:val="24"/>
        </w:rPr>
        <w:t>.</w:t>
      </w:r>
      <w:r w:rsidR="003E5E5E" w:rsidRPr="00F7079B">
        <w:rPr>
          <w:szCs w:val="24"/>
        </w:rPr>
        <w:t xml:space="preserve"> </w:t>
      </w:r>
    </w:p>
    <w:p w14:paraId="21A6B9C2" w14:textId="77777777" w:rsidR="0009036A" w:rsidRPr="00F7079B" w:rsidRDefault="003E5E5E" w:rsidP="00CE4C52">
      <w:pPr>
        <w:pStyle w:val="ListParagraph"/>
        <w:rPr>
          <w:szCs w:val="24"/>
        </w:rPr>
      </w:pPr>
      <w:r w:rsidRPr="00F7079B">
        <w:rPr>
          <w:szCs w:val="24"/>
        </w:rPr>
        <w:t>This audit would be</w:t>
      </w:r>
      <w:r w:rsidR="008923B6" w:rsidRPr="00F7079B">
        <w:rPr>
          <w:szCs w:val="24"/>
        </w:rPr>
        <w:t xml:space="preserve"> carried out with a view to actually finding</w:t>
      </w:r>
      <w:r w:rsidR="00E43B84" w:rsidRPr="00F7079B">
        <w:rPr>
          <w:szCs w:val="24"/>
        </w:rPr>
        <w:t xml:space="preserve"> a patentable product</w:t>
      </w:r>
      <w:r w:rsidR="00AB4BB5" w:rsidRPr="00F7079B">
        <w:rPr>
          <w:szCs w:val="24"/>
        </w:rPr>
        <w:t xml:space="preserve">, and would come about </w:t>
      </w:r>
      <w:r w:rsidR="00AB4BB5" w:rsidRPr="00F7079B">
        <w:rPr>
          <w:i/>
          <w:iCs/>
          <w:szCs w:val="24"/>
        </w:rPr>
        <w:t>as a result of seeking it</w:t>
      </w:r>
      <w:r w:rsidR="00752CF9" w:rsidRPr="00F7079B">
        <w:rPr>
          <w:szCs w:val="24"/>
        </w:rPr>
        <w:t>.</w:t>
      </w:r>
      <w:r w:rsidR="000F58EA" w:rsidRPr="00F7079B">
        <w:rPr>
          <w:szCs w:val="24"/>
        </w:rPr>
        <w:t xml:space="preserve"> </w:t>
      </w:r>
    </w:p>
    <w:p w14:paraId="09425F5C" w14:textId="01AE956A" w:rsidR="000F7672" w:rsidRPr="00F7079B" w:rsidRDefault="000F58EA" w:rsidP="00CE4C52">
      <w:pPr>
        <w:pStyle w:val="ListParagraph"/>
        <w:spacing w:after="240"/>
        <w:rPr>
          <w:szCs w:val="24"/>
        </w:rPr>
      </w:pPr>
      <w:r w:rsidRPr="00F7079B">
        <w:rPr>
          <w:szCs w:val="24"/>
        </w:rPr>
        <w:t xml:space="preserve">This is not </w:t>
      </w:r>
      <w:r w:rsidR="00846A35" w:rsidRPr="00F7079B">
        <w:rPr>
          <w:szCs w:val="24"/>
        </w:rPr>
        <w:t>about simply doing a presentation, but is more forensic.</w:t>
      </w:r>
    </w:p>
    <w:p w14:paraId="4AD9B22D" w14:textId="3CDBDEC3" w:rsidR="00215D19" w:rsidRDefault="00215D19" w:rsidP="00567320">
      <w:pPr>
        <w:rPr>
          <w:szCs w:val="24"/>
        </w:rPr>
      </w:pPr>
      <w:r>
        <w:rPr>
          <w:szCs w:val="24"/>
        </w:rPr>
        <w:t xml:space="preserve">Patent attorney firms may be willing to cooperate with this activity on a </w:t>
      </w:r>
      <w:r w:rsidRPr="005E62C0">
        <w:rPr>
          <w:i/>
          <w:szCs w:val="24"/>
        </w:rPr>
        <w:t>pro bono</w:t>
      </w:r>
      <w:r>
        <w:rPr>
          <w:szCs w:val="24"/>
        </w:rPr>
        <w:t xml:space="preserve"> basis, since they may be able to develop new business from the process. </w:t>
      </w:r>
    </w:p>
    <w:p w14:paraId="2CF1CAF0" w14:textId="3E67F834" w:rsidR="005E4A1A" w:rsidRPr="00F7079B" w:rsidRDefault="005F7FB9" w:rsidP="00567320">
      <w:pPr>
        <w:rPr>
          <w:szCs w:val="24"/>
        </w:rPr>
      </w:pPr>
      <w:r w:rsidRPr="00F7079B">
        <w:rPr>
          <w:szCs w:val="24"/>
        </w:rPr>
        <w:t>The</w:t>
      </w:r>
      <w:r w:rsidR="00947026" w:rsidRPr="00F7079B">
        <w:rPr>
          <w:szCs w:val="24"/>
        </w:rPr>
        <w:t xml:space="preserve"> universities are</w:t>
      </w:r>
      <w:r w:rsidR="00C74877" w:rsidRPr="00F7079B">
        <w:rPr>
          <w:szCs w:val="24"/>
        </w:rPr>
        <w:t xml:space="preserve"> an obvious target </w:t>
      </w:r>
      <w:r w:rsidR="00846A35" w:rsidRPr="00F7079B">
        <w:rPr>
          <w:szCs w:val="24"/>
        </w:rPr>
        <w:t xml:space="preserve">for </w:t>
      </w:r>
      <w:r w:rsidR="00C74877" w:rsidRPr="00F7079B">
        <w:rPr>
          <w:szCs w:val="24"/>
        </w:rPr>
        <w:t>prospective</w:t>
      </w:r>
      <w:r w:rsidR="006C3FB7" w:rsidRPr="00F7079B">
        <w:rPr>
          <w:szCs w:val="24"/>
        </w:rPr>
        <w:t xml:space="preserve"> </w:t>
      </w:r>
      <w:r w:rsidR="0010044C" w:rsidRPr="00F7079B">
        <w:rPr>
          <w:szCs w:val="24"/>
        </w:rPr>
        <w:t>I</w:t>
      </w:r>
      <w:r w:rsidR="006C3FB7" w:rsidRPr="00F7079B">
        <w:rPr>
          <w:szCs w:val="24"/>
        </w:rPr>
        <w:t>P audit, since they</w:t>
      </w:r>
      <w:r w:rsidR="00EE62CA" w:rsidRPr="00F7079B">
        <w:rPr>
          <w:szCs w:val="24"/>
        </w:rPr>
        <w:t xml:space="preserve"> house so much research</w:t>
      </w:r>
      <w:r w:rsidR="00680AB0" w:rsidRPr="00F7079B">
        <w:rPr>
          <w:szCs w:val="24"/>
        </w:rPr>
        <w:t>,</w:t>
      </w:r>
      <w:r w:rsidR="00EE62CA" w:rsidRPr="00F7079B">
        <w:rPr>
          <w:szCs w:val="24"/>
        </w:rPr>
        <w:t xml:space="preserve"> </w:t>
      </w:r>
      <w:r w:rsidR="00680AB0" w:rsidRPr="00F7079B">
        <w:rPr>
          <w:szCs w:val="24"/>
        </w:rPr>
        <w:t>often</w:t>
      </w:r>
      <w:r w:rsidR="00EE62CA" w:rsidRPr="00F7079B">
        <w:rPr>
          <w:szCs w:val="24"/>
        </w:rPr>
        <w:t xml:space="preserve"> funded</w:t>
      </w:r>
      <w:r w:rsidR="005B3DF4" w:rsidRPr="00F7079B">
        <w:rPr>
          <w:szCs w:val="24"/>
        </w:rPr>
        <w:t xml:space="preserve"> </w:t>
      </w:r>
      <w:r w:rsidR="00680AB0" w:rsidRPr="00F7079B">
        <w:rPr>
          <w:szCs w:val="24"/>
        </w:rPr>
        <w:t>by</w:t>
      </w:r>
      <w:r w:rsidR="005B3DF4" w:rsidRPr="00F7079B">
        <w:rPr>
          <w:szCs w:val="24"/>
        </w:rPr>
        <w:t xml:space="preserve"> government</w:t>
      </w:r>
      <w:r w:rsidR="00680AB0" w:rsidRPr="00F7079B">
        <w:rPr>
          <w:szCs w:val="24"/>
        </w:rPr>
        <w:t>,</w:t>
      </w:r>
      <w:r w:rsidR="00844E1F" w:rsidRPr="00F7079B">
        <w:rPr>
          <w:szCs w:val="24"/>
        </w:rPr>
        <w:t xml:space="preserve"> but</w:t>
      </w:r>
      <w:r w:rsidR="009A4AF9" w:rsidRPr="00F7079B">
        <w:rPr>
          <w:szCs w:val="24"/>
        </w:rPr>
        <w:t xml:space="preserve"> there are other</w:t>
      </w:r>
      <w:r w:rsidR="00CF079A" w:rsidRPr="00F7079B">
        <w:rPr>
          <w:szCs w:val="24"/>
        </w:rPr>
        <w:t xml:space="preserve"> repositories of </w:t>
      </w:r>
      <w:r w:rsidR="00EB4FF4" w:rsidRPr="00F7079B">
        <w:rPr>
          <w:szCs w:val="24"/>
        </w:rPr>
        <w:t xml:space="preserve">applied </w:t>
      </w:r>
      <w:r w:rsidR="00CF079A" w:rsidRPr="00F7079B">
        <w:rPr>
          <w:szCs w:val="24"/>
        </w:rPr>
        <w:t>knowledge</w:t>
      </w:r>
      <w:r w:rsidR="00964E21" w:rsidRPr="00F7079B">
        <w:rPr>
          <w:szCs w:val="24"/>
        </w:rPr>
        <w:t>.</w:t>
      </w:r>
      <w:r w:rsidR="6792F41F" w:rsidRPr="00F7079B">
        <w:rPr>
          <w:szCs w:val="24"/>
        </w:rPr>
        <w:t xml:space="preserve"> </w:t>
      </w:r>
      <w:r w:rsidR="008D137E" w:rsidRPr="00F7079B">
        <w:rPr>
          <w:szCs w:val="24"/>
        </w:rPr>
        <w:t>The</w:t>
      </w:r>
      <w:r w:rsidR="00B469B4" w:rsidRPr="00F7079B">
        <w:rPr>
          <w:szCs w:val="24"/>
        </w:rPr>
        <w:t xml:space="preserve"> hidden</w:t>
      </w:r>
      <w:r w:rsidR="0081056C" w:rsidRPr="00F7079B">
        <w:rPr>
          <w:szCs w:val="24"/>
        </w:rPr>
        <w:t xml:space="preserve"> inventiveness</w:t>
      </w:r>
      <w:r w:rsidR="0048484D" w:rsidRPr="00F7079B">
        <w:rPr>
          <w:szCs w:val="24"/>
        </w:rPr>
        <w:t xml:space="preserve"> in hospitals and clinical services</w:t>
      </w:r>
      <w:r w:rsidR="009771E8" w:rsidRPr="00F7079B">
        <w:rPr>
          <w:szCs w:val="24"/>
        </w:rPr>
        <w:t xml:space="preserve"> has already been mentioned</w:t>
      </w:r>
      <w:r w:rsidR="006263DF" w:rsidRPr="00F7079B">
        <w:rPr>
          <w:szCs w:val="24"/>
        </w:rPr>
        <w:t>, together with the problem that</w:t>
      </w:r>
      <w:r w:rsidR="007F7301" w:rsidRPr="00F7079B">
        <w:rPr>
          <w:szCs w:val="24"/>
        </w:rPr>
        <w:t xml:space="preserve"> commercialisation and IP advice</w:t>
      </w:r>
      <w:r w:rsidR="00142F6D" w:rsidRPr="00F7079B">
        <w:rPr>
          <w:szCs w:val="24"/>
        </w:rPr>
        <w:t xml:space="preserve"> is not readily accessible</w:t>
      </w:r>
      <w:r w:rsidR="00001646" w:rsidRPr="00F7079B">
        <w:rPr>
          <w:szCs w:val="24"/>
        </w:rPr>
        <w:t xml:space="preserve"> to clinicians</w:t>
      </w:r>
      <w:r w:rsidR="000639FC" w:rsidRPr="00F7079B">
        <w:rPr>
          <w:szCs w:val="24"/>
        </w:rPr>
        <w:t xml:space="preserve"> who</w:t>
      </w:r>
      <w:r w:rsidR="009C2682" w:rsidRPr="00F7079B">
        <w:rPr>
          <w:szCs w:val="24"/>
        </w:rPr>
        <w:t>,</w:t>
      </w:r>
      <w:r w:rsidR="00696DCA" w:rsidRPr="00F7079B">
        <w:rPr>
          <w:szCs w:val="24"/>
        </w:rPr>
        <w:t xml:space="preserve"> out</w:t>
      </w:r>
      <w:r w:rsidR="00B7779F" w:rsidRPr="00F7079B">
        <w:rPr>
          <w:szCs w:val="24"/>
        </w:rPr>
        <w:t>side</w:t>
      </w:r>
      <w:r w:rsidR="00696DCA" w:rsidRPr="00F7079B">
        <w:rPr>
          <w:szCs w:val="24"/>
        </w:rPr>
        <w:t xml:space="preserve"> the actual practice of healthcare</w:t>
      </w:r>
      <w:r w:rsidR="0079443A" w:rsidRPr="00F7079B">
        <w:rPr>
          <w:szCs w:val="24"/>
        </w:rPr>
        <w:t>, invent</w:t>
      </w:r>
      <w:r w:rsidR="00BD7ECE" w:rsidRPr="00F7079B">
        <w:rPr>
          <w:szCs w:val="24"/>
        </w:rPr>
        <w:t xml:space="preserve"> technologies or </w:t>
      </w:r>
      <w:r w:rsidR="00BD7ECE" w:rsidRPr="00F7079B">
        <w:rPr>
          <w:szCs w:val="24"/>
        </w:rPr>
        <w:lastRenderedPageBreak/>
        <w:t>processes which may actually improve</w:t>
      </w:r>
      <w:r w:rsidR="002D4971" w:rsidRPr="00F7079B">
        <w:rPr>
          <w:szCs w:val="24"/>
        </w:rPr>
        <w:t xml:space="preserve"> health care.</w:t>
      </w:r>
      <w:r w:rsidR="00861044" w:rsidRPr="00F7079B">
        <w:rPr>
          <w:szCs w:val="24"/>
        </w:rPr>
        <w:t xml:space="preserve"> </w:t>
      </w:r>
      <w:r w:rsidR="000517DA" w:rsidRPr="00F7079B">
        <w:rPr>
          <w:szCs w:val="24"/>
        </w:rPr>
        <w:t xml:space="preserve">These inventions </w:t>
      </w:r>
      <w:r w:rsidR="2BD76AED" w:rsidRPr="00F7079B">
        <w:rPr>
          <w:szCs w:val="24"/>
        </w:rPr>
        <w:t>should</w:t>
      </w:r>
      <w:r w:rsidR="009078F7" w:rsidRPr="00F7079B">
        <w:rPr>
          <w:szCs w:val="24"/>
        </w:rPr>
        <w:t>,</w:t>
      </w:r>
      <w:r w:rsidR="2BD76AED" w:rsidRPr="00F7079B">
        <w:rPr>
          <w:szCs w:val="24"/>
        </w:rPr>
        <w:t xml:space="preserve"> of course</w:t>
      </w:r>
      <w:r w:rsidR="009078F7" w:rsidRPr="00F7079B">
        <w:rPr>
          <w:szCs w:val="24"/>
        </w:rPr>
        <w:t>,</w:t>
      </w:r>
      <w:r w:rsidR="000517DA" w:rsidRPr="00F7079B">
        <w:rPr>
          <w:szCs w:val="24"/>
        </w:rPr>
        <w:t xml:space="preserve"> then be housed in new SMEs.</w:t>
      </w:r>
    </w:p>
    <w:p w14:paraId="6632B0C7" w14:textId="463888B1" w:rsidR="754122F7" w:rsidRPr="00F7079B" w:rsidRDefault="754122F7" w:rsidP="79344E9E">
      <w:pPr>
        <w:rPr>
          <w:szCs w:val="24"/>
        </w:rPr>
      </w:pPr>
      <w:r w:rsidRPr="00F7079B">
        <w:rPr>
          <w:szCs w:val="24"/>
        </w:rPr>
        <w:t xml:space="preserve">When an invention </w:t>
      </w:r>
      <w:r w:rsidR="7AA68575" w:rsidRPr="00F7079B">
        <w:rPr>
          <w:szCs w:val="24"/>
        </w:rPr>
        <w:t>e</w:t>
      </w:r>
      <w:r w:rsidRPr="00F7079B">
        <w:rPr>
          <w:szCs w:val="24"/>
        </w:rPr>
        <w:t>merges in an organisation it mostly leads to a spinout, or a</w:t>
      </w:r>
      <w:r w:rsidR="2C93A757" w:rsidRPr="00F7079B">
        <w:rPr>
          <w:szCs w:val="24"/>
        </w:rPr>
        <w:t xml:space="preserve"> </w:t>
      </w:r>
      <w:r w:rsidRPr="00F7079B">
        <w:rPr>
          <w:szCs w:val="24"/>
        </w:rPr>
        <w:t>new small bu</w:t>
      </w:r>
      <w:r w:rsidR="5A30A9BF" w:rsidRPr="00F7079B">
        <w:rPr>
          <w:szCs w:val="24"/>
        </w:rPr>
        <w:t>s</w:t>
      </w:r>
      <w:r w:rsidRPr="00F7079B">
        <w:rPr>
          <w:szCs w:val="24"/>
        </w:rPr>
        <w:t>iness</w:t>
      </w:r>
      <w:r w:rsidR="002378AE" w:rsidRPr="00F7079B">
        <w:rPr>
          <w:szCs w:val="24"/>
        </w:rPr>
        <w:t xml:space="preserve">. This is </w:t>
      </w:r>
      <w:r w:rsidRPr="00F7079B">
        <w:rPr>
          <w:szCs w:val="24"/>
        </w:rPr>
        <w:t xml:space="preserve">because the mission and strategy of the </w:t>
      </w:r>
      <w:r w:rsidR="00680300" w:rsidRPr="00F7079B">
        <w:rPr>
          <w:szCs w:val="24"/>
        </w:rPr>
        <w:t xml:space="preserve">parent </w:t>
      </w:r>
      <w:r w:rsidRPr="00F7079B">
        <w:rPr>
          <w:szCs w:val="24"/>
        </w:rPr>
        <w:t>organisatio</w:t>
      </w:r>
      <w:r w:rsidR="5CC49723" w:rsidRPr="00F7079B">
        <w:rPr>
          <w:szCs w:val="24"/>
        </w:rPr>
        <w:t xml:space="preserve">n </w:t>
      </w:r>
      <w:r w:rsidR="005A430D" w:rsidRPr="00F7079B">
        <w:rPr>
          <w:szCs w:val="24"/>
        </w:rPr>
        <w:t xml:space="preserve">typically </w:t>
      </w:r>
      <w:r w:rsidR="5CC49723" w:rsidRPr="00F7079B">
        <w:rPr>
          <w:szCs w:val="24"/>
        </w:rPr>
        <w:t xml:space="preserve">does not </w:t>
      </w:r>
      <w:r w:rsidR="005A430D" w:rsidRPr="00F7079B">
        <w:rPr>
          <w:szCs w:val="24"/>
        </w:rPr>
        <w:t xml:space="preserve">cater for </w:t>
      </w:r>
      <w:r w:rsidR="5CC49723" w:rsidRPr="00F7079B">
        <w:rPr>
          <w:szCs w:val="24"/>
        </w:rPr>
        <w:t>new expenditure on prot</w:t>
      </w:r>
      <w:r w:rsidR="0170BA72" w:rsidRPr="00F7079B">
        <w:rPr>
          <w:szCs w:val="24"/>
        </w:rPr>
        <w:t>ot</w:t>
      </w:r>
      <w:r w:rsidR="5CC49723" w:rsidRPr="00F7079B">
        <w:rPr>
          <w:szCs w:val="24"/>
        </w:rPr>
        <w:t>ypes,</w:t>
      </w:r>
      <w:r w:rsidR="5CD47264" w:rsidRPr="00F7079B">
        <w:rPr>
          <w:szCs w:val="24"/>
        </w:rPr>
        <w:t xml:space="preserve"> manufacturing,</w:t>
      </w:r>
      <w:r w:rsidR="5CC49723" w:rsidRPr="00F7079B">
        <w:rPr>
          <w:szCs w:val="24"/>
        </w:rPr>
        <w:t xml:space="preserve"> IP costs and so on</w:t>
      </w:r>
      <w:r w:rsidR="0041485D" w:rsidRPr="00F7079B">
        <w:rPr>
          <w:szCs w:val="24"/>
        </w:rPr>
        <w:t>:</w:t>
      </w:r>
      <w:r w:rsidR="00C51339" w:rsidRPr="00F7079B">
        <w:rPr>
          <w:szCs w:val="24"/>
        </w:rPr>
        <w:t xml:space="preserve"> </w:t>
      </w:r>
      <w:r w:rsidR="00BB6F9E" w:rsidRPr="00F7079B">
        <w:rPr>
          <w:szCs w:val="24"/>
        </w:rPr>
        <w:t>‘</w:t>
      </w:r>
      <w:r w:rsidR="100C82BA" w:rsidRPr="00F7079B">
        <w:rPr>
          <w:szCs w:val="24"/>
        </w:rPr>
        <w:t xml:space="preserve">Stick to your </w:t>
      </w:r>
      <w:r w:rsidR="00BB6F9E" w:rsidRPr="00F7079B">
        <w:rPr>
          <w:szCs w:val="24"/>
        </w:rPr>
        <w:t>knitting’</w:t>
      </w:r>
      <w:r w:rsidR="100C82BA" w:rsidRPr="00F7079B">
        <w:rPr>
          <w:szCs w:val="24"/>
        </w:rPr>
        <w:t xml:space="preserve"> is </w:t>
      </w:r>
      <w:r w:rsidR="008D3D45" w:rsidRPr="00F7079B">
        <w:rPr>
          <w:szCs w:val="24"/>
        </w:rPr>
        <w:t xml:space="preserve">often </w:t>
      </w:r>
      <w:r w:rsidR="100C82BA" w:rsidRPr="00F7079B">
        <w:rPr>
          <w:szCs w:val="24"/>
        </w:rPr>
        <w:t>the motto when something new comes up.</w:t>
      </w:r>
    </w:p>
    <w:p w14:paraId="293E0F0B" w14:textId="256E15A5" w:rsidR="003852A6" w:rsidRPr="00F7079B" w:rsidRDefault="00DB77B9" w:rsidP="00567320">
      <w:pPr>
        <w:rPr>
          <w:szCs w:val="24"/>
        </w:rPr>
      </w:pPr>
      <w:r w:rsidRPr="4D879BC5">
        <w:t>Again</w:t>
      </w:r>
      <w:r w:rsidR="00871CC3" w:rsidRPr="00F7079B">
        <w:rPr>
          <w:szCs w:val="24"/>
        </w:rPr>
        <w:t>,</w:t>
      </w:r>
      <w:r w:rsidR="00E45F1A" w:rsidRPr="4D879BC5">
        <w:t xml:space="preserve"> this is a question of seeking out</w:t>
      </w:r>
      <w:r w:rsidR="00493775" w:rsidRPr="00F7079B">
        <w:rPr>
          <w:szCs w:val="24"/>
        </w:rPr>
        <w:t>:</w:t>
      </w:r>
      <w:r w:rsidR="00C2528D" w:rsidRPr="00F7079B">
        <w:rPr>
          <w:szCs w:val="24"/>
        </w:rPr>
        <w:t xml:space="preserve"> </w:t>
      </w:r>
      <w:r w:rsidR="00FA710C" w:rsidRPr="4D879BC5">
        <w:t>seeking out</w:t>
      </w:r>
      <w:r w:rsidR="00A77799" w:rsidRPr="4D879BC5">
        <w:t xml:space="preserve"> those</w:t>
      </w:r>
      <w:r w:rsidR="00826EAC" w:rsidRPr="4D879BC5">
        <w:t xml:space="preserve"> with products to offer</w:t>
      </w:r>
      <w:r w:rsidR="00D34D9C" w:rsidRPr="4D879BC5">
        <w:t xml:space="preserve"> and </w:t>
      </w:r>
      <w:r w:rsidR="00543007" w:rsidRPr="4D879BC5">
        <w:t>who</w:t>
      </w:r>
      <w:r w:rsidR="00D34D9C" w:rsidRPr="4D879BC5">
        <w:t xml:space="preserve"> need to be helped</w:t>
      </w:r>
      <w:r w:rsidR="00E64A78" w:rsidRPr="4D879BC5">
        <w:t xml:space="preserve"> there and then</w:t>
      </w:r>
      <w:r w:rsidR="008A7E7C" w:rsidRPr="00F7079B">
        <w:rPr>
          <w:szCs w:val="24"/>
        </w:rPr>
        <w:t>,</w:t>
      </w:r>
      <w:r w:rsidR="00F41EEF" w:rsidRPr="00F7079B">
        <w:rPr>
          <w:szCs w:val="24"/>
        </w:rPr>
        <w:t xml:space="preserve"> </w:t>
      </w:r>
      <w:r w:rsidR="00F41EEF" w:rsidRPr="4D879BC5">
        <w:rPr>
          <w:i/>
        </w:rPr>
        <w:t>in situ</w:t>
      </w:r>
      <w:r w:rsidR="0048237D" w:rsidRPr="00F7079B">
        <w:rPr>
          <w:szCs w:val="24"/>
        </w:rPr>
        <w:t>.</w:t>
      </w:r>
      <w:r w:rsidR="00EB014B" w:rsidRPr="4D879BC5">
        <w:t xml:space="preserve"> We might call this the</w:t>
      </w:r>
      <w:r w:rsidR="0068318E" w:rsidRPr="00F7079B">
        <w:rPr>
          <w:szCs w:val="24"/>
        </w:rPr>
        <w:t xml:space="preserve"> </w:t>
      </w:r>
      <w:r w:rsidR="00BB6F9E" w:rsidRPr="00F7079B">
        <w:rPr>
          <w:szCs w:val="24"/>
        </w:rPr>
        <w:t>‘</w:t>
      </w:r>
      <w:r w:rsidR="0068318E" w:rsidRPr="4D879BC5">
        <w:t>flying squad approach</w:t>
      </w:r>
      <w:r w:rsidR="00BB6F9E" w:rsidRPr="00F7079B">
        <w:rPr>
          <w:szCs w:val="24"/>
        </w:rPr>
        <w:t>’</w:t>
      </w:r>
      <w:r w:rsidR="008A7E7C" w:rsidRPr="00F7079B">
        <w:rPr>
          <w:szCs w:val="24"/>
        </w:rPr>
        <w:t>:</w:t>
      </w:r>
      <w:r w:rsidR="00B10097" w:rsidRPr="4D879BC5">
        <w:t xml:space="preserve"> as might be recalled</w:t>
      </w:r>
      <w:r w:rsidR="00771BBC" w:rsidRPr="4D879BC5">
        <w:t>, the flying squad was invented by Scotland Yard</w:t>
      </w:r>
      <w:r w:rsidR="009C1B18" w:rsidRPr="00F7079B">
        <w:rPr>
          <w:szCs w:val="24"/>
        </w:rPr>
        <w:t xml:space="preserve"> </w:t>
      </w:r>
      <w:r w:rsidR="00577BC5" w:rsidRPr="4D879BC5">
        <w:t xml:space="preserve">who </w:t>
      </w:r>
      <w:r w:rsidR="009C1B18" w:rsidRPr="4D879BC5">
        <w:t>decided</w:t>
      </w:r>
      <w:r w:rsidR="00115C72" w:rsidRPr="4D879BC5">
        <w:t xml:space="preserve"> to seek out the criminals</w:t>
      </w:r>
      <w:r w:rsidR="009018F4" w:rsidRPr="00F7079B">
        <w:rPr>
          <w:szCs w:val="24"/>
        </w:rPr>
        <w:t>,</w:t>
      </w:r>
      <w:r w:rsidR="00692EBD" w:rsidRPr="4D879BC5">
        <w:t xml:space="preserve"> rather than waiting for them to</w:t>
      </w:r>
      <w:r w:rsidR="00EF0CBE" w:rsidRPr="4D879BC5">
        <w:t xml:space="preserve"> turn up:</w:t>
      </w:r>
      <w:r w:rsidR="00E84043" w:rsidRPr="4D879BC5">
        <w:t xml:space="preserve"> they sen</w:t>
      </w:r>
      <w:r w:rsidR="008C4C98" w:rsidRPr="4D879BC5">
        <w:t>t</w:t>
      </w:r>
      <w:r w:rsidR="00E84043" w:rsidRPr="4D879BC5">
        <w:t xml:space="preserve"> out</w:t>
      </w:r>
      <w:r w:rsidR="00376F23" w:rsidRPr="4D879BC5">
        <w:t xml:space="preserve"> carriages </w:t>
      </w:r>
      <w:r w:rsidR="008C4C98" w:rsidRPr="4D879BC5">
        <w:t>with</w:t>
      </w:r>
      <w:r w:rsidR="00AD3834" w:rsidRPr="4D879BC5">
        <w:t xml:space="preserve"> h</w:t>
      </w:r>
      <w:r w:rsidR="008C4C98" w:rsidRPr="4D879BC5">
        <w:t>oles</w:t>
      </w:r>
      <w:r w:rsidR="00AD3834" w:rsidRPr="4D879BC5">
        <w:t xml:space="preserve"> in the</w:t>
      </w:r>
      <w:r w:rsidR="00CB1021" w:rsidRPr="00F7079B">
        <w:rPr>
          <w:szCs w:val="24"/>
        </w:rPr>
        <w:t xml:space="preserve"> </w:t>
      </w:r>
      <w:r w:rsidR="008C4C98" w:rsidRPr="4D879BC5">
        <w:t>carriage</w:t>
      </w:r>
      <w:r w:rsidR="00CB1021" w:rsidRPr="4D879BC5">
        <w:t xml:space="preserve"> roof</w:t>
      </w:r>
      <w:r w:rsidR="00117D1D" w:rsidRPr="4D879BC5">
        <w:t xml:space="preserve"> enabling observation of criminals</w:t>
      </w:r>
      <w:r w:rsidR="00580BC7" w:rsidRPr="00F7079B">
        <w:rPr>
          <w:szCs w:val="24"/>
        </w:rPr>
        <w:t xml:space="preserve"> </w:t>
      </w:r>
      <w:r w:rsidR="00F925A4" w:rsidRPr="4D879BC5">
        <w:t>and pick</w:t>
      </w:r>
      <w:r w:rsidR="008D0DEA" w:rsidRPr="00F7079B">
        <w:rPr>
          <w:szCs w:val="24"/>
        </w:rPr>
        <w:t>-</w:t>
      </w:r>
      <w:r w:rsidR="00580BC7" w:rsidRPr="4D879BC5">
        <w:t>pockets</w:t>
      </w:r>
      <w:r w:rsidR="00625706" w:rsidRPr="4D879BC5">
        <w:t xml:space="preserve">, and </w:t>
      </w:r>
      <w:r w:rsidR="001912B0" w:rsidRPr="4D879BC5">
        <w:t>in this way</w:t>
      </w:r>
      <w:r w:rsidR="00900B44" w:rsidRPr="4D879BC5">
        <w:t xml:space="preserve"> they </w:t>
      </w:r>
      <w:r w:rsidR="00CB3318" w:rsidRPr="4D879BC5">
        <w:t>found</w:t>
      </w:r>
      <w:r w:rsidR="00900B44" w:rsidRPr="4D879BC5">
        <w:t xml:space="preserve"> them</w:t>
      </w:r>
      <w:r w:rsidR="000F04E2" w:rsidRPr="00F7079B">
        <w:rPr>
          <w:szCs w:val="24"/>
        </w:rPr>
        <w:t>.</w:t>
      </w:r>
      <w:r w:rsidR="004E2961" w:rsidRPr="4D879BC5">
        <w:t xml:space="preserve"> We need to seek out inventors</w:t>
      </w:r>
      <w:r w:rsidR="00766148" w:rsidRPr="4D879BC5">
        <w:t xml:space="preserve"> using the flying squad approach</w:t>
      </w:r>
      <w:r w:rsidR="00A327A3" w:rsidRPr="00F7079B">
        <w:rPr>
          <w:szCs w:val="24"/>
        </w:rPr>
        <w:t>:</w:t>
      </w:r>
      <w:r w:rsidR="00196C37" w:rsidRPr="4D879BC5">
        <w:t xml:space="preserve"> not waiting until </w:t>
      </w:r>
      <w:r w:rsidR="003852A6" w:rsidRPr="4D879BC5">
        <w:t xml:space="preserve">inventors </w:t>
      </w:r>
      <w:r w:rsidR="00196C37" w:rsidRPr="4D879BC5">
        <w:t>turn up</w:t>
      </w:r>
      <w:r w:rsidR="00F9065F" w:rsidRPr="4D879BC5">
        <w:t>, but going out looking for them</w:t>
      </w:r>
      <w:r w:rsidR="1866C0BC" w:rsidRPr="00F7079B">
        <w:rPr>
          <w:szCs w:val="24"/>
        </w:rPr>
        <w:t>.</w:t>
      </w:r>
      <w:r w:rsidR="050D4A26" w:rsidRPr="00F7079B">
        <w:rPr>
          <w:szCs w:val="24"/>
        </w:rPr>
        <w:t xml:space="preserve"> </w:t>
      </w:r>
      <w:r w:rsidR="005A430D" w:rsidRPr="00F7079B">
        <w:rPr>
          <w:szCs w:val="24"/>
        </w:rPr>
        <w:t>(</w:t>
      </w:r>
      <w:r w:rsidR="050D4A26" w:rsidRPr="4D879BC5">
        <w:t>It is well known that</w:t>
      </w:r>
      <w:r w:rsidR="00674F75" w:rsidRPr="00F7079B">
        <w:rPr>
          <w:szCs w:val="24"/>
        </w:rPr>
        <w:t>,</w:t>
      </w:r>
      <w:r w:rsidR="050D4A26" w:rsidRPr="4D879BC5">
        <w:t xml:space="preserve"> in order to find, one has to seek.</w:t>
      </w:r>
      <w:r w:rsidRPr="4D879BC5">
        <w:rPr>
          <w:rStyle w:val="FootnoteReference"/>
        </w:rPr>
        <w:footnoteReference w:id="96"/>
      </w:r>
      <w:r w:rsidR="005A430D" w:rsidRPr="00F7079B">
        <w:rPr>
          <w:szCs w:val="24"/>
        </w:rPr>
        <w:t>)</w:t>
      </w:r>
      <w:r w:rsidR="00C72FB9" w:rsidRPr="00F7079B">
        <w:rPr>
          <w:szCs w:val="24"/>
        </w:rPr>
        <w:t xml:space="preserve"> </w:t>
      </w:r>
    </w:p>
    <w:p w14:paraId="4A4D842C" w14:textId="0B410E7F" w:rsidR="00BC0BCC" w:rsidRPr="00F7079B" w:rsidRDefault="00C72FB9" w:rsidP="00CE4C52">
      <w:pPr>
        <w:spacing w:after="360"/>
        <w:rPr>
          <w:szCs w:val="24"/>
        </w:rPr>
      </w:pPr>
      <w:r w:rsidRPr="00F7079B">
        <w:rPr>
          <w:szCs w:val="24"/>
        </w:rPr>
        <w:t xml:space="preserve">Of course, businesses or other organisations will need to accept such intervention if </w:t>
      </w:r>
      <w:r w:rsidR="00680300" w:rsidRPr="00F7079B">
        <w:rPr>
          <w:szCs w:val="24"/>
        </w:rPr>
        <w:t xml:space="preserve">the ‘flying squad’ </w:t>
      </w:r>
      <w:r w:rsidRPr="00F7079B">
        <w:rPr>
          <w:szCs w:val="24"/>
        </w:rPr>
        <w:t>approach is to work.</w:t>
      </w:r>
    </w:p>
    <w:p w14:paraId="169AAB6A" w14:textId="77777777" w:rsidR="00CE4C52" w:rsidRPr="009740B6" w:rsidRDefault="00CE4C52" w:rsidP="00CE4C52">
      <w:pPr>
        <w:pStyle w:val="Calloutbox"/>
        <w:rPr>
          <w:sz w:val="28"/>
        </w:rPr>
      </w:pPr>
      <w:r w:rsidRPr="009740B6">
        <w:rPr>
          <w:sz w:val="28"/>
        </w:rPr>
        <w:t>Recommendation 16:</w:t>
      </w:r>
    </w:p>
    <w:p w14:paraId="46C90E51" w14:textId="4F787B32" w:rsidR="00290604" w:rsidRPr="00CE4C52" w:rsidRDefault="00CE4C52" w:rsidP="00CE4C52">
      <w:pPr>
        <w:pStyle w:val="Calloutbox"/>
        <w:rPr>
          <w:rFonts w:cs="Arial (Body CS)"/>
          <w:spacing w:val="-2"/>
          <w:sz w:val="28"/>
        </w:rPr>
      </w:pPr>
      <w:r w:rsidRPr="00CE4C52">
        <w:rPr>
          <w:rFonts w:cs="Arial (Body CS)"/>
          <w:b w:val="0"/>
          <w:bCs/>
          <w:color w:val="000000" w:themeColor="text1"/>
          <w:spacing w:val="-2"/>
          <w:sz w:val="28"/>
        </w:rPr>
        <w:t xml:space="preserve">That the </w:t>
      </w:r>
      <w:r w:rsidR="00EB0FCC">
        <w:rPr>
          <w:rFonts w:cs="Arial (Body CS)"/>
          <w:b w:val="0"/>
          <w:bCs/>
          <w:color w:val="000000" w:themeColor="text1"/>
          <w:spacing w:val="-2"/>
          <w:sz w:val="28"/>
        </w:rPr>
        <w:t>Australian</w:t>
      </w:r>
      <w:r w:rsidRPr="00CE4C52">
        <w:rPr>
          <w:rFonts w:cs="Arial (Body CS)"/>
          <w:b w:val="0"/>
          <w:bCs/>
          <w:color w:val="000000" w:themeColor="text1"/>
          <w:spacing w:val="-2"/>
          <w:sz w:val="28"/>
        </w:rPr>
        <w:t xml:space="preserve"> Government use an opt-in, activist model in seeking out small business inventions which are in need of commercialisation and patenting advice.</w:t>
      </w:r>
    </w:p>
    <w:p w14:paraId="1FFFC480" w14:textId="77777777" w:rsidR="002057A4" w:rsidRDefault="002057A4">
      <w:pPr>
        <w:rPr>
          <w:rFonts w:asciiTheme="majorHAnsi" w:eastAsiaTheme="majorEastAsia" w:hAnsiTheme="majorHAnsi" w:cstheme="majorBidi"/>
          <w:color w:val="005677" w:themeColor="text2"/>
          <w:sz w:val="48"/>
          <w:szCs w:val="32"/>
        </w:rPr>
      </w:pPr>
      <w:bookmarkStart w:id="340" w:name="_Toc59109349"/>
      <w:bookmarkEnd w:id="331"/>
      <w:r>
        <w:br w:type="page"/>
      </w:r>
    </w:p>
    <w:p w14:paraId="4C019430" w14:textId="27A48657" w:rsidR="00B918C2" w:rsidRDefault="00B918C2" w:rsidP="00102432">
      <w:pPr>
        <w:pStyle w:val="Heading1"/>
      </w:pPr>
      <w:bookmarkStart w:id="341" w:name="_Toc60760643"/>
      <w:bookmarkStart w:id="342" w:name="_Toc60834829"/>
      <w:bookmarkStart w:id="343" w:name="_Toc60836779"/>
      <w:bookmarkStart w:id="344" w:name="_Toc60997767"/>
      <w:bookmarkStart w:id="345" w:name="_Toc61015581"/>
      <w:bookmarkStart w:id="346" w:name="_Toc61269613"/>
      <w:bookmarkStart w:id="347" w:name="_Toc61356721"/>
      <w:bookmarkStart w:id="348" w:name="_Toc65159331"/>
      <w:r>
        <w:lastRenderedPageBreak/>
        <w:t xml:space="preserve">Appendix </w:t>
      </w:r>
      <w:r w:rsidR="543A9AA3">
        <w:t xml:space="preserve">A </w:t>
      </w:r>
      <w:r>
        <w:t xml:space="preserve">– Issues outside </w:t>
      </w:r>
      <w:r w:rsidR="009406CD">
        <w:t xml:space="preserve">the </w:t>
      </w:r>
      <w:r>
        <w:t xml:space="preserve">scope of </w:t>
      </w:r>
      <w:r w:rsidR="009406CD">
        <w:t xml:space="preserve">this </w:t>
      </w:r>
      <w:r>
        <w:t>review</w:t>
      </w:r>
      <w:bookmarkEnd w:id="340"/>
      <w:bookmarkEnd w:id="341"/>
      <w:bookmarkEnd w:id="342"/>
      <w:bookmarkEnd w:id="343"/>
      <w:bookmarkEnd w:id="344"/>
      <w:bookmarkEnd w:id="345"/>
      <w:bookmarkEnd w:id="346"/>
      <w:bookmarkEnd w:id="347"/>
      <w:bookmarkEnd w:id="348"/>
    </w:p>
    <w:p w14:paraId="739ED5B8" w14:textId="6DC2702D" w:rsidR="00B918C2" w:rsidRPr="00F7079B" w:rsidRDefault="00B918C2" w:rsidP="00B918C2">
      <w:pPr>
        <w:rPr>
          <w:szCs w:val="24"/>
        </w:rPr>
      </w:pPr>
      <w:r w:rsidRPr="00F7079B">
        <w:rPr>
          <w:szCs w:val="24"/>
        </w:rPr>
        <w:t>During the course of the interviews and written submissions, some stakeholders raised issues that fall outside the scope of the review’s terms of reference. These issues are summarised below for completeness</w:t>
      </w:r>
      <w:r w:rsidR="009406CD" w:rsidRPr="00F7079B">
        <w:rPr>
          <w:szCs w:val="24"/>
        </w:rPr>
        <w:t>.</w:t>
      </w:r>
    </w:p>
    <w:p w14:paraId="2F79DD58" w14:textId="56B2B3F0" w:rsidR="00B918C2" w:rsidRDefault="00B918C2" w:rsidP="00B918C2">
      <w:pPr>
        <w:pStyle w:val="Heading2"/>
      </w:pPr>
      <w:r>
        <w:t>Second-tier patent system</w:t>
      </w:r>
    </w:p>
    <w:p w14:paraId="775DC2CD" w14:textId="77777777" w:rsidR="008F1BAD" w:rsidRPr="00F7079B" w:rsidRDefault="008F1BAD" w:rsidP="00B918C2">
      <w:pPr>
        <w:rPr>
          <w:szCs w:val="24"/>
        </w:rPr>
      </w:pPr>
      <w:r w:rsidRPr="00F7079B">
        <w:rPr>
          <w:szCs w:val="24"/>
        </w:rPr>
        <w:t xml:space="preserve">The legislation requiring this review also included amendments to phase out Australia’s current second-tier patent system, the innovation patent. While some in the legal and attorney professions expressed regret, most accepted that the innovation patent would be phased out. </w:t>
      </w:r>
    </w:p>
    <w:p w14:paraId="712D4937" w14:textId="36CDF9A9" w:rsidR="00B918C2" w:rsidRPr="00F7079B" w:rsidRDefault="008F1BAD" w:rsidP="00B918C2">
      <w:pPr>
        <w:rPr>
          <w:szCs w:val="24"/>
        </w:rPr>
      </w:pPr>
      <w:r w:rsidRPr="00F7079B">
        <w:rPr>
          <w:szCs w:val="24"/>
        </w:rPr>
        <w:t>However, some stakeholders in the attorney and legal professions</w:t>
      </w:r>
      <w:r w:rsidR="00542590" w:rsidRPr="00F7079B">
        <w:rPr>
          <w:szCs w:val="24"/>
        </w:rPr>
        <w:t>, and a few businesses</w:t>
      </w:r>
      <w:r w:rsidRPr="00F7079B">
        <w:rPr>
          <w:szCs w:val="24"/>
        </w:rPr>
        <w:t xml:space="preserve"> suggested that it should be replaced with a new type of second tier patent, which would differ from the innovation patent in the respects where perceived to be problematic. None of these appeared to provide any new information or arguments that had not been raised by previous reviews of the innovation patent system, including previous consideration of whether the innovation patent should </w:t>
      </w:r>
      <w:r w:rsidR="00695CD3" w:rsidRPr="00F7079B">
        <w:rPr>
          <w:szCs w:val="24"/>
        </w:rPr>
        <w:t>be reformed instead of abolished.</w:t>
      </w:r>
    </w:p>
    <w:p w14:paraId="4229D91A" w14:textId="77777777" w:rsidR="001D65F9" w:rsidRDefault="001D65F9">
      <w:pPr>
        <w:rPr>
          <w:rFonts w:asciiTheme="majorHAnsi" w:eastAsiaTheme="majorEastAsia" w:hAnsiTheme="majorHAnsi" w:cstheme="majorBidi"/>
          <w:color w:val="005677" w:themeColor="text2"/>
          <w:sz w:val="48"/>
          <w:szCs w:val="32"/>
        </w:rPr>
      </w:pPr>
      <w:r>
        <w:br w:type="page"/>
      </w:r>
    </w:p>
    <w:p w14:paraId="2F6241E6" w14:textId="4CCAC681" w:rsidR="0086707A" w:rsidRDefault="04B0ED41" w:rsidP="00102432">
      <w:pPr>
        <w:pStyle w:val="Heading1"/>
      </w:pPr>
      <w:bookmarkStart w:id="349" w:name="_Toc59109350"/>
      <w:bookmarkStart w:id="350" w:name="_Toc60760644"/>
      <w:bookmarkStart w:id="351" w:name="_Toc60834830"/>
      <w:bookmarkStart w:id="352" w:name="_Toc60836780"/>
      <w:bookmarkStart w:id="353" w:name="_Toc60997768"/>
      <w:bookmarkStart w:id="354" w:name="_Toc61015582"/>
      <w:bookmarkStart w:id="355" w:name="_Toc61269614"/>
      <w:bookmarkStart w:id="356" w:name="_Toc61356722"/>
      <w:bookmarkStart w:id="357" w:name="_Toc65159332"/>
      <w:r>
        <w:lastRenderedPageBreak/>
        <w:t xml:space="preserve">Appendix </w:t>
      </w:r>
      <w:r w:rsidR="46C101F4">
        <w:t>B</w:t>
      </w:r>
      <w:r w:rsidR="456BCD1F">
        <w:t xml:space="preserve"> – List of </w:t>
      </w:r>
      <w:r w:rsidR="662C7463">
        <w:t>respondents</w:t>
      </w:r>
      <w:bookmarkEnd w:id="349"/>
      <w:bookmarkEnd w:id="350"/>
      <w:bookmarkEnd w:id="351"/>
      <w:bookmarkEnd w:id="352"/>
      <w:bookmarkEnd w:id="353"/>
      <w:bookmarkEnd w:id="354"/>
      <w:bookmarkEnd w:id="355"/>
      <w:bookmarkEnd w:id="356"/>
      <w:bookmarkEnd w:id="357"/>
    </w:p>
    <w:p w14:paraId="54C42A43" w14:textId="11D244B0" w:rsidR="0086707A" w:rsidRPr="00F7079B" w:rsidRDefault="0086707A" w:rsidP="0086707A">
      <w:pPr>
        <w:rPr>
          <w:szCs w:val="24"/>
        </w:rPr>
      </w:pPr>
      <w:r w:rsidRPr="00F7079B">
        <w:rPr>
          <w:szCs w:val="24"/>
        </w:rPr>
        <w:t>The independent reviewer and the review secretariat wish to thank all stakeholder</w:t>
      </w:r>
      <w:r w:rsidR="00787835" w:rsidRPr="00F7079B">
        <w:rPr>
          <w:szCs w:val="24"/>
        </w:rPr>
        <w:t>s</w:t>
      </w:r>
      <w:r w:rsidRPr="00F7079B">
        <w:rPr>
          <w:szCs w:val="24"/>
        </w:rPr>
        <w:t xml:space="preserve"> who contributed to the review </w:t>
      </w:r>
      <w:r w:rsidR="003C717C" w:rsidRPr="00F7079B">
        <w:rPr>
          <w:szCs w:val="24"/>
        </w:rPr>
        <w:t xml:space="preserve">either by </w:t>
      </w:r>
      <w:r w:rsidR="006009F7" w:rsidRPr="00F7079B">
        <w:rPr>
          <w:szCs w:val="24"/>
        </w:rPr>
        <w:t xml:space="preserve">participating in </w:t>
      </w:r>
      <w:r w:rsidR="003C717C" w:rsidRPr="00F7079B">
        <w:rPr>
          <w:szCs w:val="24"/>
        </w:rPr>
        <w:t xml:space="preserve">interviews, making written submission or both. All stakeholders who contributed </w:t>
      </w:r>
      <w:r w:rsidR="00BC3F9C">
        <w:rPr>
          <w:szCs w:val="24"/>
        </w:rPr>
        <w:t>–</w:t>
      </w:r>
      <w:r w:rsidR="00B5659A" w:rsidRPr="00F7079B">
        <w:rPr>
          <w:szCs w:val="24"/>
        </w:rPr>
        <w:t xml:space="preserve"> </w:t>
      </w:r>
      <w:r w:rsidR="003C717C" w:rsidRPr="00F7079B">
        <w:rPr>
          <w:szCs w:val="24"/>
        </w:rPr>
        <w:t xml:space="preserve">apart from those that requested confidentiality </w:t>
      </w:r>
      <w:r w:rsidR="00BC3F9C">
        <w:rPr>
          <w:szCs w:val="24"/>
        </w:rPr>
        <w:t>–</w:t>
      </w:r>
      <w:r w:rsidR="00B5659A" w:rsidRPr="00F7079B">
        <w:rPr>
          <w:szCs w:val="24"/>
        </w:rPr>
        <w:t xml:space="preserve"> </w:t>
      </w:r>
      <w:r w:rsidR="003C717C" w:rsidRPr="00F7079B">
        <w:rPr>
          <w:szCs w:val="24"/>
        </w:rPr>
        <w:t xml:space="preserve">are listed below. </w:t>
      </w:r>
    </w:p>
    <w:p w14:paraId="11D00707" w14:textId="2CEEAE7D" w:rsidR="0086707A" w:rsidRDefault="003C717C" w:rsidP="003C717C">
      <w:pPr>
        <w:pStyle w:val="Heading2"/>
      </w:pPr>
      <w:r w:rsidRPr="004012A3">
        <w:t>List of interviewees</w:t>
      </w:r>
    </w:p>
    <w:p w14:paraId="1850ECB1" w14:textId="380B1467" w:rsidR="00514203" w:rsidRPr="00CE4C52" w:rsidRDefault="00514203" w:rsidP="00CE4C52">
      <w:pPr>
        <w:spacing w:before="0" w:after="80"/>
      </w:pPr>
      <w:r w:rsidRPr="00CE4C52">
        <w:t>Adrian Paterson</w:t>
      </w:r>
    </w:p>
    <w:p w14:paraId="7394FF11" w14:textId="4AA1BC40" w:rsidR="00514203" w:rsidRPr="00CE4C52" w:rsidRDefault="00514203" w:rsidP="00CE4C52">
      <w:pPr>
        <w:spacing w:before="0" w:after="80"/>
      </w:pPr>
      <w:r w:rsidRPr="00CE4C52">
        <w:t xml:space="preserve">Alistair Matthew Cumming </w:t>
      </w:r>
      <w:r w:rsidR="00B83739" w:rsidRPr="00CE4C52">
        <w:t>–</w:t>
      </w:r>
      <w:r w:rsidR="00861044" w:rsidRPr="00CE4C52">
        <w:t xml:space="preserve"> </w:t>
      </w:r>
      <w:r w:rsidRPr="00CE4C52">
        <w:t>Gretals Australia</w:t>
      </w:r>
    </w:p>
    <w:p w14:paraId="360A14EE" w14:textId="18144276" w:rsidR="00514203" w:rsidRPr="00CE4C52" w:rsidRDefault="00514203" w:rsidP="00CE4C52">
      <w:pPr>
        <w:spacing w:before="0" w:after="80"/>
      </w:pPr>
      <w:r w:rsidRPr="00CE4C52">
        <w:t xml:space="preserve">Andrew Christie </w:t>
      </w:r>
      <w:r w:rsidR="00B83739" w:rsidRPr="00CE4C52">
        <w:t>–</w:t>
      </w:r>
      <w:r w:rsidR="00861044" w:rsidRPr="00CE4C52">
        <w:t xml:space="preserve"> </w:t>
      </w:r>
      <w:r w:rsidRPr="00CE4C52">
        <w:t>University of Melbourne</w:t>
      </w:r>
    </w:p>
    <w:p w14:paraId="3BD1BBB6" w14:textId="56A3CA95" w:rsidR="00514203" w:rsidRPr="00CE4C52" w:rsidRDefault="00514203" w:rsidP="00CE4C52">
      <w:pPr>
        <w:spacing w:before="0" w:after="80"/>
      </w:pPr>
      <w:r w:rsidRPr="00CE4C52">
        <w:t xml:space="preserve">Andrew Hunt </w:t>
      </w:r>
      <w:r w:rsidR="00B83739" w:rsidRPr="00CE4C52">
        <w:t>–</w:t>
      </w:r>
      <w:r w:rsidR="00861044" w:rsidRPr="00CE4C52">
        <w:t xml:space="preserve"> </w:t>
      </w:r>
      <w:r w:rsidRPr="00CE4C52">
        <w:t>Safran Electronics and Defense Australasia</w:t>
      </w:r>
    </w:p>
    <w:p w14:paraId="781B195E" w14:textId="09A3A09A" w:rsidR="00514203" w:rsidRPr="00CE4C52" w:rsidRDefault="00514203" w:rsidP="00CE4C52">
      <w:pPr>
        <w:spacing w:before="0" w:after="80"/>
      </w:pPr>
      <w:r w:rsidRPr="00CE4C52">
        <w:t>Ben Mullaney</w:t>
      </w:r>
      <w:r w:rsidR="00B83739" w:rsidRPr="00CE4C52">
        <w:t xml:space="preserve"> –</w:t>
      </w:r>
      <w:r w:rsidR="00861044" w:rsidRPr="00CE4C52">
        <w:t xml:space="preserve"> </w:t>
      </w:r>
      <w:r w:rsidRPr="00CE4C52">
        <w:t>InQuik Bridging Systems</w:t>
      </w:r>
    </w:p>
    <w:p w14:paraId="42A92CB3" w14:textId="387FD1A0" w:rsidR="00514203" w:rsidRPr="00CE4C52" w:rsidRDefault="00514203" w:rsidP="00CE4C52">
      <w:pPr>
        <w:spacing w:before="0" w:after="80"/>
      </w:pPr>
      <w:r w:rsidRPr="00CE4C52">
        <w:t>Brad McCusker</w:t>
      </w:r>
      <w:r w:rsidR="00B83739" w:rsidRPr="00CE4C52">
        <w:t xml:space="preserve"> –</w:t>
      </w:r>
      <w:r w:rsidR="00861044" w:rsidRPr="00CE4C52">
        <w:t xml:space="preserve"> </w:t>
      </w:r>
      <w:r w:rsidRPr="00CE4C52">
        <w:t>SURROUND Australia</w:t>
      </w:r>
    </w:p>
    <w:p w14:paraId="6F24AB1D" w14:textId="1B887585" w:rsidR="00514203" w:rsidRPr="00CE4C52" w:rsidRDefault="00514203" w:rsidP="00CE4C52">
      <w:pPr>
        <w:spacing w:before="0" w:after="80"/>
      </w:pPr>
      <w:r w:rsidRPr="00CE4C52">
        <w:t>Brendan Cheong</w:t>
      </w:r>
      <w:r w:rsidR="00B83739" w:rsidRPr="00CE4C52">
        <w:t xml:space="preserve"> –</w:t>
      </w:r>
      <w:r w:rsidR="00861044" w:rsidRPr="00CE4C52">
        <w:t xml:space="preserve"> </w:t>
      </w:r>
      <w:r w:rsidRPr="00CE4C52">
        <w:t>Rio Tinto</w:t>
      </w:r>
    </w:p>
    <w:p w14:paraId="6CC55A70" w14:textId="427332CE" w:rsidR="00514203" w:rsidRPr="00CE4C52" w:rsidRDefault="00514203" w:rsidP="00CE4C52">
      <w:pPr>
        <w:spacing w:before="0" w:after="80"/>
      </w:pPr>
      <w:r w:rsidRPr="00CE4C52">
        <w:t>Cassandra Budd</w:t>
      </w:r>
      <w:r w:rsidR="00B83739" w:rsidRPr="00CE4C52">
        <w:t xml:space="preserve"> –</w:t>
      </w:r>
      <w:r w:rsidR="00861044" w:rsidRPr="00CE4C52">
        <w:t xml:space="preserve"> </w:t>
      </w:r>
      <w:r w:rsidRPr="00CE4C52">
        <w:t>Sweet Potatoes Australia</w:t>
      </w:r>
    </w:p>
    <w:p w14:paraId="6A2B71E5" w14:textId="49303665" w:rsidR="00514203" w:rsidRPr="00CE4C52" w:rsidRDefault="00514203" w:rsidP="00CE4C52">
      <w:pPr>
        <w:spacing w:before="0" w:after="80"/>
      </w:pPr>
      <w:r w:rsidRPr="00CE4C52">
        <w:t>Castaly Haddon</w:t>
      </w:r>
      <w:r w:rsidR="00B83739" w:rsidRPr="00CE4C52">
        <w:t xml:space="preserve"> –</w:t>
      </w:r>
      <w:r w:rsidR="00861044" w:rsidRPr="00CE4C52">
        <w:t xml:space="preserve"> </w:t>
      </w:r>
      <w:r w:rsidRPr="00CE4C52">
        <w:t>Council of Small Business Organisations Australia</w:t>
      </w:r>
    </w:p>
    <w:p w14:paraId="1FBD5E19" w14:textId="4A73E03F" w:rsidR="00514203" w:rsidRPr="00CE4C52" w:rsidRDefault="00514203" w:rsidP="00CE4C52">
      <w:pPr>
        <w:spacing w:before="0" w:after="80"/>
      </w:pPr>
      <w:r w:rsidRPr="00CE4C52">
        <w:t xml:space="preserve">Dale Coleman </w:t>
      </w:r>
      <w:r w:rsidR="00B83739" w:rsidRPr="00CE4C52">
        <w:t>–</w:t>
      </w:r>
      <w:r w:rsidR="00861044" w:rsidRPr="00CE4C52">
        <w:t xml:space="preserve"> </w:t>
      </w:r>
      <w:r w:rsidRPr="00CE4C52">
        <w:t>TTG</w:t>
      </w:r>
      <w:r w:rsidR="00E620E3">
        <w:t xml:space="preserve"> Transportation Technology</w:t>
      </w:r>
    </w:p>
    <w:p w14:paraId="3ECF9AE2" w14:textId="687A9D8A" w:rsidR="00514203" w:rsidRPr="00CE4C52" w:rsidRDefault="00514203" w:rsidP="00CE4C52">
      <w:pPr>
        <w:spacing w:before="0" w:after="80"/>
      </w:pPr>
      <w:r w:rsidRPr="00CE4C52">
        <w:t xml:space="preserve">David Cain </w:t>
      </w:r>
      <w:r w:rsidR="00B83739" w:rsidRPr="00CE4C52">
        <w:t>–</w:t>
      </w:r>
      <w:r w:rsidR="00861044" w:rsidRPr="00CE4C52">
        <w:t xml:space="preserve"> </w:t>
      </w:r>
      <w:r w:rsidRPr="00CE4C52">
        <w:t>Business Australia</w:t>
      </w:r>
    </w:p>
    <w:p w14:paraId="3D75939D" w14:textId="69D0BD70" w:rsidR="00514203" w:rsidRPr="00CE4C52" w:rsidRDefault="00514203" w:rsidP="00CE4C52">
      <w:pPr>
        <w:spacing w:before="0" w:after="80"/>
      </w:pPr>
      <w:r w:rsidRPr="00CE4C52">
        <w:t xml:space="preserve">Craig Latham </w:t>
      </w:r>
      <w:r w:rsidR="00B83739" w:rsidRPr="00CE4C52">
        <w:t>–</w:t>
      </w:r>
      <w:r w:rsidR="00861044" w:rsidRPr="00CE4C52">
        <w:t xml:space="preserve"> </w:t>
      </w:r>
      <w:r w:rsidRPr="00CE4C52">
        <w:t>Australian Small Business and Family Enterprise Ombudsman</w:t>
      </w:r>
    </w:p>
    <w:p w14:paraId="62ACBAC3" w14:textId="46A5B80F" w:rsidR="00514203" w:rsidRPr="00CE4C52" w:rsidRDefault="00514203" w:rsidP="00CE4C52">
      <w:pPr>
        <w:spacing w:before="0" w:after="80"/>
      </w:pPr>
      <w:r w:rsidRPr="00CE4C52">
        <w:t>Erin Rayment</w:t>
      </w:r>
      <w:r w:rsidR="00B83739" w:rsidRPr="00CE4C52">
        <w:t xml:space="preserve"> –</w:t>
      </w:r>
      <w:r w:rsidR="00861044" w:rsidRPr="00CE4C52">
        <w:t xml:space="preserve"> </w:t>
      </w:r>
      <w:r w:rsidRPr="00CE4C52">
        <w:t>Knowledge Commercialisation Australasia</w:t>
      </w:r>
    </w:p>
    <w:p w14:paraId="1785A4AF" w14:textId="0B6E84DF" w:rsidR="00514203" w:rsidRPr="00CE4C52" w:rsidRDefault="00514203" w:rsidP="00CE4C52">
      <w:pPr>
        <w:spacing w:before="0" w:after="80"/>
      </w:pPr>
      <w:r w:rsidRPr="00CE4C52">
        <w:t xml:space="preserve">Geoff Maloney </w:t>
      </w:r>
      <w:r w:rsidR="00B83739" w:rsidRPr="00CE4C52">
        <w:t>–</w:t>
      </w:r>
      <w:r w:rsidR="00861044" w:rsidRPr="00CE4C52">
        <w:t xml:space="preserve"> </w:t>
      </w:r>
      <w:r w:rsidRPr="00CE4C52">
        <w:t>POD Active Pty Ltd</w:t>
      </w:r>
    </w:p>
    <w:p w14:paraId="7D0B78E1" w14:textId="00DAAB6F" w:rsidR="00514203" w:rsidRPr="00CE4C52" w:rsidRDefault="00514203" w:rsidP="00CE4C52">
      <w:pPr>
        <w:spacing w:before="0" w:after="80"/>
      </w:pPr>
      <w:r w:rsidRPr="00CE4C52">
        <w:t xml:space="preserve">Geoff Thomas </w:t>
      </w:r>
      <w:r w:rsidR="00B83739" w:rsidRPr="00CE4C52">
        <w:t>–</w:t>
      </w:r>
      <w:r w:rsidR="00861044" w:rsidRPr="00CE4C52">
        <w:t xml:space="preserve"> </w:t>
      </w:r>
      <w:r w:rsidRPr="00CE4C52">
        <w:t>Axant</w:t>
      </w:r>
    </w:p>
    <w:p w14:paraId="3C294F7E" w14:textId="6C5B5849" w:rsidR="00514203" w:rsidRPr="00CE4C52" w:rsidRDefault="00514203" w:rsidP="00CE4C52">
      <w:pPr>
        <w:spacing w:before="0" w:after="80"/>
      </w:pPr>
      <w:r w:rsidRPr="00CE4C52">
        <w:t xml:space="preserve">Geoffrey Bell </w:t>
      </w:r>
      <w:r w:rsidR="00B83739" w:rsidRPr="00CE4C52">
        <w:t>–</w:t>
      </w:r>
      <w:r w:rsidR="00861044" w:rsidRPr="00CE4C52">
        <w:t xml:space="preserve"> </w:t>
      </w:r>
      <w:r w:rsidRPr="00CE4C52">
        <w:t>Microbiogen Pty Ltd</w:t>
      </w:r>
    </w:p>
    <w:p w14:paraId="17DB6314" w14:textId="3552BDDC" w:rsidR="00514203" w:rsidRPr="00CE4C52" w:rsidRDefault="00514203" w:rsidP="00CE4C52">
      <w:pPr>
        <w:spacing w:before="0" w:after="80"/>
      </w:pPr>
      <w:r w:rsidRPr="00CE4C52">
        <w:t xml:space="preserve">Glenn Dale </w:t>
      </w:r>
      <w:r w:rsidR="00B83739" w:rsidRPr="00CE4C52">
        <w:t>–</w:t>
      </w:r>
      <w:r w:rsidR="00861044" w:rsidRPr="00CE4C52">
        <w:t xml:space="preserve"> </w:t>
      </w:r>
      <w:r w:rsidRPr="00CE4C52">
        <w:t>Tree Crop Technologies Pty Ltd, trading as Verterra</w:t>
      </w:r>
      <w:r w:rsidR="005A195F" w:rsidRPr="00CE4C52">
        <w:t xml:space="preserve"> </w:t>
      </w:r>
    </w:p>
    <w:p w14:paraId="5674A29F" w14:textId="2FC76BA3" w:rsidR="00514203" w:rsidRPr="00CE4C52" w:rsidRDefault="00514203" w:rsidP="00CE4C52">
      <w:pPr>
        <w:spacing w:before="0" w:after="80"/>
      </w:pPr>
      <w:r w:rsidRPr="00CE4C52">
        <w:t>Grant Shoebridge</w:t>
      </w:r>
      <w:r w:rsidR="00B83739" w:rsidRPr="00CE4C52">
        <w:t xml:space="preserve"> –</w:t>
      </w:r>
      <w:r w:rsidR="00861044" w:rsidRPr="00CE4C52">
        <w:t xml:space="preserve"> </w:t>
      </w:r>
      <w:r w:rsidRPr="00CE4C52">
        <w:t>Pearce IP</w:t>
      </w:r>
    </w:p>
    <w:p w14:paraId="538F9BFB" w14:textId="2F9B3E18" w:rsidR="00514203" w:rsidRPr="00CE4C52" w:rsidRDefault="00514203" w:rsidP="00CE4C52">
      <w:pPr>
        <w:spacing w:before="0" w:after="80"/>
      </w:pPr>
      <w:r w:rsidRPr="00CE4C52">
        <w:t xml:space="preserve">Guenter Hauber-Davidson </w:t>
      </w:r>
      <w:r w:rsidR="00B83739" w:rsidRPr="00CE4C52">
        <w:t>–</w:t>
      </w:r>
      <w:r w:rsidR="00861044" w:rsidRPr="00CE4C52">
        <w:t xml:space="preserve"> </w:t>
      </w:r>
      <w:r w:rsidRPr="00CE4C52">
        <w:t>WaterGroup</w:t>
      </w:r>
    </w:p>
    <w:p w14:paraId="475FCD71" w14:textId="6B9E401E" w:rsidR="00514203" w:rsidRPr="00CE4C52" w:rsidRDefault="00514203" w:rsidP="00CE4C52">
      <w:pPr>
        <w:spacing w:before="0" w:after="80"/>
      </w:pPr>
      <w:r w:rsidRPr="00CE4C52">
        <w:t xml:space="preserve">Hayley Mcgillivray </w:t>
      </w:r>
      <w:r w:rsidR="00B83739" w:rsidRPr="00CE4C52">
        <w:t>–</w:t>
      </w:r>
      <w:r w:rsidR="00861044" w:rsidRPr="00CE4C52">
        <w:t xml:space="preserve"> </w:t>
      </w:r>
      <w:r w:rsidRPr="00CE4C52">
        <w:t>CSIRO</w:t>
      </w:r>
    </w:p>
    <w:p w14:paraId="4159390C" w14:textId="2F141E6D" w:rsidR="00514203" w:rsidRPr="00CE4C52" w:rsidRDefault="00514203" w:rsidP="00CE4C52">
      <w:pPr>
        <w:spacing w:before="0" w:after="80"/>
      </w:pPr>
      <w:r w:rsidRPr="00CE4C52">
        <w:t xml:space="preserve">James Douglas </w:t>
      </w:r>
      <w:r w:rsidR="00B83739" w:rsidRPr="00CE4C52">
        <w:t>–</w:t>
      </w:r>
      <w:r w:rsidR="00861044" w:rsidRPr="00CE4C52">
        <w:t xml:space="preserve"> </w:t>
      </w:r>
      <w:r w:rsidRPr="00CE4C52">
        <w:t>Carbon Revolution Ltd</w:t>
      </w:r>
    </w:p>
    <w:p w14:paraId="16EE68C3" w14:textId="5725162F" w:rsidR="00514203" w:rsidRPr="00CE4C52" w:rsidRDefault="00514203" w:rsidP="00CE4C52">
      <w:pPr>
        <w:spacing w:before="0" w:after="80"/>
      </w:pPr>
      <w:r w:rsidRPr="00CE4C52">
        <w:t xml:space="preserve">James Kane </w:t>
      </w:r>
      <w:r w:rsidR="00B83739" w:rsidRPr="00CE4C52">
        <w:t>–</w:t>
      </w:r>
      <w:r w:rsidR="00861044" w:rsidRPr="00CE4C52">
        <w:t xml:space="preserve"> </w:t>
      </w:r>
      <w:r w:rsidRPr="00CE4C52">
        <w:t>Two Bulls</w:t>
      </w:r>
    </w:p>
    <w:p w14:paraId="5335CDCA" w14:textId="16CB134A" w:rsidR="00514203" w:rsidRPr="00CE4C52" w:rsidRDefault="00514203" w:rsidP="00CE4C52">
      <w:pPr>
        <w:spacing w:before="0" w:after="80"/>
      </w:pPr>
      <w:r w:rsidRPr="00CE4C52">
        <w:t xml:space="preserve">Jamie Selby-Pham </w:t>
      </w:r>
      <w:r w:rsidR="00B83739" w:rsidRPr="00CE4C52">
        <w:t>–</w:t>
      </w:r>
      <w:r w:rsidR="00861044" w:rsidRPr="00CE4C52">
        <w:t xml:space="preserve"> </w:t>
      </w:r>
      <w:r w:rsidRPr="00CE4C52">
        <w:t>Nutrifield</w:t>
      </w:r>
    </w:p>
    <w:p w14:paraId="5224AD20" w14:textId="77744A6A" w:rsidR="00514203" w:rsidRPr="00CE4C52" w:rsidRDefault="00514203" w:rsidP="00CE4C52">
      <w:pPr>
        <w:spacing w:before="0" w:after="80"/>
      </w:pPr>
      <w:r w:rsidRPr="00CE4C52">
        <w:t xml:space="preserve">Jeff Bergmann </w:t>
      </w:r>
      <w:r w:rsidR="00B83739" w:rsidRPr="00CE4C52">
        <w:t>–</w:t>
      </w:r>
      <w:r w:rsidR="00861044" w:rsidRPr="00CE4C52">
        <w:t xml:space="preserve"> </w:t>
      </w:r>
      <w:r w:rsidRPr="00CE4C52">
        <w:t>Solubility Pty Ltd</w:t>
      </w:r>
    </w:p>
    <w:p w14:paraId="6412904C" w14:textId="59B8240C" w:rsidR="00514203" w:rsidRPr="00CE4C52" w:rsidRDefault="00514203" w:rsidP="00CE4C52">
      <w:pPr>
        <w:spacing w:before="0" w:after="80"/>
      </w:pPr>
      <w:r w:rsidRPr="00CE4C52">
        <w:t>Jeremy Barker</w:t>
      </w:r>
      <w:r w:rsidR="00B83739" w:rsidRPr="00CE4C52">
        <w:t xml:space="preserve"> –</w:t>
      </w:r>
      <w:r w:rsidR="00861044" w:rsidRPr="00CE4C52">
        <w:t xml:space="preserve"> </w:t>
      </w:r>
      <w:r w:rsidRPr="00CE4C52">
        <w:t>AusIndustry</w:t>
      </w:r>
    </w:p>
    <w:p w14:paraId="37368E20" w14:textId="619DD0EC" w:rsidR="00514203" w:rsidRPr="00CE4C52" w:rsidRDefault="00514203" w:rsidP="00CE4C52">
      <w:pPr>
        <w:spacing w:before="0" w:after="80"/>
      </w:pPr>
      <w:r w:rsidRPr="00CE4C52">
        <w:t xml:space="preserve">John Gibbs </w:t>
      </w:r>
      <w:r w:rsidR="00B83739" w:rsidRPr="00CE4C52">
        <w:t>–</w:t>
      </w:r>
      <w:r w:rsidR="00861044" w:rsidRPr="00CE4C52">
        <w:t xml:space="preserve"> </w:t>
      </w:r>
      <w:r w:rsidRPr="00CE4C52">
        <w:t>Patents AU Pty Ltd</w:t>
      </w:r>
    </w:p>
    <w:p w14:paraId="42F72549" w14:textId="7690F854" w:rsidR="00514203" w:rsidRPr="00CE4C52" w:rsidRDefault="00514203" w:rsidP="00CE4C52">
      <w:pPr>
        <w:spacing w:before="0" w:after="80"/>
      </w:pPr>
      <w:r w:rsidRPr="00CE4C52">
        <w:lastRenderedPageBreak/>
        <w:t>John Lee</w:t>
      </w:r>
      <w:r w:rsidR="00B83739" w:rsidRPr="00CE4C52">
        <w:t xml:space="preserve"> –</w:t>
      </w:r>
      <w:r w:rsidR="00861044" w:rsidRPr="00CE4C52">
        <w:t xml:space="preserve"> </w:t>
      </w:r>
      <w:r w:rsidRPr="00CE4C52">
        <w:t>Gilbert</w:t>
      </w:r>
      <w:r w:rsidR="00502F9F" w:rsidRPr="00CE4C52">
        <w:t xml:space="preserve"> </w:t>
      </w:r>
      <w:r w:rsidRPr="00CE4C52">
        <w:t>+</w:t>
      </w:r>
      <w:r w:rsidR="00502F9F" w:rsidRPr="00CE4C52">
        <w:t xml:space="preserve"> </w:t>
      </w:r>
      <w:r w:rsidRPr="00CE4C52">
        <w:t>Tobin</w:t>
      </w:r>
    </w:p>
    <w:p w14:paraId="2037A8AC" w14:textId="2AC2D9A6" w:rsidR="00514203" w:rsidRPr="00CE4C52" w:rsidRDefault="00514203" w:rsidP="00CE4C52">
      <w:pPr>
        <w:spacing w:before="0" w:after="80"/>
      </w:pPr>
      <w:r w:rsidRPr="00CE4C52">
        <w:t xml:space="preserve">Kimberlee Weatherall </w:t>
      </w:r>
      <w:r w:rsidR="00B83739" w:rsidRPr="00CE4C52">
        <w:t>–</w:t>
      </w:r>
      <w:r w:rsidR="00861044" w:rsidRPr="00CE4C52">
        <w:t xml:space="preserve"> </w:t>
      </w:r>
      <w:r w:rsidRPr="00CE4C52">
        <w:t>The University of Sydney</w:t>
      </w:r>
    </w:p>
    <w:p w14:paraId="124EA0E9" w14:textId="4F5A2D11" w:rsidR="00514203" w:rsidRPr="00CE4C52" w:rsidRDefault="00514203" w:rsidP="00CE4C52">
      <w:pPr>
        <w:spacing w:before="0" w:after="80"/>
      </w:pPr>
      <w:r w:rsidRPr="00CE4C52">
        <w:t xml:space="preserve">Kirsten Kiel-Chisholm </w:t>
      </w:r>
      <w:r w:rsidR="00B83739" w:rsidRPr="00CE4C52">
        <w:t>–</w:t>
      </w:r>
      <w:r w:rsidR="00861044" w:rsidRPr="00CE4C52">
        <w:t xml:space="preserve"> </w:t>
      </w:r>
      <w:r w:rsidRPr="00CE4C52">
        <w:t>Translational Research Institute</w:t>
      </w:r>
    </w:p>
    <w:p w14:paraId="6D7FB6A0" w14:textId="197815C1" w:rsidR="00514203" w:rsidRPr="00CE4C52" w:rsidRDefault="00514203" w:rsidP="00CE4C52">
      <w:pPr>
        <w:spacing w:before="0" w:after="80"/>
      </w:pPr>
      <w:r w:rsidRPr="00CE4C52">
        <w:t xml:space="preserve">Lee Hellen </w:t>
      </w:r>
      <w:r w:rsidR="00B83739" w:rsidRPr="00CE4C52">
        <w:t>–</w:t>
      </w:r>
      <w:r w:rsidR="00861044" w:rsidRPr="00CE4C52">
        <w:t xml:space="preserve"> </w:t>
      </w:r>
      <w:r w:rsidRPr="00CE4C52">
        <w:t>Monitum Pty Ltd</w:t>
      </w:r>
    </w:p>
    <w:p w14:paraId="578E09DD" w14:textId="1AC3A713" w:rsidR="00514203" w:rsidRPr="00CE4C52" w:rsidRDefault="00514203" w:rsidP="00CE4C52">
      <w:pPr>
        <w:spacing w:before="0" w:after="80"/>
      </w:pPr>
      <w:r w:rsidRPr="00CE4C52">
        <w:t xml:space="preserve">Luke Mitchell </w:t>
      </w:r>
      <w:r w:rsidR="00B83739" w:rsidRPr="00CE4C52">
        <w:t>–</w:t>
      </w:r>
      <w:r w:rsidR="00861044" w:rsidRPr="00CE4C52">
        <w:t xml:space="preserve"> </w:t>
      </w:r>
      <w:r w:rsidRPr="00CE4C52">
        <w:t>Coastal Energy</w:t>
      </w:r>
    </w:p>
    <w:p w14:paraId="7F1D594B" w14:textId="18982502" w:rsidR="00514203" w:rsidRPr="00CE4C52" w:rsidRDefault="00514203" w:rsidP="00CE4C52">
      <w:pPr>
        <w:spacing w:before="0" w:after="80"/>
      </w:pPr>
      <w:r w:rsidRPr="00CE4C52">
        <w:t>M</w:t>
      </w:r>
      <w:r w:rsidR="00723EBE" w:rsidRPr="00CE4C52">
        <w:t>arie Felsbourg</w:t>
      </w:r>
      <w:r w:rsidR="00B83739" w:rsidRPr="00CE4C52">
        <w:t xml:space="preserve"> –</w:t>
      </w:r>
      <w:r w:rsidR="00861044" w:rsidRPr="00CE4C52">
        <w:t xml:space="preserve"> </w:t>
      </w:r>
      <w:r w:rsidR="00723EBE" w:rsidRPr="00CE4C52">
        <w:t>Astral Consult</w:t>
      </w:r>
      <w:r w:rsidRPr="00CE4C52">
        <w:t>ing Services p/l</w:t>
      </w:r>
    </w:p>
    <w:p w14:paraId="23F795AC" w14:textId="54823583" w:rsidR="00514203" w:rsidRPr="00CE4C52" w:rsidRDefault="00514203" w:rsidP="00CE4C52">
      <w:pPr>
        <w:spacing w:before="0" w:after="80"/>
      </w:pPr>
      <w:r w:rsidRPr="00CE4C52">
        <w:t>Mark Runnalls</w:t>
      </w:r>
      <w:r w:rsidR="00B83739" w:rsidRPr="00CE4C52">
        <w:t xml:space="preserve"> –</w:t>
      </w:r>
      <w:r w:rsidR="00861044" w:rsidRPr="00CE4C52">
        <w:t xml:space="preserve"> </w:t>
      </w:r>
      <w:r w:rsidRPr="00CE4C52">
        <w:t>NewCo Holdings (Australia) Pty Ltd</w:t>
      </w:r>
    </w:p>
    <w:p w14:paraId="6C35B209" w14:textId="77777777" w:rsidR="00514203" w:rsidRPr="00CE4C52" w:rsidRDefault="00514203" w:rsidP="00CE4C52">
      <w:pPr>
        <w:spacing w:before="0" w:after="80"/>
      </w:pPr>
      <w:r w:rsidRPr="00CE4C52">
        <w:t>Mark Summerfield</w:t>
      </w:r>
    </w:p>
    <w:p w14:paraId="62FBF934" w14:textId="3F982E31" w:rsidR="00514203" w:rsidRPr="00CE4C52" w:rsidRDefault="00514203" w:rsidP="00CE4C52">
      <w:pPr>
        <w:spacing w:before="0" w:after="80"/>
      </w:pPr>
      <w:r w:rsidRPr="00CE4C52">
        <w:t>Matthew Swinn</w:t>
      </w:r>
      <w:r w:rsidR="00B83739" w:rsidRPr="00CE4C52">
        <w:t xml:space="preserve"> –</w:t>
      </w:r>
      <w:r w:rsidR="00861044" w:rsidRPr="00CE4C52">
        <w:t xml:space="preserve"> </w:t>
      </w:r>
      <w:r w:rsidRPr="00CE4C52">
        <w:t>Law Council of Australia</w:t>
      </w:r>
    </w:p>
    <w:p w14:paraId="77943C7E" w14:textId="436E4BFF" w:rsidR="00514203" w:rsidRPr="00CE4C52" w:rsidRDefault="00514203" w:rsidP="00CE4C52">
      <w:pPr>
        <w:spacing w:before="0" w:after="80"/>
      </w:pPr>
      <w:r w:rsidRPr="00CE4C52">
        <w:t>Michael Caine</w:t>
      </w:r>
      <w:r w:rsidR="00B83739" w:rsidRPr="00CE4C52">
        <w:t xml:space="preserve"> –</w:t>
      </w:r>
      <w:r w:rsidR="00861044" w:rsidRPr="00CE4C52">
        <w:t xml:space="preserve"> </w:t>
      </w:r>
      <w:r w:rsidR="00E620E3">
        <w:t>Institute of Patent and Trade Mark Attorneys (</w:t>
      </w:r>
      <w:r w:rsidRPr="00CE4C52">
        <w:t>IPTA</w:t>
      </w:r>
      <w:r w:rsidR="00E620E3">
        <w:t>)</w:t>
      </w:r>
    </w:p>
    <w:p w14:paraId="0CE1B09A" w14:textId="41F60430" w:rsidR="00514203" w:rsidRPr="00CE4C52" w:rsidRDefault="00514203" w:rsidP="00CE4C52">
      <w:pPr>
        <w:spacing w:before="0" w:after="80"/>
      </w:pPr>
      <w:r w:rsidRPr="00CE4C52">
        <w:t>Michael Dalton</w:t>
      </w:r>
      <w:r w:rsidR="00B83739" w:rsidRPr="00CE4C52">
        <w:t xml:space="preserve"> –</w:t>
      </w:r>
      <w:r w:rsidR="00861044" w:rsidRPr="00CE4C52">
        <w:t xml:space="preserve"> </w:t>
      </w:r>
      <w:r w:rsidRPr="00CE4C52">
        <w:t>Australian Bay Lobster Producers Ltd</w:t>
      </w:r>
    </w:p>
    <w:p w14:paraId="4940BD1E" w14:textId="35EB8F5B" w:rsidR="00514203" w:rsidRPr="00CE4C52" w:rsidRDefault="00514203" w:rsidP="00CE4C52">
      <w:pPr>
        <w:spacing w:before="0" w:after="80"/>
      </w:pPr>
      <w:r w:rsidRPr="00CE4C52">
        <w:t>Michelle Richards</w:t>
      </w:r>
      <w:r w:rsidR="00B83739" w:rsidRPr="00CE4C52">
        <w:t xml:space="preserve"> –</w:t>
      </w:r>
      <w:r w:rsidR="00861044" w:rsidRPr="00CE4C52">
        <w:t xml:space="preserve"> </w:t>
      </w:r>
      <w:r w:rsidRPr="00CE4C52">
        <w:t>Translational Research Institute</w:t>
      </w:r>
    </w:p>
    <w:p w14:paraId="53A3F214" w14:textId="2EBE6513" w:rsidR="00514203" w:rsidRPr="00CE4C52" w:rsidRDefault="00514203" w:rsidP="00CE4C52">
      <w:pPr>
        <w:spacing w:before="0" w:after="80"/>
      </w:pPr>
      <w:r w:rsidRPr="00CE4C52">
        <w:t xml:space="preserve">Paul Bridgeford </w:t>
      </w:r>
      <w:r w:rsidR="00B83739" w:rsidRPr="00CE4C52">
        <w:t>–</w:t>
      </w:r>
      <w:r w:rsidR="00861044" w:rsidRPr="00CE4C52">
        <w:t xml:space="preserve"> </w:t>
      </w:r>
      <w:r w:rsidRPr="00CE4C52">
        <w:t>Pamco</w:t>
      </w:r>
    </w:p>
    <w:p w14:paraId="538ABC5C" w14:textId="76464721" w:rsidR="00514203" w:rsidRPr="00CE4C52" w:rsidRDefault="00514203" w:rsidP="00CE4C52">
      <w:pPr>
        <w:spacing w:before="0" w:after="80"/>
      </w:pPr>
      <w:r w:rsidRPr="00CE4C52">
        <w:t xml:space="preserve">Paul Myers </w:t>
      </w:r>
      <w:r w:rsidR="00B83739" w:rsidRPr="00CE4C52">
        <w:t>–</w:t>
      </w:r>
      <w:r w:rsidR="00861044" w:rsidRPr="00CE4C52">
        <w:t xml:space="preserve"> </w:t>
      </w:r>
      <w:r w:rsidRPr="00CE4C52">
        <w:t>Caravel Group Pty Limited</w:t>
      </w:r>
    </w:p>
    <w:p w14:paraId="0C690020" w14:textId="6544A051" w:rsidR="00514203" w:rsidRPr="00CE4C52" w:rsidRDefault="00514203" w:rsidP="00CE4C52">
      <w:pPr>
        <w:spacing w:before="0" w:after="80"/>
      </w:pPr>
      <w:r w:rsidRPr="00CE4C52">
        <w:t>Peter Franke</w:t>
      </w:r>
      <w:r w:rsidR="00B83739" w:rsidRPr="00CE4C52">
        <w:t xml:space="preserve"> –</w:t>
      </w:r>
      <w:r w:rsidR="00861044" w:rsidRPr="00CE4C52">
        <w:t xml:space="preserve"> </w:t>
      </w:r>
      <w:r w:rsidR="00E620E3">
        <w:t>International Association for the Protection of Intellectual Property (</w:t>
      </w:r>
      <w:r w:rsidRPr="00CE4C52">
        <w:t>AIPPI</w:t>
      </w:r>
      <w:r w:rsidR="00E620E3">
        <w:t>)</w:t>
      </w:r>
    </w:p>
    <w:p w14:paraId="333671EA" w14:textId="6D88E165" w:rsidR="00514203" w:rsidRPr="00CE4C52" w:rsidRDefault="00514203" w:rsidP="00CE4C52">
      <w:pPr>
        <w:spacing w:before="0" w:after="80"/>
      </w:pPr>
      <w:r w:rsidRPr="00CE4C52">
        <w:t>Peter Gretton</w:t>
      </w:r>
      <w:r w:rsidR="00B83739" w:rsidRPr="00CE4C52">
        <w:t xml:space="preserve"> –</w:t>
      </w:r>
      <w:r w:rsidR="00861044" w:rsidRPr="00CE4C52">
        <w:t xml:space="preserve"> </w:t>
      </w:r>
      <w:r w:rsidRPr="00CE4C52">
        <w:t>Licensing Executives Society of Australia and New Zealand</w:t>
      </w:r>
    </w:p>
    <w:p w14:paraId="4ABCF0E1" w14:textId="47A73843" w:rsidR="00514203" w:rsidRPr="00CE4C52" w:rsidRDefault="00514203" w:rsidP="00CE4C52">
      <w:pPr>
        <w:spacing w:before="0" w:after="80"/>
      </w:pPr>
      <w:r w:rsidRPr="00CE4C52">
        <w:t>Peter Jenkins</w:t>
      </w:r>
      <w:r w:rsidR="00B83739" w:rsidRPr="00CE4C52">
        <w:t xml:space="preserve"> –</w:t>
      </w:r>
      <w:r w:rsidR="00861044" w:rsidRPr="00CE4C52">
        <w:t xml:space="preserve"> </w:t>
      </w:r>
      <w:r w:rsidRPr="00CE4C52">
        <w:t>Jenkins Engineering Defence Systems Pty Ltd</w:t>
      </w:r>
    </w:p>
    <w:p w14:paraId="4D71BD88" w14:textId="33E85CB6" w:rsidR="00514203" w:rsidRPr="00CE4C52" w:rsidRDefault="00514203" w:rsidP="00CE4C52">
      <w:pPr>
        <w:spacing w:before="0" w:after="80"/>
      </w:pPr>
      <w:r w:rsidRPr="00CE4C52">
        <w:t xml:space="preserve">Peter Milic </w:t>
      </w:r>
      <w:r w:rsidR="00B83739" w:rsidRPr="00CE4C52">
        <w:t>–</w:t>
      </w:r>
      <w:r w:rsidR="00861044" w:rsidRPr="00CE4C52">
        <w:t xml:space="preserve"> </w:t>
      </w:r>
      <w:r w:rsidRPr="00CE4C52">
        <w:t>CSIRO</w:t>
      </w:r>
    </w:p>
    <w:p w14:paraId="1F80E36C" w14:textId="568A93B8" w:rsidR="00514203" w:rsidRPr="00CE4C52" w:rsidRDefault="00514203" w:rsidP="00CE4C52">
      <w:pPr>
        <w:spacing w:before="0" w:after="80"/>
      </w:pPr>
      <w:r w:rsidRPr="00CE4C52">
        <w:t>Peter Strong</w:t>
      </w:r>
      <w:r w:rsidR="00B83739" w:rsidRPr="00CE4C52">
        <w:t xml:space="preserve"> –</w:t>
      </w:r>
      <w:r w:rsidR="00861044" w:rsidRPr="00CE4C52">
        <w:t xml:space="preserve"> </w:t>
      </w:r>
      <w:r w:rsidRPr="00CE4C52">
        <w:t>Council of Small Business Organisations Australia</w:t>
      </w:r>
    </w:p>
    <w:p w14:paraId="2EA177FC" w14:textId="6537BB2D" w:rsidR="00514203" w:rsidRPr="00CE4C52" w:rsidRDefault="00514203" w:rsidP="00CE4C52">
      <w:pPr>
        <w:spacing w:before="0" w:after="80"/>
      </w:pPr>
      <w:r w:rsidRPr="00CE4C52">
        <w:t xml:space="preserve">Phil Morle </w:t>
      </w:r>
      <w:r w:rsidR="00362D45" w:rsidRPr="00CE4C52">
        <w:t>–</w:t>
      </w:r>
      <w:r w:rsidR="00861044" w:rsidRPr="00CE4C52">
        <w:t xml:space="preserve"> </w:t>
      </w:r>
      <w:r w:rsidRPr="00CE4C52">
        <w:t>Main Sequence Ventures</w:t>
      </w:r>
    </w:p>
    <w:p w14:paraId="0384B88C" w14:textId="0E4A2AC5" w:rsidR="00514203" w:rsidRPr="00CE4C52" w:rsidRDefault="00514203" w:rsidP="00CE4C52">
      <w:pPr>
        <w:spacing w:before="0" w:after="80"/>
      </w:pPr>
      <w:r w:rsidRPr="00CE4C52">
        <w:t>Robert Coorey</w:t>
      </w:r>
      <w:r w:rsidR="00362D45" w:rsidRPr="00CE4C52">
        <w:t xml:space="preserve"> –</w:t>
      </w:r>
      <w:r w:rsidR="00861044" w:rsidRPr="00CE4C52">
        <w:t xml:space="preserve"> </w:t>
      </w:r>
      <w:r w:rsidRPr="00CE4C52">
        <w:t>Geospatial Intelligence Pty Ltd</w:t>
      </w:r>
    </w:p>
    <w:p w14:paraId="15A8769A" w14:textId="50F57496" w:rsidR="00514203" w:rsidRPr="00CE4C52" w:rsidRDefault="00514203" w:rsidP="00CE4C52">
      <w:pPr>
        <w:spacing w:before="0" w:after="80"/>
      </w:pPr>
      <w:r w:rsidRPr="00CE4C52">
        <w:t>Rohan Wallace</w:t>
      </w:r>
      <w:r w:rsidR="00362D45" w:rsidRPr="00CE4C52">
        <w:t xml:space="preserve"> –</w:t>
      </w:r>
      <w:r w:rsidR="00861044" w:rsidRPr="00CE4C52">
        <w:t xml:space="preserve"> </w:t>
      </w:r>
      <w:r w:rsidRPr="00CE4C52">
        <w:t>Golja Haines &amp; Friend</w:t>
      </w:r>
    </w:p>
    <w:p w14:paraId="7ADABE12" w14:textId="791BC652" w:rsidR="00514203" w:rsidRPr="00CE4C52" w:rsidRDefault="00514203" w:rsidP="00CE4C52">
      <w:pPr>
        <w:spacing w:before="0" w:after="80"/>
      </w:pPr>
      <w:r w:rsidRPr="00CE4C52">
        <w:t xml:space="preserve">Scott Bell </w:t>
      </w:r>
      <w:r w:rsidR="00362D45" w:rsidRPr="00CE4C52">
        <w:t>–</w:t>
      </w:r>
      <w:r w:rsidR="00861044" w:rsidRPr="00CE4C52">
        <w:t xml:space="preserve"> </w:t>
      </w:r>
      <w:r w:rsidRPr="00CE4C52">
        <w:t>Translational Research Institute</w:t>
      </w:r>
    </w:p>
    <w:p w14:paraId="34BAA75C" w14:textId="1F4D3099" w:rsidR="00514203" w:rsidRPr="00CE4C52" w:rsidRDefault="00514203" w:rsidP="00CE4C52">
      <w:pPr>
        <w:spacing w:before="0" w:after="80"/>
      </w:pPr>
      <w:r w:rsidRPr="00CE4C52">
        <w:t>Shane Mitchell</w:t>
      </w:r>
      <w:r w:rsidR="00362D45" w:rsidRPr="00CE4C52">
        <w:t xml:space="preserve"> –</w:t>
      </w:r>
      <w:r w:rsidR="00861044" w:rsidRPr="00CE4C52">
        <w:t xml:space="preserve"> </w:t>
      </w:r>
      <w:r w:rsidRPr="00CE4C52">
        <w:t>The Product Makers</w:t>
      </w:r>
    </w:p>
    <w:p w14:paraId="77B340C5" w14:textId="74E1A3C4" w:rsidR="00514203" w:rsidRPr="00CE4C52" w:rsidRDefault="00514203" w:rsidP="00CE4C52">
      <w:pPr>
        <w:spacing w:before="0" w:after="80"/>
      </w:pPr>
      <w:r w:rsidRPr="00CE4C52">
        <w:t>Stephen Krouzecky</w:t>
      </w:r>
      <w:r w:rsidR="00362D45" w:rsidRPr="00CE4C52">
        <w:t xml:space="preserve"> –</w:t>
      </w:r>
      <w:r w:rsidR="00861044" w:rsidRPr="00CE4C52">
        <w:t xml:space="preserve"> </w:t>
      </w:r>
      <w:r w:rsidR="00E620E3">
        <w:t>International Federation of Intellectual Property Attorneys (</w:t>
      </w:r>
      <w:r w:rsidRPr="00CE4C52">
        <w:t>FICPI</w:t>
      </w:r>
      <w:r w:rsidR="00E620E3">
        <w:t>)</w:t>
      </w:r>
      <w:r w:rsidRPr="00CE4C52">
        <w:t xml:space="preserve"> Australia / Krouzer IP</w:t>
      </w:r>
    </w:p>
    <w:p w14:paraId="32C8C94B" w14:textId="20569B16" w:rsidR="00514203" w:rsidRPr="00CE4C52" w:rsidRDefault="00514203" w:rsidP="00CE4C52">
      <w:pPr>
        <w:spacing w:before="0" w:after="80"/>
      </w:pPr>
      <w:r w:rsidRPr="00CE4C52">
        <w:t xml:space="preserve">Stephen Richter </w:t>
      </w:r>
      <w:r w:rsidR="00362D45" w:rsidRPr="00CE4C52">
        <w:t>–</w:t>
      </w:r>
      <w:r w:rsidR="00861044" w:rsidRPr="00CE4C52">
        <w:t xml:space="preserve"> </w:t>
      </w:r>
      <w:r w:rsidRPr="00CE4C52">
        <w:t>SJ Cheesman</w:t>
      </w:r>
    </w:p>
    <w:p w14:paraId="5BDF024F" w14:textId="66A214CA" w:rsidR="00514203" w:rsidRPr="00CE4C52" w:rsidRDefault="00514203" w:rsidP="00CE4C52">
      <w:pPr>
        <w:spacing w:before="0" w:after="80"/>
      </w:pPr>
      <w:r w:rsidRPr="00CE4C52">
        <w:t xml:space="preserve">Terence Polkinghorn </w:t>
      </w:r>
      <w:r w:rsidR="00362D45" w:rsidRPr="00CE4C52">
        <w:t>–</w:t>
      </w:r>
      <w:r w:rsidR="00861044" w:rsidRPr="00CE4C52">
        <w:t xml:space="preserve"> </w:t>
      </w:r>
      <w:r w:rsidRPr="00CE4C52">
        <w:t>ITECplace</w:t>
      </w:r>
    </w:p>
    <w:p w14:paraId="15687628" w14:textId="471FE3C6" w:rsidR="00514203" w:rsidRPr="00CE4C52" w:rsidRDefault="00514203" w:rsidP="00CE4C52">
      <w:pPr>
        <w:spacing w:before="0" w:after="80"/>
      </w:pPr>
      <w:r w:rsidRPr="00CE4C52">
        <w:t xml:space="preserve">Tim Boyle </w:t>
      </w:r>
      <w:r w:rsidR="00362D45" w:rsidRPr="00CE4C52">
        <w:t>–</w:t>
      </w:r>
      <w:r w:rsidR="00861044" w:rsidRPr="00CE4C52">
        <w:t xml:space="preserve"> </w:t>
      </w:r>
      <w:r w:rsidRPr="00CE4C52">
        <w:t>A</w:t>
      </w:r>
      <w:r w:rsidR="00E620E3">
        <w:t xml:space="preserve">ustralia’s </w:t>
      </w:r>
      <w:r w:rsidRPr="00CE4C52">
        <w:t>N</w:t>
      </w:r>
      <w:r w:rsidR="00E620E3">
        <w:t xml:space="preserve">uclear </w:t>
      </w:r>
      <w:r w:rsidRPr="00CE4C52">
        <w:t>S</w:t>
      </w:r>
      <w:r w:rsidR="00E620E3">
        <w:t xml:space="preserve">cience and </w:t>
      </w:r>
      <w:r w:rsidRPr="00CE4C52">
        <w:t>T</w:t>
      </w:r>
      <w:r w:rsidR="00E620E3">
        <w:t xml:space="preserve">echnology </w:t>
      </w:r>
      <w:r w:rsidRPr="00CE4C52">
        <w:t>O</w:t>
      </w:r>
      <w:r w:rsidR="00E620E3">
        <w:t>rganisation (ANSTO)</w:t>
      </w:r>
    </w:p>
    <w:p w14:paraId="63898DC2" w14:textId="0677B2FB" w:rsidR="00514203" w:rsidRPr="00CE4C52" w:rsidRDefault="00514203" w:rsidP="00CE4C52">
      <w:pPr>
        <w:spacing w:before="0" w:after="80"/>
      </w:pPr>
      <w:r w:rsidRPr="00CE4C52">
        <w:t>Tom Dobbie</w:t>
      </w:r>
      <w:r w:rsidR="00362D45" w:rsidRPr="00CE4C52">
        <w:t xml:space="preserve"> –</w:t>
      </w:r>
      <w:r w:rsidR="00861044" w:rsidRPr="00CE4C52">
        <w:t xml:space="preserve"> </w:t>
      </w:r>
      <w:r w:rsidRPr="00CE4C52">
        <w:t>Targus</w:t>
      </w:r>
    </w:p>
    <w:p w14:paraId="2F103248" w14:textId="1EF6C82F" w:rsidR="00514203" w:rsidRPr="00CE4C52" w:rsidRDefault="00514203" w:rsidP="00CE4C52">
      <w:pPr>
        <w:spacing w:before="0" w:after="80"/>
      </w:pPr>
      <w:r w:rsidRPr="00CE4C52">
        <w:t>William Hill</w:t>
      </w:r>
      <w:r w:rsidR="00362D45" w:rsidRPr="00CE4C52">
        <w:t xml:space="preserve"> –</w:t>
      </w:r>
      <w:r w:rsidR="00861044" w:rsidRPr="00CE4C52">
        <w:t xml:space="preserve"> </w:t>
      </w:r>
      <w:r w:rsidRPr="00CE4C52">
        <w:t>Gyder Surgical</w:t>
      </w:r>
    </w:p>
    <w:p w14:paraId="77765398" w14:textId="0012ABC0" w:rsidR="00CE4C52" w:rsidRDefault="00514203" w:rsidP="00CE4C52">
      <w:pPr>
        <w:spacing w:before="0" w:after="80"/>
      </w:pPr>
      <w:r w:rsidRPr="00CE4C52">
        <w:t xml:space="preserve">William Mcfarlane </w:t>
      </w:r>
      <w:r w:rsidR="00362D45" w:rsidRPr="00CE4C52">
        <w:t>–</w:t>
      </w:r>
      <w:r w:rsidR="00861044" w:rsidRPr="00CE4C52">
        <w:t xml:space="preserve"> </w:t>
      </w:r>
      <w:r w:rsidRPr="00CE4C52">
        <w:t>Madderns Pty Ltd</w:t>
      </w:r>
    </w:p>
    <w:p w14:paraId="658C6202" w14:textId="677A6047" w:rsidR="00CE4C52" w:rsidRDefault="00E549E3" w:rsidP="00CE4C52">
      <w:pPr>
        <w:spacing w:before="360" w:after="60"/>
      </w:pPr>
      <w:r w:rsidRPr="00F7079B">
        <w:rPr>
          <w:rFonts w:cstheme="minorHAnsi"/>
          <w:szCs w:val="24"/>
        </w:rPr>
        <w:t>Note that a number of judges were interviewed but for reasons of discretion their names have been withheld.</w:t>
      </w:r>
      <w:r w:rsidR="00CE4C52">
        <w:br w:type="page"/>
      </w:r>
    </w:p>
    <w:p w14:paraId="7019CD3D" w14:textId="7CA6CFF9" w:rsidR="003C717C" w:rsidRPr="00585B6B" w:rsidRDefault="003C717C" w:rsidP="003C717C">
      <w:pPr>
        <w:pStyle w:val="Heading2"/>
      </w:pPr>
      <w:r w:rsidRPr="00585B6B">
        <w:lastRenderedPageBreak/>
        <w:t>List of submitters</w:t>
      </w:r>
    </w:p>
    <w:p w14:paraId="163D1F3C" w14:textId="7F29C164" w:rsidR="003C717C" w:rsidRPr="00F7079B" w:rsidRDefault="00E95FAB" w:rsidP="00BA4DF4">
      <w:pPr>
        <w:spacing w:before="80" w:after="80"/>
        <w:rPr>
          <w:szCs w:val="24"/>
        </w:rPr>
      </w:pPr>
      <w:r w:rsidRPr="00F7079B">
        <w:rPr>
          <w:szCs w:val="24"/>
        </w:rPr>
        <w:t>AusBiotech</w:t>
      </w:r>
    </w:p>
    <w:p w14:paraId="749E7CE1" w14:textId="7C5805C2" w:rsidR="00E95FAB" w:rsidRPr="00F7079B" w:rsidRDefault="00E95FAB" w:rsidP="00BA4DF4">
      <w:pPr>
        <w:spacing w:before="80" w:after="80"/>
        <w:rPr>
          <w:szCs w:val="24"/>
        </w:rPr>
      </w:pPr>
      <w:r w:rsidRPr="00F7079B">
        <w:rPr>
          <w:szCs w:val="24"/>
        </w:rPr>
        <w:t>Clean Energy and Water Technologies</w:t>
      </w:r>
    </w:p>
    <w:p w14:paraId="5E1C3CDE" w14:textId="3CA2656A" w:rsidR="00E95FAB" w:rsidRPr="00F7079B" w:rsidRDefault="00E95FAB" w:rsidP="00BA4DF4">
      <w:pPr>
        <w:spacing w:before="80" w:after="80"/>
        <w:rPr>
          <w:szCs w:val="24"/>
        </w:rPr>
      </w:pPr>
      <w:r w:rsidRPr="00F7079B">
        <w:rPr>
          <w:szCs w:val="24"/>
        </w:rPr>
        <w:t>Davies Collison Cave Pty Ltd</w:t>
      </w:r>
    </w:p>
    <w:p w14:paraId="2B9B66EE" w14:textId="0FFCCE59" w:rsidR="00E95FAB" w:rsidRPr="00F7079B" w:rsidRDefault="00E95FAB" w:rsidP="00BA4DF4">
      <w:pPr>
        <w:spacing w:before="80" w:after="80"/>
        <w:rPr>
          <w:szCs w:val="24"/>
        </w:rPr>
      </w:pPr>
      <w:r w:rsidRPr="00F7079B">
        <w:rPr>
          <w:szCs w:val="24"/>
        </w:rPr>
        <w:t>Flinders University</w:t>
      </w:r>
    </w:p>
    <w:p w14:paraId="63F02D0A" w14:textId="5BA64718" w:rsidR="00E95FAB" w:rsidRPr="00F7079B" w:rsidRDefault="00E95FAB" w:rsidP="00BA4DF4">
      <w:pPr>
        <w:spacing w:before="80" w:after="80"/>
        <w:rPr>
          <w:szCs w:val="24"/>
        </w:rPr>
      </w:pPr>
      <w:r w:rsidRPr="00F7079B">
        <w:rPr>
          <w:szCs w:val="24"/>
        </w:rPr>
        <w:t>Glidestore Freetrack Pty Ltd</w:t>
      </w:r>
    </w:p>
    <w:p w14:paraId="0ED34FBA" w14:textId="67582D14" w:rsidR="00E95FAB" w:rsidRPr="00F7079B" w:rsidRDefault="00E95FAB" w:rsidP="00BA4DF4">
      <w:pPr>
        <w:spacing w:before="80" w:after="80"/>
        <w:rPr>
          <w:szCs w:val="24"/>
        </w:rPr>
      </w:pPr>
      <w:r w:rsidRPr="00F7079B">
        <w:rPr>
          <w:szCs w:val="24"/>
        </w:rPr>
        <w:t>Hartman Group</w:t>
      </w:r>
    </w:p>
    <w:p w14:paraId="6F7B46CE" w14:textId="72F6C043" w:rsidR="00E95FAB" w:rsidRPr="00F7079B" w:rsidRDefault="00E95FAB" w:rsidP="00BA4DF4">
      <w:pPr>
        <w:spacing w:before="80" w:after="80"/>
        <w:rPr>
          <w:szCs w:val="24"/>
        </w:rPr>
      </w:pPr>
      <w:r w:rsidRPr="00F7079B">
        <w:rPr>
          <w:szCs w:val="24"/>
        </w:rPr>
        <w:t>Institute of Patent and Trad</w:t>
      </w:r>
      <w:r w:rsidR="00E91250" w:rsidRPr="00F7079B">
        <w:rPr>
          <w:szCs w:val="24"/>
        </w:rPr>
        <w:t>e</w:t>
      </w:r>
      <w:r w:rsidRPr="00F7079B">
        <w:rPr>
          <w:szCs w:val="24"/>
        </w:rPr>
        <w:t xml:space="preserve"> Mark Attorneys </w:t>
      </w:r>
      <w:r w:rsidR="005D04F0" w:rsidRPr="00F7079B">
        <w:rPr>
          <w:szCs w:val="24"/>
        </w:rPr>
        <w:t xml:space="preserve">of </w:t>
      </w:r>
      <w:r w:rsidRPr="00F7079B">
        <w:rPr>
          <w:szCs w:val="24"/>
        </w:rPr>
        <w:t>Australia</w:t>
      </w:r>
    </w:p>
    <w:p w14:paraId="350D6AB8" w14:textId="0EFECB82" w:rsidR="00E95FAB" w:rsidRPr="00F7079B" w:rsidRDefault="00E95FAB" w:rsidP="00BA4DF4">
      <w:pPr>
        <w:spacing w:before="80" w:after="80"/>
        <w:rPr>
          <w:szCs w:val="24"/>
        </w:rPr>
      </w:pPr>
      <w:r w:rsidRPr="00F7079B">
        <w:rPr>
          <w:szCs w:val="24"/>
        </w:rPr>
        <w:t>Intellectual Assets Owners Group of Australia</w:t>
      </w:r>
    </w:p>
    <w:p w14:paraId="48C37F7D" w14:textId="617BEE30" w:rsidR="00E95FAB" w:rsidRPr="00F7079B" w:rsidRDefault="00E95FAB" w:rsidP="00BA4DF4">
      <w:pPr>
        <w:spacing w:before="80" w:after="80"/>
        <w:rPr>
          <w:szCs w:val="24"/>
        </w:rPr>
      </w:pPr>
      <w:r w:rsidRPr="00F7079B">
        <w:rPr>
          <w:szCs w:val="24"/>
        </w:rPr>
        <w:t>K.T.C.</w:t>
      </w:r>
    </w:p>
    <w:p w14:paraId="78A4B335" w14:textId="6E480C52" w:rsidR="00E95FAB" w:rsidRPr="00F7079B" w:rsidRDefault="00E95FAB" w:rsidP="00BA4DF4">
      <w:pPr>
        <w:spacing w:before="80" w:after="80"/>
        <w:rPr>
          <w:szCs w:val="24"/>
        </w:rPr>
      </w:pPr>
      <w:r w:rsidRPr="00F7079B">
        <w:rPr>
          <w:szCs w:val="24"/>
        </w:rPr>
        <w:t>LTCM</w:t>
      </w:r>
    </w:p>
    <w:p w14:paraId="0AA4C5E1" w14:textId="6D5204B7" w:rsidR="00E95FAB" w:rsidRPr="00F7079B" w:rsidRDefault="00E95FAB" w:rsidP="00BA4DF4">
      <w:pPr>
        <w:spacing w:before="80" w:after="80"/>
        <w:rPr>
          <w:szCs w:val="24"/>
        </w:rPr>
      </w:pPr>
      <w:r w:rsidRPr="00F7079B">
        <w:rPr>
          <w:szCs w:val="24"/>
        </w:rPr>
        <w:t>Macquarie University</w:t>
      </w:r>
    </w:p>
    <w:p w14:paraId="08C95917" w14:textId="53775684" w:rsidR="00E95FAB" w:rsidRPr="00F7079B" w:rsidRDefault="00E95FAB" w:rsidP="00BA4DF4">
      <w:pPr>
        <w:spacing w:before="80" w:after="80"/>
        <w:rPr>
          <w:szCs w:val="24"/>
        </w:rPr>
      </w:pPr>
      <w:r w:rsidRPr="00F7079B">
        <w:rPr>
          <w:szCs w:val="24"/>
        </w:rPr>
        <w:t>Menios Sfetsos</w:t>
      </w:r>
    </w:p>
    <w:p w14:paraId="7E8BC7A7" w14:textId="19470395" w:rsidR="00E95FAB" w:rsidRPr="00F7079B" w:rsidRDefault="00E95FAB" w:rsidP="00BA4DF4">
      <w:pPr>
        <w:spacing w:before="80" w:after="80"/>
        <w:rPr>
          <w:szCs w:val="24"/>
        </w:rPr>
      </w:pPr>
      <w:r w:rsidRPr="00F7079B">
        <w:rPr>
          <w:szCs w:val="24"/>
        </w:rPr>
        <w:t>Phillips Ormonde Fitzpatrick</w:t>
      </w:r>
    </w:p>
    <w:p w14:paraId="2D91B174" w14:textId="495172E0" w:rsidR="00E95FAB" w:rsidRPr="00F7079B" w:rsidRDefault="00E95FAB" w:rsidP="00BA4DF4">
      <w:pPr>
        <w:spacing w:before="80" w:after="80"/>
        <w:rPr>
          <w:szCs w:val="24"/>
        </w:rPr>
      </w:pPr>
      <w:r w:rsidRPr="00F7079B">
        <w:rPr>
          <w:szCs w:val="24"/>
        </w:rPr>
        <w:t>One World LED</w:t>
      </w:r>
    </w:p>
    <w:p w14:paraId="16E99006" w14:textId="5FEC0F18" w:rsidR="00E95FAB" w:rsidRPr="00F7079B" w:rsidRDefault="00E95FAB" w:rsidP="00BA4DF4">
      <w:pPr>
        <w:spacing w:before="80" w:after="80"/>
        <w:rPr>
          <w:szCs w:val="24"/>
        </w:rPr>
      </w:pPr>
      <w:r w:rsidRPr="00F7079B">
        <w:rPr>
          <w:szCs w:val="24"/>
        </w:rPr>
        <w:t>SiteSee</w:t>
      </w:r>
    </w:p>
    <w:p w14:paraId="077F88F2" w14:textId="42B55D4B" w:rsidR="00E95FAB" w:rsidRPr="00F7079B" w:rsidRDefault="00E95FAB" w:rsidP="00BA4DF4">
      <w:pPr>
        <w:spacing w:before="80" w:after="80"/>
        <w:rPr>
          <w:szCs w:val="24"/>
        </w:rPr>
      </w:pPr>
      <w:r w:rsidRPr="00F7079B">
        <w:rPr>
          <w:szCs w:val="24"/>
        </w:rPr>
        <w:t>University of Newcastle</w:t>
      </w:r>
    </w:p>
    <w:p w14:paraId="2A00132B" w14:textId="618BCE0F" w:rsidR="00E95FAB" w:rsidRPr="00F7079B" w:rsidRDefault="00E95FAB" w:rsidP="00BA4DF4">
      <w:pPr>
        <w:spacing w:before="80" w:after="80"/>
        <w:rPr>
          <w:szCs w:val="24"/>
        </w:rPr>
      </w:pPr>
      <w:r w:rsidRPr="00F7079B">
        <w:rPr>
          <w:szCs w:val="24"/>
        </w:rPr>
        <w:t>University of Southern Queensland</w:t>
      </w:r>
    </w:p>
    <w:p w14:paraId="5404624C" w14:textId="2FA89E96" w:rsidR="00E95FAB" w:rsidRPr="00F7079B" w:rsidRDefault="00E95FAB" w:rsidP="00BA4DF4">
      <w:pPr>
        <w:spacing w:before="80" w:after="80"/>
        <w:rPr>
          <w:szCs w:val="24"/>
        </w:rPr>
      </w:pPr>
      <w:r w:rsidRPr="00F7079B">
        <w:rPr>
          <w:szCs w:val="24"/>
        </w:rPr>
        <w:t>University of Tasmania</w:t>
      </w:r>
    </w:p>
    <w:p w14:paraId="4B6D0012" w14:textId="42C8D49F" w:rsidR="00E95FAB" w:rsidRPr="00F7079B" w:rsidRDefault="00E95FAB" w:rsidP="00CE4C52">
      <w:pPr>
        <w:spacing w:before="0" w:after="80"/>
        <w:rPr>
          <w:szCs w:val="24"/>
        </w:rPr>
      </w:pPr>
      <w:r w:rsidRPr="00F7079B">
        <w:rPr>
          <w:szCs w:val="24"/>
        </w:rPr>
        <w:t>UNSW Sydney</w:t>
      </w:r>
    </w:p>
    <w:p w14:paraId="2067E64D" w14:textId="234B5FE2" w:rsidR="003C717C" w:rsidRDefault="003C717C">
      <w:r>
        <w:br w:type="page"/>
      </w:r>
    </w:p>
    <w:p w14:paraId="1DAA1F25" w14:textId="32F6A184" w:rsidR="003C717C" w:rsidRDefault="00B918C2" w:rsidP="00102432">
      <w:pPr>
        <w:pStyle w:val="Heading1"/>
      </w:pPr>
      <w:bookmarkStart w:id="358" w:name="_Toc59109351"/>
      <w:bookmarkStart w:id="359" w:name="_Toc60760645"/>
      <w:bookmarkStart w:id="360" w:name="_Toc60834831"/>
      <w:bookmarkStart w:id="361" w:name="_Toc60836781"/>
      <w:bookmarkStart w:id="362" w:name="_Toc60997769"/>
      <w:bookmarkStart w:id="363" w:name="_Toc61015583"/>
      <w:bookmarkStart w:id="364" w:name="_Toc61269615"/>
      <w:bookmarkStart w:id="365" w:name="_Toc61356723"/>
      <w:bookmarkStart w:id="366" w:name="_Toc65159333"/>
      <w:r>
        <w:lastRenderedPageBreak/>
        <w:t xml:space="preserve">Appendix </w:t>
      </w:r>
      <w:r w:rsidR="250ADEBD">
        <w:t>C</w:t>
      </w:r>
      <w:r w:rsidR="000242CF">
        <w:t xml:space="preserve"> – </w:t>
      </w:r>
      <w:r w:rsidR="00514203">
        <w:t>Bibliography</w:t>
      </w:r>
      <w:bookmarkEnd w:id="358"/>
      <w:bookmarkEnd w:id="359"/>
      <w:bookmarkEnd w:id="360"/>
      <w:bookmarkEnd w:id="361"/>
      <w:bookmarkEnd w:id="362"/>
      <w:bookmarkEnd w:id="363"/>
      <w:bookmarkEnd w:id="364"/>
      <w:bookmarkEnd w:id="365"/>
      <w:bookmarkEnd w:id="366"/>
    </w:p>
    <w:p w14:paraId="3B0A45CE" w14:textId="2202575A" w:rsidR="009B3F26" w:rsidRDefault="009B3F26" w:rsidP="005807A5">
      <w:pPr>
        <w:pStyle w:val="FootnoteText"/>
        <w:spacing w:after="120"/>
        <w:rPr>
          <w:sz w:val="24"/>
          <w:szCs w:val="24"/>
        </w:rPr>
      </w:pPr>
      <w:r w:rsidRPr="009B3F26">
        <w:rPr>
          <w:sz w:val="24"/>
          <w:szCs w:val="24"/>
        </w:rPr>
        <w:t>35 U.S. Code § 294.</w:t>
      </w:r>
    </w:p>
    <w:p w14:paraId="4CD69DCC" w14:textId="3B1F4CC9" w:rsidR="00DF4449" w:rsidRDefault="00DF4449" w:rsidP="005807A5">
      <w:pPr>
        <w:pStyle w:val="FootnoteText"/>
        <w:spacing w:after="120"/>
        <w:rPr>
          <w:sz w:val="24"/>
          <w:szCs w:val="24"/>
        </w:rPr>
      </w:pPr>
      <w:r w:rsidRPr="00F7079B">
        <w:rPr>
          <w:sz w:val="24"/>
          <w:szCs w:val="24"/>
        </w:rPr>
        <w:t xml:space="preserve">Advisory Council on Intellectual Property, </w:t>
      </w:r>
      <w:r w:rsidRPr="00F7079B">
        <w:rPr>
          <w:i/>
          <w:sz w:val="24"/>
          <w:szCs w:val="24"/>
        </w:rPr>
        <w:t>Post-grant patent enforcement strategies</w:t>
      </w:r>
      <w:r w:rsidRPr="00F7079B">
        <w:rPr>
          <w:sz w:val="24"/>
          <w:szCs w:val="24"/>
        </w:rPr>
        <w:t>, Final Report, 2010.</w:t>
      </w:r>
    </w:p>
    <w:p w14:paraId="419F9D89" w14:textId="358C2B3C" w:rsidR="000314F7" w:rsidRDefault="000314F7" w:rsidP="005807A5">
      <w:pPr>
        <w:pStyle w:val="FootnoteText"/>
        <w:spacing w:after="120"/>
        <w:rPr>
          <w:sz w:val="24"/>
          <w:szCs w:val="24"/>
        </w:rPr>
      </w:pPr>
      <w:r w:rsidRPr="000314F7">
        <w:rPr>
          <w:sz w:val="24"/>
          <w:szCs w:val="24"/>
        </w:rPr>
        <w:t xml:space="preserve">Advisory Council on Intellectual Property, </w:t>
      </w:r>
      <w:r w:rsidRPr="000314F7">
        <w:rPr>
          <w:i/>
          <w:sz w:val="24"/>
          <w:szCs w:val="24"/>
        </w:rPr>
        <w:t>Should the jurisdiction of the Federal Magistrates Service be extended to include patent, trade mark and design matters?</w:t>
      </w:r>
      <w:r w:rsidRPr="000314F7">
        <w:rPr>
          <w:sz w:val="24"/>
          <w:szCs w:val="24"/>
        </w:rPr>
        <w:t>, Final Report, 2003.</w:t>
      </w:r>
    </w:p>
    <w:p w14:paraId="154989F4" w14:textId="2BCDDF5C" w:rsidR="00302D88" w:rsidRPr="00F7079B" w:rsidRDefault="00302D88" w:rsidP="005807A5">
      <w:pPr>
        <w:pStyle w:val="FootnoteText"/>
        <w:spacing w:after="120"/>
        <w:rPr>
          <w:sz w:val="24"/>
          <w:szCs w:val="24"/>
        </w:rPr>
      </w:pPr>
      <w:r w:rsidRPr="00302D88">
        <w:rPr>
          <w:sz w:val="24"/>
          <w:szCs w:val="24"/>
        </w:rPr>
        <w:t xml:space="preserve">Andrews, T et al, </w:t>
      </w:r>
      <w:r w:rsidRPr="00302D88">
        <w:rPr>
          <w:i/>
          <w:sz w:val="24"/>
          <w:szCs w:val="24"/>
        </w:rPr>
        <w:t>The UK’s flexible system of patent disputes</w:t>
      </w:r>
      <w:r w:rsidRPr="00302D88">
        <w:rPr>
          <w:sz w:val="24"/>
          <w:szCs w:val="24"/>
        </w:rPr>
        <w:t xml:space="preserve">, Managing IP website, accessed 17 February 2021. </w:t>
      </w:r>
      <w:hyperlink r:id="rId18" w:history="1">
        <w:r w:rsidRPr="00302D88">
          <w:rPr>
            <w:rStyle w:val="Hyperlink"/>
            <w:sz w:val="24"/>
            <w:szCs w:val="24"/>
          </w:rPr>
          <w:t>https://www.managingip.com/article/b1kbpk8yxs1192/the-uks-flexible-system-for-patent-disputes</w:t>
        </w:r>
      </w:hyperlink>
      <w:r w:rsidR="00BD1D78" w:rsidRPr="005C4AAA">
        <w:rPr>
          <w:sz w:val="24"/>
          <w:szCs w:val="24"/>
        </w:rPr>
        <w:t xml:space="preserve">. </w:t>
      </w:r>
    </w:p>
    <w:p w14:paraId="0A9DF28C" w14:textId="13FE8765" w:rsidR="005807A5" w:rsidRPr="00F7079B" w:rsidRDefault="005807A5" w:rsidP="005807A5">
      <w:pPr>
        <w:pStyle w:val="FootnoteText"/>
        <w:spacing w:after="120"/>
        <w:rPr>
          <w:sz w:val="24"/>
          <w:szCs w:val="24"/>
        </w:rPr>
      </w:pPr>
      <w:r w:rsidRPr="00F7079B">
        <w:rPr>
          <w:sz w:val="24"/>
          <w:szCs w:val="24"/>
        </w:rPr>
        <w:t xml:space="preserve">Austrade, </w:t>
      </w:r>
      <w:r w:rsidRPr="00F7079B">
        <w:rPr>
          <w:i/>
          <w:sz w:val="24"/>
          <w:szCs w:val="24"/>
        </w:rPr>
        <w:t xml:space="preserve">Export Market Development Grants – </w:t>
      </w:r>
      <w:r w:rsidR="00355311" w:rsidRPr="00F7079B">
        <w:rPr>
          <w:i/>
          <w:sz w:val="24"/>
          <w:szCs w:val="24"/>
        </w:rPr>
        <w:t>a</w:t>
      </w:r>
      <w:r w:rsidRPr="00F7079B">
        <w:rPr>
          <w:i/>
          <w:sz w:val="24"/>
          <w:szCs w:val="24"/>
        </w:rPr>
        <w:t xml:space="preserve"> guide to applying</w:t>
      </w:r>
      <w:r w:rsidRPr="00F7079B">
        <w:rPr>
          <w:sz w:val="24"/>
          <w:szCs w:val="24"/>
        </w:rPr>
        <w:t xml:space="preserve">, Austrade website, August 2020, accessed 8 January 2021. </w:t>
      </w:r>
      <w:hyperlink r:id="rId19">
        <w:r w:rsidR="00F70970" w:rsidRPr="0A6CCF7B">
          <w:rPr>
            <w:rStyle w:val="Hyperlink"/>
            <w:sz w:val="24"/>
            <w:szCs w:val="24"/>
          </w:rPr>
          <w:t>https://www.austrade.gov.au/Australian/Export/Export-Grants/Apply/steps-to-follow</w:t>
        </w:r>
      </w:hyperlink>
      <w:r w:rsidRPr="0A6CCF7B">
        <w:rPr>
          <w:sz w:val="24"/>
          <w:szCs w:val="24"/>
        </w:rPr>
        <w:t>.</w:t>
      </w:r>
    </w:p>
    <w:p w14:paraId="1DAC532A" w14:textId="59EF50C1" w:rsidR="00287A17" w:rsidRPr="00F7079B" w:rsidRDefault="00287A17" w:rsidP="00287A17">
      <w:pPr>
        <w:pStyle w:val="FootnoteText"/>
        <w:spacing w:after="120"/>
        <w:rPr>
          <w:rStyle w:val="Hyperlink"/>
          <w:color w:val="auto"/>
          <w:sz w:val="24"/>
          <w:szCs w:val="24"/>
          <w:u w:val="none"/>
        </w:rPr>
      </w:pPr>
      <w:r w:rsidRPr="00F7079B">
        <w:rPr>
          <w:sz w:val="24"/>
          <w:szCs w:val="24"/>
        </w:rPr>
        <w:t xml:space="preserve">Austrade, </w:t>
      </w:r>
      <w:r w:rsidRPr="00F7079B">
        <w:rPr>
          <w:i/>
          <w:sz w:val="24"/>
          <w:szCs w:val="24"/>
        </w:rPr>
        <w:t xml:space="preserve">Exposure </w:t>
      </w:r>
      <w:r w:rsidR="005A195F" w:rsidRPr="00F7079B">
        <w:rPr>
          <w:i/>
          <w:sz w:val="24"/>
          <w:szCs w:val="24"/>
        </w:rPr>
        <w:t>d</w:t>
      </w:r>
      <w:r w:rsidRPr="00F7079B">
        <w:rPr>
          <w:i/>
          <w:sz w:val="24"/>
          <w:szCs w:val="24"/>
        </w:rPr>
        <w:t>raft</w:t>
      </w:r>
      <w:r w:rsidR="00BA13BA" w:rsidRPr="00F7079B">
        <w:rPr>
          <w:i/>
          <w:sz w:val="24"/>
          <w:szCs w:val="24"/>
        </w:rPr>
        <w:t>:</w:t>
      </w:r>
      <w:r w:rsidRPr="00F7079B">
        <w:rPr>
          <w:i/>
          <w:sz w:val="24"/>
          <w:szCs w:val="24"/>
        </w:rPr>
        <w:t xml:space="preserve"> Export Market Development Grants Rules 2020</w:t>
      </w:r>
      <w:r w:rsidRPr="00F7079B">
        <w:rPr>
          <w:sz w:val="24"/>
          <w:szCs w:val="24"/>
        </w:rPr>
        <w:t xml:space="preserve">, Austrade website, n.d., accessed 8 January 2021. </w:t>
      </w:r>
      <w:hyperlink r:id="rId20">
        <w:r w:rsidR="00F70970" w:rsidRPr="0A6CCF7B">
          <w:rPr>
            <w:rStyle w:val="Hyperlink"/>
            <w:sz w:val="24"/>
            <w:szCs w:val="24"/>
          </w:rPr>
          <w:t>https://www.austrade.gov.au/ArticleDocuments/10477/EMDG-rules-2020-exposure-draft.pdf.aspx</w:t>
        </w:r>
      </w:hyperlink>
      <w:r w:rsidRPr="0A6CCF7B">
        <w:rPr>
          <w:sz w:val="24"/>
          <w:szCs w:val="24"/>
        </w:rPr>
        <w:t>.</w:t>
      </w:r>
    </w:p>
    <w:p w14:paraId="4B2BB414" w14:textId="4F6533A1" w:rsidR="005807A5" w:rsidRPr="00F7079B" w:rsidRDefault="005807A5" w:rsidP="005807A5">
      <w:pPr>
        <w:pStyle w:val="FootnoteText"/>
        <w:spacing w:after="120"/>
        <w:rPr>
          <w:sz w:val="24"/>
          <w:szCs w:val="24"/>
        </w:rPr>
      </w:pPr>
      <w:r w:rsidRPr="00F7079B">
        <w:rPr>
          <w:sz w:val="24"/>
          <w:szCs w:val="24"/>
        </w:rPr>
        <w:t xml:space="preserve">Austrade, ‘Steps to follow’, </w:t>
      </w:r>
      <w:r w:rsidRPr="00F7079B">
        <w:rPr>
          <w:i/>
          <w:sz w:val="24"/>
          <w:szCs w:val="24"/>
        </w:rPr>
        <w:t xml:space="preserve">Export Market Development Grants, </w:t>
      </w:r>
      <w:r w:rsidRPr="00F7079B">
        <w:rPr>
          <w:sz w:val="24"/>
          <w:szCs w:val="24"/>
        </w:rPr>
        <w:t xml:space="preserve">Austrade website, 2021, accessed 8 January 2021. </w:t>
      </w:r>
      <w:hyperlink r:id="rId21">
        <w:r w:rsidR="00F70970" w:rsidRPr="0A6CCF7B">
          <w:rPr>
            <w:rStyle w:val="Hyperlink"/>
            <w:sz w:val="24"/>
            <w:szCs w:val="24"/>
          </w:rPr>
          <w:t>https://www.austrade.gov.au/Australian/Export/Export-Grants/Apply/steps-to-follow</w:t>
        </w:r>
      </w:hyperlink>
      <w:r w:rsidRPr="0A6CCF7B">
        <w:rPr>
          <w:sz w:val="24"/>
          <w:szCs w:val="24"/>
        </w:rPr>
        <w:t>.</w:t>
      </w:r>
    </w:p>
    <w:p w14:paraId="6A7A4CC9" w14:textId="328F4A81" w:rsidR="005807A5" w:rsidRPr="00F7079B" w:rsidRDefault="005807A5" w:rsidP="005807A5">
      <w:pPr>
        <w:pStyle w:val="FootnoteText"/>
        <w:spacing w:after="120"/>
        <w:rPr>
          <w:rStyle w:val="Hyperlink"/>
          <w:sz w:val="24"/>
          <w:szCs w:val="24"/>
        </w:rPr>
      </w:pPr>
      <w:r w:rsidRPr="00F7079B">
        <w:rPr>
          <w:sz w:val="24"/>
          <w:szCs w:val="24"/>
        </w:rPr>
        <w:t xml:space="preserve">Austrade Trade and Investment Commission (2021) </w:t>
      </w:r>
      <w:r w:rsidRPr="00F7079B">
        <w:rPr>
          <w:i/>
          <w:sz w:val="24"/>
          <w:szCs w:val="24"/>
        </w:rPr>
        <w:t xml:space="preserve">Export Market Development Grants, </w:t>
      </w:r>
      <w:r w:rsidRPr="00F7079B">
        <w:rPr>
          <w:sz w:val="24"/>
          <w:szCs w:val="24"/>
        </w:rPr>
        <w:t>Austrade website, 2021, accessed 8 January 2021.</w:t>
      </w:r>
      <w:r w:rsidRPr="00F7079B">
        <w:rPr>
          <w:rStyle w:val="Hyperlink"/>
          <w:sz w:val="24"/>
          <w:szCs w:val="24"/>
        </w:rPr>
        <w:t xml:space="preserve"> </w:t>
      </w:r>
      <w:hyperlink r:id="rId22">
        <w:r w:rsidR="00F70970" w:rsidRPr="0A6CCF7B">
          <w:rPr>
            <w:rStyle w:val="Hyperlink"/>
            <w:sz w:val="24"/>
            <w:szCs w:val="24"/>
          </w:rPr>
          <w:t>https://www.austrade.gov.au/Australian/Export/Export-Grants/Apply/steps-to-follow</w:t>
        </w:r>
      </w:hyperlink>
      <w:r w:rsidRPr="0A6CCF7B">
        <w:rPr>
          <w:sz w:val="24"/>
          <w:szCs w:val="24"/>
        </w:rPr>
        <w:t>.</w:t>
      </w:r>
      <w:r w:rsidR="00F70970" w:rsidRPr="0A6CCF7B">
        <w:rPr>
          <w:sz w:val="24"/>
          <w:szCs w:val="24"/>
        </w:rPr>
        <w:t xml:space="preserve"> </w:t>
      </w:r>
    </w:p>
    <w:p w14:paraId="564EE772" w14:textId="6CF43F81" w:rsidR="004B3D37" w:rsidRPr="00F7079B" w:rsidRDefault="004B3D37" w:rsidP="005C326D">
      <w:pPr>
        <w:rPr>
          <w:rFonts w:eastAsia="Times New Roman"/>
          <w:color w:val="000000" w:themeColor="text1"/>
          <w:szCs w:val="24"/>
        </w:rPr>
      </w:pPr>
      <w:r w:rsidRPr="00F7079B">
        <w:rPr>
          <w:szCs w:val="24"/>
        </w:rPr>
        <w:t xml:space="preserve">Australian Bureau of Statistics (2017) ‘Table 5 </w:t>
      </w:r>
      <w:r w:rsidR="00362D45" w:rsidRPr="00F7079B">
        <w:rPr>
          <w:szCs w:val="24"/>
        </w:rPr>
        <w:t>–</w:t>
      </w:r>
      <w:r w:rsidR="00861044" w:rsidRPr="00F7079B">
        <w:rPr>
          <w:szCs w:val="24"/>
        </w:rPr>
        <w:t xml:space="preserve"> </w:t>
      </w:r>
      <w:r w:rsidRPr="00F7079B">
        <w:rPr>
          <w:rFonts w:eastAsia="Times New Roman"/>
          <w:color w:val="000000" w:themeColor="text1"/>
          <w:szCs w:val="24"/>
        </w:rPr>
        <w:t xml:space="preserve">Highest level of education completed by the Principal Manager by innovation status, by employment size, by industry’, </w:t>
      </w:r>
      <w:r w:rsidRPr="00F7079B">
        <w:rPr>
          <w:rFonts w:eastAsia="Times New Roman"/>
          <w:i/>
          <w:color w:val="000000" w:themeColor="text1"/>
          <w:szCs w:val="24"/>
        </w:rPr>
        <w:t>Management and Organisational Capabilities of Australian Business, 2015</w:t>
      </w:r>
      <w:r w:rsidR="002F022C" w:rsidRPr="00F7079B">
        <w:rPr>
          <w:rFonts w:eastAsia="Times New Roman"/>
          <w:i/>
          <w:color w:val="000000" w:themeColor="text1"/>
          <w:szCs w:val="24"/>
        </w:rPr>
        <w:t>–</w:t>
      </w:r>
      <w:r w:rsidRPr="00F7079B">
        <w:rPr>
          <w:rFonts w:eastAsia="Times New Roman"/>
          <w:i/>
          <w:color w:val="000000" w:themeColor="text1"/>
          <w:szCs w:val="24"/>
        </w:rPr>
        <w:t>16</w:t>
      </w:r>
      <w:r w:rsidRPr="00F7079B">
        <w:rPr>
          <w:rFonts w:eastAsia="Times New Roman"/>
          <w:color w:val="000000" w:themeColor="text1"/>
          <w:szCs w:val="24"/>
        </w:rPr>
        <w:t xml:space="preserve">. </w:t>
      </w:r>
    </w:p>
    <w:p w14:paraId="2BD374DA" w14:textId="28392B15" w:rsidR="005B5C32" w:rsidRDefault="005B5C32" w:rsidP="005C326D">
      <w:pPr>
        <w:pStyle w:val="FootnoteText"/>
        <w:spacing w:after="120"/>
        <w:rPr>
          <w:rFonts w:eastAsia="Times New Roman"/>
          <w:color w:val="000000" w:themeColor="text1"/>
          <w:sz w:val="24"/>
          <w:szCs w:val="24"/>
        </w:rPr>
      </w:pPr>
      <w:r w:rsidRPr="00F7079B">
        <w:rPr>
          <w:rFonts w:eastAsia="Times New Roman"/>
          <w:color w:val="000000" w:themeColor="text1"/>
          <w:sz w:val="24"/>
          <w:szCs w:val="24"/>
        </w:rPr>
        <w:t>Australian Bureau of Statistics</w:t>
      </w:r>
      <w:r w:rsidR="000314F7">
        <w:rPr>
          <w:rFonts w:eastAsia="Times New Roman"/>
          <w:color w:val="000000" w:themeColor="text1"/>
          <w:sz w:val="24"/>
          <w:szCs w:val="24"/>
        </w:rPr>
        <w:t>,</w:t>
      </w:r>
      <w:r w:rsidRPr="00F7079B">
        <w:rPr>
          <w:rFonts w:eastAsia="Times New Roman"/>
          <w:color w:val="000000" w:themeColor="text1"/>
          <w:sz w:val="24"/>
          <w:szCs w:val="24"/>
        </w:rPr>
        <w:t xml:space="preserve"> </w:t>
      </w:r>
      <w:r w:rsidRPr="00F7079B">
        <w:rPr>
          <w:rFonts w:eastAsia="Times New Roman"/>
          <w:i/>
          <w:color w:val="000000" w:themeColor="text1"/>
          <w:sz w:val="24"/>
          <w:szCs w:val="24"/>
        </w:rPr>
        <w:t>Characteristics of Australian Business (2018-19)</w:t>
      </w:r>
      <w:r w:rsidRPr="00F7079B">
        <w:rPr>
          <w:rFonts w:eastAsia="Times New Roman"/>
          <w:color w:val="000000" w:themeColor="text1"/>
          <w:sz w:val="24"/>
          <w:szCs w:val="24"/>
        </w:rPr>
        <w:t>, 8167.0.001 and 8167.0.008, Australian Government, 2020, accessed 29 January 2021</w:t>
      </w:r>
      <w:r w:rsidR="000314F7">
        <w:rPr>
          <w:rFonts w:eastAsia="Times New Roman"/>
          <w:color w:val="000000" w:themeColor="text1"/>
          <w:sz w:val="24"/>
          <w:szCs w:val="24"/>
        </w:rPr>
        <w:t xml:space="preserve"> </w:t>
      </w:r>
      <w:hyperlink r:id="rId23" w:history="1">
        <w:r w:rsidR="00DC776E" w:rsidRPr="000608AF">
          <w:rPr>
            <w:rStyle w:val="Hyperlink"/>
            <w:rFonts w:eastAsia="Times New Roman"/>
            <w:sz w:val="24"/>
            <w:szCs w:val="24"/>
          </w:rPr>
          <w:t>https://www.abs.gov.au/statistics/industry/technology-and-innovation/characteristics-australian-business/2018-19</w:t>
        </w:r>
      </w:hyperlink>
      <w:r w:rsidRPr="00F7079B">
        <w:rPr>
          <w:rFonts w:eastAsia="Times New Roman"/>
          <w:color w:val="000000" w:themeColor="text1"/>
          <w:sz w:val="24"/>
          <w:szCs w:val="24"/>
        </w:rPr>
        <w:t>.</w:t>
      </w:r>
    </w:p>
    <w:p w14:paraId="1A7CB834" w14:textId="5838ECB5" w:rsidR="00CD109C" w:rsidRPr="00F7079B" w:rsidRDefault="00CD109C" w:rsidP="005C326D">
      <w:pPr>
        <w:pStyle w:val="FootnoteText"/>
        <w:spacing w:after="120"/>
        <w:rPr>
          <w:rFonts w:eastAsia="Times New Roman"/>
          <w:color w:val="000000" w:themeColor="text1"/>
          <w:sz w:val="24"/>
          <w:szCs w:val="24"/>
        </w:rPr>
      </w:pPr>
      <w:r w:rsidRPr="00CD109C">
        <w:rPr>
          <w:rFonts w:eastAsia="Times New Roman"/>
          <w:color w:val="000000" w:themeColor="text1"/>
          <w:sz w:val="24"/>
          <w:szCs w:val="24"/>
        </w:rPr>
        <w:t xml:space="preserve">Australian Bureau of Statistics, </w:t>
      </w:r>
      <w:r w:rsidRPr="00CD109C">
        <w:rPr>
          <w:rFonts w:eastAsia="Times New Roman"/>
          <w:i/>
          <w:color w:val="000000" w:themeColor="text1"/>
          <w:sz w:val="24"/>
          <w:szCs w:val="24"/>
        </w:rPr>
        <w:t>Small Business in Australia</w:t>
      </w:r>
      <w:r w:rsidRPr="00CD109C">
        <w:rPr>
          <w:rFonts w:eastAsia="Times New Roman"/>
          <w:color w:val="000000" w:themeColor="text1"/>
          <w:sz w:val="24"/>
          <w:szCs w:val="24"/>
        </w:rPr>
        <w:t xml:space="preserve">, 1321.0, Australian Government, 2001, accessed 17 February 2021. </w:t>
      </w:r>
      <w:hyperlink r:id="rId24" w:history="1">
        <w:r w:rsidRPr="00CD109C">
          <w:rPr>
            <w:rStyle w:val="Hyperlink"/>
            <w:rFonts w:eastAsia="Times New Roman"/>
            <w:sz w:val="24"/>
            <w:szCs w:val="24"/>
          </w:rPr>
          <w:t>https://www.abs.gov.au/ausstats/abs@.nsf/mf/1321.0</w:t>
        </w:r>
      </w:hyperlink>
      <w:r w:rsidR="00BD1D78">
        <w:rPr>
          <w:rFonts w:eastAsia="Times New Roman"/>
          <w:color w:val="000000" w:themeColor="text1"/>
          <w:sz w:val="24"/>
          <w:szCs w:val="24"/>
        </w:rPr>
        <w:t>.</w:t>
      </w:r>
    </w:p>
    <w:p w14:paraId="2C11EAF7" w14:textId="41B27A5B" w:rsidR="004B3D37" w:rsidRPr="00F7079B" w:rsidRDefault="004B3D37" w:rsidP="005C326D">
      <w:pPr>
        <w:pStyle w:val="FootnoteText"/>
        <w:spacing w:after="120"/>
        <w:rPr>
          <w:sz w:val="24"/>
          <w:szCs w:val="24"/>
        </w:rPr>
      </w:pPr>
      <w:r w:rsidRPr="00F7079B">
        <w:rPr>
          <w:i/>
          <w:sz w:val="24"/>
          <w:szCs w:val="24"/>
        </w:rPr>
        <w:t>Australian Business Growth Fund (Coronavirus Economic Response Package) Act 2020</w:t>
      </w:r>
      <w:r w:rsidRPr="00F7079B">
        <w:rPr>
          <w:sz w:val="24"/>
          <w:szCs w:val="24"/>
        </w:rPr>
        <w:t>.</w:t>
      </w:r>
    </w:p>
    <w:p w14:paraId="466FC472" w14:textId="1B64BFE3" w:rsidR="004B3D37" w:rsidRPr="00F7079B" w:rsidRDefault="004B3D37" w:rsidP="005C326D">
      <w:pPr>
        <w:pStyle w:val="FootnoteText"/>
        <w:spacing w:after="120"/>
        <w:rPr>
          <w:iCs/>
          <w:sz w:val="24"/>
          <w:szCs w:val="24"/>
        </w:rPr>
      </w:pPr>
      <w:r w:rsidRPr="00F7079B">
        <w:rPr>
          <w:i/>
          <w:iCs/>
          <w:sz w:val="24"/>
          <w:szCs w:val="24"/>
        </w:rPr>
        <w:t xml:space="preserve">Australian Mud Company Pty Ltd v Coretell Pty Ltd (No 7) </w:t>
      </w:r>
      <w:hyperlink r:id="rId25" w:history="1">
        <w:r w:rsidRPr="00F7079B">
          <w:rPr>
            <w:rStyle w:val="Hyperlink"/>
            <w:iCs/>
            <w:color w:val="auto"/>
            <w:sz w:val="24"/>
            <w:szCs w:val="24"/>
            <w:u w:val="none"/>
          </w:rPr>
          <w:t>[2016] FCA 991</w:t>
        </w:r>
      </w:hyperlink>
      <w:r w:rsidRPr="00F7079B">
        <w:rPr>
          <w:iCs/>
          <w:sz w:val="24"/>
          <w:szCs w:val="24"/>
        </w:rPr>
        <w:t>.</w:t>
      </w:r>
    </w:p>
    <w:p w14:paraId="3A4D0F7B" w14:textId="6316EADE" w:rsidR="007D1DDC" w:rsidRPr="00F7079B" w:rsidRDefault="007D1DDC" w:rsidP="005C326D">
      <w:pPr>
        <w:pStyle w:val="FootnoteText"/>
        <w:spacing w:after="120"/>
        <w:rPr>
          <w:iCs/>
          <w:sz w:val="24"/>
          <w:szCs w:val="24"/>
        </w:rPr>
      </w:pPr>
      <w:r w:rsidRPr="007D1DDC">
        <w:rPr>
          <w:iCs/>
          <w:sz w:val="24"/>
          <w:szCs w:val="24"/>
        </w:rPr>
        <w:t xml:space="preserve">Australian Small Business and Family Enterprise Ombudsman, </w:t>
      </w:r>
      <w:r w:rsidRPr="005E62C0">
        <w:rPr>
          <w:i/>
          <w:sz w:val="24"/>
          <w:szCs w:val="24"/>
        </w:rPr>
        <w:t>Outdated court system is failing small businesses: Ombudsman</w:t>
      </w:r>
      <w:r w:rsidRPr="007D1DDC">
        <w:rPr>
          <w:iCs/>
          <w:sz w:val="24"/>
          <w:szCs w:val="24"/>
        </w:rPr>
        <w:t xml:space="preserve">, Australian Small Business and Family Enterprise Ombudsman website, 1 December 2020. </w:t>
      </w:r>
      <w:hyperlink r:id="rId26" w:history="1">
        <w:r w:rsidRPr="007D1DDC">
          <w:rPr>
            <w:rStyle w:val="Hyperlink"/>
            <w:iCs/>
            <w:sz w:val="24"/>
            <w:szCs w:val="24"/>
          </w:rPr>
          <w:t>https://www.asbfeo.gov.au/news/news-articles/outdated-court-system-failing-small-businesses-ombudsman</w:t>
        </w:r>
      </w:hyperlink>
      <w:r w:rsidRPr="007D1DDC">
        <w:rPr>
          <w:iCs/>
          <w:sz w:val="24"/>
          <w:szCs w:val="24"/>
        </w:rPr>
        <w:t>.</w:t>
      </w:r>
    </w:p>
    <w:p w14:paraId="011EF5D9" w14:textId="77777777" w:rsidR="002C68AA" w:rsidRDefault="002C68AA" w:rsidP="00F6561C">
      <w:pPr>
        <w:pStyle w:val="FootnoteText"/>
        <w:spacing w:after="120"/>
        <w:rPr>
          <w:sz w:val="24"/>
          <w:szCs w:val="24"/>
        </w:rPr>
      </w:pPr>
      <w:r w:rsidRPr="00F7079B">
        <w:rPr>
          <w:sz w:val="24"/>
          <w:szCs w:val="24"/>
        </w:rPr>
        <w:lastRenderedPageBreak/>
        <w:t xml:space="preserve">Birss, the Hon Justice Colin, ‘To boldly reform IP dispute resolution’, </w:t>
      </w:r>
      <w:r w:rsidRPr="00F7079B">
        <w:rPr>
          <w:i/>
          <w:sz w:val="24"/>
          <w:szCs w:val="24"/>
        </w:rPr>
        <w:t>Australian Intellectual Property Journal</w:t>
      </w:r>
      <w:r w:rsidRPr="00F7079B">
        <w:rPr>
          <w:sz w:val="24"/>
          <w:szCs w:val="24"/>
        </w:rPr>
        <w:t xml:space="preserve">, 2016, 27(1):10. </w:t>
      </w:r>
    </w:p>
    <w:p w14:paraId="74C1799A" w14:textId="7235EFCF" w:rsidR="00302D88" w:rsidRPr="00F7079B" w:rsidRDefault="00302D88" w:rsidP="00F6561C">
      <w:pPr>
        <w:pStyle w:val="FootnoteText"/>
        <w:spacing w:after="120"/>
        <w:rPr>
          <w:sz w:val="24"/>
          <w:szCs w:val="24"/>
        </w:rPr>
      </w:pPr>
      <w:r w:rsidRPr="00302D88">
        <w:rPr>
          <w:sz w:val="24"/>
          <w:szCs w:val="24"/>
        </w:rPr>
        <w:t xml:space="preserve">Boult Wade Tennant, </w:t>
      </w:r>
      <w:r w:rsidRPr="00302D88">
        <w:rPr>
          <w:i/>
          <w:sz w:val="24"/>
          <w:szCs w:val="24"/>
        </w:rPr>
        <w:t>Insights: UKIPO opinions service</w:t>
      </w:r>
      <w:r w:rsidRPr="00302D88">
        <w:rPr>
          <w:sz w:val="24"/>
          <w:szCs w:val="24"/>
        </w:rPr>
        <w:t xml:space="preserve">, Boult Wade Tennant website, accessed 17 February 2021. </w:t>
      </w:r>
      <w:hyperlink r:id="rId27" w:history="1">
        <w:r w:rsidRPr="00302D88">
          <w:rPr>
            <w:rStyle w:val="Hyperlink"/>
            <w:sz w:val="24"/>
            <w:szCs w:val="24"/>
          </w:rPr>
          <w:t>https://www.boult.com/bulletins/ukipo-opinions-service/</w:t>
        </w:r>
      </w:hyperlink>
      <w:r w:rsidRPr="00302D88">
        <w:rPr>
          <w:sz w:val="24"/>
          <w:szCs w:val="24"/>
        </w:rPr>
        <w:t>.</w:t>
      </w:r>
    </w:p>
    <w:p w14:paraId="47A73D0A" w14:textId="119C08AB" w:rsidR="00D10970" w:rsidRDefault="00D10970" w:rsidP="00450BEB">
      <w:pPr>
        <w:pStyle w:val="FootnoteText"/>
        <w:spacing w:after="120"/>
        <w:rPr>
          <w:sz w:val="24"/>
          <w:szCs w:val="24"/>
        </w:rPr>
      </w:pPr>
      <w:r>
        <w:rPr>
          <w:sz w:val="24"/>
          <w:szCs w:val="24"/>
        </w:rPr>
        <w:t xml:space="preserve">Cash, </w:t>
      </w:r>
      <w:r w:rsidRPr="00F7079B">
        <w:rPr>
          <w:sz w:val="24"/>
          <w:szCs w:val="24"/>
        </w:rPr>
        <w:t>Senat</w:t>
      </w:r>
      <w:r>
        <w:rPr>
          <w:sz w:val="24"/>
          <w:szCs w:val="24"/>
        </w:rPr>
        <w:t xml:space="preserve">or the Hon Michaelia, </w:t>
      </w:r>
      <w:r w:rsidRPr="00D10970">
        <w:rPr>
          <w:sz w:val="24"/>
          <w:szCs w:val="24"/>
        </w:rPr>
        <w:t>Minister for Employment, Skills, Small and Family Business</w:t>
      </w:r>
      <w:r w:rsidRPr="00F7079B">
        <w:rPr>
          <w:sz w:val="24"/>
          <w:szCs w:val="24"/>
        </w:rPr>
        <w:t xml:space="preserve">, </w:t>
      </w:r>
      <w:r w:rsidRPr="00D10970">
        <w:rPr>
          <w:i/>
          <w:sz w:val="24"/>
          <w:szCs w:val="24"/>
          <w:lang w:val="en"/>
        </w:rPr>
        <w:t>Regional start-up hubs get a boost from Government</w:t>
      </w:r>
      <w:r w:rsidRPr="00F7079B">
        <w:rPr>
          <w:sz w:val="24"/>
          <w:szCs w:val="24"/>
        </w:rPr>
        <w:t xml:space="preserve"> [media relea</w:t>
      </w:r>
      <w:r>
        <w:rPr>
          <w:sz w:val="24"/>
          <w:szCs w:val="24"/>
        </w:rPr>
        <w:t>se], Parliament of Australia, 29 May 2018</w:t>
      </w:r>
      <w:r w:rsidRPr="00F7079B">
        <w:rPr>
          <w:sz w:val="24"/>
          <w:szCs w:val="24"/>
        </w:rPr>
        <w:t>.</w:t>
      </w:r>
    </w:p>
    <w:p w14:paraId="61C44AC7" w14:textId="1FD7E25D" w:rsidR="004B3D37" w:rsidRDefault="004B3D37" w:rsidP="00450BEB">
      <w:pPr>
        <w:pStyle w:val="FootnoteText"/>
        <w:spacing w:after="120"/>
        <w:rPr>
          <w:sz w:val="24"/>
          <w:szCs w:val="24"/>
        </w:rPr>
      </w:pPr>
      <w:r w:rsidRPr="00F7079B">
        <w:rPr>
          <w:sz w:val="24"/>
          <w:szCs w:val="24"/>
        </w:rPr>
        <w:t xml:space="preserve">Clarke Willmott, ‘Top 10 tips to reduce the cost of IP Litigation’, </w:t>
      </w:r>
      <w:r w:rsidRPr="00F7079B">
        <w:rPr>
          <w:i/>
          <w:sz w:val="24"/>
          <w:szCs w:val="24"/>
        </w:rPr>
        <w:t>Clarke Willmott</w:t>
      </w:r>
      <w:r w:rsidRPr="00F7079B">
        <w:rPr>
          <w:sz w:val="24"/>
          <w:szCs w:val="24"/>
        </w:rPr>
        <w:t xml:space="preserve">, 27 January 2014, accessed 8 January 2021. </w:t>
      </w:r>
      <w:hyperlink r:id="rId28">
        <w:r w:rsidR="00F70970" w:rsidRPr="0A6CCF7B">
          <w:rPr>
            <w:rStyle w:val="Hyperlink"/>
            <w:sz w:val="24"/>
            <w:szCs w:val="24"/>
          </w:rPr>
          <w:t>https://www.clarkewillmott.com/news/top-10-tips-to-reduce-the-cost-of-ip-litigation/</w:t>
        </w:r>
      </w:hyperlink>
      <w:r w:rsidRPr="0A6CCF7B">
        <w:rPr>
          <w:sz w:val="24"/>
          <w:szCs w:val="24"/>
        </w:rPr>
        <w:t>.</w:t>
      </w:r>
    </w:p>
    <w:p w14:paraId="0F88A247" w14:textId="77777777" w:rsidR="00DC776E" w:rsidRPr="00DC776E" w:rsidRDefault="00DC776E" w:rsidP="00DC776E">
      <w:pPr>
        <w:pStyle w:val="FootnoteText"/>
        <w:spacing w:after="120"/>
        <w:rPr>
          <w:sz w:val="24"/>
          <w:szCs w:val="24"/>
        </w:rPr>
      </w:pPr>
      <w:r w:rsidRPr="00DC776E">
        <w:rPr>
          <w:i/>
          <w:sz w:val="24"/>
          <w:szCs w:val="24"/>
        </w:rPr>
        <w:t xml:space="preserve">Comandate Marine Corp v Pan Australia Shipping Pty Ltd </w:t>
      </w:r>
      <w:r w:rsidRPr="00DC776E">
        <w:rPr>
          <w:sz w:val="24"/>
          <w:szCs w:val="24"/>
        </w:rPr>
        <w:t>[2006] FCAFC 192.</w:t>
      </w:r>
    </w:p>
    <w:p w14:paraId="3489ACA0" w14:textId="56F8B5DD" w:rsidR="004B3D37" w:rsidRPr="00F7079B" w:rsidRDefault="004B3D37" w:rsidP="00450BEB">
      <w:pPr>
        <w:pStyle w:val="FootnoteText"/>
        <w:spacing w:after="120"/>
        <w:rPr>
          <w:rStyle w:val="Hyperlink"/>
          <w:sz w:val="24"/>
          <w:szCs w:val="24"/>
        </w:rPr>
      </w:pPr>
      <w:r w:rsidRPr="00F7079B">
        <w:rPr>
          <w:sz w:val="24"/>
          <w:szCs w:val="24"/>
        </w:rPr>
        <w:t xml:space="preserve">CPR Insurance Services, </w:t>
      </w:r>
      <w:r w:rsidRPr="00F7079B">
        <w:rPr>
          <w:i/>
          <w:sz w:val="24"/>
          <w:szCs w:val="24"/>
        </w:rPr>
        <w:t xml:space="preserve">Patent </w:t>
      </w:r>
      <w:r w:rsidR="00E56408" w:rsidRPr="00F7079B">
        <w:rPr>
          <w:i/>
          <w:sz w:val="24"/>
          <w:szCs w:val="24"/>
        </w:rPr>
        <w:t>i</w:t>
      </w:r>
      <w:r w:rsidRPr="00F7079B">
        <w:rPr>
          <w:i/>
          <w:sz w:val="24"/>
          <w:szCs w:val="24"/>
        </w:rPr>
        <w:t xml:space="preserve">nsurance, </w:t>
      </w:r>
      <w:r w:rsidRPr="00F7079B">
        <w:rPr>
          <w:sz w:val="24"/>
          <w:szCs w:val="24"/>
        </w:rPr>
        <w:t xml:space="preserve">CPR Insurance Services website, n.d., accessed </w:t>
      </w:r>
      <w:r w:rsidR="00F03FD7" w:rsidRPr="00F7079B">
        <w:rPr>
          <w:sz w:val="24"/>
          <w:szCs w:val="24"/>
        </w:rPr>
        <w:t>8 </w:t>
      </w:r>
      <w:r w:rsidRPr="00F7079B">
        <w:rPr>
          <w:sz w:val="24"/>
          <w:szCs w:val="24"/>
        </w:rPr>
        <w:t xml:space="preserve">January 2021. </w:t>
      </w:r>
      <w:hyperlink r:id="rId29">
        <w:r w:rsidR="001C3801" w:rsidRPr="0A6CCF7B">
          <w:rPr>
            <w:rStyle w:val="Hyperlink"/>
            <w:sz w:val="24"/>
            <w:szCs w:val="24"/>
          </w:rPr>
          <w:t>http://www.professionalrisk.com.au/pages/types-of-cover/patent-insurance.php</w:t>
        </w:r>
      </w:hyperlink>
      <w:r w:rsidRPr="0A6CCF7B" w:rsidDel="001C3801">
        <w:rPr>
          <w:sz w:val="24"/>
          <w:szCs w:val="24"/>
        </w:rPr>
        <w:t>.</w:t>
      </w:r>
    </w:p>
    <w:p w14:paraId="61F7774C" w14:textId="7AC90300" w:rsidR="002C68AA" w:rsidRPr="00F7079B" w:rsidRDefault="002C68AA" w:rsidP="00F6561C">
      <w:pPr>
        <w:pStyle w:val="FootnoteText"/>
        <w:spacing w:after="120"/>
        <w:rPr>
          <w:sz w:val="24"/>
          <w:szCs w:val="24"/>
        </w:rPr>
      </w:pPr>
      <w:r w:rsidRPr="00F7079B">
        <w:rPr>
          <w:i/>
          <w:sz w:val="24"/>
          <w:szCs w:val="24"/>
        </w:rPr>
        <w:t>Cunningham v Nokia Corporation</w:t>
      </w:r>
      <w:r w:rsidRPr="00F7079B">
        <w:rPr>
          <w:sz w:val="24"/>
          <w:szCs w:val="24"/>
        </w:rPr>
        <w:t xml:space="preserve"> [2008] EWHC 1174 (Ch)</w:t>
      </w:r>
      <w:r w:rsidR="001C3801" w:rsidRPr="00F7079B">
        <w:rPr>
          <w:sz w:val="24"/>
          <w:szCs w:val="24"/>
        </w:rPr>
        <w:t>.</w:t>
      </w:r>
    </w:p>
    <w:p w14:paraId="20B04B2C" w14:textId="585D003D" w:rsidR="004B3D37" w:rsidRPr="00F7079B" w:rsidRDefault="004B3D37" w:rsidP="00450BEB">
      <w:pPr>
        <w:pStyle w:val="FootnoteText"/>
        <w:spacing w:after="120"/>
        <w:rPr>
          <w:sz w:val="24"/>
          <w:szCs w:val="24"/>
        </w:rPr>
      </w:pPr>
      <w:r w:rsidRPr="00F7079B">
        <w:rPr>
          <w:sz w:val="24"/>
          <w:szCs w:val="24"/>
        </w:rPr>
        <w:t xml:space="preserve">D Young &amp; Co, </w:t>
      </w:r>
      <w:r w:rsidRPr="00F7079B">
        <w:rPr>
          <w:i/>
          <w:sz w:val="24"/>
          <w:szCs w:val="24"/>
        </w:rPr>
        <w:t xml:space="preserve">Guide to </w:t>
      </w:r>
      <w:r w:rsidR="00AA2320" w:rsidRPr="00F7079B">
        <w:rPr>
          <w:i/>
          <w:sz w:val="24"/>
          <w:szCs w:val="24"/>
        </w:rPr>
        <w:t>p</w:t>
      </w:r>
      <w:r w:rsidRPr="00F7079B">
        <w:rPr>
          <w:i/>
          <w:sz w:val="24"/>
          <w:szCs w:val="24"/>
        </w:rPr>
        <w:t xml:space="preserve">atent </w:t>
      </w:r>
      <w:r w:rsidR="00AA2320" w:rsidRPr="00F7079B">
        <w:rPr>
          <w:i/>
          <w:sz w:val="24"/>
          <w:szCs w:val="24"/>
        </w:rPr>
        <w:t>l</w:t>
      </w:r>
      <w:r w:rsidRPr="00F7079B">
        <w:rPr>
          <w:i/>
          <w:sz w:val="24"/>
          <w:szCs w:val="24"/>
        </w:rPr>
        <w:t>itigation in Germany</w:t>
      </w:r>
      <w:r w:rsidRPr="00F7079B">
        <w:rPr>
          <w:sz w:val="24"/>
          <w:szCs w:val="24"/>
        </w:rPr>
        <w:t xml:space="preserve">, D Young &amp; Co website, n.d., accessed </w:t>
      </w:r>
      <w:r w:rsidR="00F03FD7" w:rsidRPr="00F7079B">
        <w:rPr>
          <w:sz w:val="24"/>
          <w:szCs w:val="24"/>
        </w:rPr>
        <w:t>8 </w:t>
      </w:r>
      <w:r w:rsidRPr="00F7079B">
        <w:rPr>
          <w:sz w:val="24"/>
          <w:szCs w:val="24"/>
        </w:rPr>
        <w:t>January 2021.</w:t>
      </w:r>
      <w:r w:rsidR="00DF4449" w:rsidRPr="00F7079B">
        <w:rPr>
          <w:sz w:val="24"/>
          <w:szCs w:val="24"/>
        </w:rPr>
        <w:t xml:space="preserve"> </w:t>
      </w:r>
      <w:hyperlink r:id="rId30">
        <w:r w:rsidR="00DF4449" w:rsidRPr="0A6CCF7B">
          <w:rPr>
            <w:rStyle w:val="Hyperlink"/>
            <w:sz w:val="24"/>
            <w:szCs w:val="24"/>
          </w:rPr>
          <w:t>https://www.dyoung.com/en/knowledgebank/faqs-and-guides/faq-patent-litigation-germany</w:t>
        </w:r>
      </w:hyperlink>
      <w:r w:rsidRPr="0A6CCF7B">
        <w:rPr>
          <w:sz w:val="24"/>
          <w:szCs w:val="24"/>
        </w:rPr>
        <w:t>.</w:t>
      </w:r>
    </w:p>
    <w:p w14:paraId="5445E733" w14:textId="69BED960" w:rsidR="00400EB6" w:rsidRPr="00F7079B" w:rsidRDefault="00400EB6" w:rsidP="00F6561C">
      <w:pPr>
        <w:pStyle w:val="FootnoteText"/>
        <w:spacing w:after="120"/>
        <w:rPr>
          <w:sz w:val="24"/>
          <w:szCs w:val="24"/>
        </w:rPr>
      </w:pPr>
      <w:r w:rsidRPr="00F7079B">
        <w:rPr>
          <w:sz w:val="24"/>
          <w:szCs w:val="24"/>
        </w:rPr>
        <w:t xml:space="preserve">DISER (Department of Industry, Science, Energy and Resources), </w:t>
      </w:r>
      <w:r w:rsidRPr="00F7079B">
        <w:rPr>
          <w:i/>
          <w:sz w:val="24"/>
          <w:szCs w:val="24"/>
        </w:rPr>
        <w:t xml:space="preserve">Accelerating commercialisation: expert advice and funding on how to take your innovation to market, </w:t>
      </w:r>
      <w:r w:rsidRPr="00F7079B">
        <w:rPr>
          <w:sz w:val="24"/>
          <w:szCs w:val="24"/>
        </w:rPr>
        <w:t>DISER website, 2020, accessed 15 December 2020.</w:t>
      </w:r>
    </w:p>
    <w:p w14:paraId="480CC063" w14:textId="43CA7971" w:rsidR="000764CC" w:rsidRPr="00F7079B" w:rsidRDefault="000764CC" w:rsidP="00377183">
      <w:pPr>
        <w:pStyle w:val="FootnoteText"/>
        <w:spacing w:after="120"/>
        <w:rPr>
          <w:sz w:val="24"/>
          <w:szCs w:val="24"/>
        </w:rPr>
      </w:pPr>
      <w:r w:rsidRPr="00F7079B">
        <w:rPr>
          <w:sz w:val="24"/>
          <w:szCs w:val="24"/>
        </w:rPr>
        <w:t xml:space="preserve">DISER, </w:t>
      </w:r>
      <w:r w:rsidRPr="00F7079B">
        <w:rPr>
          <w:i/>
          <w:sz w:val="24"/>
          <w:szCs w:val="24"/>
        </w:rPr>
        <w:t xml:space="preserve">Accelerating Commercialisation Grant Opportunity </w:t>
      </w:r>
      <w:r w:rsidR="00864D45" w:rsidRPr="00F7079B">
        <w:rPr>
          <w:i/>
          <w:sz w:val="24"/>
          <w:szCs w:val="24"/>
        </w:rPr>
        <w:t>g</w:t>
      </w:r>
      <w:r w:rsidRPr="00F7079B">
        <w:rPr>
          <w:i/>
          <w:sz w:val="24"/>
          <w:szCs w:val="24"/>
        </w:rPr>
        <w:t>uidelines</w:t>
      </w:r>
      <w:r w:rsidRPr="00F7079B">
        <w:rPr>
          <w:sz w:val="24"/>
          <w:szCs w:val="24"/>
        </w:rPr>
        <w:t xml:space="preserve">, DISER, 2020, accessed 15 December 2020. </w:t>
      </w:r>
      <w:hyperlink r:id="rId31">
        <w:r w:rsidR="001C3801" w:rsidRPr="0A6CCF7B">
          <w:rPr>
            <w:rStyle w:val="Hyperlink"/>
            <w:sz w:val="24"/>
            <w:szCs w:val="24"/>
          </w:rPr>
          <w:t>https://business.gov.au/-/media/grants-and-programs/ac/accelerating-commercialisation-grant-opportunity-guidelines-pdf.ashx?sc_lang=en&amp;hash=637E65B420A62E330D56FA87AB524478</w:t>
        </w:r>
      </w:hyperlink>
      <w:r w:rsidRPr="0A6CCF7B">
        <w:rPr>
          <w:sz w:val="24"/>
          <w:szCs w:val="24"/>
        </w:rPr>
        <w:t>.</w:t>
      </w:r>
    </w:p>
    <w:p w14:paraId="5F0B03B4" w14:textId="6379D503" w:rsidR="004B3D37" w:rsidRPr="00F7079B" w:rsidRDefault="007516A1" w:rsidP="00C070E6">
      <w:pPr>
        <w:pStyle w:val="FootnoteText"/>
        <w:spacing w:after="120"/>
        <w:rPr>
          <w:sz w:val="24"/>
          <w:szCs w:val="24"/>
        </w:rPr>
      </w:pPr>
      <w:r w:rsidRPr="00F7079B">
        <w:rPr>
          <w:sz w:val="24"/>
          <w:szCs w:val="24"/>
        </w:rPr>
        <w:t>DISER</w:t>
      </w:r>
      <w:r w:rsidR="00DF4449" w:rsidRPr="00F7079B">
        <w:rPr>
          <w:sz w:val="24"/>
          <w:szCs w:val="24"/>
        </w:rPr>
        <w:t>,</w:t>
      </w:r>
      <w:r w:rsidRPr="00F7079B">
        <w:rPr>
          <w:sz w:val="24"/>
          <w:szCs w:val="24"/>
        </w:rPr>
        <w:t xml:space="preserve"> </w:t>
      </w:r>
      <w:r w:rsidR="004B3D37" w:rsidRPr="00F7079B">
        <w:rPr>
          <w:i/>
          <w:iCs/>
          <w:sz w:val="24"/>
          <w:szCs w:val="24"/>
        </w:rPr>
        <w:t xml:space="preserve">Australian Government response to the Productivity Commission Inquiry into IP Arrangements, </w:t>
      </w:r>
      <w:r w:rsidR="004B3D37" w:rsidRPr="00F7079B">
        <w:rPr>
          <w:sz w:val="24"/>
          <w:szCs w:val="24"/>
        </w:rPr>
        <w:t>DISER, Australian Government, 2017.</w:t>
      </w:r>
    </w:p>
    <w:p w14:paraId="23FACA21" w14:textId="21B27D49" w:rsidR="00DF4449" w:rsidRDefault="00DF4449" w:rsidP="00C070E6">
      <w:pPr>
        <w:pStyle w:val="FootnoteText"/>
        <w:spacing w:after="120"/>
        <w:rPr>
          <w:sz w:val="24"/>
          <w:szCs w:val="24"/>
        </w:rPr>
      </w:pPr>
      <w:r w:rsidRPr="00F7079B">
        <w:rPr>
          <w:sz w:val="24"/>
          <w:szCs w:val="24"/>
        </w:rPr>
        <w:t xml:space="preserve">DISER, </w:t>
      </w:r>
      <w:r w:rsidRPr="00F7079B">
        <w:rPr>
          <w:i/>
          <w:sz w:val="24"/>
          <w:szCs w:val="24"/>
        </w:rPr>
        <w:t>Commercialising business ideas: public consultation report</w:t>
      </w:r>
      <w:r w:rsidRPr="00F7079B">
        <w:rPr>
          <w:sz w:val="24"/>
          <w:szCs w:val="24"/>
        </w:rPr>
        <w:t>, DISER, Australian Government, 2019.</w:t>
      </w:r>
    </w:p>
    <w:p w14:paraId="5323DF76" w14:textId="0515233B" w:rsidR="00DC776E" w:rsidRPr="00F7079B" w:rsidRDefault="00DC776E" w:rsidP="00C070E6">
      <w:pPr>
        <w:pStyle w:val="FootnoteText"/>
        <w:spacing w:after="120"/>
        <w:rPr>
          <w:sz w:val="24"/>
          <w:szCs w:val="24"/>
        </w:rPr>
      </w:pPr>
      <w:r w:rsidRPr="00DC776E">
        <w:rPr>
          <w:sz w:val="24"/>
          <w:szCs w:val="24"/>
        </w:rPr>
        <w:t xml:space="preserve">DISER, ‘Incubator Support – New and Existing Incubators’, </w:t>
      </w:r>
      <w:r w:rsidRPr="00DC776E">
        <w:rPr>
          <w:i/>
          <w:iCs/>
          <w:sz w:val="24"/>
          <w:szCs w:val="24"/>
        </w:rPr>
        <w:t xml:space="preserve">Grants &amp; Programs, </w:t>
      </w:r>
      <w:r w:rsidRPr="00DC776E">
        <w:rPr>
          <w:sz w:val="24"/>
          <w:szCs w:val="24"/>
        </w:rPr>
        <w:t>business.gov.au</w:t>
      </w:r>
      <w:r w:rsidRPr="00DC776E">
        <w:rPr>
          <w:i/>
          <w:iCs/>
          <w:sz w:val="24"/>
          <w:szCs w:val="24"/>
        </w:rPr>
        <w:t xml:space="preserve">, </w:t>
      </w:r>
      <w:r w:rsidRPr="00DC776E">
        <w:rPr>
          <w:sz w:val="24"/>
          <w:szCs w:val="24"/>
        </w:rPr>
        <w:t xml:space="preserve">20 January 2021, accessed 25 January 2021. </w:t>
      </w:r>
      <w:hyperlink r:id="rId32" w:history="1">
        <w:r w:rsidRPr="00DC776E">
          <w:rPr>
            <w:rStyle w:val="Hyperlink"/>
            <w:sz w:val="24"/>
            <w:szCs w:val="24"/>
          </w:rPr>
          <w:t>https://www.business.gov.au/grants-and-programs/incubator-support-new-and-existing-incubators</w:t>
        </w:r>
      </w:hyperlink>
      <w:r w:rsidRPr="005E62C0">
        <w:rPr>
          <w:sz w:val="24"/>
          <w:szCs w:val="24"/>
        </w:rPr>
        <w:t>.</w:t>
      </w:r>
    </w:p>
    <w:p w14:paraId="1E0D1246" w14:textId="7247DA09" w:rsidR="00227B6B" w:rsidRPr="00F7079B" w:rsidRDefault="00400EB6" w:rsidP="00FD5651">
      <w:pPr>
        <w:pStyle w:val="FootnoteText"/>
        <w:spacing w:after="120"/>
        <w:rPr>
          <w:sz w:val="24"/>
          <w:szCs w:val="24"/>
        </w:rPr>
      </w:pPr>
      <w:r w:rsidRPr="00F7079B">
        <w:rPr>
          <w:sz w:val="24"/>
          <w:szCs w:val="24"/>
        </w:rPr>
        <w:t xml:space="preserve">DISER (2020) </w:t>
      </w:r>
      <w:r w:rsidRPr="00F7079B">
        <w:rPr>
          <w:i/>
          <w:sz w:val="24"/>
          <w:szCs w:val="24"/>
        </w:rPr>
        <w:t xml:space="preserve">Innovation and Science Australia: </w:t>
      </w:r>
      <w:r w:rsidR="006C1374" w:rsidRPr="00F7079B">
        <w:rPr>
          <w:i/>
          <w:sz w:val="24"/>
          <w:szCs w:val="24"/>
        </w:rPr>
        <w:t>a</w:t>
      </w:r>
      <w:r w:rsidRPr="00F7079B">
        <w:rPr>
          <w:i/>
          <w:sz w:val="24"/>
          <w:szCs w:val="24"/>
        </w:rPr>
        <w:t>nnual report 2019–20</w:t>
      </w:r>
      <w:r w:rsidRPr="00F7079B">
        <w:rPr>
          <w:sz w:val="24"/>
          <w:szCs w:val="24"/>
        </w:rPr>
        <w:t xml:space="preserve">, DISER: Canberra. </w:t>
      </w:r>
      <w:hyperlink r:id="rId33">
        <w:r w:rsidRPr="0A6CCF7B">
          <w:rPr>
            <w:rStyle w:val="Hyperlink"/>
            <w:sz w:val="24"/>
            <w:szCs w:val="24"/>
          </w:rPr>
          <w:t>https://www.industry.gov.au/sites/default/files/2020-11/innovation-and-science-australia-annual-report-2019-20.pdf</w:t>
        </w:r>
      </w:hyperlink>
      <w:r w:rsidRPr="0A6CCF7B">
        <w:rPr>
          <w:sz w:val="24"/>
          <w:szCs w:val="24"/>
        </w:rPr>
        <w:t>.</w:t>
      </w:r>
      <w:r w:rsidR="00227B6B" w:rsidRPr="0A6CCF7B">
        <w:rPr>
          <w:sz w:val="24"/>
          <w:szCs w:val="24"/>
        </w:rPr>
        <w:t xml:space="preserve"> </w:t>
      </w:r>
    </w:p>
    <w:p w14:paraId="78794EB8" w14:textId="2A019B1F" w:rsidR="00400EB6" w:rsidRPr="00F7079B" w:rsidRDefault="00400EB6" w:rsidP="00F6561C">
      <w:pPr>
        <w:pStyle w:val="FootnoteText"/>
        <w:spacing w:after="120"/>
        <w:rPr>
          <w:sz w:val="24"/>
          <w:szCs w:val="24"/>
        </w:rPr>
      </w:pPr>
      <w:r w:rsidRPr="00F7079B">
        <w:rPr>
          <w:sz w:val="24"/>
          <w:szCs w:val="24"/>
        </w:rPr>
        <w:t xml:space="preserve">DISER, </w:t>
      </w:r>
      <w:r w:rsidRPr="00F7079B">
        <w:rPr>
          <w:i/>
          <w:sz w:val="24"/>
          <w:szCs w:val="24"/>
        </w:rPr>
        <w:t>Modern Manufacturing Initiative and National Manufacturing Priorities announced</w:t>
      </w:r>
      <w:r w:rsidRPr="00F7079B">
        <w:rPr>
          <w:sz w:val="24"/>
          <w:szCs w:val="24"/>
        </w:rPr>
        <w:t xml:space="preserve">, </w:t>
      </w:r>
      <w:r w:rsidRPr="00F7079B">
        <w:rPr>
          <w:iCs/>
          <w:sz w:val="24"/>
          <w:szCs w:val="24"/>
        </w:rPr>
        <w:t>DISER</w:t>
      </w:r>
      <w:r w:rsidRPr="00F7079B">
        <w:rPr>
          <w:i/>
          <w:sz w:val="24"/>
          <w:szCs w:val="24"/>
        </w:rPr>
        <w:t xml:space="preserve">, </w:t>
      </w:r>
      <w:r w:rsidRPr="00F7079B">
        <w:rPr>
          <w:sz w:val="24"/>
          <w:szCs w:val="24"/>
        </w:rPr>
        <w:t xml:space="preserve">1 October 2020, accessed 4 January 2021. </w:t>
      </w:r>
      <w:hyperlink r:id="rId34">
        <w:r w:rsidR="001C3801" w:rsidRPr="0A6CCF7B">
          <w:rPr>
            <w:rStyle w:val="Hyperlink"/>
            <w:sz w:val="24"/>
            <w:szCs w:val="24"/>
          </w:rPr>
          <w:t>https://www.industry.gov.au/news/modern-manufacturing-initiative-and-national-manufacturing-priorities-announced</w:t>
        </w:r>
      </w:hyperlink>
      <w:r w:rsidRPr="0A6CCF7B">
        <w:rPr>
          <w:sz w:val="24"/>
          <w:szCs w:val="24"/>
        </w:rPr>
        <w:t>.</w:t>
      </w:r>
    </w:p>
    <w:p w14:paraId="2E7EC072" w14:textId="5DB09821" w:rsidR="00227B6B" w:rsidRDefault="00400EB6" w:rsidP="00C070E6">
      <w:pPr>
        <w:pStyle w:val="FootnoteText"/>
        <w:spacing w:after="120"/>
        <w:rPr>
          <w:sz w:val="24"/>
          <w:szCs w:val="24"/>
        </w:rPr>
      </w:pPr>
      <w:r w:rsidRPr="00F7079B">
        <w:rPr>
          <w:sz w:val="24"/>
          <w:szCs w:val="24"/>
        </w:rPr>
        <w:lastRenderedPageBreak/>
        <w:t xml:space="preserve">DISER (2020) </w:t>
      </w:r>
      <w:r w:rsidRPr="00F7079B">
        <w:rPr>
          <w:i/>
          <w:sz w:val="24"/>
          <w:szCs w:val="24"/>
        </w:rPr>
        <w:t>Patents Accessibility Review,</w:t>
      </w:r>
      <w:r w:rsidRPr="00F7079B">
        <w:rPr>
          <w:sz w:val="24"/>
          <w:szCs w:val="24"/>
        </w:rPr>
        <w:t xml:space="preserve"> DISER website. </w:t>
      </w:r>
      <w:hyperlink r:id="rId35">
        <w:r w:rsidRPr="0A6CCF7B">
          <w:rPr>
            <w:rStyle w:val="Hyperlink"/>
            <w:sz w:val="24"/>
            <w:szCs w:val="24"/>
          </w:rPr>
          <w:t>https://consult.industry.gov.au/science-commercialisation/par/</w:t>
        </w:r>
      </w:hyperlink>
      <w:r w:rsidRPr="0A6CCF7B">
        <w:rPr>
          <w:sz w:val="24"/>
          <w:szCs w:val="24"/>
        </w:rPr>
        <w:t>.</w:t>
      </w:r>
      <w:r w:rsidR="00227B6B" w:rsidRPr="0A6CCF7B">
        <w:rPr>
          <w:sz w:val="24"/>
          <w:szCs w:val="24"/>
        </w:rPr>
        <w:t xml:space="preserve"> </w:t>
      </w:r>
    </w:p>
    <w:p w14:paraId="2865814F" w14:textId="5F460FEC" w:rsidR="003F2358" w:rsidRPr="00F7079B" w:rsidRDefault="004B3D37" w:rsidP="00C070E6">
      <w:pPr>
        <w:pStyle w:val="FootnoteText"/>
        <w:spacing w:after="120"/>
        <w:rPr>
          <w:sz w:val="24"/>
          <w:szCs w:val="24"/>
        </w:rPr>
      </w:pPr>
      <w:r w:rsidRPr="00F7079B">
        <w:rPr>
          <w:sz w:val="24"/>
          <w:szCs w:val="24"/>
        </w:rPr>
        <w:t xml:space="preserve">DISER, </w:t>
      </w:r>
      <w:r w:rsidRPr="00F7079B">
        <w:rPr>
          <w:i/>
          <w:sz w:val="24"/>
          <w:szCs w:val="24"/>
        </w:rPr>
        <w:t xml:space="preserve">Research and Development Tax Incentive: </w:t>
      </w:r>
      <w:r w:rsidR="000764CC" w:rsidRPr="00F7079B">
        <w:rPr>
          <w:i/>
          <w:sz w:val="24"/>
          <w:szCs w:val="24"/>
        </w:rPr>
        <w:t>o</w:t>
      </w:r>
      <w:r w:rsidRPr="00F7079B">
        <w:rPr>
          <w:i/>
          <w:sz w:val="24"/>
          <w:szCs w:val="24"/>
        </w:rPr>
        <w:t>ffset your R&amp;D costs to help innovate and grow your business</w:t>
      </w:r>
      <w:r w:rsidRPr="00F7079B">
        <w:rPr>
          <w:sz w:val="24"/>
          <w:szCs w:val="24"/>
        </w:rPr>
        <w:t xml:space="preserve">, DISER website, 2020, accessed 8 January 2021. </w:t>
      </w:r>
      <w:hyperlink r:id="rId36">
        <w:r w:rsidR="001950E1" w:rsidRPr="0A6CCF7B">
          <w:rPr>
            <w:rStyle w:val="Hyperlink"/>
            <w:sz w:val="24"/>
            <w:szCs w:val="24"/>
          </w:rPr>
          <w:t>https://business.gov.au/Grants-and-Programs/Research-and-Development-Tax-Incentive</w:t>
        </w:r>
      </w:hyperlink>
      <w:r w:rsidRPr="0A6CCF7B" w:rsidDel="003F2358">
        <w:rPr>
          <w:sz w:val="24"/>
          <w:szCs w:val="24"/>
        </w:rPr>
        <w:t>.</w:t>
      </w:r>
    </w:p>
    <w:p w14:paraId="15497746" w14:textId="3CE0E247" w:rsidR="003F2358" w:rsidRPr="00F7079B" w:rsidRDefault="003F2358" w:rsidP="003F2358">
      <w:pPr>
        <w:pStyle w:val="FootnoteText"/>
        <w:spacing w:after="120"/>
        <w:rPr>
          <w:sz w:val="24"/>
          <w:szCs w:val="24"/>
        </w:rPr>
      </w:pPr>
      <w:r w:rsidRPr="00F7079B">
        <w:rPr>
          <w:i/>
          <w:sz w:val="24"/>
          <w:szCs w:val="24"/>
        </w:rPr>
        <w:t>DLP Ltd, Re UK Intellectual Property Office Decision</w:t>
      </w:r>
      <w:r w:rsidRPr="00F7079B">
        <w:rPr>
          <w:sz w:val="24"/>
          <w:szCs w:val="24"/>
        </w:rPr>
        <w:t xml:space="preserve"> [2007] EWHC 2669 (Pat)</w:t>
      </w:r>
      <w:r w:rsidR="001C3801" w:rsidRPr="00F7079B">
        <w:rPr>
          <w:sz w:val="24"/>
          <w:szCs w:val="24"/>
        </w:rPr>
        <w:t>.</w:t>
      </w:r>
      <w:r w:rsidRPr="00F7079B">
        <w:rPr>
          <w:sz w:val="24"/>
          <w:szCs w:val="24"/>
        </w:rPr>
        <w:t xml:space="preserve"> </w:t>
      </w:r>
    </w:p>
    <w:p w14:paraId="06939A06" w14:textId="508B7BF0" w:rsidR="00DE668C" w:rsidRPr="00F7079B" w:rsidRDefault="00DE668C" w:rsidP="00C070E6">
      <w:pPr>
        <w:pStyle w:val="FootnoteText"/>
        <w:spacing w:after="120"/>
        <w:rPr>
          <w:sz w:val="24"/>
          <w:szCs w:val="24"/>
          <w:u w:val="single"/>
        </w:rPr>
      </w:pPr>
      <w:r w:rsidRPr="00F7079B">
        <w:rPr>
          <w:sz w:val="24"/>
          <w:szCs w:val="24"/>
        </w:rPr>
        <w:t xml:space="preserve">EPO (European Patent Office) and the EUIPO (European Union Intellectual Property Office), </w:t>
      </w:r>
      <w:r w:rsidRPr="00F7079B">
        <w:rPr>
          <w:i/>
          <w:sz w:val="24"/>
          <w:szCs w:val="24"/>
        </w:rPr>
        <w:t xml:space="preserve">High-growth firms and intellectual property rights: IPR profile of high-potential SMEs in Europe, </w:t>
      </w:r>
      <w:r w:rsidRPr="00F7079B">
        <w:rPr>
          <w:sz w:val="24"/>
          <w:szCs w:val="24"/>
        </w:rPr>
        <w:t xml:space="preserve">EPO and EUIPO, European Commission, 2019. </w:t>
      </w:r>
    </w:p>
    <w:p w14:paraId="2CF7D318" w14:textId="57668CF3" w:rsidR="004B3D37" w:rsidRPr="00F7079B" w:rsidRDefault="004B3D37" w:rsidP="00C070E6">
      <w:pPr>
        <w:pStyle w:val="FootnoteText"/>
        <w:spacing w:after="120"/>
        <w:rPr>
          <w:sz w:val="24"/>
          <w:szCs w:val="24"/>
        </w:rPr>
      </w:pPr>
      <w:r w:rsidRPr="00F7079B">
        <w:rPr>
          <w:sz w:val="24"/>
          <w:szCs w:val="24"/>
        </w:rPr>
        <w:t xml:space="preserve">European Commission, </w:t>
      </w:r>
      <w:r w:rsidRPr="00F7079B">
        <w:rPr>
          <w:i/>
          <w:sz w:val="24"/>
          <w:szCs w:val="24"/>
        </w:rPr>
        <w:t xml:space="preserve">Putting intellectual property at the service of SMEs to foster innovation and growth </w:t>
      </w:r>
      <w:r w:rsidRPr="00F7079B">
        <w:rPr>
          <w:sz w:val="24"/>
          <w:szCs w:val="24"/>
        </w:rPr>
        <w:t>[Commission Staff Working Document], SWD(2016)373/F1, 23 November 2016</w:t>
      </w:r>
      <w:r w:rsidR="00AA1BBD" w:rsidRPr="00F7079B">
        <w:rPr>
          <w:sz w:val="24"/>
          <w:szCs w:val="24"/>
        </w:rPr>
        <w:t>.</w:t>
      </w:r>
      <w:r w:rsidRPr="00F7079B">
        <w:rPr>
          <w:sz w:val="24"/>
          <w:szCs w:val="24"/>
        </w:rPr>
        <w:t xml:space="preserve"> </w:t>
      </w:r>
    </w:p>
    <w:p w14:paraId="3A6A173C" w14:textId="287492BA" w:rsidR="004B3D37" w:rsidRDefault="004B3D37" w:rsidP="00C070E6">
      <w:pPr>
        <w:pStyle w:val="FootnoteText"/>
        <w:spacing w:after="120"/>
        <w:rPr>
          <w:sz w:val="24"/>
          <w:szCs w:val="24"/>
        </w:rPr>
      </w:pPr>
      <w:r w:rsidRPr="00F7079B">
        <w:rPr>
          <w:sz w:val="24"/>
          <w:szCs w:val="24"/>
        </w:rPr>
        <w:t xml:space="preserve">Explanatory </w:t>
      </w:r>
      <w:r w:rsidR="00483C7D" w:rsidRPr="00F7079B">
        <w:rPr>
          <w:sz w:val="24"/>
          <w:szCs w:val="24"/>
        </w:rPr>
        <w:t>n</w:t>
      </w:r>
      <w:r w:rsidRPr="00F7079B">
        <w:rPr>
          <w:sz w:val="24"/>
          <w:szCs w:val="24"/>
        </w:rPr>
        <w:t xml:space="preserve">otes, </w:t>
      </w:r>
      <w:r w:rsidRPr="00F7079B">
        <w:rPr>
          <w:i/>
          <w:sz w:val="24"/>
          <w:szCs w:val="24"/>
        </w:rPr>
        <w:t xml:space="preserve">Patents Act 2004 </w:t>
      </w:r>
      <w:r w:rsidRPr="00F7079B">
        <w:rPr>
          <w:sz w:val="24"/>
          <w:szCs w:val="24"/>
        </w:rPr>
        <w:t>(UK)</w:t>
      </w:r>
      <w:r w:rsidR="0091784A" w:rsidRPr="00F7079B">
        <w:rPr>
          <w:sz w:val="24"/>
          <w:szCs w:val="24"/>
        </w:rPr>
        <w:t>.</w:t>
      </w:r>
      <w:r w:rsidRPr="00F7079B">
        <w:rPr>
          <w:sz w:val="24"/>
          <w:szCs w:val="24"/>
        </w:rPr>
        <w:t xml:space="preserve"> </w:t>
      </w:r>
    </w:p>
    <w:p w14:paraId="2F019ECE" w14:textId="49F39ED5" w:rsidR="00086E0F" w:rsidRPr="00F7079B" w:rsidRDefault="00086E0F" w:rsidP="00C070E6">
      <w:pPr>
        <w:pStyle w:val="FootnoteText"/>
        <w:spacing w:after="120"/>
        <w:rPr>
          <w:sz w:val="24"/>
          <w:szCs w:val="24"/>
        </w:rPr>
      </w:pPr>
      <w:r w:rsidRPr="00086E0F">
        <w:rPr>
          <w:i/>
          <w:sz w:val="24"/>
          <w:szCs w:val="24"/>
        </w:rPr>
        <w:t>Federal Court of Australia Act 1976</w:t>
      </w:r>
      <w:r>
        <w:rPr>
          <w:i/>
          <w:sz w:val="24"/>
          <w:szCs w:val="24"/>
        </w:rPr>
        <w:t>.</w:t>
      </w:r>
    </w:p>
    <w:p w14:paraId="130A38A2" w14:textId="274A6175" w:rsidR="004B3D37" w:rsidRPr="00F7079B" w:rsidRDefault="004B3D37" w:rsidP="00C070E6">
      <w:pPr>
        <w:autoSpaceDE w:val="0"/>
        <w:autoSpaceDN w:val="0"/>
        <w:spacing w:line="240" w:lineRule="auto"/>
        <w:rPr>
          <w:szCs w:val="24"/>
        </w:rPr>
      </w:pPr>
      <w:r w:rsidRPr="00F7079B">
        <w:rPr>
          <w:szCs w:val="24"/>
        </w:rPr>
        <w:t xml:space="preserve">Federal Court of Australia, </w:t>
      </w:r>
      <w:r w:rsidRPr="00F7079B">
        <w:rPr>
          <w:i/>
          <w:szCs w:val="24"/>
        </w:rPr>
        <w:t xml:space="preserve">Annual </w:t>
      </w:r>
      <w:r w:rsidR="00483C7D" w:rsidRPr="00F7079B">
        <w:rPr>
          <w:i/>
          <w:szCs w:val="24"/>
        </w:rPr>
        <w:t>r</w:t>
      </w:r>
      <w:r w:rsidRPr="00F7079B">
        <w:rPr>
          <w:i/>
          <w:szCs w:val="24"/>
        </w:rPr>
        <w:t>eport 2018</w:t>
      </w:r>
      <w:r w:rsidR="00CF16DF" w:rsidRPr="00F7079B">
        <w:rPr>
          <w:i/>
          <w:szCs w:val="24"/>
        </w:rPr>
        <w:t>–</w:t>
      </w:r>
      <w:r w:rsidRPr="00F7079B">
        <w:rPr>
          <w:i/>
          <w:szCs w:val="24"/>
        </w:rPr>
        <w:t xml:space="preserve">19 </w:t>
      </w:r>
      <w:r w:rsidRPr="00F7079B">
        <w:rPr>
          <w:szCs w:val="24"/>
        </w:rPr>
        <w:t>(Report, 6 September 2019)</w:t>
      </w:r>
      <w:r w:rsidR="00AA1BBD" w:rsidRPr="00F7079B">
        <w:rPr>
          <w:szCs w:val="24"/>
        </w:rPr>
        <w:t>.</w:t>
      </w:r>
      <w:r w:rsidRPr="00F7079B">
        <w:rPr>
          <w:szCs w:val="24"/>
        </w:rPr>
        <w:t xml:space="preserve"> </w:t>
      </w:r>
    </w:p>
    <w:p w14:paraId="0A2B5E8B" w14:textId="6679E070" w:rsidR="004B3D37" w:rsidRPr="00F7079B" w:rsidRDefault="004B3D37" w:rsidP="00C070E6">
      <w:pPr>
        <w:pStyle w:val="FootnoteText"/>
        <w:spacing w:after="120"/>
        <w:rPr>
          <w:i/>
          <w:sz w:val="24"/>
          <w:szCs w:val="24"/>
        </w:rPr>
      </w:pPr>
      <w:r w:rsidRPr="00F7079B">
        <w:rPr>
          <w:i/>
          <w:sz w:val="24"/>
          <w:szCs w:val="24"/>
        </w:rPr>
        <w:t>Federal Court Rules 2011.</w:t>
      </w:r>
    </w:p>
    <w:p w14:paraId="3987C3A3" w14:textId="53C4255D" w:rsidR="00227B6B" w:rsidRPr="00F7079B" w:rsidRDefault="004B3D37" w:rsidP="00657646">
      <w:pPr>
        <w:pStyle w:val="FootnoteText"/>
        <w:spacing w:after="120"/>
        <w:rPr>
          <w:sz w:val="24"/>
          <w:szCs w:val="24"/>
        </w:rPr>
      </w:pPr>
      <w:r w:rsidRPr="0A6CCF7B">
        <w:rPr>
          <w:sz w:val="24"/>
          <w:szCs w:val="24"/>
        </w:rPr>
        <w:t xml:space="preserve">Flinders University, Response No 310097034 to DISER, </w:t>
      </w:r>
      <w:r w:rsidRPr="0A6CCF7B">
        <w:rPr>
          <w:i/>
          <w:iCs/>
          <w:sz w:val="24"/>
          <w:szCs w:val="24"/>
        </w:rPr>
        <w:t>Patents Accessibility Review</w:t>
      </w:r>
      <w:r w:rsidRPr="0A6CCF7B">
        <w:rPr>
          <w:sz w:val="24"/>
          <w:szCs w:val="24"/>
        </w:rPr>
        <w:t xml:space="preserve"> (2 October 2020) </w:t>
      </w:r>
      <w:hyperlink r:id="rId37">
        <w:r w:rsidRPr="0A6CCF7B">
          <w:rPr>
            <w:rStyle w:val="Hyperlink"/>
            <w:sz w:val="24"/>
            <w:szCs w:val="24"/>
          </w:rPr>
          <w:t>https://consult.industry.gov.au/science-commercialisation/par/consultation/view_respondent?uuId=310097034</w:t>
        </w:r>
      </w:hyperlink>
      <w:r w:rsidRPr="0A6CCF7B">
        <w:rPr>
          <w:sz w:val="24"/>
          <w:szCs w:val="24"/>
        </w:rPr>
        <w:t>.</w:t>
      </w:r>
      <w:r w:rsidR="00227B6B" w:rsidRPr="0A6CCF7B">
        <w:rPr>
          <w:sz w:val="24"/>
          <w:szCs w:val="24"/>
        </w:rPr>
        <w:t xml:space="preserve"> </w:t>
      </w:r>
    </w:p>
    <w:p w14:paraId="67A464F8" w14:textId="21C6B813" w:rsidR="00227B6B" w:rsidRPr="00F7079B" w:rsidRDefault="004015F2" w:rsidP="00FD5651">
      <w:pPr>
        <w:pStyle w:val="FootnoteText"/>
        <w:spacing w:after="120"/>
        <w:rPr>
          <w:sz w:val="24"/>
          <w:szCs w:val="24"/>
        </w:rPr>
      </w:pPr>
      <w:r w:rsidRPr="00F7079B">
        <w:rPr>
          <w:sz w:val="24"/>
          <w:szCs w:val="24"/>
        </w:rPr>
        <w:t xml:space="preserve">Frydenberg, </w:t>
      </w:r>
      <w:r w:rsidR="003266E9" w:rsidRPr="00F7079B">
        <w:rPr>
          <w:sz w:val="24"/>
          <w:szCs w:val="24"/>
        </w:rPr>
        <w:t xml:space="preserve">the </w:t>
      </w:r>
      <w:r w:rsidRPr="00F7079B">
        <w:rPr>
          <w:sz w:val="24"/>
          <w:szCs w:val="24"/>
        </w:rPr>
        <w:t xml:space="preserve">Hon Josh MP, Treasurer, </w:t>
      </w:r>
      <w:r w:rsidRPr="00F7079B">
        <w:rPr>
          <w:i/>
          <w:sz w:val="24"/>
          <w:szCs w:val="24"/>
        </w:rPr>
        <w:t>Launch of the Australian Business Growth Fund</w:t>
      </w:r>
      <w:r w:rsidRPr="00F7079B">
        <w:rPr>
          <w:sz w:val="24"/>
          <w:szCs w:val="24"/>
        </w:rPr>
        <w:t xml:space="preserve"> [media release], Australian Government, 16 October 2020, accessed 15 December 2020. </w:t>
      </w:r>
      <w:hyperlink r:id="rId38">
        <w:r w:rsidRPr="0A6CCF7B">
          <w:rPr>
            <w:rStyle w:val="Hyperlink"/>
            <w:sz w:val="24"/>
            <w:szCs w:val="24"/>
          </w:rPr>
          <w:t>https://ministers.treasury.gov.au/ministers/josh-frydenberg-2018/media-releases/launch-australian-business-growth-fund</w:t>
        </w:r>
      </w:hyperlink>
      <w:r w:rsidRPr="0A6CCF7B">
        <w:rPr>
          <w:sz w:val="24"/>
          <w:szCs w:val="24"/>
        </w:rPr>
        <w:t>.</w:t>
      </w:r>
      <w:r w:rsidR="00227B6B" w:rsidRPr="0A6CCF7B">
        <w:rPr>
          <w:sz w:val="24"/>
          <w:szCs w:val="24"/>
        </w:rPr>
        <w:t xml:space="preserve"> </w:t>
      </w:r>
    </w:p>
    <w:p w14:paraId="11019806" w14:textId="4B7243D5" w:rsidR="00C76778" w:rsidRPr="00F7079B" w:rsidRDefault="00C76778" w:rsidP="00FD5651">
      <w:pPr>
        <w:pStyle w:val="FootnoteText"/>
        <w:spacing w:after="120"/>
        <w:rPr>
          <w:sz w:val="24"/>
          <w:szCs w:val="24"/>
        </w:rPr>
      </w:pPr>
      <w:r w:rsidRPr="00F7079B">
        <w:rPr>
          <w:sz w:val="24"/>
          <w:szCs w:val="24"/>
        </w:rPr>
        <w:t>Goddar H</w:t>
      </w:r>
      <w:r w:rsidR="00DF4449" w:rsidRPr="00F7079B">
        <w:rPr>
          <w:sz w:val="24"/>
          <w:szCs w:val="24"/>
        </w:rPr>
        <w:t>,</w:t>
      </w:r>
      <w:r w:rsidRPr="00F7079B">
        <w:rPr>
          <w:sz w:val="24"/>
          <w:szCs w:val="24"/>
        </w:rPr>
        <w:t xml:space="preserve"> </w:t>
      </w:r>
      <w:r w:rsidR="00DF4449" w:rsidRPr="00F7079B">
        <w:rPr>
          <w:sz w:val="24"/>
          <w:szCs w:val="24"/>
        </w:rPr>
        <w:t>‘</w:t>
      </w:r>
      <w:r w:rsidRPr="00F7079B">
        <w:rPr>
          <w:sz w:val="24"/>
          <w:szCs w:val="24"/>
        </w:rPr>
        <w:t>Patent Litigation in Germany – An Introduction (I)</w:t>
      </w:r>
      <w:r w:rsidR="00DF4449" w:rsidRPr="00F7079B">
        <w:rPr>
          <w:sz w:val="24"/>
          <w:szCs w:val="24"/>
        </w:rPr>
        <w:t xml:space="preserve">’, </w:t>
      </w:r>
      <w:r w:rsidR="00DF4449" w:rsidRPr="00F7079B">
        <w:rPr>
          <w:i/>
          <w:sz w:val="24"/>
          <w:szCs w:val="24"/>
        </w:rPr>
        <w:t>China Intellectual Property</w:t>
      </w:r>
      <w:r w:rsidR="00DF4449" w:rsidRPr="00F7079B">
        <w:rPr>
          <w:sz w:val="24"/>
          <w:szCs w:val="24"/>
        </w:rPr>
        <w:t>, 2013</w:t>
      </w:r>
      <w:r w:rsidRPr="00F7079B">
        <w:rPr>
          <w:sz w:val="24"/>
          <w:szCs w:val="24"/>
        </w:rPr>
        <w:t xml:space="preserve">, </w:t>
      </w:r>
      <w:r w:rsidR="00DF4449" w:rsidRPr="00F7079B">
        <w:rPr>
          <w:sz w:val="24"/>
          <w:szCs w:val="24"/>
        </w:rPr>
        <w:t xml:space="preserve">accessed 29 January 2021. </w:t>
      </w:r>
      <w:hyperlink r:id="rId39">
        <w:r w:rsidR="00DF4449" w:rsidRPr="0A6CCF7B">
          <w:rPr>
            <w:rStyle w:val="Hyperlink"/>
            <w:sz w:val="24"/>
            <w:szCs w:val="24"/>
          </w:rPr>
          <w:t>http://www.chinaipmagazine.com/en/journal-show.asp?id=917</w:t>
        </w:r>
      </w:hyperlink>
      <w:r w:rsidRPr="0A6CCF7B">
        <w:rPr>
          <w:sz w:val="24"/>
          <w:szCs w:val="24"/>
        </w:rPr>
        <w:t>.</w:t>
      </w:r>
    </w:p>
    <w:p w14:paraId="12DD4B39" w14:textId="741D7BB2" w:rsidR="00DF4449" w:rsidRPr="00F7079B" w:rsidRDefault="00DF4449" w:rsidP="00FD5651">
      <w:pPr>
        <w:pStyle w:val="FootnoteText"/>
        <w:spacing w:after="120"/>
        <w:rPr>
          <w:sz w:val="24"/>
          <w:szCs w:val="24"/>
        </w:rPr>
      </w:pPr>
      <w:r w:rsidRPr="00F7079B">
        <w:rPr>
          <w:sz w:val="24"/>
          <w:szCs w:val="24"/>
        </w:rPr>
        <w:t>Hargreaves I, Digital Opportunity: A review of intellectual property and growth, UK Government, 2011.</w:t>
      </w:r>
    </w:p>
    <w:p w14:paraId="36752C27" w14:textId="3DA8CD17" w:rsidR="00227B6B" w:rsidRPr="00F7079B" w:rsidRDefault="004B3D37" w:rsidP="00657646">
      <w:pPr>
        <w:pStyle w:val="FootnoteText"/>
        <w:spacing w:after="120"/>
        <w:rPr>
          <w:sz w:val="24"/>
          <w:szCs w:val="24"/>
        </w:rPr>
      </w:pPr>
      <w:r w:rsidRPr="00F7079B">
        <w:rPr>
          <w:sz w:val="24"/>
          <w:szCs w:val="24"/>
        </w:rPr>
        <w:t>Helmers</w:t>
      </w:r>
      <w:r w:rsidR="00B32489" w:rsidRPr="00F7079B">
        <w:rPr>
          <w:sz w:val="24"/>
          <w:szCs w:val="24"/>
        </w:rPr>
        <w:t xml:space="preserve"> C, Lefouili Y and McDonagh L (2015)</w:t>
      </w:r>
      <w:r w:rsidRPr="00F7079B">
        <w:rPr>
          <w:sz w:val="24"/>
          <w:szCs w:val="24"/>
        </w:rPr>
        <w:t xml:space="preserve"> </w:t>
      </w:r>
      <w:r w:rsidRPr="00F7079B">
        <w:rPr>
          <w:i/>
          <w:sz w:val="24"/>
          <w:szCs w:val="24"/>
        </w:rPr>
        <w:t xml:space="preserve">Evaluation of the </w:t>
      </w:r>
      <w:r w:rsidR="00EE15FD" w:rsidRPr="00F7079B">
        <w:rPr>
          <w:i/>
          <w:sz w:val="24"/>
          <w:szCs w:val="24"/>
        </w:rPr>
        <w:t>r</w:t>
      </w:r>
      <w:r w:rsidRPr="00F7079B">
        <w:rPr>
          <w:i/>
          <w:sz w:val="24"/>
          <w:szCs w:val="24"/>
        </w:rPr>
        <w:t>eforms of the Intellectual Property Enterprise Court 2010</w:t>
      </w:r>
      <w:r w:rsidR="00CA271E" w:rsidRPr="00F7079B">
        <w:rPr>
          <w:i/>
          <w:sz w:val="24"/>
          <w:szCs w:val="24"/>
        </w:rPr>
        <w:t>–</w:t>
      </w:r>
      <w:r w:rsidRPr="00F7079B">
        <w:rPr>
          <w:i/>
          <w:sz w:val="24"/>
          <w:szCs w:val="24"/>
        </w:rPr>
        <w:t>2013</w:t>
      </w:r>
      <w:r w:rsidRPr="00F7079B">
        <w:rPr>
          <w:sz w:val="24"/>
          <w:szCs w:val="24"/>
        </w:rPr>
        <w:t>, report t</w:t>
      </w:r>
      <w:r w:rsidR="00B32489" w:rsidRPr="00F7079B">
        <w:rPr>
          <w:sz w:val="24"/>
          <w:szCs w:val="24"/>
        </w:rPr>
        <w:t xml:space="preserve">o the IP Office, UK Government. </w:t>
      </w:r>
      <w:hyperlink r:id="rId40">
        <w:r w:rsidRPr="0A6CCF7B">
          <w:rPr>
            <w:rStyle w:val="Hyperlink"/>
            <w:sz w:val="24"/>
            <w:szCs w:val="24"/>
          </w:rPr>
          <w:t>https://openaccess.city.ac.uk/id/eprint/12600/1/Evaluation_of_the_Reforms_of_the_Intellectual_Property_Enterprise_Court_2010-2013.pdf</w:t>
        </w:r>
      </w:hyperlink>
      <w:r w:rsidRPr="0A6CCF7B">
        <w:rPr>
          <w:sz w:val="24"/>
          <w:szCs w:val="24"/>
        </w:rPr>
        <w:t>.</w:t>
      </w:r>
      <w:r w:rsidR="00227B6B" w:rsidRPr="0A6CCF7B">
        <w:rPr>
          <w:sz w:val="24"/>
          <w:szCs w:val="24"/>
        </w:rPr>
        <w:t xml:space="preserve"> </w:t>
      </w:r>
    </w:p>
    <w:p w14:paraId="46CB64B0" w14:textId="77777777" w:rsidR="00DE668C" w:rsidRPr="00F7079B" w:rsidRDefault="00DE668C" w:rsidP="00657646">
      <w:pPr>
        <w:pStyle w:val="FootnoteText"/>
        <w:spacing w:after="120"/>
        <w:rPr>
          <w:sz w:val="24"/>
          <w:szCs w:val="24"/>
        </w:rPr>
      </w:pPr>
      <w:r w:rsidRPr="00F7079B">
        <w:rPr>
          <w:sz w:val="24"/>
          <w:szCs w:val="24"/>
        </w:rPr>
        <w:t xml:space="preserve">Hinton J, </w:t>
      </w:r>
      <w:r w:rsidRPr="00F7079B">
        <w:rPr>
          <w:i/>
          <w:sz w:val="24"/>
          <w:szCs w:val="24"/>
        </w:rPr>
        <w:t xml:space="preserve">Number of start-up accelerator programs in Australia 2019 by state or territory, </w:t>
      </w:r>
      <w:r w:rsidRPr="00F7079B">
        <w:rPr>
          <w:i/>
          <w:iCs/>
          <w:sz w:val="24"/>
          <w:szCs w:val="24"/>
        </w:rPr>
        <w:t>Statista</w:t>
      </w:r>
      <w:r w:rsidRPr="00F7079B">
        <w:rPr>
          <w:sz w:val="24"/>
          <w:szCs w:val="24"/>
        </w:rPr>
        <w:t xml:space="preserve"> website, 2020, accessed 5 January 2021. </w:t>
      </w:r>
    </w:p>
    <w:p w14:paraId="51B2B8FB" w14:textId="365D67AF" w:rsidR="005965EC" w:rsidRPr="00F7079B" w:rsidRDefault="004B3D37" w:rsidP="005965EC">
      <w:pPr>
        <w:pStyle w:val="FootnoteText"/>
        <w:spacing w:after="120"/>
        <w:rPr>
          <w:sz w:val="24"/>
          <w:szCs w:val="24"/>
        </w:rPr>
      </w:pPr>
      <w:r w:rsidRPr="00F7079B">
        <w:rPr>
          <w:sz w:val="24"/>
          <w:szCs w:val="24"/>
        </w:rPr>
        <w:t xml:space="preserve">HM Courts </w:t>
      </w:r>
      <w:r w:rsidR="005965EC" w:rsidRPr="00F7079B">
        <w:rPr>
          <w:sz w:val="24"/>
          <w:szCs w:val="24"/>
        </w:rPr>
        <w:t xml:space="preserve">&amp; </w:t>
      </w:r>
      <w:r w:rsidRPr="00F7079B">
        <w:rPr>
          <w:sz w:val="24"/>
          <w:szCs w:val="24"/>
        </w:rPr>
        <w:t xml:space="preserve">Tribunals Service, </w:t>
      </w:r>
      <w:r w:rsidRPr="00F7079B">
        <w:rPr>
          <w:i/>
          <w:sz w:val="24"/>
          <w:szCs w:val="24"/>
        </w:rPr>
        <w:t xml:space="preserve">Civil and Family Court </w:t>
      </w:r>
      <w:r w:rsidR="00864D45" w:rsidRPr="00F7079B">
        <w:rPr>
          <w:i/>
          <w:sz w:val="24"/>
          <w:szCs w:val="24"/>
        </w:rPr>
        <w:t>f</w:t>
      </w:r>
      <w:r w:rsidRPr="00F7079B">
        <w:rPr>
          <w:i/>
          <w:sz w:val="24"/>
          <w:szCs w:val="24"/>
        </w:rPr>
        <w:t xml:space="preserve">ees, </w:t>
      </w:r>
      <w:r w:rsidRPr="00F7079B">
        <w:rPr>
          <w:sz w:val="24"/>
          <w:szCs w:val="24"/>
        </w:rPr>
        <w:t xml:space="preserve">UK Government, 2020, accessed 8 January 2021. </w:t>
      </w:r>
      <w:hyperlink r:id="rId41">
        <w:r w:rsidRPr="0A6CCF7B">
          <w:rPr>
            <w:rStyle w:val="Hyperlink"/>
            <w:sz w:val="24"/>
            <w:szCs w:val="24"/>
          </w:rPr>
          <w:t>https://assets.publishing.service.gov.uk/government/uploads/system/uploads/attachment_data/file/904862/ex50-eng.pdf</w:t>
        </w:r>
      </w:hyperlink>
      <w:r w:rsidRPr="0A6CCF7B">
        <w:rPr>
          <w:sz w:val="24"/>
          <w:szCs w:val="24"/>
        </w:rPr>
        <w:t>.</w:t>
      </w:r>
    </w:p>
    <w:p w14:paraId="0605DD2F" w14:textId="4018F3A8" w:rsidR="005965EC" w:rsidRPr="00F7079B" w:rsidRDefault="005965EC" w:rsidP="005965EC">
      <w:pPr>
        <w:pStyle w:val="FootnoteText"/>
        <w:spacing w:after="120"/>
        <w:rPr>
          <w:sz w:val="24"/>
          <w:szCs w:val="24"/>
        </w:rPr>
      </w:pPr>
      <w:r w:rsidRPr="00F7079B">
        <w:rPr>
          <w:sz w:val="24"/>
          <w:szCs w:val="24"/>
        </w:rPr>
        <w:lastRenderedPageBreak/>
        <w:t xml:space="preserve">HM Courts &amp; Tribunal Service, </w:t>
      </w:r>
      <w:r w:rsidRPr="00F7079B">
        <w:rPr>
          <w:i/>
          <w:sz w:val="24"/>
          <w:szCs w:val="24"/>
        </w:rPr>
        <w:t xml:space="preserve">The Intellectual Property Enterprise Court </w:t>
      </w:r>
      <w:r w:rsidR="00864D45" w:rsidRPr="00F7079B">
        <w:rPr>
          <w:i/>
          <w:sz w:val="24"/>
          <w:szCs w:val="24"/>
        </w:rPr>
        <w:t>g</w:t>
      </w:r>
      <w:r w:rsidRPr="00F7079B">
        <w:rPr>
          <w:i/>
          <w:sz w:val="24"/>
          <w:szCs w:val="24"/>
        </w:rPr>
        <w:t>uide</w:t>
      </w:r>
      <w:r w:rsidRPr="00F7079B">
        <w:rPr>
          <w:sz w:val="24"/>
          <w:szCs w:val="24"/>
        </w:rPr>
        <w:t>, UK Government, 2019, accessed 8 January 2021.</w:t>
      </w:r>
      <w:r w:rsidR="00AA1BBD" w:rsidRPr="00F7079B">
        <w:rPr>
          <w:sz w:val="24"/>
          <w:szCs w:val="24"/>
        </w:rPr>
        <w:t xml:space="preserve"> </w:t>
      </w:r>
      <w:hyperlink r:id="rId42">
        <w:r w:rsidR="00AA1BBD" w:rsidRPr="0A6CCF7B">
          <w:rPr>
            <w:rStyle w:val="Hyperlink"/>
            <w:sz w:val="24"/>
            <w:szCs w:val="24"/>
          </w:rPr>
          <w:t>https://assets.publishing.service.gov.uk/government/uploads/system/uploads/attachment_data/file/823201/intellectual-property-enterprise-guide.pdf</w:t>
        </w:r>
      </w:hyperlink>
      <w:r w:rsidRPr="0A6CCF7B">
        <w:rPr>
          <w:sz w:val="24"/>
          <w:szCs w:val="24"/>
        </w:rPr>
        <w:t>.</w:t>
      </w:r>
    </w:p>
    <w:p w14:paraId="14141D50" w14:textId="7860F1DC" w:rsidR="004B3D37" w:rsidRPr="00F7079B" w:rsidRDefault="004B3D37" w:rsidP="00657646">
      <w:pPr>
        <w:pStyle w:val="FootnoteText"/>
        <w:spacing w:after="120"/>
        <w:rPr>
          <w:sz w:val="24"/>
          <w:szCs w:val="24"/>
        </w:rPr>
      </w:pPr>
      <w:r w:rsidRPr="00F7079B">
        <w:rPr>
          <w:i/>
          <w:sz w:val="24"/>
          <w:szCs w:val="24"/>
        </w:rPr>
        <w:t>Intellectual Property Laws Amendment (Productivity Commission Response Part 2 and Other Measures) Act 2020</w:t>
      </w:r>
      <w:r w:rsidRPr="00F7079B">
        <w:rPr>
          <w:sz w:val="24"/>
          <w:szCs w:val="24"/>
        </w:rPr>
        <w:t>.</w:t>
      </w:r>
    </w:p>
    <w:p w14:paraId="56DA60B0" w14:textId="2333B067" w:rsidR="00E53BB3" w:rsidRPr="00F7079B" w:rsidRDefault="00E53BB3" w:rsidP="00F6561C">
      <w:pPr>
        <w:pStyle w:val="FootnoteText"/>
        <w:spacing w:after="120"/>
        <w:rPr>
          <w:sz w:val="24"/>
          <w:szCs w:val="24"/>
        </w:rPr>
      </w:pPr>
      <w:r w:rsidRPr="00F7079B">
        <w:rPr>
          <w:i/>
          <w:sz w:val="24"/>
          <w:szCs w:val="24"/>
        </w:rPr>
        <w:t>Intellectual Property Legislation Amendment (Raising the Bar) Regulation 2013 (No. 1)</w:t>
      </w:r>
      <w:r w:rsidRPr="00F7079B">
        <w:rPr>
          <w:sz w:val="24"/>
          <w:szCs w:val="24"/>
        </w:rPr>
        <w:t>.</w:t>
      </w:r>
    </w:p>
    <w:p w14:paraId="67967E51" w14:textId="52514FB4" w:rsidR="00E53BB3" w:rsidRPr="00F7079B" w:rsidRDefault="00E53BB3" w:rsidP="00377183">
      <w:pPr>
        <w:pStyle w:val="FootnoteText"/>
        <w:spacing w:after="120"/>
        <w:rPr>
          <w:sz w:val="24"/>
          <w:szCs w:val="24"/>
        </w:rPr>
      </w:pPr>
      <w:r w:rsidRPr="00F7079B">
        <w:rPr>
          <w:i/>
          <w:sz w:val="24"/>
          <w:szCs w:val="24"/>
        </w:rPr>
        <w:t>Intellectual Property Laws Amendment (Raising the Bar) Act 2012</w:t>
      </w:r>
      <w:r w:rsidRPr="00F7079B">
        <w:rPr>
          <w:sz w:val="24"/>
          <w:szCs w:val="24"/>
        </w:rPr>
        <w:t>.</w:t>
      </w:r>
    </w:p>
    <w:p w14:paraId="4E1D4318" w14:textId="7947580E" w:rsidR="00664083" w:rsidRPr="00F7079B" w:rsidRDefault="000764CC" w:rsidP="00657646">
      <w:pPr>
        <w:pStyle w:val="FootnoteText"/>
        <w:spacing w:after="120"/>
        <w:rPr>
          <w:sz w:val="24"/>
          <w:szCs w:val="24"/>
        </w:rPr>
      </w:pPr>
      <w:r w:rsidRPr="00F7079B">
        <w:rPr>
          <w:sz w:val="24"/>
          <w:szCs w:val="24"/>
        </w:rPr>
        <w:t xml:space="preserve">Intellectual Property Office, </w:t>
      </w:r>
      <w:r w:rsidRPr="00F7079B">
        <w:rPr>
          <w:i/>
          <w:sz w:val="24"/>
          <w:szCs w:val="24"/>
        </w:rPr>
        <w:t xml:space="preserve">Statutory guidance: </w:t>
      </w:r>
      <w:r w:rsidR="00DF5277" w:rsidRPr="00F7079B">
        <w:rPr>
          <w:i/>
          <w:sz w:val="24"/>
          <w:szCs w:val="24"/>
        </w:rPr>
        <w:t>t</w:t>
      </w:r>
      <w:r w:rsidRPr="00F7079B">
        <w:rPr>
          <w:i/>
          <w:sz w:val="24"/>
          <w:szCs w:val="24"/>
        </w:rPr>
        <w:t xml:space="preserve">imeliness target for re-examination of patent applications, </w:t>
      </w:r>
      <w:r w:rsidRPr="00F7079B">
        <w:rPr>
          <w:sz w:val="24"/>
          <w:szCs w:val="24"/>
        </w:rPr>
        <w:t xml:space="preserve">UK Government website, 2016, accessed 11 January 2021. </w:t>
      </w:r>
      <w:hyperlink r:id="rId43">
        <w:r w:rsidRPr="0A6CCF7B">
          <w:rPr>
            <w:rStyle w:val="Hyperlink"/>
            <w:sz w:val="24"/>
            <w:szCs w:val="24"/>
          </w:rPr>
          <w:t>https://www.gov.uk/government/publications/timeliness-target-for-re-examination-of-patent-applications/timeliness-target-for-re-examination-of-patent-applications</w:t>
        </w:r>
      </w:hyperlink>
      <w:r w:rsidRPr="0A6CCF7B">
        <w:rPr>
          <w:sz w:val="24"/>
          <w:szCs w:val="24"/>
          <w:lang w:val="en-US"/>
        </w:rPr>
        <w:t>.</w:t>
      </w:r>
      <w:r w:rsidR="00664083" w:rsidRPr="0A6CCF7B">
        <w:rPr>
          <w:sz w:val="24"/>
          <w:szCs w:val="24"/>
          <w:lang w:val="en-US"/>
        </w:rPr>
        <w:t xml:space="preserve"> </w:t>
      </w:r>
    </w:p>
    <w:p w14:paraId="096050CB" w14:textId="2C6894DC" w:rsidR="004015F2" w:rsidRDefault="004015F2" w:rsidP="00657646">
      <w:pPr>
        <w:pStyle w:val="FootnoteText"/>
        <w:spacing w:after="120"/>
        <w:rPr>
          <w:sz w:val="24"/>
          <w:szCs w:val="24"/>
        </w:rPr>
      </w:pPr>
      <w:r w:rsidRPr="00F7079B">
        <w:rPr>
          <w:sz w:val="24"/>
          <w:szCs w:val="24"/>
        </w:rPr>
        <w:t>IP</w:t>
      </w:r>
      <w:r w:rsidR="004056A4">
        <w:rPr>
          <w:sz w:val="24"/>
          <w:szCs w:val="24"/>
        </w:rPr>
        <w:t xml:space="preserve"> </w:t>
      </w:r>
      <w:r w:rsidRPr="00F7079B">
        <w:rPr>
          <w:sz w:val="24"/>
          <w:szCs w:val="24"/>
        </w:rPr>
        <w:t>A</w:t>
      </w:r>
      <w:r w:rsidR="004056A4">
        <w:rPr>
          <w:sz w:val="24"/>
          <w:szCs w:val="24"/>
        </w:rPr>
        <w:t>ustralia</w:t>
      </w:r>
      <w:r w:rsidRPr="00F7079B">
        <w:rPr>
          <w:sz w:val="24"/>
          <w:szCs w:val="24"/>
        </w:rPr>
        <w:t xml:space="preserve"> (IP Australia), ‘Alternative </w:t>
      </w:r>
      <w:r w:rsidR="00664FE8" w:rsidRPr="00F7079B">
        <w:rPr>
          <w:sz w:val="24"/>
          <w:szCs w:val="24"/>
        </w:rPr>
        <w:t>d</w:t>
      </w:r>
      <w:r w:rsidRPr="00F7079B">
        <w:rPr>
          <w:sz w:val="24"/>
          <w:szCs w:val="24"/>
        </w:rPr>
        <w:t xml:space="preserve">ispute </w:t>
      </w:r>
      <w:r w:rsidR="00664FE8" w:rsidRPr="00F7079B">
        <w:rPr>
          <w:sz w:val="24"/>
          <w:szCs w:val="24"/>
        </w:rPr>
        <w:t>r</w:t>
      </w:r>
      <w:r w:rsidRPr="00F7079B">
        <w:rPr>
          <w:sz w:val="24"/>
          <w:szCs w:val="24"/>
        </w:rPr>
        <w:t xml:space="preserve">esolution’, </w:t>
      </w:r>
      <w:r w:rsidRPr="00F7079B">
        <w:rPr>
          <w:i/>
          <w:sz w:val="24"/>
          <w:szCs w:val="24"/>
        </w:rPr>
        <w:t xml:space="preserve">IP </w:t>
      </w:r>
      <w:r w:rsidR="00864D45" w:rsidRPr="00F7079B">
        <w:rPr>
          <w:i/>
          <w:sz w:val="24"/>
          <w:szCs w:val="24"/>
        </w:rPr>
        <w:t>i</w:t>
      </w:r>
      <w:r w:rsidRPr="00F7079B">
        <w:rPr>
          <w:i/>
          <w:sz w:val="24"/>
          <w:szCs w:val="24"/>
        </w:rPr>
        <w:t>nfringement,</w:t>
      </w:r>
      <w:r w:rsidR="00494CE9">
        <w:rPr>
          <w:i/>
          <w:sz w:val="24"/>
          <w:szCs w:val="24"/>
        </w:rPr>
        <w:t xml:space="preserve"> </w:t>
      </w:r>
      <w:r w:rsidR="00494CE9" w:rsidRPr="005E62C0">
        <w:rPr>
          <w:sz w:val="24"/>
          <w:szCs w:val="24"/>
        </w:rPr>
        <w:t>IP Australia</w:t>
      </w:r>
      <w:r w:rsidRPr="00F7079B">
        <w:rPr>
          <w:sz w:val="24"/>
          <w:szCs w:val="24"/>
        </w:rPr>
        <w:t xml:space="preserve"> website, 2019, accessed 8 January 2021.</w:t>
      </w:r>
      <w:r w:rsidR="00AA1BBD" w:rsidRPr="00F7079B">
        <w:rPr>
          <w:sz w:val="24"/>
          <w:szCs w:val="24"/>
        </w:rPr>
        <w:t xml:space="preserve"> </w:t>
      </w:r>
      <w:hyperlink r:id="rId44">
        <w:r w:rsidR="00AA1BBD" w:rsidRPr="0A6CCF7B">
          <w:rPr>
            <w:rStyle w:val="Hyperlink"/>
            <w:sz w:val="24"/>
            <w:szCs w:val="24"/>
          </w:rPr>
          <w:t>https://www.ipaustralia.gov.au/ip-infringement/enforcing-your-ip/resolution-methods</w:t>
        </w:r>
      </w:hyperlink>
      <w:r w:rsidRPr="0A6CCF7B">
        <w:rPr>
          <w:sz w:val="24"/>
          <w:szCs w:val="24"/>
        </w:rPr>
        <w:t>.</w:t>
      </w:r>
    </w:p>
    <w:p w14:paraId="2B3C083B" w14:textId="7736C8DA" w:rsidR="00650B4B" w:rsidRPr="00F7079B" w:rsidRDefault="00650B4B" w:rsidP="00657646">
      <w:pPr>
        <w:pStyle w:val="FootnoteText"/>
        <w:spacing w:after="120"/>
        <w:rPr>
          <w:sz w:val="24"/>
          <w:szCs w:val="24"/>
        </w:rPr>
      </w:pPr>
      <w:r w:rsidRPr="00650B4B">
        <w:rPr>
          <w:sz w:val="24"/>
          <w:szCs w:val="24"/>
        </w:rPr>
        <w:t xml:space="preserve">IP Australia, </w:t>
      </w:r>
      <w:r w:rsidRPr="00650B4B">
        <w:rPr>
          <w:i/>
          <w:sz w:val="24"/>
          <w:szCs w:val="24"/>
        </w:rPr>
        <w:t>Applying for a patent of addition</w:t>
      </w:r>
      <w:r w:rsidRPr="00650B4B">
        <w:rPr>
          <w:sz w:val="24"/>
          <w:szCs w:val="24"/>
        </w:rPr>
        <w:t xml:space="preserve">, IP Australia website, accessed 17 February 2021. </w:t>
      </w:r>
      <w:hyperlink r:id="rId45" w:history="1">
        <w:r w:rsidRPr="00650B4B">
          <w:rPr>
            <w:rStyle w:val="Hyperlink"/>
            <w:sz w:val="24"/>
            <w:szCs w:val="24"/>
          </w:rPr>
          <w:t>https://www.ipaustralia.gov.au/patents/understanding-patents/types-patents/applying-patent-addition</w:t>
        </w:r>
      </w:hyperlink>
      <w:r w:rsidRPr="00650B4B">
        <w:rPr>
          <w:sz w:val="24"/>
          <w:szCs w:val="24"/>
        </w:rPr>
        <w:t>.</w:t>
      </w:r>
    </w:p>
    <w:p w14:paraId="520C32E0" w14:textId="12DBD19E" w:rsidR="00664FE8" w:rsidRPr="00F7079B" w:rsidRDefault="004015F2" w:rsidP="00657646">
      <w:r>
        <w:t>IP</w:t>
      </w:r>
      <w:r w:rsidR="004056A4">
        <w:t xml:space="preserve"> </w:t>
      </w:r>
      <w:r>
        <w:t>A</w:t>
      </w:r>
      <w:r w:rsidR="004056A4">
        <w:t>ustralia</w:t>
      </w:r>
      <w:r>
        <w:t xml:space="preserve">, ‘Auditing your IP’, </w:t>
      </w:r>
      <w:r w:rsidRPr="0A6CCF7B">
        <w:rPr>
          <w:i/>
        </w:rPr>
        <w:t>Understanding IP,</w:t>
      </w:r>
      <w:r w:rsidR="00494CE9">
        <w:t xml:space="preserve"> </w:t>
      </w:r>
      <w:r w:rsidR="00494CE9" w:rsidRPr="005E62C0">
        <w:t>IP Australia</w:t>
      </w:r>
      <w:r>
        <w:t xml:space="preserve"> website, 2016, accessed 8 January 2021. </w:t>
      </w:r>
      <w:hyperlink r:id="rId46">
        <w:r w:rsidRPr="0A6CCF7B">
          <w:rPr>
            <w:rStyle w:val="Hyperlink"/>
          </w:rPr>
          <w:t>https://www.ipaustralia.gov.au/understanding-ip/getting-started-ip/auditing-your-ip</w:t>
        </w:r>
      </w:hyperlink>
      <w:r>
        <w:t>.</w:t>
      </w:r>
      <w:r w:rsidR="00664FE8">
        <w:t xml:space="preserve"> </w:t>
      </w:r>
    </w:p>
    <w:p w14:paraId="37186D4C" w14:textId="1A438D18" w:rsidR="00664083" w:rsidRPr="00F7079B" w:rsidRDefault="004B3D37" w:rsidP="00657646">
      <w:pPr>
        <w:pStyle w:val="FootnoteText"/>
        <w:spacing w:after="120"/>
        <w:ind w:right="-46"/>
        <w:rPr>
          <w:sz w:val="24"/>
          <w:szCs w:val="24"/>
        </w:rPr>
      </w:pPr>
      <w:r w:rsidRPr="00F7079B">
        <w:rPr>
          <w:sz w:val="24"/>
          <w:szCs w:val="24"/>
        </w:rPr>
        <w:t>IP</w:t>
      </w:r>
      <w:r w:rsidR="004056A4">
        <w:rPr>
          <w:sz w:val="24"/>
          <w:szCs w:val="24"/>
        </w:rPr>
        <w:t xml:space="preserve"> </w:t>
      </w:r>
      <w:r w:rsidR="004015F2" w:rsidRPr="00F7079B">
        <w:rPr>
          <w:sz w:val="24"/>
          <w:szCs w:val="24"/>
        </w:rPr>
        <w:t>A</w:t>
      </w:r>
      <w:r w:rsidR="004056A4">
        <w:rPr>
          <w:sz w:val="24"/>
          <w:szCs w:val="24"/>
        </w:rPr>
        <w:t>ustralia</w:t>
      </w:r>
      <w:r w:rsidRPr="00F7079B">
        <w:rPr>
          <w:sz w:val="24"/>
          <w:szCs w:val="24"/>
        </w:rPr>
        <w:t xml:space="preserve">, </w:t>
      </w:r>
      <w:r w:rsidRPr="00F7079B">
        <w:rPr>
          <w:i/>
          <w:sz w:val="24"/>
          <w:szCs w:val="24"/>
        </w:rPr>
        <w:t xml:space="preserve">Australian </w:t>
      </w:r>
      <w:r w:rsidR="00864D45" w:rsidRPr="00F7079B">
        <w:rPr>
          <w:i/>
          <w:sz w:val="24"/>
          <w:szCs w:val="24"/>
        </w:rPr>
        <w:t>i</w:t>
      </w:r>
      <w:r w:rsidRPr="00F7079B">
        <w:rPr>
          <w:i/>
          <w:sz w:val="24"/>
          <w:szCs w:val="24"/>
        </w:rPr>
        <w:t xml:space="preserve">ntellectual </w:t>
      </w:r>
      <w:r w:rsidR="00864D45" w:rsidRPr="00F7079B">
        <w:rPr>
          <w:i/>
          <w:sz w:val="24"/>
          <w:szCs w:val="24"/>
        </w:rPr>
        <w:t>p</w:t>
      </w:r>
      <w:r w:rsidRPr="00F7079B">
        <w:rPr>
          <w:i/>
          <w:sz w:val="24"/>
          <w:szCs w:val="24"/>
        </w:rPr>
        <w:t xml:space="preserve">roperty </w:t>
      </w:r>
      <w:r w:rsidR="00864D45" w:rsidRPr="00F7079B">
        <w:rPr>
          <w:i/>
          <w:sz w:val="24"/>
          <w:szCs w:val="24"/>
        </w:rPr>
        <w:t>r</w:t>
      </w:r>
      <w:r w:rsidRPr="00F7079B">
        <w:rPr>
          <w:i/>
          <w:sz w:val="24"/>
          <w:szCs w:val="24"/>
        </w:rPr>
        <w:t>eport 2020</w:t>
      </w:r>
      <w:r w:rsidRPr="00F7079B">
        <w:rPr>
          <w:sz w:val="24"/>
          <w:szCs w:val="24"/>
        </w:rPr>
        <w:t xml:space="preserve">, IP Australia, Australian Government. </w:t>
      </w:r>
      <w:hyperlink r:id="rId47">
        <w:r w:rsidRPr="0A6CCF7B">
          <w:rPr>
            <w:rStyle w:val="Hyperlink"/>
            <w:sz w:val="24"/>
            <w:szCs w:val="24"/>
          </w:rPr>
          <w:t>https://www.ipaustralia.gov.au/sites/default/files/reports_publications/2020_ip_report.pdf</w:t>
        </w:r>
      </w:hyperlink>
      <w:r w:rsidR="005C4AAA">
        <w:rPr>
          <w:sz w:val="24"/>
          <w:szCs w:val="24"/>
        </w:rPr>
        <w:t>.</w:t>
      </w:r>
    </w:p>
    <w:p w14:paraId="4AF2A71F" w14:textId="624C5A84" w:rsidR="00773AED" w:rsidRPr="00F7079B" w:rsidRDefault="006D1D67" w:rsidP="00657646">
      <w:pPr>
        <w:pStyle w:val="FootnoteText"/>
        <w:spacing w:after="120"/>
        <w:rPr>
          <w:sz w:val="24"/>
          <w:szCs w:val="24"/>
        </w:rPr>
      </w:pPr>
      <w:r w:rsidRPr="006D1D67">
        <w:rPr>
          <w:sz w:val="24"/>
          <w:szCs w:val="24"/>
        </w:rPr>
        <w:t xml:space="preserve">IP Australia, </w:t>
      </w:r>
      <w:r w:rsidRPr="006D1D67">
        <w:rPr>
          <w:i/>
          <w:sz w:val="24"/>
          <w:szCs w:val="24"/>
        </w:rPr>
        <w:t>Australian small and medium enterprises (SMEs) and intellectual property rights</w:t>
      </w:r>
      <w:r w:rsidRPr="006D1D67">
        <w:rPr>
          <w:sz w:val="24"/>
          <w:szCs w:val="24"/>
        </w:rPr>
        <w:t>, IP Australia Economic Research Paper, Australian Government, 2021 (forthcoming).</w:t>
      </w:r>
      <w:r w:rsidR="004015F2" w:rsidRPr="0A6CCF7B">
        <w:rPr>
          <w:sz w:val="24"/>
          <w:szCs w:val="24"/>
        </w:rPr>
        <w:t>IP</w:t>
      </w:r>
      <w:r w:rsidR="004056A4" w:rsidRPr="0A6CCF7B">
        <w:rPr>
          <w:sz w:val="24"/>
          <w:szCs w:val="24"/>
        </w:rPr>
        <w:t xml:space="preserve"> </w:t>
      </w:r>
      <w:r w:rsidR="004015F2" w:rsidRPr="0A6CCF7B">
        <w:rPr>
          <w:sz w:val="24"/>
          <w:szCs w:val="24"/>
        </w:rPr>
        <w:t>A</w:t>
      </w:r>
      <w:r w:rsidR="004056A4" w:rsidRPr="0A6CCF7B">
        <w:rPr>
          <w:sz w:val="24"/>
          <w:szCs w:val="24"/>
        </w:rPr>
        <w:t>ustralia</w:t>
      </w:r>
      <w:r w:rsidR="004015F2" w:rsidRPr="0A6CCF7B">
        <w:rPr>
          <w:sz w:val="24"/>
          <w:szCs w:val="24"/>
        </w:rPr>
        <w:t xml:space="preserve">, </w:t>
      </w:r>
      <w:r w:rsidR="004015F2" w:rsidRPr="0A6CCF7B">
        <w:rPr>
          <w:i/>
          <w:sz w:val="24"/>
          <w:szCs w:val="24"/>
        </w:rPr>
        <w:t>Case studies,</w:t>
      </w:r>
      <w:r w:rsidR="00494CE9" w:rsidRPr="0A6CCF7B">
        <w:rPr>
          <w:i/>
          <w:sz w:val="24"/>
          <w:szCs w:val="24"/>
        </w:rPr>
        <w:t xml:space="preserve"> </w:t>
      </w:r>
      <w:r w:rsidR="00494CE9" w:rsidRPr="005E62C0">
        <w:rPr>
          <w:sz w:val="24"/>
          <w:szCs w:val="24"/>
        </w:rPr>
        <w:t>IP Australia</w:t>
      </w:r>
      <w:r w:rsidR="004015F2" w:rsidRPr="0A6CCF7B">
        <w:rPr>
          <w:sz w:val="24"/>
          <w:szCs w:val="24"/>
        </w:rPr>
        <w:t xml:space="preserve"> website, n.d. </w:t>
      </w:r>
      <w:hyperlink r:id="rId48">
        <w:r w:rsidR="004015F2" w:rsidRPr="0A6CCF7B">
          <w:rPr>
            <w:rStyle w:val="Hyperlink"/>
            <w:sz w:val="24"/>
            <w:szCs w:val="24"/>
          </w:rPr>
          <w:t>www.ipaustralia.gov.au/tools-resources/case-studies/</w:t>
        </w:r>
      </w:hyperlink>
      <w:r w:rsidR="004015F2" w:rsidRPr="0A6CCF7B">
        <w:rPr>
          <w:sz w:val="24"/>
          <w:szCs w:val="24"/>
        </w:rPr>
        <w:t xml:space="preserve">. </w:t>
      </w:r>
    </w:p>
    <w:p w14:paraId="5B9EEE6C" w14:textId="55694E2C" w:rsidR="00664083" w:rsidRPr="00F7079B" w:rsidRDefault="000764CC" w:rsidP="00FD5651">
      <w:pPr>
        <w:pStyle w:val="FootnoteText"/>
        <w:spacing w:after="120"/>
        <w:rPr>
          <w:sz w:val="24"/>
          <w:szCs w:val="24"/>
        </w:rPr>
      </w:pPr>
      <w:r w:rsidRPr="0A6CCF7B">
        <w:rPr>
          <w:sz w:val="24"/>
          <w:szCs w:val="24"/>
        </w:rPr>
        <w:t>IP</w:t>
      </w:r>
      <w:r w:rsidR="004056A4" w:rsidRPr="0A6CCF7B">
        <w:rPr>
          <w:sz w:val="24"/>
          <w:szCs w:val="24"/>
        </w:rPr>
        <w:t xml:space="preserve"> </w:t>
      </w:r>
      <w:r w:rsidRPr="0A6CCF7B">
        <w:rPr>
          <w:sz w:val="24"/>
          <w:szCs w:val="24"/>
        </w:rPr>
        <w:t>A</w:t>
      </w:r>
      <w:r w:rsidR="004056A4" w:rsidRPr="0A6CCF7B">
        <w:rPr>
          <w:sz w:val="24"/>
          <w:szCs w:val="24"/>
        </w:rPr>
        <w:t>ustralia</w:t>
      </w:r>
      <w:r w:rsidRPr="0A6CCF7B">
        <w:rPr>
          <w:sz w:val="24"/>
          <w:szCs w:val="24"/>
        </w:rPr>
        <w:t xml:space="preserve">, </w:t>
      </w:r>
      <w:r w:rsidRPr="0A6CCF7B">
        <w:rPr>
          <w:i/>
          <w:sz w:val="24"/>
          <w:szCs w:val="24"/>
        </w:rPr>
        <w:t>Engaging an attorney toolkit,</w:t>
      </w:r>
      <w:r w:rsidR="00494CE9" w:rsidRPr="0A6CCF7B">
        <w:rPr>
          <w:i/>
          <w:sz w:val="24"/>
          <w:szCs w:val="24"/>
        </w:rPr>
        <w:t xml:space="preserve"> </w:t>
      </w:r>
      <w:r w:rsidR="00494CE9" w:rsidRPr="005E62C0">
        <w:rPr>
          <w:sz w:val="24"/>
          <w:szCs w:val="24"/>
        </w:rPr>
        <w:t>IP Australia</w:t>
      </w:r>
      <w:r w:rsidRPr="0A6CCF7B">
        <w:rPr>
          <w:sz w:val="24"/>
          <w:szCs w:val="24"/>
        </w:rPr>
        <w:t xml:space="preserve"> website, n.d.</w:t>
      </w:r>
      <w:r w:rsidR="0089609F" w:rsidRPr="0A6CCF7B">
        <w:rPr>
          <w:sz w:val="24"/>
          <w:szCs w:val="24"/>
        </w:rPr>
        <w:t xml:space="preserve"> </w:t>
      </w:r>
      <w:hyperlink r:id="rId49">
        <w:r w:rsidR="0089609F" w:rsidRPr="0A6CCF7B">
          <w:rPr>
            <w:rStyle w:val="Hyperlink"/>
            <w:sz w:val="24"/>
            <w:szCs w:val="24"/>
          </w:rPr>
          <w:t>www.ipaustralia.gov.au/patents/engaging-an-attorney-toolkit</w:t>
        </w:r>
      </w:hyperlink>
      <w:r w:rsidR="005C4AAA">
        <w:rPr>
          <w:sz w:val="24"/>
          <w:szCs w:val="24"/>
        </w:rPr>
        <w:t>.</w:t>
      </w:r>
    </w:p>
    <w:p w14:paraId="21DEB617" w14:textId="4F781D94" w:rsidR="004015F2" w:rsidRPr="00F7079B" w:rsidRDefault="004015F2" w:rsidP="00657646">
      <w:pPr>
        <w:pStyle w:val="FootnoteText"/>
        <w:spacing w:after="120"/>
        <w:rPr>
          <w:sz w:val="24"/>
          <w:szCs w:val="24"/>
        </w:rPr>
      </w:pPr>
      <w:r w:rsidRPr="00F7079B">
        <w:rPr>
          <w:sz w:val="24"/>
          <w:szCs w:val="24"/>
        </w:rPr>
        <w:t>IP</w:t>
      </w:r>
      <w:r w:rsidR="004056A4">
        <w:rPr>
          <w:sz w:val="24"/>
          <w:szCs w:val="24"/>
        </w:rPr>
        <w:t xml:space="preserve"> </w:t>
      </w:r>
      <w:r w:rsidRPr="00F7079B">
        <w:rPr>
          <w:sz w:val="24"/>
          <w:szCs w:val="24"/>
        </w:rPr>
        <w:t>A</w:t>
      </w:r>
      <w:r w:rsidR="004056A4">
        <w:rPr>
          <w:sz w:val="24"/>
          <w:szCs w:val="24"/>
        </w:rPr>
        <w:t>ustralia</w:t>
      </w:r>
      <w:r w:rsidRPr="00F7079B">
        <w:rPr>
          <w:sz w:val="24"/>
          <w:szCs w:val="24"/>
        </w:rPr>
        <w:t xml:space="preserve">, ‘Expedited </w:t>
      </w:r>
      <w:r w:rsidR="00773AED" w:rsidRPr="00F7079B">
        <w:rPr>
          <w:sz w:val="24"/>
          <w:szCs w:val="24"/>
        </w:rPr>
        <w:t>e</w:t>
      </w:r>
      <w:r w:rsidRPr="00F7079B">
        <w:rPr>
          <w:sz w:val="24"/>
          <w:szCs w:val="24"/>
        </w:rPr>
        <w:t>xamination for standard patents’</w:t>
      </w:r>
      <w:r w:rsidRPr="00F7079B">
        <w:rPr>
          <w:i/>
          <w:sz w:val="24"/>
          <w:szCs w:val="24"/>
        </w:rPr>
        <w:t>,</w:t>
      </w:r>
      <w:r w:rsidRPr="00F7079B">
        <w:rPr>
          <w:sz w:val="24"/>
          <w:szCs w:val="24"/>
        </w:rPr>
        <w:t xml:space="preserve"> </w:t>
      </w:r>
      <w:r w:rsidRPr="00F7079B">
        <w:rPr>
          <w:i/>
          <w:sz w:val="24"/>
          <w:szCs w:val="24"/>
        </w:rPr>
        <w:t>Patents,</w:t>
      </w:r>
      <w:r w:rsidR="00494CE9">
        <w:rPr>
          <w:i/>
          <w:sz w:val="24"/>
          <w:szCs w:val="24"/>
        </w:rPr>
        <w:t xml:space="preserve"> </w:t>
      </w:r>
      <w:r w:rsidR="00494CE9" w:rsidRPr="005E62C0">
        <w:rPr>
          <w:sz w:val="24"/>
          <w:szCs w:val="24"/>
        </w:rPr>
        <w:t>IP Australia</w:t>
      </w:r>
      <w:r w:rsidRPr="00F7079B">
        <w:rPr>
          <w:sz w:val="24"/>
          <w:szCs w:val="24"/>
        </w:rPr>
        <w:t xml:space="preserve"> website, 2020</w:t>
      </w:r>
      <w:r w:rsidR="00AA1BBD" w:rsidRPr="00F7079B">
        <w:rPr>
          <w:sz w:val="24"/>
          <w:szCs w:val="24"/>
        </w:rPr>
        <w:t>, accessed 8 January 2020</w:t>
      </w:r>
      <w:r w:rsidRPr="00F7079B">
        <w:rPr>
          <w:sz w:val="24"/>
          <w:szCs w:val="24"/>
        </w:rPr>
        <w:t>.</w:t>
      </w:r>
      <w:r w:rsidR="00AA1BBD" w:rsidRPr="00F7079B">
        <w:rPr>
          <w:sz w:val="24"/>
          <w:szCs w:val="24"/>
        </w:rPr>
        <w:t xml:space="preserve"> </w:t>
      </w:r>
      <w:hyperlink r:id="rId50">
        <w:r w:rsidR="00AA1BBD" w:rsidRPr="0A6CCF7B">
          <w:rPr>
            <w:rStyle w:val="Hyperlink"/>
            <w:sz w:val="24"/>
            <w:szCs w:val="24"/>
          </w:rPr>
          <w:t>https://www.ipaustralia.gov.au/patents/applying-patent/standard-patent-application-process/examination-standard-patent/expedited-examination-standard-patents</w:t>
        </w:r>
      </w:hyperlink>
      <w:r w:rsidRPr="0A6CCF7B">
        <w:rPr>
          <w:sz w:val="24"/>
          <w:szCs w:val="24"/>
        </w:rPr>
        <w:t xml:space="preserve">. </w:t>
      </w:r>
    </w:p>
    <w:p w14:paraId="15791BBB" w14:textId="3AE48090" w:rsidR="004015F2" w:rsidRPr="00F7079B" w:rsidRDefault="004015F2" w:rsidP="00657646">
      <w:pPr>
        <w:pStyle w:val="FootnoteText"/>
        <w:spacing w:after="120"/>
        <w:rPr>
          <w:sz w:val="24"/>
          <w:szCs w:val="24"/>
        </w:rPr>
      </w:pPr>
      <w:r w:rsidRPr="00F7079B">
        <w:rPr>
          <w:sz w:val="24"/>
          <w:szCs w:val="24"/>
        </w:rPr>
        <w:t>IP</w:t>
      </w:r>
      <w:r w:rsidR="004056A4">
        <w:rPr>
          <w:sz w:val="24"/>
          <w:szCs w:val="24"/>
        </w:rPr>
        <w:t xml:space="preserve"> </w:t>
      </w:r>
      <w:r w:rsidRPr="00F7079B">
        <w:rPr>
          <w:sz w:val="24"/>
          <w:szCs w:val="24"/>
        </w:rPr>
        <w:t>A</w:t>
      </w:r>
      <w:r w:rsidR="004056A4">
        <w:rPr>
          <w:sz w:val="24"/>
          <w:szCs w:val="24"/>
        </w:rPr>
        <w:t>ustralia</w:t>
      </w:r>
      <w:r w:rsidRPr="00F7079B">
        <w:rPr>
          <w:sz w:val="24"/>
          <w:szCs w:val="24"/>
        </w:rPr>
        <w:t xml:space="preserve">, ‘Going to court’, </w:t>
      </w:r>
      <w:r w:rsidRPr="00F7079B">
        <w:rPr>
          <w:i/>
          <w:sz w:val="24"/>
          <w:szCs w:val="24"/>
        </w:rPr>
        <w:t xml:space="preserve">IP </w:t>
      </w:r>
      <w:r w:rsidR="00773AED" w:rsidRPr="00F7079B">
        <w:rPr>
          <w:i/>
          <w:sz w:val="24"/>
          <w:szCs w:val="24"/>
        </w:rPr>
        <w:t>i</w:t>
      </w:r>
      <w:r w:rsidRPr="00F7079B">
        <w:rPr>
          <w:i/>
          <w:sz w:val="24"/>
          <w:szCs w:val="24"/>
        </w:rPr>
        <w:t>nfringement,</w:t>
      </w:r>
      <w:r w:rsidR="00494CE9">
        <w:rPr>
          <w:i/>
          <w:sz w:val="24"/>
          <w:szCs w:val="24"/>
        </w:rPr>
        <w:t xml:space="preserve"> </w:t>
      </w:r>
      <w:r w:rsidR="00494CE9" w:rsidRPr="005E62C0">
        <w:rPr>
          <w:sz w:val="24"/>
          <w:szCs w:val="24"/>
        </w:rPr>
        <w:t>IP Australia</w:t>
      </w:r>
      <w:r w:rsidRPr="00F7079B">
        <w:rPr>
          <w:sz w:val="24"/>
          <w:szCs w:val="24"/>
        </w:rPr>
        <w:t xml:space="preserve"> website, 2016, accessed 8 January 2021. </w:t>
      </w:r>
      <w:hyperlink r:id="rId51">
        <w:r w:rsidRPr="0A6CCF7B">
          <w:rPr>
            <w:rStyle w:val="Hyperlink"/>
            <w:sz w:val="24"/>
            <w:szCs w:val="24"/>
          </w:rPr>
          <w:t>https://www.ipaustralia.gov.au/ip-infringement/enforcing-your-ip/going-to-court/court-proceedings</w:t>
        </w:r>
      </w:hyperlink>
      <w:r w:rsidRPr="0A6CCF7B">
        <w:rPr>
          <w:sz w:val="24"/>
          <w:szCs w:val="24"/>
        </w:rPr>
        <w:t xml:space="preserve">. </w:t>
      </w:r>
    </w:p>
    <w:p w14:paraId="02BC7545" w14:textId="2D4CE3E4" w:rsidR="00664FE8" w:rsidRDefault="00664FE8" w:rsidP="00657646">
      <w:pPr>
        <w:pStyle w:val="FootnoteText"/>
        <w:spacing w:after="120"/>
        <w:rPr>
          <w:sz w:val="24"/>
          <w:szCs w:val="24"/>
        </w:rPr>
      </w:pPr>
      <w:r w:rsidRPr="00F7079B">
        <w:rPr>
          <w:sz w:val="24"/>
          <w:szCs w:val="24"/>
        </w:rPr>
        <w:t>IP</w:t>
      </w:r>
      <w:r w:rsidR="004056A4">
        <w:rPr>
          <w:sz w:val="24"/>
          <w:szCs w:val="24"/>
        </w:rPr>
        <w:t xml:space="preserve"> </w:t>
      </w:r>
      <w:r w:rsidRPr="00F7079B">
        <w:rPr>
          <w:sz w:val="24"/>
          <w:szCs w:val="24"/>
        </w:rPr>
        <w:t>A</w:t>
      </w:r>
      <w:r w:rsidR="004056A4">
        <w:rPr>
          <w:sz w:val="24"/>
          <w:szCs w:val="24"/>
        </w:rPr>
        <w:t>ustralia</w:t>
      </w:r>
      <w:r w:rsidRPr="00F7079B">
        <w:rPr>
          <w:sz w:val="24"/>
          <w:szCs w:val="24"/>
        </w:rPr>
        <w:t xml:space="preserve">, ‘International </w:t>
      </w:r>
      <w:r w:rsidR="001D7D02" w:rsidRPr="00F7079B">
        <w:rPr>
          <w:sz w:val="24"/>
          <w:szCs w:val="24"/>
        </w:rPr>
        <w:t>a</w:t>
      </w:r>
      <w:r w:rsidRPr="00F7079B">
        <w:rPr>
          <w:sz w:val="24"/>
          <w:szCs w:val="24"/>
        </w:rPr>
        <w:t xml:space="preserve">lternative </w:t>
      </w:r>
      <w:r w:rsidR="001D7D02" w:rsidRPr="00F7079B">
        <w:rPr>
          <w:sz w:val="24"/>
          <w:szCs w:val="24"/>
        </w:rPr>
        <w:t>d</w:t>
      </w:r>
      <w:r w:rsidRPr="00F7079B">
        <w:rPr>
          <w:sz w:val="24"/>
          <w:szCs w:val="24"/>
        </w:rPr>
        <w:t xml:space="preserve">ispute </w:t>
      </w:r>
      <w:r w:rsidR="001D7D02" w:rsidRPr="00F7079B">
        <w:rPr>
          <w:sz w:val="24"/>
          <w:szCs w:val="24"/>
        </w:rPr>
        <w:t>r</w:t>
      </w:r>
      <w:r w:rsidRPr="00F7079B">
        <w:rPr>
          <w:sz w:val="24"/>
          <w:szCs w:val="24"/>
        </w:rPr>
        <w:t xml:space="preserve">esolution’, </w:t>
      </w:r>
      <w:r w:rsidRPr="00F7079B">
        <w:rPr>
          <w:i/>
          <w:sz w:val="24"/>
          <w:szCs w:val="24"/>
        </w:rPr>
        <w:t xml:space="preserve">IP </w:t>
      </w:r>
      <w:r w:rsidR="00864D45" w:rsidRPr="00F7079B">
        <w:rPr>
          <w:i/>
          <w:sz w:val="24"/>
          <w:szCs w:val="24"/>
        </w:rPr>
        <w:t>i</w:t>
      </w:r>
      <w:r w:rsidRPr="00F7079B">
        <w:rPr>
          <w:i/>
          <w:sz w:val="24"/>
          <w:szCs w:val="24"/>
        </w:rPr>
        <w:t>nfringement,</w:t>
      </w:r>
      <w:r w:rsidR="00494CE9">
        <w:rPr>
          <w:i/>
          <w:sz w:val="24"/>
          <w:szCs w:val="24"/>
        </w:rPr>
        <w:t xml:space="preserve"> </w:t>
      </w:r>
      <w:r w:rsidR="00494CE9" w:rsidRPr="005E62C0">
        <w:rPr>
          <w:sz w:val="24"/>
          <w:szCs w:val="24"/>
        </w:rPr>
        <w:t>IP Australia</w:t>
      </w:r>
      <w:r w:rsidRPr="00F7079B">
        <w:rPr>
          <w:sz w:val="24"/>
          <w:szCs w:val="24"/>
        </w:rPr>
        <w:t xml:space="preserve"> website, 2016, accessed 18 December 2020. </w:t>
      </w:r>
      <w:hyperlink r:id="rId52">
        <w:r w:rsidRPr="0A6CCF7B">
          <w:rPr>
            <w:rStyle w:val="Hyperlink"/>
            <w:sz w:val="24"/>
            <w:szCs w:val="24"/>
          </w:rPr>
          <w:t>https://www.ipaustralia.gov.au/ip-infringement/enforcing-your-ip/international-alternative-dispute-resolution</w:t>
        </w:r>
      </w:hyperlink>
      <w:r w:rsidR="005C4AAA">
        <w:rPr>
          <w:sz w:val="24"/>
          <w:szCs w:val="24"/>
        </w:rPr>
        <w:t>.</w:t>
      </w:r>
    </w:p>
    <w:p w14:paraId="3939ACB6" w14:textId="3FC1C473" w:rsidR="00400C61" w:rsidRPr="00F7079B" w:rsidRDefault="00400C61" w:rsidP="00657646">
      <w:pPr>
        <w:pStyle w:val="FootnoteText"/>
        <w:spacing w:after="120"/>
        <w:rPr>
          <w:sz w:val="24"/>
          <w:szCs w:val="24"/>
        </w:rPr>
      </w:pPr>
      <w:r w:rsidRPr="0A6CCF7B">
        <w:rPr>
          <w:sz w:val="24"/>
          <w:szCs w:val="24"/>
        </w:rPr>
        <w:lastRenderedPageBreak/>
        <w:t xml:space="preserve">IP Australia, </w:t>
      </w:r>
      <w:r w:rsidRPr="0A6CCF7B">
        <w:rPr>
          <w:i/>
          <w:sz w:val="24"/>
          <w:szCs w:val="24"/>
        </w:rPr>
        <w:t>International type search</w:t>
      </w:r>
      <w:r w:rsidRPr="0A6CCF7B">
        <w:rPr>
          <w:sz w:val="24"/>
          <w:szCs w:val="24"/>
        </w:rPr>
        <w:t xml:space="preserve">, IP Australia website, accessed 17 February 2021. </w:t>
      </w:r>
      <w:hyperlink r:id="rId53" w:history="1">
        <w:r w:rsidRPr="0A6CCF7B">
          <w:rPr>
            <w:rStyle w:val="Hyperlink"/>
            <w:sz w:val="24"/>
            <w:szCs w:val="24"/>
          </w:rPr>
          <w:t>https://www.ipaustralia.gov.au/patents/applying-patent/provisional-application-what-include/international-type-search</w:t>
        </w:r>
      </w:hyperlink>
      <w:r w:rsidRPr="0A6CCF7B">
        <w:rPr>
          <w:sz w:val="24"/>
          <w:szCs w:val="24"/>
        </w:rPr>
        <w:t>.</w:t>
      </w:r>
    </w:p>
    <w:p w14:paraId="1146A8CA" w14:textId="51803142" w:rsidR="00773AED" w:rsidRPr="00F7079B" w:rsidRDefault="00773AED" w:rsidP="00657646">
      <w:pPr>
        <w:pStyle w:val="FootnoteText"/>
        <w:spacing w:after="120"/>
        <w:rPr>
          <w:sz w:val="24"/>
          <w:szCs w:val="24"/>
        </w:rPr>
      </w:pPr>
      <w:r w:rsidRPr="0A6CCF7B">
        <w:rPr>
          <w:sz w:val="24"/>
          <w:szCs w:val="24"/>
        </w:rPr>
        <w:t>IP</w:t>
      </w:r>
      <w:r w:rsidR="004056A4" w:rsidRPr="0A6CCF7B">
        <w:rPr>
          <w:sz w:val="24"/>
          <w:szCs w:val="24"/>
        </w:rPr>
        <w:t xml:space="preserve"> </w:t>
      </w:r>
      <w:r w:rsidRPr="0A6CCF7B">
        <w:rPr>
          <w:sz w:val="24"/>
          <w:szCs w:val="24"/>
        </w:rPr>
        <w:t>A</w:t>
      </w:r>
      <w:r w:rsidR="004056A4" w:rsidRPr="0A6CCF7B">
        <w:rPr>
          <w:sz w:val="24"/>
          <w:szCs w:val="24"/>
        </w:rPr>
        <w:t>ustralia</w:t>
      </w:r>
      <w:r w:rsidRPr="0A6CCF7B">
        <w:rPr>
          <w:sz w:val="24"/>
          <w:szCs w:val="24"/>
        </w:rPr>
        <w:t xml:space="preserve">, </w:t>
      </w:r>
      <w:r w:rsidRPr="0A6CCF7B">
        <w:rPr>
          <w:i/>
          <w:sz w:val="24"/>
          <w:szCs w:val="24"/>
        </w:rPr>
        <w:t xml:space="preserve">IP for </w:t>
      </w:r>
      <w:r w:rsidR="00664FE8" w:rsidRPr="0A6CCF7B">
        <w:rPr>
          <w:i/>
          <w:sz w:val="24"/>
          <w:szCs w:val="24"/>
        </w:rPr>
        <w:t>d</w:t>
      </w:r>
      <w:r w:rsidRPr="0A6CCF7B">
        <w:rPr>
          <w:i/>
          <w:sz w:val="24"/>
          <w:szCs w:val="24"/>
        </w:rPr>
        <w:t xml:space="preserve">igital </w:t>
      </w:r>
      <w:r w:rsidR="00664FE8" w:rsidRPr="0A6CCF7B">
        <w:rPr>
          <w:i/>
          <w:sz w:val="24"/>
          <w:szCs w:val="24"/>
        </w:rPr>
        <w:t>b</w:t>
      </w:r>
      <w:r w:rsidRPr="0A6CCF7B">
        <w:rPr>
          <w:i/>
          <w:sz w:val="24"/>
          <w:szCs w:val="24"/>
        </w:rPr>
        <w:t>usiness,</w:t>
      </w:r>
      <w:r w:rsidR="00494CE9" w:rsidRPr="0A6CCF7B">
        <w:rPr>
          <w:i/>
          <w:sz w:val="24"/>
          <w:szCs w:val="24"/>
        </w:rPr>
        <w:t xml:space="preserve"> </w:t>
      </w:r>
      <w:r w:rsidR="00494CE9" w:rsidRPr="005E62C0">
        <w:rPr>
          <w:sz w:val="24"/>
          <w:szCs w:val="24"/>
        </w:rPr>
        <w:t>IP Australia</w:t>
      </w:r>
      <w:r w:rsidRPr="0A6CCF7B">
        <w:rPr>
          <w:sz w:val="24"/>
          <w:szCs w:val="24"/>
        </w:rPr>
        <w:t xml:space="preserve"> website, n.d. </w:t>
      </w:r>
      <w:hyperlink r:id="rId54">
        <w:r w:rsidRPr="0A6CCF7B">
          <w:rPr>
            <w:rStyle w:val="Hyperlink"/>
            <w:sz w:val="24"/>
            <w:szCs w:val="24"/>
          </w:rPr>
          <w:t>www.ipaustralia.gov.au/ip-for-digital-business</w:t>
        </w:r>
      </w:hyperlink>
      <w:r w:rsidRPr="0A6CCF7B">
        <w:rPr>
          <w:sz w:val="24"/>
          <w:szCs w:val="24"/>
        </w:rPr>
        <w:t>.</w:t>
      </w:r>
    </w:p>
    <w:p w14:paraId="0EFE10F5" w14:textId="3A5A63C9" w:rsidR="004015F2" w:rsidRPr="00F7079B" w:rsidRDefault="004015F2" w:rsidP="00657646">
      <w:pPr>
        <w:pStyle w:val="FootnoteText"/>
        <w:spacing w:after="120"/>
        <w:rPr>
          <w:sz w:val="24"/>
          <w:szCs w:val="24"/>
        </w:rPr>
      </w:pPr>
      <w:r w:rsidRPr="00F7079B">
        <w:rPr>
          <w:sz w:val="24"/>
          <w:szCs w:val="24"/>
        </w:rPr>
        <w:t>IP</w:t>
      </w:r>
      <w:r w:rsidR="004056A4">
        <w:rPr>
          <w:sz w:val="24"/>
          <w:szCs w:val="24"/>
        </w:rPr>
        <w:t xml:space="preserve"> </w:t>
      </w:r>
      <w:r w:rsidRPr="00F7079B">
        <w:rPr>
          <w:sz w:val="24"/>
          <w:szCs w:val="24"/>
        </w:rPr>
        <w:t>A</w:t>
      </w:r>
      <w:r w:rsidR="004056A4">
        <w:rPr>
          <w:sz w:val="24"/>
          <w:szCs w:val="24"/>
        </w:rPr>
        <w:t>ustralia</w:t>
      </w:r>
      <w:r w:rsidRPr="00F7079B">
        <w:rPr>
          <w:sz w:val="24"/>
          <w:szCs w:val="24"/>
        </w:rPr>
        <w:t xml:space="preserve">, ‘IP </w:t>
      </w:r>
      <w:r w:rsidR="00664FE8" w:rsidRPr="00F7079B">
        <w:rPr>
          <w:sz w:val="24"/>
          <w:szCs w:val="24"/>
        </w:rPr>
        <w:t>i</w:t>
      </w:r>
      <w:r w:rsidRPr="00F7079B">
        <w:rPr>
          <w:sz w:val="24"/>
          <w:szCs w:val="24"/>
        </w:rPr>
        <w:t xml:space="preserve">nsurance’, </w:t>
      </w:r>
      <w:r w:rsidRPr="00F7079B">
        <w:rPr>
          <w:i/>
          <w:sz w:val="24"/>
          <w:szCs w:val="24"/>
        </w:rPr>
        <w:t xml:space="preserve">IP </w:t>
      </w:r>
      <w:r w:rsidR="00773AED" w:rsidRPr="00F7079B">
        <w:rPr>
          <w:i/>
          <w:sz w:val="24"/>
          <w:szCs w:val="24"/>
        </w:rPr>
        <w:t>i</w:t>
      </w:r>
      <w:r w:rsidRPr="00F7079B">
        <w:rPr>
          <w:i/>
          <w:sz w:val="24"/>
          <w:szCs w:val="24"/>
        </w:rPr>
        <w:t>nfringement,</w:t>
      </w:r>
      <w:r w:rsidR="00494CE9">
        <w:rPr>
          <w:i/>
          <w:sz w:val="24"/>
          <w:szCs w:val="24"/>
        </w:rPr>
        <w:t xml:space="preserve"> </w:t>
      </w:r>
      <w:r w:rsidR="00494CE9" w:rsidRPr="005E62C0">
        <w:rPr>
          <w:sz w:val="24"/>
          <w:szCs w:val="24"/>
        </w:rPr>
        <w:t>IP Australia</w:t>
      </w:r>
      <w:r w:rsidRPr="00F7079B">
        <w:rPr>
          <w:sz w:val="24"/>
          <w:szCs w:val="24"/>
        </w:rPr>
        <w:t xml:space="preserve"> website, 2018, accessed 15 December 2020. </w:t>
      </w:r>
      <w:hyperlink r:id="rId55">
        <w:r w:rsidR="00AA1BBD" w:rsidRPr="0A6CCF7B">
          <w:rPr>
            <w:rStyle w:val="Hyperlink"/>
            <w:sz w:val="24"/>
            <w:szCs w:val="24"/>
          </w:rPr>
          <w:t>https://www.ipaustralia.gov.au/ip-infringement/more-about-ip-infringement/ip-insurance</w:t>
        </w:r>
      </w:hyperlink>
      <w:r w:rsidRPr="0A6CCF7B">
        <w:rPr>
          <w:sz w:val="24"/>
          <w:szCs w:val="24"/>
        </w:rPr>
        <w:t>.</w:t>
      </w:r>
      <w:r w:rsidR="00AA1BBD" w:rsidRPr="0A6CCF7B">
        <w:rPr>
          <w:sz w:val="24"/>
          <w:szCs w:val="24"/>
        </w:rPr>
        <w:t xml:space="preserve"> </w:t>
      </w:r>
    </w:p>
    <w:p w14:paraId="69490E1C" w14:textId="36BF4A1B" w:rsidR="00DB04A0" w:rsidRPr="00F7079B" w:rsidRDefault="004B3D37" w:rsidP="00FD5651">
      <w:pPr>
        <w:pStyle w:val="FootnoteText"/>
        <w:spacing w:after="120"/>
        <w:rPr>
          <w:sz w:val="24"/>
          <w:szCs w:val="24"/>
        </w:rPr>
      </w:pPr>
      <w:r w:rsidRPr="0A6CCF7B">
        <w:rPr>
          <w:sz w:val="24"/>
          <w:szCs w:val="24"/>
        </w:rPr>
        <w:t>IP</w:t>
      </w:r>
      <w:r w:rsidR="004056A4" w:rsidRPr="0A6CCF7B">
        <w:rPr>
          <w:sz w:val="24"/>
          <w:szCs w:val="24"/>
        </w:rPr>
        <w:t xml:space="preserve"> </w:t>
      </w:r>
      <w:r w:rsidRPr="0A6CCF7B">
        <w:rPr>
          <w:sz w:val="24"/>
          <w:szCs w:val="24"/>
        </w:rPr>
        <w:t>A</w:t>
      </w:r>
      <w:r w:rsidR="004056A4" w:rsidRPr="0A6CCF7B">
        <w:rPr>
          <w:sz w:val="24"/>
          <w:szCs w:val="24"/>
        </w:rPr>
        <w:t>ustralia</w:t>
      </w:r>
      <w:r w:rsidRPr="0A6CCF7B">
        <w:rPr>
          <w:sz w:val="24"/>
          <w:szCs w:val="24"/>
        </w:rPr>
        <w:t xml:space="preserve">, </w:t>
      </w:r>
      <w:r w:rsidRPr="0A6CCF7B">
        <w:rPr>
          <w:i/>
          <w:sz w:val="24"/>
          <w:szCs w:val="24"/>
        </w:rPr>
        <w:t xml:space="preserve">IP </w:t>
      </w:r>
      <w:r w:rsidR="00864D45" w:rsidRPr="0A6CCF7B">
        <w:rPr>
          <w:i/>
          <w:sz w:val="24"/>
          <w:szCs w:val="24"/>
        </w:rPr>
        <w:t>t</w:t>
      </w:r>
      <w:r w:rsidRPr="0A6CCF7B">
        <w:rPr>
          <w:i/>
          <w:sz w:val="24"/>
          <w:szCs w:val="24"/>
        </w:rPr>
        <w:t xml:space="preserve">oolkit for </w:t>
      </w:r>
      <w:r w:rsidR="00864D45" w:rsidRPr="0A6CCF7B">
        <w:rPr>
          <w:i/>
          <w:sz w:val="24"/>
          <w:szCs w:val="24"/>
        </w:rPr>
        <w:t>c</w:t>
      </w:r>
      <w:r w:rsidRPr="0A6CCF7B">
        <w:rPr>
          <w:i/>
          <w:sz w:val="24"/>
          <w:szCs w:val="24"/>
        </w:rPr>
        <w:t>ollaboration,</w:t>
      </w:r>
      <w:r w:rsidR="00494CE9" w:rsidRPr="0A6CCF7B">
        <w:rPr>
          <w:i/>
          <w:sz w:val="24"/>
          <w:szCs w:val="24"/>
        </w:rPr>
        <w:t xml:space="preserve"> </w:t>
      </w:r>
      <w:r w:rsidR="00494CE9" w:rsidRPr="005E62C0">
        <w:rPr>
          <w:sz w:val="24"/>
          <w:szCs w:val="24"/>
        </w:rPr>
        <w:t>IP Australia</w:t>
      </w:r>
      <w:r w:rsidRPr="0A6CCF7B">
        <w:rPr>
          <w:sz w:val="24"/>
          <w:szCs w:val="24"/>
        </w:rPr>
        <w:t xml:space="preserve"> website, 2016. </w:t>
      </w:r>
      <w:hyperlink r:id="rId56">
        <w:r w:rsidRPr="0A6CCF7B">
          <w:rPr>
            <w:rStyle w:val="Hyperlink"/>
            <w:sz w:val="24"/>
            <w:szCs w:val="24"/>
          </w:rPr>
          <w:t>www.ipaustralia.gov.au/understanding-ip/commercialise-your-ip/ip-toolkit-collaboration</w:t>
        </w:r>
      </w:hyperlink>
      <w:r w:rsidRPr="0A6CCF7B">
        <w:rPr>
          <w:sz w:val="24"/>
          <w:szCs w:val="24"/>
        </w:rPr>
        <w:t>.</w:t>
      </w:r>
      <w:r w:rsidR="00F426A2" w:rsidRPr="0A6CCF7B">
        <w:rPr>
          <w:sz w:val="24"/>
          <w:szCs w:val="24"/>
        </w:rPr>
        <w:t xml:space="preserve"> </w:t>
      </w:r>
    </w:p>
    <w:p w14:paraId="79D108FB" w14:textId="603A67AF" w:rsidR="000764CC" w:rsidRPr="00F7079B" w:rsidRDefault="000764CC" w:rsidP="00F6561C">
      <w:pPr>
        <w:pStyle w:val="FootnoteText"/>
        <w:spacing w:after="120"/>
        <w:rPr>
          <w:sz w:val="24"/>
          <w:szCs w:val="24"/>
        </w:rPr>
      </w:pPr>
      <w:r w:rsidRPr="72EB7D45">
        <w:rPr>
          <w:sz w:val="24"/>
          <w:szCs w:val="24"/>
        </w:rPr>
        <w:t>IP</w:t>
      </w:r>
      <w:r w:rsidR="004056A4" w:rsidRPr="72EB7D45">
        <w:rPr>
          <w:sz w:val="24"/>
          <w:szCs w:val="24"/>
        </w:rPr>
        <w:t xml:space="preserve"> </w:t>
      </w:r>
      <w:r w:rsidRPr="72EB7D45">
        <w:rPr>
          <w:sz w:val="24"/>
          <w:szCs w:val="24"/>
        </w:rPr>
        <w:t>A</w:t>
      </w:r>
      <w:r w:rsidR="004056A4" w:rsidRPr="72EB7D45">
        <w:rPr>
          <w:sz w:val="24"/>
          <w:szCs w:val="24"/>
        </w:rPr>
        <w:t>ustralia</w:t>
      </w:r>
      <w:r w:rsidRPr="72EB7D45">
        <w:rPr>
          <w:sz w:val="24"/>
          <w:szCs w:val="24"/>
        </w:rPr>
        <w:t xml:space="preserve">, ‘Opposing a patent’, </w:t>
      </w:r>
      <w:r w:rsidRPr="72EB7D45">
        <w:rPr>
          <w:i/>
          <w:sz w:val="24"/>
          <w:szCs w:val="24"/>
        </w:rPr>
        <w:t>Patents,</w:t>
      </w:r>
      <w:r w:rsidR="00494CE9" w:rsidRPr="72EB7D45">
        <w:rPr>
          <w:i/>
          <w:sz w:val="24"/>
          <w:szCs w:val="24"/>
        </w:rPr>
        <w:t xml:space="preserve"> </w:t>
      </w:r>
      <w:r w:rsidR="00494CE9" w:rsidRPr="005E62C0">
        <w:rPr>
          <w:sz w:val="24"/>
          <w:szCs w:val="24"/>
        </w:rPr>
        <w:t>IP Australia</w:t>
      </w:r>
      <w:r w:rsidRPr="72EB7D45">
        <w:rPr>
          <w:sz w:val="24"/>
          <w:szCs w:val="24"/>
        </w:rPr>
        <w:t xml:space="preserve"> website, 2016, accessed 8 January 2021. </w:t>
      </w:r>
      <w:hyperlink r:id="rId57">
        <w:r w:rsidRPr="72EB7D45">
          <w:rPr>
            <w:rStyle w:val="Hyperlink"/>
            <w:sz w:val="24"/>
            <w:szCs w:val="24"/>
          </w:rPr>
          <w:t>https://www.ipaustralia.gov.au/patents/managing-your-patent/enforcing-your-patent/opposing-a-patent</w:t>
        </w:r>
      </w:hyperlink>
      <w:r w:rsidR="005C4AAA" w:rsidRPr="005C4AAA">
        <w:rPr>
          <w:sz w:val="24"/>
          <w:szCs w:val="24"/>
        </w:rPr>
        <w:t>.</w:t>
      </w:r>
      <w:r w:rsidRPr="72EB7D45">
        <w:rPr>
          <w:sz w:val="24"/>
          <w:szCs w:val="24"/>
        </w:rPr>
        <w:t xml:space="preserve"> </w:t>
      </w:r>
    </w:p>
    <w:p w14:paraId="4F2CB4CB" w14:textId="6E08A4F1" w:rsidR="00DB04A0" w:rsidRPr="00F7079B" w:rsidRDefault="004B3D37" w:rsidP="00FD5651">
      <w:pPr>
        <w:pStyle w:val="FootnoteText"/>
        <w:spacing w:after="120"/>
        <w:rPr>
          <w:sz w:val="24"/>
          <w:szCs w:val="24"/>
        </w:rPr>
      </w:pPr>
      <w:r w:rsidRPr="72EB7D45">
        <w:rPr>
          <w:sz w:val="24"/>
          <w:szCs w:val="24"/>
        </w:rPr>
        <w:t>IP</w:t>
      </w:r>
      <w:r w:rsidR="004056A4" w:rsidRPr="72EB7D45">
        <w:rPr>
          <w:sz w:val="24"/>
          <w:szCs w:val="24"/>
        </w:rPr>
        <w:t xml:space="preserve"> </w:t>
      </w:r>
      <w:r w:rsidRPr="72EB7D45">
        <w:rPr>
          <w:sz w:val="24"/>
          <w:szCs w:val="24"/>
        </w:rPr>
        <w:t>A</w:t>
      </w:r>
      <w:r w:rsidR="004056A4" w:rsidRPr="72EB7D45">
        <w:rPr>
          <w:sz w:val="24"/>
          <w:szCs w:val="24"/>
        </w:rPr>
        <w:t>ustralia</w:t>
      </w:r>
      <w:r w:rsidRPr="72EB7D45">
        <w:rPr>
          <w:sz w:val="24"/>
          <w:szCs w:val="24"/>
        </w:rPr>
        <w:t xml:space="preserve">, </w:t>
      </w:r>
      <w:r w:rsidRPr="72EB7D45">
        <w:rPr>
          <w:i/>
          <w:sz w:val="24"/>
          <w:szCs w:val="24"/>
        </w:rPr>
        <w:t xml:space="preserve">Patents </w:t>
      </w:r>
      <w:r w:rsidR="007A0A14" w:rsidRPr="72EB7D45">
        <w:rPr>
          <w:i/>
          <w:sz w:val="24"/>
          <w:szCs w:val="24"/>
        </w:rPr>
        <w:t>c</w:t>
      </w:r>
      <w:r w:rsidRPr="72EB7D45">
        <w:rPr>
          <w:i/>
          <w:sz w:val="24"/>
          <w:szCs w:val="24"/>
        </w:rPr>
        <w:t xml:space="preserve">ase </w:t>
      </w:r>
      <w:r w:rsidR="007A0A14" w:rsidRPr="72EB7D45">
        <w:rPr>
          <w:i/>
          <w:sz w:val="24"/>
          <w:szCs w:val="24"/>
        </w:rPr>
        <w:t>m</w:t>
      </w:r>
      <w:r w:rsidRPr="72EB7D45">
        <w:rPr>
          <w:i/>
          <w:sz w:val="24"/>
          <w:szCs w:val="24"/>
        </w:rPr>
        <w:t>anagement for SMEs,</w:t>
      </w:r>
      <w:r w:rsidR="00494CE9" w:rsidRPr="72EB7D45">
        <w:rPr>
          <w:sz w:val="24"/>
          <w:szCs w:val="24"/>
        </w:rPr>
        <w:t xml:space="preserve"> </w:t>
      </w:r>
      <w:r w:rsidR="00494CE9" w:rsidRPr="005E62C0">
        <w:rPr>
          <w:sz w:val="24"/>
          <w:szCs w:val="24"/>
        </w:rPr>
        <w:t>IP Australia</w:t>
      </w:r>
      <w:r w:rsidRPr="72EB7D45">
        <w:rPr>
          <w:sz w:val="24"/>
          <w:szCs w:val="24"/>
        </w:rPr>
        <w:t xml:space="preserve"> website, 2020. </w:t>
      </w:r>
      <w:hyperlink r:id="rId58">
        <w:r w:rsidRPr="72EB7D45">
          <w:rPr>
            <w:rStyle w:val="Hyperlink"/>
            <w:sz w:val="24"/>
            <w:szCs w:val="24"/>
          </w:rPr>
          <w:t>www.ipaustralia.gov.au/patents-case-management-smes</w:t>
        </w:r>
      </w:hyperlink>
      <w:r w:rsidRPr="72EB7D45">
        <w:rPr>
          <w:sz w:val="24"/>
          <w:szCs w:val="24"/>
        </w:rPr>
        <w:t>.</w:t>
      </w:r>
      <w:r w:rsidR="00DB04A0" w:rsidRPr="72EB7D45">
        <w:rPr>
          <w:sz w:val="24"/>
          <w:szCs w:val="24"/>
        </w:rPr>
        <w:t xml:space="preserve"> </w:t>
      </w:r>
    </w:p>
    <w:p w14:paraId="451BA0DB" w14:textId="3C9A3FD0" w:rsidR="00DE668C" w:rsidRPr="00F7079B" w:rsidRDefault="00DE668C" w:rsidP="00F6561C">
      <w:pPr>
        <w:pStyle w:val="FootnoteText"/>
        <w:spacing w:after="120"/>
        <w:rPr>
          <w:sz w:val="24"/>
          <w:szCs w:val="24"/>
        </w:rPr>
      </w:pPr>
      <w:r w:rsidRPr="00F7079B">
        <w:rPr>
          <w:sz w:val="24"/>
          <w:szCs w:val="24"/>
        </w:rPr>
        <w:t>IP</w:t>
      </w:r>
      <w:r w:rsidR="004056A4">
        <w:rPr>
          <w:sz w:val="24"/>
          <w:szCs w:val="24"/>
        </w:rPr>
        <w:t xml:space="preserve"> </w:t>
      </w:r>
      <w:r w:rsidRPr="00F7079B">
        <w:rPr>
          <w:sz w:val="24"/>
          <w:szCs w:val="24"/>
        </w:rPr>
        <w:t>A</w:t>
      </w:r>
      <w:r w:rsidR="004056A4">
        <w:rPr>
          <w:sz w:val="24"/>
          <w:szCs w:val="24"/>
        </w:rPr>
        <w:t>ustralia</w:t>
      </w:r>
      <w:r w:rsidRPr="00F7079B">
        <w:rPr>
          <w:sz w:val="24"/>
          <w:szCs w:val="24"/>
        </w:rPr>
        <w:t xml:space="preserve">, </w:t>
      </w:r>
      <w:r w:rsidRPr="00F7079B">
        <w:rPr>
          <w:i/>
          <w:sz w:val="24"/>
          <w:szCs w:val="24"/>
        </w:rPr>
        <w:t xml:space="preserve">Patent filings </w:t>
      </w:r>
      <w:r w:rsidRPr="00F7079B">
        <w:rPr>
          <w:sz w:val="24"/>
          <w:szCs w:val="24"/>
        </w:rPr>
        <w:t>[data set], IP Australia, Australian Government, unpublished, accessed 4</w:t>
      </w:r>
      <w:r w:rsidR="00DB04A0" w:rsidRPr="00F7079B">
        <w:rPr>
          <w:sz w:val="24"/>
          <w:szCs w:val="24"/>
        </w:rPr>
        <w:t> </w:t>
      </w:r>
      <w:r w:rsidRPr="00F7079B">
        <w:rPr>
          <w:sz w:val="24"/>
          <w:szCs w:val="24"/>
        </w:rPr>
        <w:t>December 2020.</w:t>
      </w:r>
    </w:p>
    <w:p w14:paraId="46656C13" w14:textId="0D4C765F" w:rsidR="00DB04A0" w:rsidRDefault="004B3D37" w:rsidP="00FD5651">
      <w:pPr>
        <w:pStyle w:val="FootnoteText"/>
        <w:spacing w:after="120"/>
        <w:rPr>
          <w:sz w:val="24"/>
          <w:szCs w:val="24"/>
        </w:rPr>
      </w:pPr>
      <w:r w:rsidRPr="72EB7D45">
        <w:rPr>
          <w:sz w:val="24"/>
          <w:szCs w:val="24"/>
        </w:rPr>
        <w:t>IP</w:t>
      </w:r>
      <w:r w:rsidR="004056A4" w:rsidRPr="72EB7D45">
        <w:rPr>
          <w:sz w:val="24"/>
          <w:szCs w:val="24"/>
        </w:rPr>
        <w:t xml:space="preserve"> </w:t>
      </w:r>
      <w:r w:rsidRPr="72EB7D45">
        <w:rPr>
          <w:sz w:val="24"/>
          <w:szCs w:val="24"/>
        </w:rPr>
        <w:t>A</w:t>
      </w:r>
      <w:r w:rsidR="004056A4" w:rsidRPr="72EB7D45">
        <w:rPr>
          <w:sz w:val="24"/>
          <w:szCs w:val="24"/>
        </w:rPr>
        <w:t>ustralia</w:t>
      </w:r>
      <w:r w:rsidRPr="72EB7D45">
        <w:rPr>
          <w:sz w:val="24"/>
          <w:szCs w:val="24"/>
        </w:rPr>
        <w:t xml:space="preserve">, </w:t>
      </w:r>
      <w:r w:rsidRPr="72EB7D45">
        <w:rPr>
          <w:i/>
          <w:sz w:val="24"/>
          <w:szCs w:val="24"/>
        </w:rPr>
        <w:t>Portal for small and medium enterprises (SMEs)</w:t>
      </w:r>
      <w:r w:rsidRPr="72EB7D45">
        <w:rPr>
          <w:sz w:val="24"/>
          <w:szCs w:val="24"/>
        </w:rPr>
        <w:t>,</w:t>
      </w:r>
      <w:r w:rsidR="00494CE9" w:rsidRPr="72EB7D45">
        <w:rPr>
          <w:sz w:val="24"/>
          <w:szCs w:val="24"/>
        </w:rPr>
        <w:t xml:space="preserve"> IP Australia</w:t>
      </w:r>
      <w:r w:rsidRPr="72EB7D45">
        <w:rPr>
          <w:sz w:val="24"/>
          <w:szCs w:val="24"/>
        </w:rPr>
        <w:t xml:space="preserve"> website, n.d. </w:t>
      </w:r>
      <w:hyperlink r:id="rId59">
        <w:r w:rsidRPr="72EB7D45">
          <w:rPr>
            <w:rStyle w:val="Hyperlink"/>
            <w:sz w:val="24"/>
            <w:szCs w:val="24"/>
          </w:rPr>
          <w:t>www.ipaustralia.gov.au/sme-portal</w:t>
        </w:r>
      </w:hyperlink>
      <w:r w:rsidRPr="72EB7D45">
        <w:rPr>
          <w:sz w:val="24"/>
          <w:szCs w:val="24"/>
        </w:rPr>
        <w:t>.</w:t>
      </w:r>
      <w:r w:rsidR="00DB04A0" w:rsidRPr="72EB7D45">
        <w:rPr>
          <w:sz w:val="24"/>
          <w:szCs w:val="24"/>
        </w:rPr>
        <w:t xml:space="preserve"> </w:t>
      </w:r>
    </w:p>
    <w:p w14:paraId="363054F9" w14:textId="6ACDB074" w:rsidR="00DC776E" w:rsidRDefault="00DC776E" w:rsidP="00FD5651">
      <w:pPr>
        <w:pStyle w:val="FootnoteText"/>
        <w:spacing w:after="120"/>
        <w:rPr>
          <w:sz w:val="24"/>
          <w:szCs w:val="24"/>
        </w:rPr>
      </w:pPr>
      <w:r w:rsidRPr="00DC776E">
        <w:rPr>
          <w:sz w:val="24"/>
          <w:szCs w:val="24"/>
        </w:rPr>
        <w:t>IP</w:t>
      </w:r>
      <w:r w:rsidR="004056A4">
        <w:rPr>
          <w:sz w:val="24"/>
          <w:szCs w:val="24"/>
        </w:rPr>
        <w:t xml:space="preserve"> </w:t>
      </w:r>
      <w:r w:rsidRPr="00DC776E">
        <w:rPr>
          <w:sz w:val="24"/>
          <w:szCs w:val="24"/>
        </w:rPr>
        <w:t>A</w:t>
      </w:r>
      <w:r w:rsidR="004056A4">
        <w:rPr>
          <w:sz w:val="24"/>
          <w:szCs w:val="24"/>
        </w:rPr>
        <w:t>ustralia</w:t>
      </w:r>
      <w:r w:rsidRPr="00DC776E">
        <w:rPr>
          <w:sz w:val="24"/>
          <w:szCs w:val="24"/>
        </w:rPr>
        <w:t xml:space="preserve">, </w:t>
      </w:r>
      <w:r w:rsidRPr="00DC776E">
        <w:rPr>
          <w:i/>
          <w:sz w:val="24"/>
          <w:szCs w:val="24"/>
        </w:rPr>
        <w:t>Re-examination,</w:t>
      </w:r>
      <w:r w:rsidR="00494CE9">
        <w:rPr>
          <w:i/>
          <w:sz w:val="24"/>
          <w:szCs w:val="24"/>
        </w:rPr>
        <w:t xml:space="preserve"> </w:t>
      </w:r>
      <w:r w:rsidR="00494CE9" w:rsidRPr="005E62C0">
        <w:rPr>
          <w:sz w:val="24"/>
          <w:szCs w:val="24"/>
        </w:rPr>
        <w:t>IP Au</w:t>
      </w:r>
      <w:r w:rsidR="00494CE9" w:rsidRPr="0067321E">
        <w:rPr>
          <w:sz w:val="24"/>
          <w:szCs w:val="24"/>
        </w:rPr>
        <w:t>stralia</w:t>
      </w:r>
      <w:r w:rsidRPr="00DC776E">
        <w:rPr>
          <w:sz w:val="24"/>
          <w:szCs w:val="24"/>
        </w:rPr>
        <w:t xml:space="preserve"> website, 2016. </w:t>
      </w:r>
      <w:hyperlink r:id="rId60" w:history="1">
        <w:r w:rsidRPr="00DC776E">
          <w:rPr>
            <w:rStyle w:val="Hyperlink"/>
            <w:sz w:val="24"/>
            <w:szCs w:val="24"/>
          </w:rPr>
          <w:t>https://www.ipaustralia.gov.au/patents/managing-your-patent/enforcing-your-patent/re-examination</w:t>
        </w:r>
      </w:hyperlink>
      <w:r w:rsidRPr="00DC776E">
        <w:rPr>
          <w:sz w:val="24"/>
          <w:szCs w:val="24"/>
        </w:rPr>
        <w:t>.</w:t>
      </w:r>
    </w:p>
    <w:p w14:paraId="03F82A9B" w14:textId="0A2E9C95" w:rsidR="00400C61" w:rsidRPr="00F7079B" w:rsidRDefault="00400C61" w:rsidP="00FD5651">
      <w:pPr>
        <w:pStyle w:val="FootnoteText"/>
        <w:spacing w:after="120"/>
        <w:rPr>
          <w:sz w:val="24"/>
          <w:szCs w:val="24"/>
        </w:rPr>
      </w:pPr>
      <w:r w:rsidRPr="00400C61">
        <w:rPr>
          <w:sz w:val="24"/>
          <w:szCs w:val="24"/>
        </w:rPr>
        <w:t xml:space="preserve">IP Australia, </w:t>
      </w:r>
      <w:r w:rsidRPr="00400C61">
        <w:rPr>
          <w:i/>
          <w:sz w:val="24"/>
          <w:szCs w:val="24"/>
        </w:rPr>
        <w:t>Search for a standard patent</w:t>
      </w:r>
      <w:r w:rsidRPr="00400C61">
        <w:rPr>
          <w:sz w:val="24"/>
          <w:szCs w:val="24"/>
        </w:rPr>
        <w:t xml:space="preserve">, IP Australia website, accessed 17 February 2021. </w:t>
      </w:r>
      <w:hyperlink r:id="rId61" w:history="1">
        <w:r w:rsidRPr="00400C61">
          <w:rPr>
            <w:rStyle w:val="Hyperlink"/>
            <w:sz w:val="24"/>
            <w:szCs w:val="24"/>
          </w:rPr>
          <w:t>https://www.ipaustralia.gov.au/patents/applying-patent/standard-patent-application-process/search-standard-patent</w:t>
        </w:r>
      </w:hyperlink>
      <w:r w:rsidRPr="00400C61">
        <w:rPr>
          <w:sz w:val="24"/>
          <w:szCs w:val="24"/>
        </w:rPr>
        <w:t>.</w:t>
      </w:r>
    </w:p>
    <w:p w14:paraId="318E3BC6" w14:textId="71C363B1" w:rsidR="007A0A14" w:rsidRDefault="000764CC" w:rsidP="00657646">
      <w:pPr>
        <w:pStyle w:val="FootnoteText"/>
        <w:spacing w:after="120"/>
        <w:rPr>
          <w:sz w:val="24"/>
          <w:szCs w:val="24"/>
        </w:rPr>
      </w:pPr>
      <w:r w:rsidRPr="00F7079B">
        <w:rPr>
          <w:sz w:val="24"/>
          <w:szCs w:val="24"/>
        </w:rPr>
        <w:t>IP</w:t>
      </w:r>
      <w:r w:rsidR="004056A4">
        <w:rPr>
          <w:sz w:val="24"/>
          <w:szCs w:val="24"/>
        </w:rPr>
        <w:t xml:space="preserve"> </w:t>
      </w:r>
      <w:r w:rsidRPr="00F7079B">
        <w:rPr>
          <w:sz w:val="24"/>
          <w:szCs w:val="24"/>
        </w:rPr>
        <w:t>A</w:t>
      </w:r>
      <w:r w:rsidR="004056A4">
        <w:rPr>
          <w:sz w:val="24"/>
          <w:szCs w:val="24"/>
        </w:rPr>
        <w:t>ustralia</w:t>
      </w:r>
      <w:r w:rsidRPr="00F7079B">
        <w:rPr>
          <w:sz w:val="24"/>
          <w:szCs w:val="24"/>
        </w:rPr>
        <w:t xml:space="preserve">, ‘The opposition process’, </w:t>
      </w:r>
      <w:r w:rsidRPr="00F7079B">
        <w:rPr>
          <w:i/>
          <w:sz w:val="24"/>
          <w:szCs w:val="24"/>
        </w:rPr>
        <w:t>Patents,</w:t>
      </w:r>
      <w:r w:rsidR="00494CE9">
        <w:rPr>
          <w:i/>
          <w:sz w:val="24"/>
          <w:szCs w:val="24"/>
        </w:rPr>
        <w:t xml:space="preserve"> </w:t>
      </w:r>
      <w:r w:rsidR="00494CE9" w:rsidRPr="005E62C0">
        <w:rPr>
          <w:sz w:val="24"/>
          <w:szCs w:val="24"/>
        </w:rPr>
        <w:t>IP Australia</w:t>
      </w:r>
      <w:r w:rsidRPr="00F7079B">
        <w:rPr>
          <w:sz w:val="24"/>
          <w:szCs w:val="24"/>
        </w:rPr>
        <w:t xml:space="preserve"> website, 2016, accessed 8 January 2021. </w:t>
      </w:r>
      <w:hyperlink r:id="rId62" w:anchor=":~:text=Opposition%20to%20the%20grant%20of,statement%20of%20grounds%20and%20particulars">
        <w:r w:rsidRPr="72EB7D45">
          <w:rPr>
            <w:rStyle w:val="Hyperlink"/>
            <w:sz w:val="24"/>
            <w:szCs w:val="24"/>
          </w:rPr>
          <w:t>https://www.ipaustralia.gov.au/patents/managing-your-patent/enforcing-your-patent/opposition-process#:~:text=Opposition%20to%20the%20grant%20of,statement%20of%20grounds%20and%20particulars</w:t>
        </w:r>
      </w:hyperlink>
      <w:r w:rsidRPr="72EB7D45">
        <w:rPr>
          <w:sz w:val="24"/>
          <w:szCs w:val="24"/>
        </w:rPr>
        <w:t xml:space="preserve">. </w:t>
      </w:r>
    </w:p>
    <w:p w14:paraId="35AE088A" w14:textId="2A12B5BE" w:rsidR="00DC776E" w:rsidRDefault="00BF29EB" w:rsidP="00657646">
      <w:pPr>
        <w:pStyle w:val="FootnoteText"/>
        <w:spacing w:after="120"/>
        <w:rPr>
          <w:sz w:val="24"/>
          <w:szCs w:val="24"/>
        </w:rPr>
      </w:pPr>
      <w:r>
        <w:rPr>
          <w:sz w:val="24"/>
          <w:szCs w:val="24"/>
        </w:rPr>
        <w:t xml:space="preserve">IP Australia, </w:t>
      </w:r>
      <w:r w:rsidR="00DC776E" w:rsidRPr="005E62C0">
        <w:rPr>
          <w:i/>
          <w:sz w:val="24"/>
          <w:szCs w:val="24"/>
        </w:rPr>
        <w:t>IPGOD</w:t>
      </w:r>
      <w:r w:rsidR="00DC776E" w:rsidRPr="00DC776E">
        <w:rPr>
          <w:sz w:val="24"/>
          <w:szCs w:val="24"/>
        </w:rPr>
        <w:t xml:space="preserve"> (2020), patent-party_activity table</w:t>
      </w:r>
      <w:r>
        <w:rPr>
          <w:sz w:val="24"/>
          <w:szCs w:val="24"/>
        </w:rPr>
        <w:t>.</w:t>
      </w:r>
    </w:p>
    <w:p w14:paraId="432DCBFB" w14:textId="25DCFE40" w:rsidR="00BF29EB" w:rsidRPr="00F7079B" w:rsidRDefault="00BF29EB" w:rsidP="00657646">
      <w:pPr>
        <w:pStyle w:val="FootnoteText"/>
        <w:spacing w:after="120"/>
        <w:rPr>
          <w:sz w:val="24"/>
          <w:szCs w:val="24"/>
        </w:rPr>
      </w:pPr>
      <w:r>
        <w:rPr>
          <w:sz w:val="24"/>
          <w:szCs w:val="24"/>
        </w:rPr>
        <w:t xml:space="preserve">IP Australia, </w:t>
      </w:r>
      <w:r>
        <w:rPr>
          <w:i/>
          <w:sz w:val="24"/>
          <w:szCs w:val="24"/>
        </w:rPr>
        <w:t xml:space="preserve">IPGOD </w:t>
      </w:r>
      <w:r>
        <w:rPr>
          <w:sz w:val="24"/>
          <w:szCs w:val="24"/>
        </w:rPr>
        <w:t>(2021), unpublished.</w:t>
      </w:r>
    </w:p>
    <w:p w14:paraId="31D74A16" w14:textId="79070412" w:rsidR="00664FE8" w:rsidRPr="00F7079B" w:rsidRDefault="00664FE8" w:rsidP="00657646">
      <w:pPr>
        <w:pStyle w:val="FootnoteText"/>
        <w:spacing w:after="120"/>
        <w:rPr>
          <w:sz w:val="24"/>
          <w:szCs w:val="24"/>
        </w:rPr>
      </w:pPr>
      <w:r w:rsidRPr="00F7079B">
        <w:rPr>
          <w:sz w:val="24"/>
          <w:szCs w:val="24"/>
        </w:rPr>
        <w:t xml:space="preserve">Israel Patent Office, </w:t>
      </w:r>
      <w:r w:rsidRPr="00F7079B">
        <w:rPr>
          <w:i/>
          <w:sz w:val="24"/>
          <w:szCs w:val="24"/>
        </w:rPr>
        <w:t xml:space="preserve">WIPO </w:t>
      </w:r>
      <w:r w:rsidR="007A0A14" w:rsidRPr="00F7079B">
        <w:rPr>
          <w:i/>
          <w:sz w:val="24"/>
          <w:szCs w:val="24"/>
        </w:rPr>
        <w:t>m</w:t>
      </w:r>
      <w:r w:rsidRPr="00F7079B">
        <w:rPr>
          <w:i/>
          <w:sz w:val="24"/>
          <w:szCs w:val="24"/>
        </w:rPr>
        <w:t xml:space="preserve">ediation for IP and </w:t>
      </w:r>
      <w:r w:rsidR="007A0A14" w:rsidRPr="00F7079B">
        <w:rPr>
          <w:i/>
          <w:sz w:val="24"/>
          <w:szCs w:val="24"/>
        </w:rPr>
        <w:t>t</w:t>
      </w:r>
      <w:r w:rsidRPr="00F7079B">
        <w:rPr>
          <w:i/>
          <w:sz w:val="24"/>
          <w:szCs w:val="24"/>
        </w:rPr>
        <w:t xml:space="preserve">echnology </w:t>
      </w:r>
      <w:r w:rsidR="007A0A14" w:rsidRPr="00F7079B">
        <w:rPr>
          <w:i/>
          <w:sz w:val="24"/>
          <w:szCs w:val="24"/>
        </w:rPr>
        <w:t>d</w:t>
      </w:r>
      <w:r w:rsidRPr="00F7079B">
        <w:rPr>
          <w:i/>
          <w:sz w:val="24"/>
          <w:szCs w:val="24"/>
        </w:rPr>
        <w:t xml:space="preserve">isputes, </w:t>
      </w:r>
      <w:r w:rsidRPr="00F7079B">
        <w:rPr>
          <w:sz w:val="24"/>
          <w:szCs w:val="24"/>
        </w:rPr>
        <w:t>Israel Ministry of Justice website, n.d., accessed 11 January 2021.</w:t>
      </w:r>
      <w:r w:rsidR="00861044" w:rsidRPr="00F7079B">
        <w:rPr>
          <w:sz w:val="24"/>
          <w:szCs w:val="24"/>
        </w:rPr>
        <w:t xml:space="preserve"> </w:t>
      </w:r>
      <w:hyperlink r:id="rId63">
        <w:r w:rsidRPr="72EB7D45">
          <w:rPr>
            <w:rStyle w:val="Hyperlink"/>
            <w:sz w:val="24"/>
            <w:szCs w:val="24"/>
          </w:rPr>
          <w:t>https://www.justice.gov.il/En/Units/ILPO/Cooperation/Pages/Wipo-Mediation.aspx</w:t>
        </w:r>
      </w:hyperlink>
      <w:r w:rsidRPr="72EB7D45">
        <w:rPr>
          <w:sz w:val="24"/>
          <w:szCs w:val="24"/>
        </w:rPr>
        <w:t>.</w:t>
      </w:r>
    </w:p>
    <w:p w14:paraId="4B26537F" w14:textId="75AD1FDA" w:rsidR="001D7D02" w:rsidRPr="00F7079B" w:rsidRDefault="004B3D37" w:rsidP="00FD5651">
      <w:pPr>
        <w:pStyle w:val="FootnoteText"/>
        <w:spacing w:after="120"/>
        <w:rPr>
          <w:sz w:val="24"/>
          <w:szCs w:val="24"/>
        </w:rPr>
      </w:pPr>
      <w:r w:rsidRPr="00F7079B">
        <w:rPr>
          <w:sz w:val="24"/>
          <w:szCs w:val="24"/>
        </w:rPr>
        <w:t>Kellenter</w:t>
      </w:r>
      <w:r w:rsidR="00B32489" w:rsidRPr="00F7079B">
        <w:rPr>
          <w:sz w:val="24"/>
          <w:szCs w:val="24"/>
        </w:rPr>
        <w:t xml:space="preserve"> W, Migdal B and Mueller H</w:t>
      </w:r>
      <w:r w:rsidRPr="00F7079B">
        <w:rPr>
          <w:sz w:val="24"/>
          <w:szCs w:val="24"/>
        </w:rPr>
        <w:t xml:space="preserve">, </w:t>
      </w:r>
      <w:r w:rsidRPr="00F7079B">
        <w:rPr>
          <w:i/>
          <w:sz w:val="24"/>
          <w:szCs w:val="24"/>
        </w:rPr>
        <w:t>Patent litigation in Germany: overview</w:t>
      </w:r>
      <w:r w:rsidRPr="00F7079B">
        <w:rPr>
          <w:sz w:val="24"/>
          <w:szCs w:val="24"/>
        </w:rPr>
        <w:t xml:space="preserve">, Thomson Reuters website, 2020, accessed 8 January 2021. </w:t>
      </w:r>
      <w:hyperlink r:id="rId64">
        <w:r w:rsidRPr="72EB7D45">
          <w:rPr>
            <w:rStyle w:val="Hyperlink"/>
            <w:sz w:val="24"/>
            <w:szCs w:val="24"/>
          </w:rPr>
          <w:t>https://uk.practicallaw.thomsonreuters.com/5-622-3450?transitionType=Default&amp;contextData=(sc.Default)&amp;firstPage=true</w:t>
        </w:r>
      </w:hyperlink>
      <w:r w:rsidRPr="72EB7D45">
        <w:rPr>
          <w:sz w:val="24"/>
          <w:szCs w:val="24"/>
        </w:rPr>
        <w:t>.</w:t>
      </w:r>
      <w:r w:rsidR="001D7D02" w:rsidRPr="72EB7D45">
        <w:rPr>
          <w:sz w:val="24"/>
          <w:szCs w:val="24"/>
        </w:rPr>
        <w:t xml:space="preserve"> </w:t>
      </w:r>
    </w:p>
    <w:p w14:paraId="5F18009C" w14:textId="04AAA780" w:rsidR="00E53BB3" w:rsidRDefault="00E53BB3" w:rsidP="00657646">
      <w:pPr>
        <w:pStyle w:val="FootnoteText"/>
        <w:spacing w:after="120"/>
        <w:rPr>
          <w:sz w:val="24"/>
          <w:szCs w:val="24"/>
        </w:rPr>
      </w:pPr>
      <w:r w:rsidRPr="00F7079B">
        <w:rPr>
          <w:sz w:val="24"/>
          <w:szCs w:val="24"/>
        </w:rPr>
        <w:lastRenderedPageBreak/>
        <w:t xml:space="preserve">KPMG, ‘Enhanced patent box regime’, </w:t>
      </w:r>
      <w:r w:rsidRPr="00F7079B">
        <w:rPr>
          <w:i/>
          <w:sz w:val="24"/>
          <w:szCs w:val="24"/>
        </w:rPr>
        <w:t xml:space="preserve">France: Corporate tax measures enacted for 2019, </w:t>
      </w:r>
      <w:r w:rsidRPr="00F7079B">
        <w:rPr>
          <w:sz w:val="24"/>
          <w:szCs w:val="24"/>
        </w:rPr>
        <w:t xml:space="preserve">KPMG website, 28 February 2019, accessed 8 January 2021. </w:t>
      </w:r>
      <w:hyperlink r:id="rId65">
        <w:r w:rsidR="009F654A" w:rsidRPr="72EB7D45">
          <w:rPr>
            <w:rStyle w:val="Hyperlink"/>
            <w:sz w:val="24"/>
            <w:szCs w:val="24"/>
          </w:rPr>
          <w:t>https://home.kpmg/xx/en/home/insights/2019/02/tnf-france-corporate-tax-measures-enacted-for-2019.html</w:t>
        </w:r>
      </w:hyperlink>
      <w:r w:rsidRPr="72EB7D45">
        <w:rPr>
          <w:sz w:val="24"/>
          <w:szCs w:val="24"/>
        </w:rPr>
        <w:t>.</w:t>
      </w:r>
    </w:p>
    <w:p w14:paraId="42D0E19D" w14:textId="2978F4E9" w:rsidR="00DC776E" w:rsidRPr="00F7079B" w:rsidRDefault="00DC776E" w:rsidP="00657646">
      <w:pPr>
        <w:pStyle w:val="FootnoteText"/>
        <w:spacing w:after="120"/>
        <w:rPr>
          <w:sz w:val="24"/>
          <w:szCs w:val="24"/>
        </w:rPr>
      </w:pPr>
      <w:r w:rsidRPr="00DC776E">
        <w:rPr>
          <w:i/>
          <w:sz w:val="24"/>
          <w:szCs w:val="24"/>
        </w:rPr>
        <w:t>Larkden Pty Limited v Lloyd Energy Systems Pty Limited</w:t>
      </w:r>
      <w:r w:rsidRPr="00DC776E">
        <w:rPr>
          <w:sz w:val="24"/>
          <w:szCs w:val="24"/>
        </w:rPr>
        <w:t xml:space="preserve"> [2011] NSWSC 268.</w:t>
      </w:r>
    </w:p>
    <w:p w14:paraId="55D6917F" w14:textId="202B761F" w:rsidR="001D7D02" w:rsidRPr="00F7079B" w:rsidRDefault="006B52A6" w:rsidP="00657646">
      <w:pPr>
        <w:pStyle w:val="FootnoteText"/>
        <w:spacing w:after="120"/>
        <w:rPr>
          <w:sz w:val="24"/>
          <w:szCs w:val="24"/>
        </w:rPr>
      </w:pPr>
      <w:r w:rsidRPr="00F7079B">
        <w:rPr>
          <w:sz w:val="24"/>
          <w:szCs w:val="24"/>
        </w:rPr>
        <w:t xml:space="preserve">Lee J, Farago-Diener V and Wu Wm ‘Patent litigation in Australia: overview’, </w:t>
      </w:r>
      <w:r w:rsidRPr="00F7079B">
        <w:rPr>
          <w:i/>
          <w:sz w:val="24"/>
          <w:szCs w:val="24"/>
        </w:rPr>
        <w:t xml:space="preserve">Practical </w:t>
      </w:r>
      <w:r w:rsidRPr="00F7079B">
        <w:rPr>
          <w:i/>
          <w:iCs/>
          <w:sz w:val="24"/>
          <w:szCs w:val="24"/>
        </w:rPr>
        <w:t>Law</w:t>
      </w:r>
      <w:r w:rsidRPr="00F7079B">
        <w:rPr>
          <w:sz w:val="24"/>
          <w:szCs w:val="24"/>
        </w:rPr>
        <w:t xml:space="preserve">, Thomson Reuter 2020, 37. </w:t>
      </w:r>
      <w:hyperlink r:id="rId66">
        <w:r w:rsidRPr="72EB7D45">
          <w:rPr>
            <w:rStyle w:val="Hyperlink"/>
            <w:sz w:val="24"/>
            <w:szCs w:val="24"/>
          </w:rPr>
          <w:t>https://uk.practicallaw.thomsonreuters.com/3-621-6969?transitionType=Default&amp;contextData=(sc.Default)&amp;firstPage=true</w:t>
        </w:r>
      </w:hyperlink>
      <w:r w:rsidRPr="72EB7D45">
        <w:rPr>
          <w:sz w:val="24"/>
          <w:szCs w:val="24"/>
        </w:rPr>
        <w:t>.</w:t>
      </w:r>
      <w:r w:rsidR="001D7D02" w:rsidRPr="72EB7D45">
        <w:rPr>
          <w:sz w:val="24"/>
          <w:szCs w:val="24"/>
        </w:rPr>
        <w:t xml:space="preserve"> </w:t>
      </w:r>
    </w:p>
    <w:p w14:paraId="302FEE3D" w14:textId="2836C79D" w:rsidR="004B3D37" w:rsidRDefault="004B3D37" w:rsidP="00657646">
      <w:pPr>
        <w:pStyle w:val="FootnoteText"/>
        <w:spacing w:after="120"/>
        <w:rPr>
          <w:sz w:val="24"/>
          <w:szCs w:val="24"/>
        </w:rPr>
      </w:pPr>
      <w:r w:rsidRPr="00F7079B">
        <w:rPr>
          <w:sz w:val="24"/>
          <w:szCs w:val="24"/>
        </w:rPr>
        <w:t>Mazzucato</w:t>
      </w:r>
      <w:r w:rsidR="00E56408" w:rsidRPr="00F7079B">
        <w:rPr>
          <w:sz w:val="24"/>
          <w:szCs w:val="24"/>
        </w:rPr>
        <w:t xml:space="preserve"> M</w:t>
      </w:r>
      <w:r w:rsidRPr="00F7079B">
        <w:rPr>
          <w:sz w:val="24"/>
          <w:szCs w:val="24"/>
        </w:rPr>
        <w:t xml:space="preserve">, </w:t>
      </w:r>
      <w:r w:rsidRPr="00F7079B">
        <w:rPr>
          <w:i/>
          <w:sz w:val="24"/>
          <w:szCs w:val="24"/>
        </w:rPr>
        <w:t xml:space="preserve">The </w:t>
      </w:r>
      <w:r w:rsidR="004015F2" w:rsidRPr="00F7079B">
        <w:rPr>
          <w:i/>
          <w:sz w:val="24"/>
          <w:szCs w:val="24"/>
        </w:rPr>
        <w:t>e</w:t>
      </w:r>
      <w:r w:rsidRPr="00F7079B">
        <w:rPr>
          <w:i/>
          <w:sz w:val="24"/>
          <w:szCs w:val="24"/>
        </w:rPr>
        <w:t xml:space="preserve">ntrepreneurial </w:t>
      </w:r>
      <w:r w:rsidR="004015F2" w:rsidRPr="00F7079B">
        <w:rPr>
          <w:i/>
          <w:sz w:val="24"/>
          <w:szCs w:val="24"/>
        </w:rPr>
        <w:t>s</w:t>
      </w:r>
      <w:r w:rsidRPr="00F7079B">
        <w:rPr>
          <w:i/>
          <w:sz w:val="24"/>
          <w:szCs w:val="24"/>
        </w:rPr>
        <w:t xml:space="preserve">tate: </w:t>
      </w:r>
      <w:r w:rsidR="004015F2" w:rsidRPr="00F7079B">
        <w:rPr>
          <w:i/>
          <w:sz w:val="24"/>
          <w:szCs w:val="24"/>
        </w:rPr>
        <w:t>d</w:t>
      </w:r>
      <w:r w:rsidRPr="00F7079B">
        <w:rPr>
          <w:i/>
          <w:sz w:val="24"/>
          <w:szCs w:val="24"/>
        </w:rPr>
        <w:t xml:space="preserve">ebunking </w:t>
      </w:r>
      <w:r w:rsidR="004015F2" w:rsidRPr="00F7079B">
        <w:rPr>
          <w:i/>
          <w:sz w:val="24"/>
          <w:szCs w:val="24"/>
        </w:rPr>
        <w:t>p</w:t>
      </w:r>
      <w:r w:rsidRPr="00F7079B">
        <w:rPr>
          <w:i/>
          <w:sz w:val="24"/>
          <w:szCs w:val="24"/>
        </w:rPr>
        <w:t xml:space="preserve">ublic vs. </w:t>
      </w:r>
      <w:r w:rsidR="004015F2" w:rsidRPr="00F7079B">
        <w:rPr>
          <w:i/>
          <w:sz w:val="24"/>
          <w:szCs w:val="24"/>
        </w:rPr>
        <w:t>p</w:t>
      </w:r>
      <w:r w:rsidRPr="00F7079B">
        <w:rPr>
          <w:i/>
          <w:sz w:val="24"/>
          <w:szCs w:val="24"/>
        </w:rPr>
        <w:t xml:space="preserve">rivate </w:t>
      </w:r>
      <w:r w:rsidR="004015F2" w:rsidRPr="00F7079B">
        <w:rPr>
          <w:i/>
          <w:sz w:val="24"/>
          <w:szCs w:val="24"/>
        </w:rPr>
        <w:t>s</w:t>
      </w:r>
      <w:r w:rsidRPr="00F7079B">
        <w:rPr>
          <w:i/>
          <w:sz w:val="24"/>
          <w:szCs w:val="24"/>
        </w:rPr>
        <w:t xml:space="preserve">ector </w:t>
      </w:r>
      <w:r w:rsidR="004015F2" w:rsidRPr="00F7079B">
        <w:rPr>
          <w:i/>
          <w:sz w:val="24"/>
          <w:szCs w:val="24"/>
        </w:rPr>
        <w:t>m</w:t>
      </w:r>
      <w:r w:rsidRPr="00F7079B">
        <w:rPr>
          <w:i/>
          <w:sz w:val="24"/>
          <w:szCs w:val="24"/>
        </w:rPr>
        <w:t>yths</w:t>
      </w:r>
      <w:r w:rsidRPr="00F7079B">
        <w:rPr>
          <w:sz w:val="24"/>
          <w:szCs w:val="24"/>
        </w:rPr>
        <w:t xml:space="preserve">, US </w:t>
      </w:r>
      <w:r w:rsidR="00B32489" w:rsidRPr="00F7079B">
        <w:rPr>
          <w:sz w:val="24"/>
          <w:szCs w:val="24"/>
        </w:rPr>
        <w:t>edn, Public Affairs, 2018.</w:t>
      </w:r>
    </w:p>
    <w:p w14:paraId="50897EE0" w14:textId="25D4EE2A" w:rsidR="00302D88" w:rsidRDefault="00302D88" w:rsidP="00657646">
      <w:pPr>
        <w:pStyle w:val="FootnoteText"/>
        <w:spacing w:after="120"/>
        <w:rPr>
          <w:sz w:val="24"/>
          <w:szCs w:val="24"/>
        </w:rPr>
      </w:pPr>
      <w:r w:rsidRPr="00302D88">
        <w:rPr>
          <w:sz w:val="24"/>
          <w:szCs w:val="24"/>
        </w:rPr>
        <w:t xml:space="preserve">Mewburn Ellis. Validity &amp; infringement opinions from UKIPO, Mewburn Ellis website, accessed 17 February 2021. </w:t>
      </w:r>
      <w:hyperlink r:id="rId67" w:history="1">
        <w:r w:rsidRPr="00302D88">
          <w:rPr>
            <w:rStyle w:val="Hyperlink"/>
            <w:sz w:val="24"/>
            <w:szCs w:val="24"/>
          </w:rPr>
          <w:t>https://www.mewburn.com/law-practice-library/validity-infringement-opinions-from-the-ukipo</w:t>
        </w:r>
      </w:hyperlink>
      <w:r w:rsidRPr="00302D88">
        <w:rPr>
          <w:sz w:val="24"/>
          <w:szCs w:val="24"/>
        </w:rPr>
        <w:t xml:space="preserve">. </w:t>
      </w:r>
    </w:p>
    <w:p w14:paraId="23BB4628" w14:textId="297045F3" w:rsidR="00DC776E" w:rsidRPr="00F7079B" w:rsidRDefault="00DC776E" w:rsidP="00657646">
      <w:pPr>
        <w:pStyle w:val="FootnoteText"/>
        <w:spacing w:after="120"/>
        <w:rPr>
          <w:sz w:val="24"/>
          <w:szCs w:val="24"/>
        </w:rPr>
      </w:pPr>
      <w:r w:rsidRPr="00DC776E">
        <w:rPr>
          <w:sz w:val="24"/>
          <w:szCs w:val="24"/>
        </w:rPr>
        <w:t xml:space="preserve">Ministry of Law, </w:t>
      </w:r>
      <w:r w:rsidRPr="00DC776E">
        <w:rPr>
          <w:i/>
          <w:sz w:val="24"/>
          <w:szCs w:val="24"/>
        </w:rPr>
        <w:t>Final report: review of Singapore’s IP dispute resolution framework</w:t>
      </w:r>
      <w:r w:rsidRPr="00DC776E">
        <w:rPr>
          <w:sz w:val="24"/>
          <w:szCs w:val="24"/>
        </w:rPr>
        <w:t xml:space="preserve">, Singapore, Ministry of Law website, n.d. accessed 5 February 2021. </w:t>
      </w:r>
      <w:hyperlink r:id="rId68" w:history="1">
        <w:r w:rsidRPr="00DC776E">
          <w:rPr>
            <w:rStyle w:val="Hyperlink"/>
            <w:sz w:val="24"/>
            <w:szCs w:val="24"/>
          </w:rPr>
          <w:t>https://www.mlaw.gov.sg/files/Annex_B_IPDR_Final_Report.pdf/</w:t>
        </w:r>
      </w:hyperlink>
      <w:r w:rsidRPr="00DC776E">
        <w:rPr>
          <w:sz w:val="24"/>
          <w:szCs w:val="24"/>
        </w:rPr>
        <w:t>.</w:t>
      </w:r>
    </w:p>
    <w:p w14:paraId="0CD0911A" w14:textId="77777777" w:rsidR="00E56408" w:rsidRDefault="00E56408" w:rsidP="00657646">
      <w:pPr>
        <w:pStyle w:val="FootnoteText"/>
        <w:spacing w:after="120"/>
        <w:rPr>
          <w:sz w:val="24"/>
          <w:szCs w:val="24"/>
        </w:rPr>
      </w:pPr>
      <w:r w:rsidRPr="00F7079B">
        <w:rPr>
          <w:sz w:val="24"/>
          <w:szCs w:val="24"/>
        </w:rPr>
        <w:t xml:space="preserve">Olijnyk A (2014) </w:t>
      </w:r>
      <w:r w:rsidRPr="00F7079B">
        <w:rPr>
          <w:i/>
          <w:iCs/>
          <w:sz w:val="24"/>
          <w:szCs w:val="24"/>
        </w:rPr>
        <w:t>Justice and efficiency in mega-litigation</w:t>
      </w:r>
      <w:r w:rsidRPr="00F7079B">
        <w:rPr>
          <w:sz w:val="24"/>
          <w:szCs w:val="24"/>
        </w:rPr>
        <w:t xml:space="preserve"> [doctoral thesis] 2014, University of Adelaide.</w:t>
      </w:r>
    </w:p>
    <w:p w14:paraId="6A1750FA" w14:textId="7D3362F6" w:rsidR="00DC776E" w:rsidRPr="00F7079B" w:rsidRDefault="00DC776E" w:rsidP="00657646">
      <w:pPr>
        <w:pStyle w:val="FootnoteText"/>
        <w:spacing w:after="120"/>
        <w:rPr>
          <w:sz w:val="24"/>
          <w:szCs w:val="24"/>
        </w:rPr>
      </w:pPr>
      <w:r w:rsidRPr="00DC776E">
        <w:rPr>
          <w:sz w:val="24"/>
          <w:szCs w:val="24"/>
        </w:rPr>
        <w:t xml:space="preserve">Owen J and Currey R, ‘Patents 2021’, </w:t>
      </w:r>
      <w:r w:rsidRPr="00DC776E">
        <w:rPr>
          <w:i/>
          <w:iCs/>
          <w:sz w:val="24"/>
          <w:szCs w:val="24"/>
        </w:rPr>
        <w:t>International Comparative Legal Guides</w:t>
      </w:r>
      <w:r w:rsidRPr="00DC776E">
        <w:rPr>
          <w:sz w:val="24"/>
          <w:szCs w:val="24"/>
        </w:rPr>
        <w:t xml:space="preserve"> 11</w:t>
      </w:r>
      <w:r w:rsidRPr="00DC776E">
        <w:rPr>
          <w:sz w:val="24"/>
          <w:szCs w:val="24"/>
          <w:vertAlign w:val="superscript"/>
        </w:rPr>
        <w:t>th</w:t>
      </w:r>
      <w:r w:rsidRPr="00DC776E">
        <w:rPr>
          <w:sz w:val="24"/>
          <w:szCs w:val="24"/>
        </w:rPr>
        <w:t xml:space="preserve"> ed, Global Legal Group, 1.30. </w:t>
      </w:r>
      <w:hyperlink r:id="rId69" w:history="1">
        <w:r w:rsidRPr="00DC776E">
          <w:rPr>
            <w:rStyle w:val="Hyperlink"/>
            <w:sz w:val="24"/>
            <w:szCs w:val="24"/>
          </w:rPr>
          <w:t>https://www.twobirds.com/~/media/pdfs/brochures/intellectual-property/international-comparative-legal-guide.pdf?la=en&amp;hash=E139164B621614998BEA45048836B7AC62001B08</w:t>
        </w:r>
      </w:hyperlink>
      <w:r w:rsidRPr="005C4AAA">
        <w:rPr>
          <w:sz w:val="24"/>
          <w:szCs w:val="24"/>
        </w:rPr>
        <w:t>.</w:t>
      </w:r>
    </w:p>
    <w:p w14:paraId="7A3E8399" w14:textId="053927B2" w:rsidR="004B3D37" w:rsidRPr="00F7079B" w:rsidRDefault="004B3D37" w:rsidP="00657646">
      <w:pPr>
        <w:pStyle w:val="FootnoteText"/>
        <w:spacing w:after="120"/>
        <w:rPr>
          <w:sz w:val="24"/>
          <w:szCs w:val="24"/>
        </w:rPr>
      </w:pPr>
      <w:r w:rsidRPr="00F7079B">
        <w:rPr>
          <w:sz w:val="24"/>
          <w:szCs w:val="24"/>
        </w:rPr>
        <w:t xml:space="preserve">Parliament of Australia, </w:t>
      </w:r>
      <w:r w:rsidRPr="00F7079B">
        <w:rPr>
          <w:i/>
          <w:sz w:val="24"/>
          <w:szCs w:val="24"/>
        </w:rPr>
        <w:t xml:space="preserve">Definitions and data sources for small business in Australia: a quick guide, </w:t>
      </w:r>
      <w:r w:rsidRPr="00F7079B">
        <w:rPr>
          <w:sz w:val="24"/>
          <w:szCs w:val="24"/>
        </w:rPr>
        <w:t>Research Paper Series 2015</w:t>
      </w:r>
      <w:r w:rsidR="00F36127" w:rsidRPr="00F7079B">
        <w:rPr>
          <w:sz w:val="24"/>
          <w:szCs w:val="24"/>
        </w:rPr>
        <w:t>–</w:t>
      </w:r>
      <w:r w:rsidRPr="00F7079B">
        <w:rPr>
          <w:sz w:val="24"/>
          <w:szCs w:val="24"/>
        </w:rPr>
        <w:t>16, Australian Government, 2015.</w:t>
      </w:r>
    </w:p>
    <w:p w14:paraId="28A28241" w14:textId="7CA856C7" w:rsidR="004B3D37" w:rsidRPr="00F7079B" w:rsidRDefault="004B3D37" w:rsidP="00657646">
      <w:pPr>
        <w:pStyle w:val="FootnoteText"/>
        <w:spacing w:after="120"/>
        <w:rPr>
          <w:sz w:val="24"/>
          <w:szCs w:val="24"/>
        </w:rPr>
      </w:pPr>
      <w:r w:rsidRPr="00F7079B">
        <w:rPr>
          <w:i/>
          <w:sz w:val="24"/>
          <w:szCs w:val="24"/>
        </w:rPr>
        <w:t xml:space="preserve">Patent Rules 2007 </w:t>
      </w:r>
      <w:r w:rsidRPr="00F7079B">
        <w:rPr>
          <w:sz w:val="24"/>
          <w:szCs w:val="24"/>
        </w:rPr>
        <w:t>(UK)</w:t>
      </w:r>
    </w:p>
    <w:p w14:paraId="19C06CA9" w14:textId="5F3B5745" w:rsidR="00724C06" w:rsidRPr="00F7079B" w:rsidRDefault="004B3D37" w:rsidP="00657646">
      <w:pPr>
        <w:pStyle w:val="FootnoteText"/>
        <w:spacing w:after="120"/>
        <w:rPr>
          <w:sz w:val="24"/>
          <w:szCs w:val="24"/>
        </w:rPr>
      </w:pPr>
      <w:r w:rsidRPr="00F7079B">
        <w:rPr>
          <w:i/>
          <w:sz w:val="24"/>
          <w:szCs w:val="24"/>
        </w:rPr>
        <w:t>Patents Act 1977</w:t>
      </w:r>
      <w:r w:rsidR="00724C06" w:rsidRPr="00F7079B">
        <w:rPr>
          <w:sz w:val="24"/>
          <w:szCs w:val="24"/>
        </w:rPr>
        <w:t xml:space="preserve"> (UK)</w:t>
      </w:r>
    </w:p>
    <w:p w14:paraId="3E85BC1E" w14:textId="77777777" w:rsidR="00724C06" w:rsidRDefault="004B3D37" w:rsidP="00657646">
      <w:pPr>
        <w:pStyle w:val="FootnoteText"/>
        <w:spacing w:after="120"/>
        <w:rPr>
          <w:i/>
          <w:sz w:val="24"/>
          <w:szCs w:val="24"/>
        </w:rPr>
      </w:pPr>
      <w:r w:rsidRPr="00F7079B">
        <w:rPr>
          <w:i/>
          <w:sz w:val="24"/>
          <w:szCs w:val="24"/>
        </w:rPr>
        <w:t>Patents Act 1990</w:t>
      </w:r>
    </w:p>
    <w:p w14:paraId="2690FF5F" w14:textId="0CF2E2CA" w:rsidR="00302D88" w:rsidRPr="00F7079B" w:rsidRDefault="00302D88" w:rsidP="00657646">
      <w:pPr>
        <w:pStyle w:val="FootnoteText"/>
        <w:spacing w:after="120"/>
        <w:rPr>
          <w:sz w:val="24"/>
          <w:szCs w:val="24"/>
        </w:rPr>
      </w:pPr>
      <w:r w:rsidRPr="00302D88">
        <w:rPr>
          <w:sz w:val="24"/>
          <w:szCs w:val="24"/>
        </w:rPr>
        <w:t>Pearce, David</w:t>
      </w:r>
      <w:r>
        <w:rPr>
          <w:sz w:val="24"/>
          <w:szCs w:val="24"/>
        </w:rPr>
        <w:t>,</w:t>
      </w:r>
      <w:r w:rsidRPr="00302D88">
        <w:rPr>
          <w:sz w:val="24"/>
          <w:szCs w:val="24"/>
        </w:rPr>
        <w:t xml:space="preserve"> UK Patent Office Opinions – A good way to get bad patents revoked?, Barker Brettell website, accessed 17 February 2021, </w:t>
      </w:r>
      <w:hyperlink r:id="rId70" w:history="1">
        <w:r w:rsidRPr="00302D88">
          <w:rPr>
            <w:rStyle w:val="Hyperlink"/>
            <w:sz w:val="24"/>
            <w:szCs w:val="24"/>
          </w:rPr>
          <w:t>https://www.barkerbrettell.co.uk/uk-patent-office-questions/</w:t>
        </w:r>
      </w:hyperlink>
      <w:r w:rsidRPr="00302D88">
        <w:rPr>
          <w:sz w:val="24"/>
          <w:szCs w:val="24"/>
        </w:rPr>
        <w:t>.</w:t>
      </w:r>
    </w:p>
    <w:p w14:paraId="4713979E" w14:textId="1042CCDA" w:rsidR="004B3D37" w:rsidRPr="00F7079B" w:rsidRDefault="004B3D37" w:rsidP="00657646">
      <w:pPr>
        <w:pStyle w:val="FootnoteText"/>
        <w:spacing w:after="120"/>
        <w:rPr>
          <w:sz w:val="24"/>
          <w:szCs w:val="24"/>
        </w:rPr>
      </w:pPr>
      <w:r w:rsidRPr="00F7079B">
        <w:rPr>
          <w:sz w:val="24"/>
          <w:szCs w:val="24"/>
        </w:rPr>
        <w:t xml:space="preserve">Productivity Commission (PC), </w:t>
      </w:r>
      <w:r w:rsidRPr="00F7079B">
        <w:rPr>
          <w:i/>
          <w:sz w:val="24"/>
          <w:szCs w:val="24"/>
        </w:rPr>
        <w:t xml:space="preserve">Intellectual </w:t>
      </w:r>
      <w:r w:rsidR="004336CC" w:rsidRPr="00F7079B">
        <w:rPr>
          <w:i/>
          <w:sz w:val="24"/>
          <w:szCs w:val="24"/>
        </w:rPr>
        <w:t>p</w:t>
      </w:r>
      <w:r w:rsidRPr="00F7079B">
        <w:rPr>
          <w:i/>
          <w:sz w:val="24"/>
          <w:szCs w:val="24"/>
        </w:rPr>
        <w:t xml:space="preserve">roperty </w:t>
      </w:r>
      <w:r w:rsidR="004336CC" w:rsidRPr="00F7079B">
        <w:rPr>
          <w:i/>
          <w:sz w:val="24"/>
          <w:szCs w:val="24"/>
        </w:rPr>
        <w:t>a</w:t>
      </w:r>
      <w:r w:rsidRPr="00F7079B">
        <w:rPr>
          <w:i/>
          <w:sz w:val="24"/>
          <w:szCs w:val="24"/>
        </w:rPr>
        <w:t>rrangements</w:t>
      </w:r>
      <w:r w:rsidRPr="00F7079B">
        <w:rPr>
          <w:sz w:val="24"/>
          <w:szCs w:val="24"/>
        </w:rPr>
        <w:t>, Inquiry Report</w:t>
      </w:r>
      <w:r w:rsidRPr="00F7079B">
        <w:rPr>
          <w:i/>
          <w:sz w:val="24"/>
          <w:szCs w:val="24"/>
        </w:rPr>
        <w:t xml:space="preserve"> </w:t>
      </w:r>
      <w:r w:rsidR="004336CC" w:rsidRPr="00F7079B">
        <w:rPr>
          <w:iCs/>
          <w:sz w:val="24"/>
          <w:szCs w:val="24"/>
        </w:rPr>
        <w:t>n</w:t>
      </w:r>
      <w:r w:rsidRPr="00F7079B">
        <w:rPr>
          <w:iCs/>
          <w:sz w:val="24"/>
          <w:szCs w:val="24"/>
        </w:rPr>
        <w:t>o</w:t>
      </w:r>
      <w:r w:rsidRPr="00F7079B">
        <w:rPr>
          <w:sz w:val="24"/>
          <w:szCs w:val="24"/>
        </w:rPr>
        <w:t xml:space="preserve">. 78, p 580, PC, Australian Government, 2016. </w:t>
      </w:r>
    </w:p>
    <w:p w14:paraId="589F8F8E" w14:textId="35EA345B" w:rsidR="004B3D37" w:rsidRPr="00F7079B" w:rsidRDefault="00724C06" w:rsidP="00657646">
      <w:pPr>
        <w:pStyle w:val="FootnoteText"/>
        <w:spacing w:after="120"/>
        <w:rPr>
          <w:sz w:val="24"/>
          <w:szCs w:val="24"/>
        </w:rPr>
      </w:pPr>
      <w:r w:rsidRPr="00F7079B">
        <w:rPr>
          <w:sz w:val="24"/>
          <w:szCs w:val="24"/>
        </w:rPr>
        <w:t>Schönbohm J, Ehlgen B and Bhatti A</w:t>
      </w:r>
      <w:r w:rsidR="004B3D37" w:rsidRPr="00F7079B">
        <w:rPr>
          <w:sz w:val="24"/>
          <w:szCs w:val="24"/>
        </w:rPr>
        <w:t xml:space="preserve">, </w:t>
      </w:r>
      <w:r w:rsidR="004B3D37" w:rsidRPr="00F7079B">
        <w:rPr>
          <w:i/>
          <w:sz w:val="24"/>
          <w:szCs w:val="24"/>
        </w:rPr>
        <w:t xml:space="preserve">Germany: Patent Litigation, </w:t>
      </w:r>
      <w:r w:rsidR="004B3D37" w:rsidRPr="00F7079B">
        <w:rPr>
          <w:sz w:val="24"/>
          <w:szCs w:val="24"/>
        </w:rPr>
        <w:t>the Legal 500</w:t>
      </w:r>
      <w:r w:rsidR="004B3D37" w:rsidRPr="00F7079B">
        <w:rPr>
          <w:i/>
          <w:sz w:val="24"/>
          <w:szCs w:val="24"/>
        </w:rPr>
        <w:t>,</w:t>
      </w:r>
      <w:r w:rsidR="004B3D37" w:rsidRPr="00F7079B">
        <w:rPr>
          <w:sz w:val="24"/>
          <w:szCs w:val="24"/>
        </w:rPr>
        <w:t xml:space="preserve"> n.d.,</w:t>
      </w:r>
      <w:r w:rsidR="004B3D37" w:rsidRPr="00F7079B">
        <w:rPr>
          <w:i/>
          <w:sz w:val="24"/>
          <w:szCs w:val="24"/>
        </w:rPr>
        <w:t xml:space="preserve"> </w:t>
      </w:r>
      <w:r w:rsidR="004B3D37" w:rsidRPr="00F7079B">
        <w:rPr>
          <w:sz w:val="24"/>
          <w:szCs w:val="24"/>
        </w:rPr>
        <w:t>8 January 2021</w:t>
      </w:r>
      <w:r w:rsidR="00C76778" w:rsidRPr="00F7079B">
        <w:rPr>
          <w:sz w:val="24"/>
          <w:szCs w:val="24"/>
        </w:rPr>
        <w:t xml:space="preserve"> </w:t>
      </w:r>
      <w:hyperlink r:id="rId71">
        <w:r w:rsidR="00C76778" w:rsidRPr="72EB7D45">
          <w:rPr>
            <w:rStyle w:val="Hyperlink"/>
            <w:sz w:val="24"/>
            <w:szCs w:val="24"/>
          </w:rPr>
          <w:t>https://www.legal500.com/guides/chapter/germany-patent-litigation/</w:t>
        </w:r>
      </w:hyperlink>
      <w:r w:rsidRPr="72EB7D45">
        <w:rPr>
          <w:sz w:val="24"/>
          <w:szCs w:val="24"/>
        </w:rPr>
        <w:t>.</w:t>
      </w:r>
    </w:p>
    <w:p w14:paraId="1DB93247" w14:textId="77777777" w:rsidR="002C68AA" w:rsidRPr="00F7079B" w:rsidRDefault="002C68AA" w:rsidP="00657646">
      <w:pPr>
        <w:pStyle w:val="FootnoteText"/>
        <w:spacing w:after="120"/>
        <w:rPr>
          <w:sz w:val="24"/>
          <w:szCs w:val="24"/>
        </w:rPr>
      </w:pPr>
      <w:r w:rsidRPr="00F7079B">
        <w:rPr>
          <w:sz w:val="24"/>
          <w:szCs w:val="24"/>
        </w:rPr>
        <w:t xml:space="preserve">Sinodinos, Senator the Hon Arthur AO [Former Minister of Industry, Innovation and Science], </w:t>
      </w:r>
      <w:r w:rsidRPr="00F7079B">
        <w:rPr>
          <w:i/>
          <w:sz w:val="24"/>
          <w:szCs w:val="24"/>
        </w:rPr>
        <w:t>$1.4 million in incubator grants to benefit Australian start-ups</w:t>
      </w:r>
      <w:r w:rsidRPr="00F7079B">
        <w:rPr>
          <w:sz w:val="24"/>
          <w:szCs w:val="24"/>
        </w:rPr>
        <w:t xml:space="preserve"> [media release], Parliament of Australia, 30 May 2017.</w:t>
      </w:r>
    </w:p>
    <w:p w14:paraId="007E9A61" w14:textId="1D3EBE19" w:rsidR="002C68AA" w:rsidRPr="00F7079B" w:rsidRDefault="002C68AA" w:rsidP="00657646">
      <w:pPr>
        <w:pStyle w:val="FootnoteText"/>
        <w:spacing w:after="120"/>
        <w:rPr>
          <w:iCs/>
          <w:sz w:val="24"/>
          <w:szCs w:val="24"/>
        </w:rPr>
      </w:pPr>
      <w:r w:rsidRPr="00F7079B">
        <w:rPr>
          <w:i/>
          <w:iCs/>
          <w:sz w:val="24"/>
          <w:szCs w:val="24"/>
        </w:rPr>
        <w:t xml:space="preserve">SNF (Australia) Pty Limited v BASF Australia Ltd </w:t>
      </w:r>
      <w:hyperlink r:id="rId72" w:history="1">
        <w:r w:rsidRPr="00F7079B">
          <w:rPr>
            <w:rStyle w:val="Hyperlink"/>
            <w:iCs/>
            <w:color w:val="auto"/>
            <w:sz w:val="24"/>
            <w:szCs w:val="24"/>
            <w:u w:val="none"/>
          </w:rPr>
          <w:t>[2019] FCA 425</w:t>
        </w:r>
      </w:hyperlink>
      <w:r w:rsidRPr="00F7079B">
        <w:rPr>
          <w:iCs/>
          <w:sz w:val="24"/>
          <w:szCs w:val="24"/>
        </w:rPr>
        <w:t>.</w:t>
      </w:r>
    </w:p>
    <w:p w14:paraId="40F109F0" w14:textId="77777777" w:rsidR="002C68AA" w:rsidRPr="00F7079B" w:rsidRDefault="002C68AA" w:rsidP="00657646">
      <w:pPr>
        <w:pStyle w:val="FootnoteText"/>
        <w:spacing w:after="120"/>
        <w:rPr>
          <w:sz w:val="24"/>
          <w:szCs w:val="24"/>
        </w:rPr>
      </w:pPr>
      <w:r w:rsidRPr="00F7079B">
        <w:rPr>
          <w:sz w:val="24"/>
          <w:szCs w:val="24"/>
        </w:rPr>
        <w:lastRenderedPageBreak/>
        <w:t xml:space="preserve">Spruson and Ferguson Patent and Trade Mark Attorneys, </w:t>
      </w:r>
      <w:r w:rsidRPr="00F7079B">
        <w:rPr>
          <w:i/>
          <w:sz w:val="24"/>
          <w:szCs w:val="24"/>
        </w:rPr>
        <w:t xml:space="preserve">Biotechnology intellectual property manual, </w:t>
      </w:r>
      <w:r w:rsidRPr="00F7079B">
        <w:rPr>
          <w:sz w:val="24"/>
          <w:szCs w:val="24"/>
        </w:rPr>
        <w:t>report to Biotechnology Australia, Australian Government, Spruson and Ferguson, 2001.</w:t>
      </w:r>
    </w:p>
    <w:p w14:paraId="6191194D" w14:textId="61BF3665" w:rsidR="002C68AA" w:rsidRPr="00F7079B" w:rsidRDefault="002C68AA" w:rsidP="00657646">
      <w:pPr>
        <w:pStyle w:val="FootnoteText"/>
        <w:spacing w:after="120"/>
        <w:rPr>
          <w:sz w:val="24"/>
          <w:szCs w:val="24"/>
        </w:rPr>
      </w:pPr>
      <w:r w:rsidRPr="00F7079B">
        <w:rPr>
          <w:sz w:val="24"/>
          <w:szCs w:val="24"/>
        </w:rPr>
        <w:t xml:space="preserve">Summerfield M, ‘Patent litigation insurance – what is it, and should you have it?’, </w:t>
      </w:r>
      <w:r w:rsidRPr="00F7079B">
        <w:rPr>
          <w:i/>
          <w:sz w:val="24"/>
          <w:szCs w:val="24"/>
        </w:rPr>
        <w:t>Patentology blog</w:t>
      </w:r>
      <w:r w:rsidRPr="00F7079B">
        <w:rPr>
          <w:sz w:val="24"/>
          <w:szCs w:val="24"/>
        </w:rPr>
        <w:t xml:space="preserve">, 7 August 2016, accessed 15 December 2020. </w:t>
      </w:r>
      <w:hyperlink r:id="rId73">
        <w:r w:rsidR="002B4BB7" w:rsidRPr="72EB7D45">
          <w:rPr>
            <w:rStyle w:val="Hyperlink"/>
            <w:sz w:val="24"/>
            <w:szCs w:val="24"/>
          </w:rPr>
          <w:t>https://blog.patentology.com.au/2016/08/patent-litigation-insurance-what-is-it.html</w:t>
        </w:r>
      </w:hyperlink>
      <w:r w:rsidRPr="72EB7D45">
        <w:rPr>
          <w:sz w:val="24"/>
          <w:szCs w:val="24"/>
        </w:rPr>
        <w:t>.</w:t>
      </w:r>
    </w:p>
    <w:p w14:paraId="3A8BF127" w14:textId="4F2C71AA" w:rsidR="003646F6" w:rsidRPr="00F7079B" w:rsidRDefault="004B3D37" w:rsidP="007453B1">
      <w:pPr>
        <w:pStyle w:val="FootnoteText"/>
        <w:spacing w:after="120"/>
        <w:rPr>
          <w:sz w:val="24"/>
          <w:szCs w:val="24"/>
        </w:rPr>
      </w:pPr>
      <w:r w:rsidRPr="00F7079B">
        <w:rPr>
          <w:sz w:val="24"/>
          <w:szCs w:val="24"/>
        </w:rPr>
        <w:t xml:space="preserve">UK Government, ‘Guidance: </w:t>
      </w:r>
      <w:r w:rsidR="0089609F" w:rsidRPr="00F7079B">
        <w:rPr>
          <w:sz w:val="24"/>
          <w:szCs w:val="24"/>
        </w:rPr>
        <w:t>a</w:t>
      </w:r>
      <w:r w:rsidRPr="00F7079B">
        <w:rPr>
          <w:sz w:val="24"/>
          <w:szCs w:val="24"/>
        </w:rPr>
        <w:t>pplications for reviews on patent opinions’</w:t>
      </w:r>
      <w:r w:rsidRPr="00F7079B">
        <w:rPr>
          <w:i/>
          <w:sz w:val="24"/>
          <w:szCs w:val="24"/>
        </w:rPr>
        <w:t xml:space="preserve">, Patents, </w:t>
      </w:r>
      <w:r w:rsidRPr="00F7079B">
        <w:rPr>
          <w:sz w:val="24"/>
          <w:szCs w:val="24"/>
        </w:rPr>
        <w:t>UK government website,</w:t>
      </w:r>
      <w:r w:rsidRPr="00F7079B">
        <w:rPr>
          <w:i/>
          <w:sz w:val="24"/>
          <w:szCs w:val="24"/>
        </w:rPr>
        <w:t xml:space="preserve"> </w:t>
      </w:r>
      <w:r w:rsidRPr="00F7079B">
        <w:rPr>
          <w:sz w:val="24"/>
          <w:szCs w:val="24"/>
        </w:rPr>
        <w:t xml:space="preserve">2020, accessed 11 November 2020. </w:t>
      </w:r>
      <w:hyperlink r:id="rId74">
        <w:r w:rsidRPr="72EB7D45">
          <w:rPr>
            <w:rStyle w:val="Hyperlink"/>
            <w:sz w:val="24"/>
            <w:szCs w:val="24"/>
          </w:rPr>
          <w:t>https://www.gov.uk/government/publications/applications-for-reviews-on-patent-opinions/applications-for-reviews-on-patent-opinions</w:t>
        </w:r>
      </w:hyperlink>
      <w:r w:rsidRPr="72EB7D45">
        <w:rPr>
          <w:sz w:val="24"/>
          <w:szCs w:val="24"/>
        </w:rPr>
        <w:t>.</w:t>
      </w:r>
      <w:r w:rsidR="003646F6" w:rsidRPr="72EB7D45">
        <w:rPr>
          <w:sz w:val="24"/>
          <w:szCs w:val="24"/>
        </w:rPr>
        <w:t xml:space="preserve"> </w:t>
      </w:r>
    </w:p>
    <w:p w14:paraId="5E319468" w14:textId="6BA28038" w:rsidR="003646F6" w:rsidRPr="00F7079B" w:rsidRDefault="004B3D37" w:rsidP="007453B1">
      <w:pPr>
        <w:pStyle w:val="FootnoteText"/>
        <w:spacing w:after="120"/>
        <w:rPr>
          <w:sz w:val="24"/>
          <w:szCs w:val="24"/>
        </w:rPr>
      </w:pPr>
      <w:r w:rsidRPr="00F7079B">
        <w:rPr>
          <w:sz w:val="24"/>
          <w:szCs w:val="24"/>
        </w:rPr>
        <w:t xml:space="preserve">UK Government, ‘Guidance: </w:t>
      </w:r>
      <w:r w:rsidR="0089609F" w:rsidRPr="00F7079B">
        <w:rPr>
          <w:sz w:val="24"/>
          <w:szCs w:val="24"/>
        </w:rPr>
        <w:t>i</w:t>
      </w:r>
      <w:r w:rsidRPr="00F7079B">
        <w:rPr>
          <w:sz w:val="24"/>
          <w:szCs w:val="24"/>
        </w:rPr>
        <w:t xml:space="preserve">ntellectual property insurance’, </w:t>
      </w:r>
      <w:r w:rsidRPr="00F7079B">
        <w:rPr>
          <w:i/>
          <w:sz w:val="24"/>
          <w:szCs w:val="24"/>
        </w:rPr>
        <w:t xml:space="preserve">Copyrights, </w:t>
      </w:r>
      <w:r w:rsidRPr="00F7079B">
        <w:rPr>
          <w:sz w:val="24"/>
          <w:szCs w:val="24"/>
        </w:rPr>
        <w:t xml:space="preserve">gov.uk, 21 February 2020, accessed 8 January 2021. </w:t>
      </w:r>
      <w:hyperlink r:id="rId75">
        <w:r w:rsidRPr="72EB7D45">
          <w:rPr>
            <w:rStyle w:val="Hyperlink"/>
            <w:sz w:val="24"/>
            <w:szCs w:val="24"/>
          </w:rPr>
          <w:t>https://www.gov.uk/guidance/intellectual-property-insurance</w:t>
        </w:r>
      </w:hyperlink>
      <w:r w:rsidRPr="72EB7D45">
        <w:rPr>
          <w:sz w:val="24"/>
          <w:szCs w:val="24"/>
        </w:rPr>
        <w:t>.</w:t>
      </w:r>
      <w:r w:rsidR="003646F6" w:rsidRPr="72EB7D45">
        <w:rPr>
          <w:sz w:val="24"/>
          <w:szCs w:val="24"/>
        </w:rPr>
        <w:t xml:space="preserve"> </w:t>
      </w:r>
    </w:p>
    <w:p w14:paraId="1F15886B" w14:textId="05AF3E8E" w:rsidR="003646F6" w:rsidRPr="00F7079B" w:rsidRDefault="004B3D37" w:rsidP="007453B1">
      <w:pPr>
        <w:pStyle w:val="FootnoteText"/>
        <w:spacing w:after="120"/>
        <w:rPr>
          <w:sz w:val="24"/>
          <w:szCs w:val="24"/>
        </w:rPr>
      </w:pPr>
      <w:r w:rsidRPr="00F7079B">
        <w:rPr>
          <w:sz w:val="24"/>
          <w:szCs w:val="24"/>
        </w:rPr>
        <w:t xml:space="preserve">UK Government, ‘Guidance: </w:t>
      </w:r>
      <w:r w:rsidR="002C68AA" w:rsidRPr="00F7079B">
        <w:rPr>
          <w:sz w:val="24"/>
          <w:szCs w:val="24"/>
        </w:rPr>
        <w:t>o</w:t>
      </w:r>
      <w:r w:rsidRPr="00F7079B">
        <w:rPr>
          <w:sz w:val="24"/>
          <w:szCs w:val="24"/>
        </w:rPr>
        <w:t>pinions: resolving patent disputes’</w:t>
      </w:r>
      <w:r w:rsidRPr="00F7079B">
        <w:rPr>
          <w:i/>
          <w:sz w:val="24"/>
          <w:szCs w:val="24"/>
        </w:rPr>
        <w:t xml:space="preserve">, Patents, </w:t>
      </w:r>
      <w:r w:rsidRPr="00F7079B">
        <w:rPr>
          <w:sz w:val="24"/>
          <w:szCs w:val="24"/>
        </w:rPr>
        <w:t>UK government website,</w:t>
      </w:r>
      <w:r w:rsidRPr="00F7079B">
        <w:rPr>
          <w:i/>
          <w:sz w:val="24"/>
          <w:szCs w:val="24"/>
        </w:rPr>
        <w:t xml:space="preserve"> </w:t>
      </w:r>
      <w:r w:rsidRPr="00F7079B">
        <w:rPr>
          <w:sz w:val="24"/>
          <w:szCs w:val="24"/>
        </w:rPr>
        <w:t xml:space="preserve">2014, accessed 11 January 2021. </w:t>
      </w:r>
      <w:hyperlink r:id="rId76">
        <w:r w:rsidRPr="72EB7D45">
          <w:rPr>
            <w:rStyle w:val="Hyperlink"/>
            <w:sz w:val="24"/>
            <w:szCs w:val="24"/>
          </w:rPr>
          <w:t>www.gov.uk/guidance/opinions-resolving-patent-disputes</w:t>
        </w:r>
      </w:hyperlink>
      <w:r w:rsidRPr="72EB7D45">
        <w:rPr>
          <w:sz w:val="24"/>
          <w:szCs w:val="24"/>
        </w:rPr>
        <w:t>.</w:t>
      </w:r>
      <w:r w:rsidR="003646F6" w:rsidRPr="72EB7D45">
        <w:rPr>
          <w:sz w:val="24"/>
          <w:szCs w:val="24"/>
        </w:rPr>
        <w:t xml:space="preserve"> </w:t>
      </w:r>
    </w:p>
    <w:p w14:paraId="4B3CE8C2" w14:textId="77777777" w:rsidR="00260506" w:rsidRPr="00F7079B" w:rsidRDefault="002C68AA" w:rsidP="00FD5651">
      <w:pPr>
        <w:pStyle w:val="FootnoteText"/>
        <w:spacing w:after="120"/>
        <w:rPr>
          <w:sz w:val="24"/>
          <w:szCs w:val="24"/>
        </w:rPr>
      </w:pPr>
      <w:r w:rsidRPr="00F7079B">
        <w:rPr>
          <w:sz w:val="24"/>
          <w:szCs w:val="24"/>
        </w:rPr>
        <w:t>UK Government, ‘Guidance: requests for opinions: 2017’</w:t>
      </w:r>
      <w:r w:rsidRPr="00F7079B">
        <w:rPr>
          <w:i/>
          <w:sz w:val="24"/>
          <w:szCs w:val="24"/>
        </w:rPr>
        <w:t xml:space="preserve">, Patents, </w:t>
      </w:r>
      <w:r w:rsidRPr="00F7079B">
        <w:rPr>
          <w:sz w:val="24"/>
          <w:szCs w:val="24"/>
        </w:rPr>
        <w:t>UK government website,</w:t>
      </w:r>
      <w:r w:rsidRPr="00F7079B">
        <w:rPr>
          <w:i/>
          <w:sz w:val="24"/>
          <w:szCs w:val="24"/>
        </w:rPr>
        <w:t xml:space="preserve"> </w:t>
      </w:r>
      <w:r w:rsidRPr="00F7079B">
        <w:rPr>
          <w:sz w:val="24"/>
          <w:szCs w:val="24"/>
        </w:rPr>
        <w:t xml:space="preserve">2017, accessed 11 November 2020. </w:t>
      </w:r>
      <w:hyperlink r:id="rId77">
        <w:r w:rsidRPr="72EB7D45">
          <w:rPr>
            <w:rStyle w:val="Hyperlink"/>
            <w:sz w:val="24"/>
            <w:szCs w:val="24"/>
          </w:rPr>
          <w:t>https://www.gov.uk/guidance/requests-for-opinions-2017</w:t>
        </w:r>
      </w:hyperlink>
      <w:r w:rsidRPr="72EB7D45">
        <w:rPr>
          <w:sz w:val="24"/>
          <w:szCs w:val="24"/>
        </w:rPr>
        <w:t>.</w:t>
      </w:r>
      <w:r w:rsidR="003646F6" w:rsidRPr="72EB7D45">
        <w:rPr>
          <w:sz w:val="24"/>
          <w:szCs w:val="24"/>
        </w:rPr>
        <w:t xml:space="preserve"> </w:t>
      </w:r>
    </w:p>
    <w:p w14:paraId="357DEF4C" w14:textId="77777777" w:rsidR="00143295" w:rsidRPr="00F7079B" w:rsidRDefault="002C68AA" w:rsidP="00FD5651">
      <w:pPr>
        <w:pStyle w:val="FootnoteText"/>
        <w:spacing w:after="120"/>
        <w:rPr>
          <w:sz w:val="24"/>
          <w:szCs w:val="24"/>
        </w:rPr>
      </w:pPr>
      <w:r w:rsidRPr="00F7079B">
        <w:rPr>
          <w:sz w:val="24"/>
          <w:szCs w:val="24"/>
        </w:rPr>
        <w:t>UK Government, ‘Guidance: requests for opinions: 2018’</w:t>
      </w:r>
      <w:r w:rsidRPr="00F7079B">
        <w:rPr>
          <w:i/>
          <w:sz w:val="24"/>
          <w:szCs w:val="24"/>
        </w:rPr>
        <w:t xml:space="preserve">, Patents, </w:t>
      </w:r>
      <w:r w:rsidRPr="00F7079B">
        <w:rPr>
          <w:sz w:val="24"/>
          <w:szCs w:val="24"/>
        </w:rPr>
        <w:t>UK government website,</w:t>
      </w:r>
      <w:r w:rsidRPr="00F7079B">
        <w:rPr>
          <w:i/>
          <w:sz w:val="24"/>
          <w:szCs w:val="24"/>
        </w:rPr>
        <w:t xml:space="preserve"> </w:t>
      </w:r>
      <w:r w:rsidRPr="00F7079B">
        <w:rPr>
          <w:sz w:val="24"/>
          <w:szCs w:val="24"/>
        </w:rPr>
        <w:t xml:space="preserve">2018, accessed 11 November 2020. </w:t>
      </w:r>
      <w:hyperlink r:id="rId78">
        <w:r w:rsidRPr="72EB7D45">
          <w:rPr>
            <w:rStyle w:val="Hyperlink"/>
            <w:sz w:val="24"/>
            <w:szCs w:val="24"/>
          </w:rPr>
          <w:t>https://www.gov.uk/guidance/requests-for-opinions-2018</w:t>
        </w:r>
      </w:hyperlink>
      <w:r w:rsidRPr="72EB7D45">
        <w:rPr>
          <w:sz w:val="24"/>
          <w:szCs w:val="24"/>
        </w:rPr>
        <w:t>.</w:t>
      </w:r>
      <w:r w:rsidR="00260506" w:rsidRPr="72EB7D45">
        <w:rPr>
          <w:sz w:val="24"/>
          <w:szCs w:val="24"/>
        </w:rPr>
        <w:t xml:space="preserve"> </w:t>
      </w:r>
    </w:p>
    <w:p w14:paraId="091B64EF" w14:textId="27C46C5D" w:rsidR="00B20902" w:rsidRPr="00F7079B" w:rsidRDefault="002C68AA" w:rsidP="00FD5651">
      <w:pPr>
        <w:pStyle w:val="FootnoteText"/>
        <w:spacing w:after="120"/>
        <w:rPr>
          <w:sz w:val="24"/>
          <w:szCs w:val="24"/>
        </w:rPr>
      </w:pPr>
      <w:r w:rsidRPr="00F7079B">
        <w:rPr>
          <w:sz w:val="24"/>
          <w:szCs w:val="24"/>
        </w:rPr>
        <w:t>UK Government, ‘Guidance: requests for opinions: 2019’</w:t>
      </w:r>
      <w:r w:rsidRPr="00F7079B">
        <w:rPr>
          <w:i/>
          <w:sz w:val="24"/>
          <w:szCs w:val="24"/>
        </w:rPr>
        <w:t xml:space="preserve">, Patents, </w:t>
      </w:r>
      <w:r w:rsidRPr="00F7079B">
        <w:rPr>
          <w:sz w:val="24"/>
          <w:szCs w:val="24"/>
        </w:rPr>
        <w:t>UK government website,</w:t>
      </w:r>
      <w:r w:rsidRPr="00F7079B">
        <w:rPr>
          <w:i/>
          <w:sz w:val="24"/>
          <w:szCs w:val="24"/>
        </w:rPr>
        <w:t xml:space="preserve"> </w:t>
      </w:r>
      <w:r w:rsidRPr="00F7079B">
        <w:rPr>
          <w:sz w:val="24"/>
          <w:szCs w:val="24"/>
        </w:rPr>
        <w:t xml:space="preserve">2019, accessed 11 November 2020. </w:t>
      </w:r>
      <w:hyperlink r:id="rId79">
        <w:r w:rsidRPr="72EB7D45">
          <w:rPr>
            <w:rStyle w:val="Hyperlink"/>
            <w:sz w:val="24"/>
            <w:szCs w:val="24"/>
          </w:rPr>
          <w:t>https://www.gov.uk/guidance/requests-for-opinions-2019</w:t>
        </w:r>
      </w:hyperlink>
      <w:r w:rsidRPr="72EB7D45">
        <w:rPr>
          <w:sz w:val="24"/>
          <w:szCs w:val="24"/>
        </w:rPr>
        <w:t>.</w:t>
      </w:r>
      <w:r w:rsidR="00260506" w:rsidRPr="72EB7D45">
        <w:rPr>
          <w:sz w:val="24"/>
          <w:szCs w:val="24"/>
        </w:rPr>
        <w:t xml:space="preserve"> </w:t>
      </w:r>
    </w:p>
    <w:p w14:paraId="43768D8F" w14:textId="6D9A189D" w:rsidR="00B20902" w:rsidRPr="00F7079B" w:rsidRDefault="004B3D37" w:rsidP="007453B1">
      <w:pPr>
        <w:pStyle w:val="FootnoteText"/>
        <w:spacing w:after="120"/>
        <w:rPr>
          <w:sz w:val="24"/>
          <w:szCs w:val="24"/>
        </w:rPr>
      </w:pPr>
      <w:r w:rsidRPr="00F7079B">
        <w:rPr>
          <w:sz w:val="24"/>
          <w:szCs w:val="24"/>
        </w:rPr>
        <w:t xml:space="preserve">UK Government, ‘Guidance: </w:t>
      </w:r>
      <w:r w:rsidR="00016F6C" w:rsidRPr="00F7079B">
        <w:rPr>
          <w:sz w:val="24"/>
          <w:szCs w:val="24"/>
        </w:rPr>
        <w:t>r</w:t>
      </w:r>
      <w:r w:rsidRPr="00F7079B">
        <w:rPr>
          <w:sz w:val="24"/>
          <w:szCs w:val="24"/>
        </w:rPr>
        <w:t>equests for opinions: 2020’</w:t>
      </w:r>
      <w:r w:rsidRPr="00F7079B">
        <w:rPr>
          <w:i/>
          <w:sz w:val="24"/>
          <w:szCs w:val="24"/>
        </w:rPr>
        <w:t xml:space="preserve">, Patents, </w:t>
      </w:r>
      <w:r w:rsidRPr="00F7079B">
        <w:rPr>
          <w:sz w:val="24"/>
          <w:szCs w:val="24"/>
        </w:rPr>
        <w:t>UK government website,</w:t>
      </w:r>
      <w:r w:rsidRPr="00F7079B">
        <w:rPr>
          <w:i/>
          <w:sz w:val="24"/>
          <w:szCs w:val="24"/>
        </w:rPr>
        <w:t xml:space="preserve"> </w:t>
      </w:r>
      <w:r w:rsidRPr="00F7079B">
        <w:rPr>
          <w:sz w:val="24"/>
          <w:szCs w:val="24"/>
        </w:rPr>
        <w:t xml:space="preserve">2020, accessed 11 November 2020. </w:t>
      </w:r>
      <w:hyperlink r:id="rId80">
        <w:r w:rsidRPr="72EB7D45">
          <w:rPr>
            <w:rStyle w:val="Hyperlink"/>
            <w:sz w:val="24"/>
            <w:szCs w:val="24"/>
          </w:rPr>
          <w:t>https://www.gov.uk/guidance/requests-for-opinions-2020</w:t>
        </w:r>
      </w:hyperlink>
      <w:r w:rsidRPr="72EB7D45">
        <w:rPr>
          <w:sz w:val="24"/>
          <w:szCs w:val="24"/>
        </w:rPr>
        <w:t>.</w:t>
      </w:r>
      <w:r w:rsidR="00260506" w:rsidRPr="72EB7D45">
        <w:rPr>
          <w:sz w:val="24"/>
          <w:szCs w:val="24"/>
        </w:rPr>
        <w:t xml:space="preserve"> </w:t>
      </w:r>
    </w:p>
    <w:p w14:paraId="7850E5C3" w14:textId="31CDB0AC" w:rsidR="00861044" w:rsidRPr="00F7079B" w:rsidRDefault="004B3D37" w:rsidP="007453B1">
      <w:pPr>
        <w:pStyle w:val="FootnoteText"/>
        <w:spacing w:after="120"/>
        <w:rPr>
          <w:sz w:val="24"/>
          <w:szCs w:val="24"/>
        </w:rPr>
      </w:pPr>
      <w:r w:rsidRPr="00F7079B">
        <w:rPr>
          <w:sz w:val="24"/>
          <w:szCs w:val="24"/>
        </w:rPr>
        <w:t>UK Government, ‘Guidance: UK PatLib Network’</w:t>
      </w:r>
      <w:r w:rsidRPr="00F7079B">
        <w:rPr>
          <w:i/>
          <w:sz w:val="24"/>
          <w:szCs w:val="24"/>
        </w:rPr>
        <w:t xml:space="preserve">, Patents, </w:t>
      </w:r>
      <w:r w:rsidRPr="00F7079B">
        <w:rPr>
          <w:sz w:val="24"/>
          <w:szCs w:val="24"/>
        </w:rPr>
        <w:t>UK government website,</w:t>
      </w:r>
      <w:r w:rsidRPr="00F7079B">
        <w:rPr>
          <w:i/>
          <w:sz w:val="24"/>
          <w:szCs w:val="24"/>
        </w:rPr>
        <w:t xml:space="preserve"> </w:t>
      </w:r>
      <w:r w:rsidRPr="00F7079B">
        <w:rPr>
          <w:sz w:val="24"/>
          <w:szCs w:val="24"/>
        </w:rPr>
        <w:t xml:space="preserve">2020. </w:t>
      </w:r>
      <w:hyperlink r:id="rId81">
        <w:r w:rsidRPr="72EB7D45">
          <w:rPr>
            <w:rStyle w:val="Hyperlink"/>
            <w:sz w:val="24"/>
            <w:szCs w:val="24"/>
          </w:rPr>
          <w:t>https://www.gov.uk/government/publications/uk-patlib-network</w:t>
        </w:r>
      </w:hyperlink>
      <w:r w:rsidRPr="72EB7D45">
        <w:rPr>
          <w:sz w:val="24"/>
          <w:szCs w:val="24"/>
        </w:rPr>
        <w:t>.</w:t>
      </w:r>
      <w:r w:rsidR="00861044" w:rsidRPr="72EB7D45">
        <w:rPr>
          <w:sz w:val="24"/>
          <w:szCs w:val="24"/>
        </w:rPr>
        <w:t xml:space="preserve"> </w:t>
      </w:r>
    </w:p>
    <w:p w14:paraId="48992935" w14:textId="05B5E302" w:rsidR="004B3D37" w:rsidRPr="00F7079B" w:rsidRDefault="004B3D37" w:rsidP="007453B1">
      <w:pPr>
        <w:pStyle w:val="FootnoteText"/>
        <w:spacing w:after="120"/>
        <w:rPr>
          <w:sz w:val="24"/>
          <w:szCs w:val="24"/>
        </w:rPr>
      </w:pPr>
      <w:r w:rsidRPr="00F7079B">
        <w:rPr>
          <w:sz w:val="24"/>
          <w:szCs w:val="24"/>
        </w:rPr>
        <w:t xml:space="preserve">UK Government, ‘Guidance: </w:t>
      </w:r>
      <w:r w:rsidR="00864D45" w:rsidRPr="00F7079B">
        <w:rPr>
          <w:sz w:val="24"/>
          <w:szCs w:val="24"/>
        </w:rPr>
        <w:t>u</w:t>
      </w:r>
      <w:r w:rsidRPr="00F7079B">
        <w:rPr>
          <w:sz w:val="24"/>
          <w:szCs w:val="24"/>
        </w:rPr>
        <w:t xml:space="preserve">se the Patent Box to reduce your Corporation Tax on profits’, </w:t>
      </w:r>
      <w:r w:rsidRPr="00F7079B">
        <w:rPr>
          <w:i/>
          <w:sz w:val="24"/>
          <w:szCs w:val="24"/>
        </w:rPr>
        <w:t xml:space="preserve">Corporation Tax, </w:t>
      </w:r>
      <w:r w:rsidRPr="00F7079B">
        <w:rPr>
          <w:sz w:val="24"/>
          <w:szCs w:val="24"/>
        </w:rPr>
        <w:t xml:space="preserve">gov.uk, 7 May 2020, accessed 8 January 2021. </w:t>
      </w:r>
      <w:hyperlink r:id="rId82">
        <w:r w:rsidR="002B4BB7" w:rsidRPr="72EB7D45">
          <w:rPr>
            <w:rStyle w:val="Hyperlink"/>
            <w:sz w:val="24"/>
            <w:szCs w:val="24"/>
          </w:rPr>
          <w:t>https://www.gov.uk/guidance/corporation-tax-the-patent-box</w:t>
        </w:r>
      </w:hyperlink>
      <w:r w:rsidRPr="72EB7D45">
        <w:rPr>
          <w:sz w:val="24"/>
          <w:szCs w:val="24"/>
        </w:rPr>
        <w:t>.</w:t>
      </w:r>
    </w:p>
    <w:p w14:paraId="0A6A8833" w14:textId="46E3C9C2" w:rsidR="00B20902" w:rsidRPr="00F7079B" w:rsidRDefault="0085457A" w:rsidP="007453B1">
      <w:pPr>
        <w:pStyle w:val="FootnoteText"/>
        <w:spacing w:after="120"/>
        <w:rPr>
          <w:sz w:val="24"/>
          <w:szCs w:val="24"/>
        </w:rPr>
      </w:pPr>
      <w:r w:rsidRPr="00F7079B">
        <w:rPr>
          <w:sz w:val="24"/>
          <w:szCs w:val="24"/>
        </w:rPr>
        <w:t xml:space="preserve">UK Judicial Office, </w:t>
      </w:r>
      <w:r w:rsidRPr="00F7079B">
        <w:rPr>
          <w:i/>
          <w:sz w:val="24"/>
          <w:szCs w:val="24"/>
        </w:rPr>
        <w:t xml:space="preserve">Intellectual Property Enterprise Court, </w:t>
      </w:r>
      <w:r w:rsidRPr="00F7079B">
        <w:rPr>
          <w:sz w:val="24"/>
          <w:szCs w:val="24"/>
        </w:rPr>
        <w:t xml:space="preserve">UK Judicial Office website, 2021, accessed 8 January 2021. </w:t>
      </w:r>
      <w:hyperlink r:id="rId83">
        <w:r w:rsidRPr="72EB7D45">
          <w:rPr>
            <w:rStyle w:val="Hyperlink"/>
            <w:sz w:val="24"/>
            <w:szCs w:val="24"/>
          </w:rPr>
          <w:t>https://www.judiciary.uk/you-and-the-judiciary/going-to-court/high-court/courts-of-the-chancery-division/intellectual-property-enterprise-court/</w:t>
        </w:r>
      </w:hyperlink>
      <w:r w:rsidRPr="72EB7D45">
        <w:rPr>
          <w:sz w:val="24"/>
          <w:szCs w:val="24"/>
        </w:rPr>
        <w:t>.</w:t>
      </w:r>
      <w:r w:rsidR="00260506" w:rsidRPr="72EB7D45">
        <w:rPr>
          <w:sz w:val="24"/>
          <w:szCs w:val="24"/>
        </w:rPr>
        <w:t xml:space="preserve"> </w:t>
      </w:r>
    </w:p>
    <w:p w14:paraId="02E7DD85" w14:textId="0E8F0E97" w:rsidR="00B20902" w:rsidRPr="00F7079B" w:rsidRDefault="004B3D37" w:rsidP="007453B1">
      <w:pPr>
        <w:pStyle w:val="FootnoteText"/>
        <w:spacing w:after="120"/>
        <w:rPr>
          <w:sz w:val="24"/>
          <w:szCs w:val="24"/>
        </w:rPr>
      </w:pPr>
      <w:r w:rsidRPr="00F7079B">
        <w:rPr>
          <w:sz w:val="24"/>
          <w:szCs w:val="24"/>
        </w:rPr>
        <w:t xml:space="preserve">University of New South Wales (UNSW) Business School, </w:t>
      </w:r>
      <w:r w:rsidRPr="00F7079B">
        <w:rPr>
          <w:i/>
          <w:sz w:val="24"/>
          <w:szCs w:val="24"/>
        </w:rPr>
        <w:t xml:space="preserve">The role and performance of accelerators in the Australian </w:t>
      </w:r>
      <w:r w:rsidR="005F25C8" w:rsidRPr="00F7079B">
        <w:rPr>
          <w:i/>
          <w:sz w:val="24"/>
          <w:szCs w:val="24"/>
        </w:rPr>
        <w:t>start-up</w:t>
      </w:r>
      <w:r w:rsidRPr="00F7079B">
        <w:rPr>
          <w:i/>
          <w:sz w:val="24"/>
          <w:szCs w:val="24"/>
        </w:rPr>
        <w:t xml:space="preserve"> ecosystem, </w:t>
      </w:r>
      <w:r w:rsidRPr="00F7079B">
        <w:rPr>
          <w:sz w:val="24"/>
          <w:szCs w:val="24"/>
        </w:rPr>
        <w:t xml:space="preserve">report to the Australian Government Department of Industry, Innovation and Science, UNSW, 2016. </w:t>
      </w:r>
      <w:hyperlink r:id="rId84">
        <w:r w:rsidRPr="72EB7D45">
          <w:rPr>
            <w:rStyle w:val="Hyperlink"/>
            <w:sz w:val="24"/>
            <w:szCs w:val="24"/>
          </w:rPr>
          <w:t>http://unsworks.unsw.edu.au/fapi/datastream/unsworks:38003/bin8ca2e40f-1d69-4eb9-8d99-e332794b8f8f?view=true&amp;xy=01</w:t>
        </w:r>
      </w:hyperlink>
      <w:r w:rsidRPr="72EB7D45">
        <w:rPr>
          <w:sz w:val="24"/>
          <w:szCs w:val="24"/>
        </w:rPr>
        <w:t>.</w:t>
      </w:r>
      <w:r w:rsidR="00260506" w:rsidRPr="72EB7D45">
        <w:rPr>
          <w:sz w:val="24"/>
          <w:szCs w:val="24"/>
        </w:rPr>
        <w:t xml:space="preserve"> </w:t>
      </w:r>
    </w:p>
    <w:p w14:paraId="1C5F309F" w14:textId="4E076365" w:rsidR="00030526" w:rsidRPr="00F7079B" w:rsidRDefault="00030526" w:rsidP="007453B1">
      <w:pPr>
        <w:pStyle w:val="FootnoteText"/>
        <w:spacing w:after="120"/>
        <w:rPr>
          <w:sz w:val="24"/>
          <w:szCs w:val="24"/>
        </w:rPr>
      </w:pPr>
      <w:r w:rsidRPr="00F7079B">
        <w:rPr>
          <w:sz w:val="24"/>
          <w:szCs w:val="24"/>
        </w:rPr>
        <w:lastRenderedPageBreak/>
        <w:t xml:space="preserve">Weatherall K and Webster E, ‘Patent </w:t>
      </w:r>
      <w:r w:rsidR="00B61713" w:rsidRPr="00F7079B">
        <w:rPr>
          <w:sz w:val="24"/>
          <w:szCs w:val="24"/>
        </w:rPr>
        <w:t>i</w:t>
      </w:r>
      <w:r w:rsidRPr="00F7079B">
        <w:rPr>
          <w:sz w:val="24"/>
          <w:szCs w:val="24"/>
        </w:rPr>
        <w:t xml:space="preserve">nfringement in Australia: </w:t>
      </w:r>
      <w:r w:rsidR="00B61713" w:rsidRPr="00F7079B">
        <w:rPr>
          <w:sz w:val="24"/>
          <w:szCs w:val="24"/>
        </w:rPr>
        <w:t>r</w:t>
      </w:r>
      <w:r w:rsidRPr="00F7079B">
        <w:rPr>
          <w:sz w:val="24"/>
          <w:szCs w:val="24"/>
        </w:rPr>
        <w:t xml:space="preserve">esults from a </w:t>
      </w:r>
      <w:r w:rsidR="00B61713" w:rsidRPr="00F7079B">
        <w:rPr>
          <w:sz w:val="24"/>
          <w:szCs w:val="24"/>
        </w:rPr>
        <w:t>s</w:t>
      </w:r>
      <w:r w:rsidRPr="00F7079B">
        <w:rPr>
          <w:sz w:val="24"/>
          <w:szCs w:val="24"/>
        </w:rPr>
        <w:t xml:space="preserve">urvey’, </w:t>
      </w:r>
      <w:r w:rsidRPr="00F7079B">
        <w:rPr>
          <w:i/>
          <w:sz w:val="24"/>
          <w:szCs w:val="24"/>
        </w:rPr>
        <w:t>Federal Law Review</w:t>
      </w:r>
      <w:r w:rsidRPr="00F7079B">
        <w:rPr>
          <w:sz w:val="24"/>
          <w:szCs w:val="24"/>
        </w:rPr>
        <w:t>, 2010, 38(1):28–31.</w:t>
      </w:r>
    </w:p>
    <w:p w14:paraId="2FD1DC5B" w14:textId="0C6F1ED8" w:rsidR="0085457A" w:rsidRPr="00F7079B" w:rsidRDefault="0085457A" w:rsidP="007453B1">
      <w:pPr>
        <w:pStyle w:val="FootnoteText"/>
        <w:spacing w:after="120"/>
        <w:rPr>
          <w:sz w:val="24"/>
          <w:szCs w:val="24"/>
        </w:rPr>
      </w:pPr>
      <w:r w:rsidRPr="00F7079B">
        <w:rPr>
          <w:sz w:val="24"/>
          <w:szCs w:val="24"/>
        </w:rPr>
        <w:t>WIPO (World Intellectual Property Organization), ‘2019 review: WIPO Arbitration and Mediation Center’</w:t>
      </w:r>
      <w:r w:rsidRPr="00F7079B">
        <w:rPr>
          <w:i/>
          <w:sz w:val="24"/>
          <w:szCs w:val="24"/>
        </w:rPr>
        <w:t xml:space="preserve">, Alternative Dispute Resolution, </w:t>
      </w:r>
      <w:r w:rsidRPr="00F7079B">
        <w:rPr>
          <w:sz w:val="24"/>
          <w:szCs w:val="24"/>
        </w:rPr>
        <w:t xml:space="preserve">WIPO website, 2020, accessed 18 December 2020. </w:t>
      </w:r>
      <w:hyperlink r:id="rId85">
        <w:r w:rsidRPr="72EB7D45">
          <w:rPr>
            <w:rStyle w:val="Hyperlink"/>
            <w:sz w:val="24"/>
            <w:szCs w:val="24"/>
          </w:rPr>
          <w:t>https://www.wipo.int/amc/en/new/2019review.html</w:t>
        </w:r>
      </w:hyperlink>
      <w:r w:rsidRPr="72EB7D45">
        <w:rPr>
          <w:sz w:val="24"/>
          <w:szCs w:val="24"/>
        </w:rPr>
        <w:t>.</w:t>
      </w:r>
      <w:r w:rsidR="00861044" w:rsidRPr="72EB7D45">
        <w:rPr>
          <w:sz w:val="24"/>
          <w:szCs w:val="24"/>
        </w:rPr>
        <w:t xml:space="preserve"> </w:t>
      </w:r>
    </w:p>
    <w:p w14:paraId="0AAE055F" w14:textId="14C19834" w:rsidR="00861044" w:rsidRPr="00F7079B" w:rsidRDefault="004B3D37" w:rsidP="007453B1">
      <w:pPr>
        <w:pStyle w:val="FootnoteText"/>
        <w:spacing w:after="120"/>
        <w:rPr>
          <w:sz w:val="24"/>
          <w:szCs w:val="24"/>
        </w:rPr>
      </w:pPr>
      <w:r w:rsidRPr="00F7079B">
        <w:rPr>
          <w:sz w:val="24"/>
          <w:szCs w:val="24"/>
        </w:rPr>
        <w:t xml:space="preserve">WIPO (2020) </w:t>
      </w:r>
      <w:r w:rsidRPr="00F7079B">
        <w:rPr>
          <w:i/>
          <w:sz w:val="24"/>
          <w:szCs w:val="24"/>
        </w:rPr>
        <w:t>WIPO IP Statistics Data Centre</w:t>
      </w:r>
      <w:r w:rsidR="00362D45" w:rsidRPr="00F7079B">
        <w:rPr>
          <w:i/>
          <w:sz w:val="24"/>
          <w:szCs w:val="24"/>
        </w:rPr>
        <w:t xml:space="preserve"> –</w:t>
      </w:r>
      <w:r w:rsidR="00861044" w:rsidRPr="00F7079B">
        <w:rPr>
          <w:i/>
          <w:sz w:val="24"/>
          <w:szCs w:val="24"/>
        </w:rPr>
        <w:t xml:space="preserve"> </w:t>
      </w:r>
      <w:r w:rsidRPr="00F7079B">
        <w:rPr>
          <w:i/>
          <w:sz w:val="24"/>
          <w:szCs w:val="24"/>
        </w:rPr>
        <w:t>Patents</w:t>
      </w:r>
      <w:r w:rsidRPr="00F7079B">
        <w:rPr>
          <w:sz w:val="24"/>
          <w:szCs w:val="24"/>
        </w:rPr>
        <w:t xml:space="preserve">, accessed on </w:t>
      </w:r>
      <w:r w:rsidR="002B4BB7" w:rsidRPr="00F7079B">
        <w:rPr>
          <w:sz w:val="24"/>
          <w:szCs w:val="24"/>
        </w:rPr>
        <w:t>27 January</w:t>
      </w:r>
      <w:r w:rsidRPr="00F7079B">
        <w:rPr>
          <w:sz w:val="24"/>
          <w:szCs w:val="24"/>
        </w:rPr>
        <w:t xml:space="preserve"> 202</w:t>
      </w:r>
      <w:r w:rsidR="002B4BB7" w:rsidRPr="00F7079B">
        <w:rPr>
          <w:sz w:val="24"/>
          <w:szCs w:val="24"/>
        </w:rPr>
        <w:t>1</w:t>
      </w:r>
      <w:r w:rsidRPr="00F7079B">
        <w:rPr>
          <w:sz w:val="24"/>
          <w:szCs w:val="24"/>
        </w:rPr>
        <w:t xml:space="preserve">. </w:t>
      </w:r>
      <w:hyperlink r:id="rId86" w:history="1">
        <w:r w:rsidR="002B4BB7" w:rsidRPr="00F7079B">
          <w:rPr>
            <w:rStyle w:val="Hyperlink"/>
            <w:sz w:val="24"/>
            <w:szCs w:val="24"/>
          </w:rPr>
          <w:t>https://www3.wipo.int/ipstats/editIpsSearchForm.htm?tab=patent</w:t>
        </w:r>
      </w:hyperlink>
      <w:r w:rsidR="005C4AAA">
        <w:rPr>
          <w:sz w:val="24"/>
          <w:szCs w:val="24"/>
        </w:rPr>
        <w:t>.</w:t>
      </w:r>
    </w:p>
    <w:p w14:paraId="176E1A2A" w14:textId="0C7A18BA" w:rsidR="00861044" w:rsidRPr="00F7079B" w:rsidRDefault="004B3D37" w:rsidP="007453B1">
      <w:pPr>
        <w:pStyle w:val="FootnoteText"/>
        <w:spacing w:after="120"/>
        <w:rPr>
          <w:sz w:val="24"/>
          <w:szCs w:val="24"/>
        </w:rPr>
      </w:pPr>
      <w:r w:rsidRPr="00F7079B">
        <w:rPr>
          <w:sz w:val="24"/>
          <w:szCs w:val="24"/>
        </w:rPr>
        <w:t xml:space="preserve">WIPO, ‘Alternative </w:t>
      </w:r>
      <w:r w:rsidR="00B61713" w:rsidRPr="00F7079B">
        <w:rPr>
          <w:sz w:val="24"/>
          <w:szCs w:val="24"/>
        </w:rPr>
        <w:t>d</w:t>
      </w:r>
      <w:r w:rsidRPr="00F7079B">
        <w:rPr>
          <w:sz w:val="24"/>
          <w:szCs w:val="24"/>
        </w:rPr>
        <w:t xml:space="preserve">ispute </w:t>
      </w:r>
      <w:r w:rsidR="00B61713" w:rsidRPr="00F7079B">
        <w:rPr>
          <w:sz w:val="24"/>
          <w:szCs w:val="24"/>
        </w:rPr>
        <w:t>r</w:t>
      </w:r>
      <w:r w:rsidRPr="00F7079B">
        <w:rPr>
          <w:sz w:val="24"/>
          <w:szCs w:val="24"/>
        </w:rPr>
        <w:t>esolution’</w:t>
      </w:r>
      <w:r w:rsidRPr="00F7079B">
        <w:rPr>
          <w:i/>
          <w:sz w:val="24"/>
          <w:szCs w:val="24"/>
        </w:rPr>
        <w:t xml:space="preserve">, IP Services, </w:t>
      </w:r>
      <w:r w:rsidRPr="00F7079B">
        <w:rPr>
          <w:sz w:val="24"/>
          <w:szCs w:val="24"/>
        </w:rPr>
        <w:t xml:space="preserve">WIPO website, n.d., accessed 18 December 2020. </w:t>
      </w:r>
      <w:hyperlink r:id="rId87">
        <w:r w:rsidRPr="72EB7D45">
          <w:rPr>
            <w:rStyle w:val="Hyperlink"/>
            <w:sz w:val="24"/>
            <w:szCs w:val="24"/>
          </w:rPr>
          <w:t>https://www.wipo.int/amc/en/center/index.html</w:t>
        </w:r>
      </w:hyperlink>
      <w:r w:rsidRPr="72EB7D45">
        <w:rPr>
          <w:sz w:val="24"/>
          <w:szCs w:val="24"/>
        </w:rPr>
        <w:t>.</w:t>
      </w:r>
      <w:r w:rsidR="00861044" w:rsidRPr="72EB7D45">
        <w:rPr>
          <w:sz w:val="24"/>
          <w:szCs w:val="24"/>
        </w:rPr>
        <w:t xml:space="preserve"> </w:t>
      </w:r>
    </w:p>
    <w:p w14:paraId="29A2D7C4" w14:textId="6421B7A0" w:rsidR="004B3D37" w:rsidRDefault="004B3D37" w:rsidP="007453B1">
      <w:pPr>
        <w:pStyle w:val="FootnoteText"/>
        <w:spacing w:after="120"/>
        <w:rPr>
          <w:sz w:val="24"/>
          <w:szCs w:val="24"/>
        </w:rPr>
      </w:pPr>
      <w:r w:rsidRPr="00F7079B">
        <w:rPr>
          <w:sz w:val="24"/>
          <w:szCs w:val="24"/>
        </w:rPr>
        <w:t xml:space="preserve">WIPO, ‘Arbitration’, </w:t>
      </w:r>
      <w:r w:rsidRPr="00F7079B">
        <w:rPr>
          <w:i/>
          <w:sz w:val="24"/>
          <w:szCs w:val="24"/>
        </w:rPr>
        <w:t xml:space="preserve">IP </w:t>
      </w:r>
      <w:r w:rsidR="001E79D1" w:rsidRPr="00F7079B">
        <w:rPr>
          <w:i/>
          <w:sz w:val="24"/>
          <w:szCs w:val="24"/>
        </w:rPr>
        <w:t>s</w:t>
      </w:r>
      <w:r w:rsidRPr="00F7079B">
        <w:rPr>
          <w:i/>
          <w:sz w:val="24"/>
          <w:szCs w:val="24"/>
        </w:rPr>
        <w:t>ervices</w:t>
      </w:r>
      <w:r w:rsidRPr="00F7079B">
        <w:rPr>
          <w:sz w:val="24"/>
          <w:szCs w:val="24"/>
        </w:rPr>
        <w:t>, WIPO website, n.d., accessed 8 January 2021.</w:t>
      </w:r>
      <w:r w:rsidR="002B4BB7" w:rsidRPr="00F7079B">
        <w:rPr>
          <w:sz w:val="24"/>
          <w:szCs w:val="24"/>
        </w:rPr>
        <w:t xml:space="preserve"> </w:t>
      </w:r>
      <w:hyperlink r:id="rId88">
        <w:r w:rsidR="002B4BB7" w:rsidRPr="72EB7D45">
          <w:rPr>
            <w:rStyle w:val="Hyperlink"/>
            <w:sz w:val="24"/>
            <w:szCs w:val="24"/>
          </w:rPr>
          <w:t>https://www.wipo.int/amc/en/arbitration/</w:t>
        </w:r>
      </w:hyperlink>
      <w:r w:rsidRPr="72EB7D45">
        <w:rPr>
          <w:sz w:val="24"/>
          <w:szCs w:val="24"/>
        </w:rPr>
        <w:t>.</w:t>
      </w:r>
    </w:p>
    <w:p w14:paraId="389A9F24" w14:textId="2EBF2F44" w:rsidR="00DC776E" w:rsidRPr="00F7079B" w:rsidRDefault="00DC776E" w:rsidP="007453B1">
      <w:pPr>
        <w:pStyle w:val="FootnoteText"/>
        <w:spacing w:after="120"/>
        <w:rPr>
          <w:sz w:val="24"/>
          <w:szCs w:val="24"/>
        </w:rPr>
      </w:pPr>
      <w:r w:rsidRPr="00DC776E">
        <w:rPr>
          <w:sz w:val="24"/>
          <w:szCs w:val="24"/>
        </w:rPr>
        <w:t>WIPO, ‘WIPO expert determination: Schedule of fees and costs’</w:t>
      </w:r>
      <w:r w:rsidRPr="00DC776E">
        <w:rPr>
          <w:i/>
          <w:sz w:val="24"/>
          <w:szCs w:val="24"/>
        </w:rPr>
        <w:t xml:space="preserve">, Alternative dispute resolution, </w:t>
      </w:r>
      <w:r w:rsidRPr="00DC776E">
        <w:rPr>
          <w:sz w:val="24"/>
          <w:szCs w:val="24"/>
        </w:rPr>
        <w:t xml:space="preserve">WIPO website, n.d., accessed 18 December 2020. </w:t>
      </w:r>
      <w:hyperlink r:id="rId89" w:history="1">
        <w:r w:rsidRPr="00DC776E">
          <w:rPr>
            <w:rStyle w:val="Hyperlink"/>
            <w:sz w:val="24"/>
            <w:szCs w:val="24"/>
          </w:rPr>
          <w:t>https://www.wipo.int/amc/en/expert-determination/fees/index.html</w:t>
        </w:r>
      </w:hyperlink>
      <w:r w:rsidRPr="00DC776E">
        <w:rPr>
          <w:sz w:val="24"/>
          <w:szCs w:val="24"/>
        </w:rPr>
        <w:t>.</w:t>
      </w:r>
    </w:p>
    <w:p w14:paraId="7CDDDD00" w14:textId="4982F80B" w:rsidR="00B60E17" w:rsidRPr="00F7079B" w:rsidRDefault="004B3D37" w:rsidP="007453B1">
      <w:pPr>
        <w:pStyle w:val="FootnoteText"/>
        <w:spacing w:after="120"/>
        <w:rPr>
          <w:sz w:val="24"/>
          <w:szCs w:val="24"/>
        </w:rPr>
      </w:pPr>
      <w:r w:rsidRPr="00F7079B">
        <w:rPr>
          <w:sz w:val="24"/>
          <w:szCs w:val="24"/>
        </w:rPr>
        <w:t xml:space="preserve">WIPO, ‘Principal </w:t>
      </w:r>
      <w:r w:rsidR="0000480A" w:rsidRPr="00F7079B">
        <w:rPr>
          <w:sz w:val="24"/>
          <w:szCs w:val="24"/>
        </w:rPr>
        <w:t>s</w:t>
      </w:r>
      <w:r w:rsidRPr="00F7079B">
        <w:rPr>
          <w:sz w:val="24"/>
          <w:szCs w:val="24"/>
        </w:rPr>
        <w:t xml:space="preserve">teps in </w:t>
      </w:r>
      <w:r w:rsidR="0000480A" w:rsidRPr="00F7079B">
        <w:rPr>
          <w:sz w:val="24"/>
          <w:szCs w:val="24"/>
        </w:rPr>
        <w:t>m</w:t>
      </w:r>
      <w:r w:rsidRPr="00F7079B">
        <w:rPr>
          <w:sz w:val="24"/>
          <w:szCs w:val="24"/>
        </w:rPr>
        <w:t>ediation’</w:t>
      </w:r>
      <w:r w:rsidRPr="00F7079B">
        <w:rPr>
          <w:i/>
          <w:sz w:val="24"/>
          <w:szCs w:val="24"/>
        </w:rPr>
        <w:t xml:space="preserve">, Alternative Dispute Resolution, </w:t>
      </w:r>
      <w:r w:rsidRPr="00F7079B">
        <w:rPr>
          <w:sz w:val="24"/>
          <w:szCs w:val="24"/>
        </w:rPr>
        <w:t xml:space="preserve">WIPO website, n.d., accessed 18 December 2020. </w:t>
      </w:r>
      <w:hyperlink r:id="rId90">
        <w:r w:rsidRPr="72EB7D45">
          <w:rPr>
            <w:rStyle w:val="Hyperlink"/>
            <w:sz w:val="24"/>
            <w:szCs w:val="24"/>
          </w:rPr>
          <w:t>https://www.wipo.int/amc/en/mediation/principal-steps.html</w:t>
        </w:r>
      </w:hyperlink>
      <w:r w:rsidRPr="72EB7D45">
        <w:rPr>
          <w:sz w:val="24"/>
          <w:szCs w:val="24"/>
        </w:rPr>
        <w:t>.</w:t>
      </w:r>
      <w:r w:rsidR="00B60E17" w:rsidRPr="72EB7D45">
        <w:rPr>
          <w:sz w:val="24"/>
          <w:szCs w:val="24"/>
        </w:rPr>
        <w:t xml:space="preserve"> </w:t>
      </w:r>
    </w:p>
    <w:p w14:paraId="7B4400BB" w14:textId="42982B5C" w:rsidR="00766CC5" w:rsidRPr="00F7079B" w:rsidRDefault="004B3D37" w:rsidP="00FD5651">
      <w:pPr>
        <w:pStyle w:val="FootnoteText"/>
        <w:spacing w:after="120"/>
        <w:rPr>
          <w:i/>
          <w:sz w:val="24"/>
          <w:szCs w:val="24"/>
        </w:rPr>
      </w:pPr>
      <w:r w:rsidRPr="00F7079B">
        <w:rPr>
          <w:sz w:val="24"/>
          <w:szCs w:val="24"/>
        </w:rPr>
        <w:t xml:space="preserve">WIPO, ‘Principal </w:t>
      </w:r>
      <w:r w:rsidR="0000480A" w:rsidRPr="00F7079B">
        <w:rPr>
          <w:sz w:val="24"/>
          <w:szCs w:val="24"/>
        </w:rPr>
        <w:t>s</w:t>
      </w:r>
      <w:r w:rsidRPr="00F7079B">
        <w:rPr>
          <w:sz w:val="24"/>
          <w:szCs w:val="24"/>
        </w:rPr>
        <w:t xml:space="preserve">teps in WIPO </w:t>
      </w:r>
      <w:r w:rsidR="0000480A" w:rsidRPr="00F7079B">
        <w:rPr>
          <w:sz w:val="24"/>
          <w:szCs w:val="24"/>
        </w:rPr>
        <w:t>a</w:t>
      </w:r>
      <w:r w:rsidRPr="00F7079B">
        <w:rPr>
          <w:sz w:val="24"/>
          <w:szCs w:val="24"/>
        </w:rPr>
        <w:t xml:space="preserve">rbitration and </w:t>
      </w:r>
      <w:r w:rsidR="0000480A" w:rsidRPr="00F7079B">
        <w:rPr>
          <w:sz w:val="24"/>
          <w:szCs w:val="24"/>
        </w:rPr>
        <w:t>e</w:t>
      </w:r>
      <w:r w:rsidRPr="00F7079B">
        <w:rPr>
          <w:sz w:val="24"/>
          <w:szCs w:val="24"/>
        </w:rPr>
        <w:t xml:space="preserve">xpedited </w:t>
      </w:r>
      <w:r w:rsidR="0000480A" w:rsidRPr="00F7079B">
        <w:rPr>
          <w:sz w:val="24"/>
          <w:szCs w:val="24"/>
        </w:rPr>
        <w:t>a</w:t>
      </w:r>
      <w:r w:rsidRPr="00F7079B">
        <w:rPr>
          <w:sz w:val="24"/>
          <w:szCs w:val="24"/>
        </w:rPr>
        <w:t>rbitration’</w:t>
      </w:r>
      <w:r w:rsidRPr="00F7079B">
        <w:rPr>
          <w:i/>
          <w:sz w:val="24"/>
          <w:szCs w:val="24"/>
        </w:rPr>
        <w:t xml:space="preserve">, Alternative Dispute Resolution, </w:t>
      </w:r>
      <w:r w:rsidRPr="00F7079B">
        <w:rPr>
          <w:sz w:val="24"/>
          <w:szCs w:val="24"/>
        </w:rPr>
        <w:t xml:space="preserve">WIPO website, n.d., accessed 18 December 2020. </w:t>
      </w:r>
      <w:hyperlink r:id="rId91">
        <w:r w:rsidRPr="72EB7D45">
          <w:rPr>
            <w:rStyle w:val="Hyperlink"/>
            <w:sz w:val="24"/>
            <w:szCs w:val="24"/>
          </w:rPr>
          <w:t>https://www.wipo.int/amc/en/arbitration/expedited-rules/principal-steps.html</w:t>
        </w:r>
      </w:hyperlink>
      <w:r w:rsidRPr="72EB7D45">
        <w:rPr>
          <w:sz w:val="24"/>
          <w:szCs w:val="24"/>
        </w:rPr>
        <w:t>.</w:t>
      </w:r>
      <w:r w:rsidR="00861044" w:rsidRPr="72EB7D45">
        <w:rPr>
          <w:sz w:val="24"/>
          <w:szCs w:val="24"/>
        </w:rPr>
        <w:t xml:space="preserve"> </w:t>
      </w:r>
    </w:p>
    <w:p w14:paraId="18238CA5" w14:textId="03AE34FD" w:rsidR="00BE3A5B" w:rsidRPr="00F7079B" w:rsidRDefault="00390A55" w:rsidP="006F7EDE">
      <w:pPr>
        <w:pStyle w:val="FootnoteText"/>
        <w:spacing w:after="120"/>
        <w:rPr>
          <w:sz w:val="24"/>
          <w:szCs w:val="24"/>
        </w:rPr>
      </w:pPr>
      <w:r w:rsidRPr="00F7079B">
        <w:rPr>
          <w:sz w:val="24"/>
          <w:szCs w:val="24"/>
        </w:rPr>
        <w:t xml:space="preserve">WIPO, </w:t>
      </w:r>
      <w:r w:rsidR="004B3D37" w:rsidRPr="00F7079B">
        <w:rPr>
          <w:i/>
          <w:sz w:val="24"/>
          <w:szCs w:val="24"/>
        </w:rPr>
        <w:t xml:space="preserve">Alternative </w:t>
      </w:r>
      <w:r w:rsidRPr="00F7079B">
        <w:rPr>
          <w:i/>
          <w:sz w:val="24"/>
          <w:szCs w:val="24"/>
        </w:rPr>
        <w:t>d</w:t>
      </w:r>
      <w:r w:rsidR="004B3D37" w:rsidRPr="00F7079B">
        <w:rPr>
          <w:i/>
          <w:sz w:val="24"/>
          <w:szCs w:val="24"/>
        </w:rPr>
        <w:t xml:space="preserve">ispute </w:t>
      </w:r>
      <w:r w:rsidR="00C321F0" w:rsidRPr="00F7079B">
        <w:rPr>
          <w:i/>
          <w:sz w:val="24"/>
          <w:szCs w:val="24"/>
        </w:rPr>
        <w:t>r</w:t>
      </w:r>
      <w:r w:rsidR="004B3D37" w:rsidRPr="00F7079B">
        <w:rPr>
          <w:i/>
          <w:sz w:val="24"/>
          <w:szCs w:val="24"/>
        </w:rPr>
        <w:t xml:space="preserve">esolution, </w:t>
      </w:r>
      <w:r w:rsidR="004B3D37" w:rsidRPr="00F7079B">
        <w:rPr>
          <w:sz w:val="24"/>
          <w:szCs w:val="24"/>
        </w:rPr>
        <w:t xml:space="preserve">WIPO website, n.d., accessed 18 December 2020. </w:t>
      </w:r>
      <w:hyperlink r:id="rId92">
        <w:r w:rsidR="004B3D37" w:rsidRPr="72EB7D45">
          <w:rPr>
            <w:rStyle w:val="Hyperlink"/>
            <w:sz w:val="24"/>
            <w:szCs w:val="24"/>
          </w:rPr>
          <w:t>https://www.wipo.int/amc/en/arbitration/what-is-arb.html</w:t>
        </w:r>
      </w:hyperlink>
      <w:r w:rsidRPr="72EB7D45">
        <w:rPr>
          <w:sz w:val="24"/>
          <w:szCs w:val="24"/>
        </w:rPr>
        <w:t>.</w:t>
      </w:r>
      <w:r w:rsidR="00766CC5" w:rsidRPr="72EB7D45">
        <w:rPr>
          <w:sz w:val="24"/>
          <w:szCs w:val="24"/>
        </w:rPr>
        <w:t xml:space="preserve"> </w:t>
      </w:r>
    </w:p>
    <w:p w14:paraId="018AC24F" w14:textId="04434786" w:rsidR="0000480A" w:rsidRPr="00F7079B" w:rsidRDefault="004B3D37" w:rsidP="00502A5F">
      <w:pPr>
        <w:pStyle w:val="FootnoteText"/>
        <w:spacing w:after="120"/>
        <w:rPr>
          <w:rStyle w:val="FootnoteReference"/>
          <w:sz w:val="24"/>
          <w:szCs w:val="24"/>
        </w:rPr>
      </w:pPr>
      <w:r w:rsidRPr="00F7079B">
        <w:rPr>
          <w:sz w:val="24"/>
          <w:szCs w:val="24"/>
        </w:rPr>
        <w:t xml:space="preserve">WIPO, ‘What is </w:t>
      </w:r>
      <w:r w:rsidR="0000480A" w:rsidRPr="00F7079B">
        <w:rPr>
          <w:sz w:val="24"/>
          <w:szCs w:val="24"/>
        </w:rPr>
        <w:t>e</w:t>
      </w:r>
      <w:r w:rsidRPr="00F7079B">
        <w:rPr>
          <w:sz w:val="24"/>
          <w:szCs w:val="24"/>
        </w:rPr>
        <w:t xml:space="preserve">xpert </w:t>
      </w:r>
      <w:r w:rsidR="0000480A" w:rsidRPr="00F7079B">
        <w:rPr>
          <w:sz w:val="24"/>
          <w:szCs w:val="24"/>
        </w:rPr>
        <w:t>d</w:t>
      </w:r>
      <w:r w:rsidRPr="00F7079B">
        <w:rPr>
          <w:sz w:val="24"/>
          <w:szCs w:val="24"/>
        </w:rPr>
        <w:t>etermination?’,</w:t>
      </w:r>
      <w:r w:rsidRPr="00F7079B">
        <w:rPr>
          <w:i/>
          <w:sz w:val="24"/>
          <w:szCs w:val="24"/>
        </w:rPr>
        <w:t xml:space="preserve"> Alternative </w:t>
      </w:r>
      <w:r w:rsidR="00390A55" w:rsidRPr="00F7079B">
        <w:rPr>
          <w:i/>
          <w:sz w:val="24"/>
          <w:szCs w:val="24"/>
        </w:rPr>
        <w:t>d</w:t>
      </w:r>
      <w:r w:rsidRPr="00F7079B">
        <w:rPr>
          <w:i/>
          <w:sz w:val="24"/>
          <w:szCs w:val="24"/>
        </w:rPr>
        <w:t xml:space="preserve">ispute </w:t>
      </w:r>
      <w:r w:rsidR="00390A55" w:rsidRPr="00F7079B">
        <w:rPr>
          <w:i/>
          <w:sz w:val="24"/>
          <w:szCs w:val="24"/>
        </w:rPr>
        <w:t>r</w:t>
      </w:r>
      <w:r w:rsidRPr="00F7079B">
        <w:rPr>
          <w:i/>
          <w:sz w:val="24"/>
          <w:szCs w:val="24"/>
        </w:rPr>
        <w:t xml:space="preserve">esolution, </w:t>
      </w:r>
      <w:r w:rsidRPr="00F7079B">
        <w:rPr>
          <w:sz w:val="24"/>
          <w:szCs w:val="24"/>
        </w:rPr>
        <w:t xml:space="preserve">WIPO website, n.d., accessed 18 December 2020. </w:t>
      </w:r>
      <w:hyperlink r:id="rId93">
        <w:r w:rsidRPr="72EB7D45">
          <w:rPr>
            <w:rStyle w:val="Hyperlink"/>
            <w:sz w:val="24"/>
            <w:szCs w:val="24"/>
          </w:rPr>
          <w:t>https://www.wipo.int/amc/en/expert-determination/what-is-exp.html</w:t>
        </w:r>
      </w:hyperlink>
      <w:r w:rsidRPr="72EB7D45">
        <w:rPr>
          <w:sz w:val="24"/>
          <w:szCs w:val="24"/>
        </w:rPr>
        <w:t>.</w:t>
      </w:r>
    </w:p>
    <w:p w14:paraId="2DEE8B1C" w14:textId="753C5CEE" w:rsidR="00BE3A5B" w:rsidRPr="00F7079B" w:rsidRDefault="004B3D37">
      <w:pPr>
        <w:pStyle w:val="FootnoteText"/>
        <w:spacing w:after="120"/>
        <w:rPr>
          <w:sz w:val="24"/>
          <w:szCs w:val="24"/>
        </w:rPr>
      </w:pPr>
      <w:r w:rsidRPr="00F7079B">
        <w:rPr>
          <w:sz w:val="24"/>
          <w:szCs w:val="24"/>
        </w:rPr>
        <w:t>WIPO, ‘What is mediation</w:t>
      </w:r>
      <w:r w:rsidR="0000480A" w:rsidRPr="00F7079B">
        <w:rPr>
          <w:sz w:val="24"/>
          <w:szCs w:val="24"/>
        </w:rPr>
        <w:t>?</w:t>
      </w:r>
      <w:r w:rsidRPr="00F7079B">
        <w:rPr>
          <w:sz w:val="24"/>
          <w:szCs w:val="24"/>
        </w:rPr>
        <w:t>’</w:t>
      </w:r>
      <w:r w:rsidRPr="00F7079B">
        <w:rPr>
          <w:i/>
          <w:sz w:val="24"/>
          <w:szCs w:val="24"/>
        </w:rPr>
        <w:t xml:space="preserve">, Alternative </w:t>
      </w:r>
      <w:r w:rsidR="00F05A45" w:rsidRPr="00F7079B">
        <w:rPr>
          <w:i/>
          <w:sz w:val="24"/>
          <w:szCs w:val="24"/>
        </w:rPr>
        <w:t>d</w:t>
      </w:r>
      <w:r w:rsidRPr="00F7079B">
        <w:rPr>
          <w:i/>
          <w:sz w:val="24"/>
          <w:szCs w:val="24"/>
        </w:rPr>
        <w:t xml:space="preserve">ispute </w:t>
      </w:r>
      <w:r w:rsidR="00F05A45" w:rsidRPr="00F7079B">
        <w:rPr>
          <w:i/>
          <w:sz w:val="24"/>
          <w:szCs w:val="24"/>
        </w:rPr>
        <w:t>r</w:t>
      </w:r>
      <w:r w:rsidRPr="00F7079B">
        <w:rPr>
          <w:i/>
          <w:sz w:val="24"/>
          <w:szCs w:val="24"/>
        </w:rPr>
        <w:t xml:space="preserve">esolution, </w:t>
      </w:r>
      <w:r w:rsidRPr="00F7079B">
        <w:rPr>
          <w:sz w:val="24"/>
          <w:szCs w:val="24"/>
        </w:rPr>
        <w:t xml:space="preserve">WIPO website, n.d., accessed </w:t>
      </w:r>
      <w:r w:rsidR="009C0720" w:rsidRPr="00F7079B">
        <w:rPr>
          <w:sz w:val="24"/>
          <w:szCs w:val="24"/>
        </w:rPr>
        <w:t>18 </w:t>
      </w:r>
      <w:r w:rsidRPr="00F7079B">
        <w:rPr>
          <w:sz w:val="24"/>
          <w:szCs w:val="24"/>
        </w:rPr>
        <w:t xml:space="preserve">December 2020. </w:t>
      </w:r>
      <w:hyperlink r:id="rId94">
        <w:r w:rsidRPr="72EB7D45">
          <w:rPr>
            <w:rStyle w:val="Hyperlink"/>
            <w:sz w:val="24"/>
            <w:szCs w:val="24"/>
          </w:rPr>
          <w:t>https://www.wipo.int/amc/en/mediation/what-mediation.html</w:t>
        </w:r>
      </w:hyperlink>
      <w:r w:rsidRPr="72EB7D45">
        <w:rPr>
          <w:sz w:val="24"/>
          <w:szCs w:val="24"/>
        </w:rPr>
        <w:t>.</w:t>
      </w:r>
      <w:r w:rsidR="00CC231B" w:rsidRPr="72EB7D45">
        <w:rPr>
          <w:sz w:val="24"/>
          <w:szCs w:val="24"/>
        </w:rPr>
        <w:t xml:space="preserve"> </w:t>
      </w:r>
    </w:p>
    <w:p w14:paraId="32BA7968" w14:textId="1A6EC22A" w:rsidR="00CC231B" w:rsidRPr="00F7079B" w:rsidRDefault="004B3D37" w:rsidP="00FD5651">
      <w:pPr>
        <w:pStyle w:val="FootnoteText"/>
        <w:spacing w:after="120"/>
        <w:rPr>
          <w:sz w:val="24"/>
          <w:szCs w:val="24"/>
        </w:rPr>
      </w:pPr>
      <w:r w:rsidRPr="00F7079B">
        <w:rPr>
          <w:sz w:val="24"/>
          <w:szCs w:val="24"/>
        </w:rPr>
        <w:t xml:space="preserve">WIPO, ‘WIPO </w:t>
      </w:r>
      <w:r w:rsidR="0000480A" w:rsidRPr="00F7079B">
        <w:rPr>
          <w:sz w:val="24"/>
          <w:szCs w:val="24"/>
        </w:rPr>
        <w:t>a</w:t>
      </w:r>
      <w:r w:rsidRPr="00F7079B">
        <w:rPr>
          <w:sz w:val="24"/>
          <w:szCs w:val="24"/>
        </w:rPr>
        <w:t xml:space="preserve">rbitration / WIPO Expedited </w:t>
      </w:r>
      <w:r w:rsidR="00706A02" w:rsidRPr="00F7079B">
        <w:rPr>
          <w:sz w:val="24"/>
          <w:szCs w:val="24"/>
        </w:rPr>
        <w:t>a</w:t>
      </w:r>
      <w:r w:rsidRPr="00F7079B">
        <w:rPr>
          <w:sz w:val="24"/>
          <w:szCs w:val="24"/>
        </w:rPr>
        <w:t xml:space="preserve">rbitration: </w:t>
      </w:r>
      <w:r w:rsidR="00706A02" w:rsidRPr="00F7079B">
        <w:rPr>
          <w:sz w:val="24"/>
          <w:szCs w:val="24"/>
        </w:rPr>
        <w:t>s</w:t>
      </w:r>
      <w:r w:rsidRPr="00F7079B">
        <w:rPr>
          <w:sz w:val="24"/>
          <w:szCs w:val="24"/>
        </w:rPr>
        <w:t xml:space="preserve">chedule of </w:t>
      </w:r>
      <w:r w:rsidR="009C0720" w:rsidRPr="00F7079B">
        <w:rPr>
          <w:sz w:val="24"/>
          <w:szCs w:val="24"/>
        </w:rPr>
        <w:t>f</w:t>
      </w:r>
      <w:r w:rsidRPr="00F7079B">
        <w:rPr>
          <w:sz w:val="24"/>
          <w:szCs w:val="24"/>
        </w:rPr>
        <w:t xml:space="preserve">ees and </w:t>
      </w:r>
      <w:r w:rsidR="009C0720" w:rsidRPr="00F7079B">
        <w:rPr>
          <w:sz w:val="24"/>
          <w:szCs w:val="24"/>
        </w:rPr>
        <w:t>c</w:t>
      </w:r>
      <w:r w:rsidRPr="00F7079B">
        <w:rPr>
          <w:sz w:val="24"/>
          <w:szCs w:val="24"/>
        </w:rPr>
        <w:t>osts’</w:t>
      </w:r>
      <w:r w:rsidRPr="00F7079B">
        <w:rPr>
          <w:i/>
          <w:sz w:val="24"/>
          <w:szCs w:val="24"/>
        </w:rPr>
        <w:t xml:space="preserve">, Alternative Dispute Resolution, </w:t>
      </w:r>
      <w:r w:rsidRPr="00F7079B">
        <w:rPr>
          <w:sz w:val="24"/>
          <w:szCs w:val="24"/>
        </w:rPr>
        <w:t xml:space="preserve">WIPO website, n.d., accessed 18 December 2020. </w:t>
      </w:r>
      <w:hyperlink r:id="rId95">
        <w:r w:rsidRPr="72EB7D45">
          <w:rPr>
            <w:rStyle w:val="Hyperlink"/>
            <w:sz w:val="24"/>
            <w:szCs w:val="24"/>
          </w:rPr>
          <w:t>https://www.wipo.int/amc/en/arbitration/fees/</w:t>
        </w:r>
      </w:hyperlink>
      <w:r w:rsidRPr="72EB7D45">
        <w:rPr>
          <w:sz w:val="24"/>
          <w:szCs w:val="24"/>
        </w:rPr>
        <w:t>.</w:t>
      </w:r>
      <w:r w:rsidR="00CC231B" w:rsidRPr="72EB7D45">
        <w:rPr>
          <w:sz w:val="24"/>
          <w:szCs w:val="24"/>
        </w:rPr>
        <w:t xml:space="preserve"> </w:t>
      </w:r>
    </w:p>
    <w:p w14:paraId="3089880B" w14:textId="6929E21D" w:rsidR="00CC231B" w:rsidRPr="00F7079B" w:rsidRDefault="004B3D37" w:rsidP="00CC231B">
      <w:pPr>
        <w:pStyle w:val="FootnoteText"/>
        <w:spacing w:after="120"/>
        <w:rPr>
          <w:sz w:val="24"/>
          <w:szCs w:val="24"/>
        </w:rPr>
      </w:pPr>
      <w:r w:rsidRPr="00F7079B">
        <w:rPr>
          <w:sz w:val="24"/>
          <w:szCs w:val="24"/>
        </w:rPr>
        <w:t xml:space="preserve">WIPO, ‘WIPO </w:t>
      </w:r>
      <w:r w:rsidR="0063576A" w:rsidRPr="00F7079B">
        <w:rPr>
          <w:sz w:val="24"/>
          <w:szCs w:val="24"/>
        </w:rPr>
        <w:t>c</w:t>
      </w:r>
      <w:r w:rsidRPr="00F7079B">
        <w:rPr>
          <w:sz w:val="24"/>
          <w:szCs w:val="24"/>
        </w:rPr>
        <w:t xml:space="preserve">aseload </w:t>
      </w:r>
      <w:r w:rsidR="0063576A" w:rsidRPr="00F7079B">
        <w:rPr>
          <w:sz w:val="24"/>
          <w:szCs w:val="24"/>
        </w:rPr>
        <w:t>s</w:t>
      </w:r>
      <w:r w:rsidRPr="00F7079B">
        <w:rPr>
          <w:sz w:val="24"/>
          <w:szCs w:val="24"/>
        </w:rPr>
        <w:t xml:space="preserve">ummary: WIPO </w:t>
      </w:r>
      <w:r w:rsidR="008E6733" w:rsidRPr="00F7079B">
        <w:rPr>
          <w:sz w:val="24"/>
          <w:szCs w:val="24"/>
        </w:rPr>
        <w:t>m</w:t>
      </w:r>
      <w:r w:rsidRPr="00F7079B">
        <w:rPr>
          <w:sz w:val="24"/>
          <w:szCs w:val="24"/>
        </w:rPr>
        <w:t xml:space="preserve">ediation, </w:t>
      </w:r>
      <w:r w:rsidR="008E6733" w:rsidRPr="00F7079B">
        <w:rPr>
          <w:sz w:val="24"/>
          <w:szCs w:val="24"/>
        </w:rPr>
        <w:t>a</w:t>
      </w:r>
      <w:r w:rsidRPr="00F7079B">
        <w:rPr>
          <w:sz w:val="24"/>
          <w:szCs w:val="24"/>
        </w:rPr>
        <w:t xml:space="preserve">rbitration, </w:t>
      </w:r>
      <w:r w:rsidR="008E6733" w:rsidRPr="00F7079B">
        <w:rPr>
          <w:sz w:val="24"/>
          <w:szCs w:val="24"/>
        </w:rPr>
        <w:t>e</w:t>
      </w:r>
      <w:r w:rsidRPr="00F7079B">
        <w:rPr>
          <w:sz w:val="24"/>
          <w:szCs w:val="24"/>
        </w:rPr>
        <w:t xml:space="preserve">xpert </w:t>
      </w:r>
      <w:r w:rsidR="008E6733" w:rsidRPr="00F7079B">
        <w:rPr>
          <w:sz w:val="24"/>
          <w:szCs w:val="24"/>
        </w:rPr>
        <w:t>d</w:t>
      </w:r>
      <w:r w:rsidRPr="00F7079B">
        <w:rPr>
          <w:sz w:val="24"/>
          <w:szCs w:val="24"/>
        </w:rPr>
        <w:t xml:space="preserve">etermination </w:t>
      </w:r>
      <w:r w:rsidR="008E6733" w:rsidRPr="00F7079B">
        <w:rPr>
          <w:sz w:val="24"/>
          <w:szCs w:val="24"/>
        </w:rPr>
        <w:t>c</w:t>
      </w:r>
      <w:r w:rsidRPr="00F7079B">
        <w:rPr>
          <w:sz w:val="24"/>
          <w:szCs w:val="24"/>
        </w:rPr>
        <w:t xml:space="preserve">ases and </w:t>
      </w:r>
      <w:r w:rsidR="000048D2" w:rsidRPr="00F7079B">
        <w:rPr>
          <w:sz w:val="24"/>
          <w:szCs w:val="24"/>
        </w:rPr>
        <w:t>g</w:t>
      </w:r>
      <w:r w:rsidRPr="00F7079B">
        <w:rPr>
          <w:sz w:val="24"/>
          <w:szCs w:val="24"/>
        </w:rPr>
        <w:t xml:space="preserve">ood </w:t>
      </w:r>
      <w:r w:rsidR="000048D2" w:rsidRPr="00F7079B">
        <w:rPr>
          <w:sz w:val="24"/>
          <w:szCs w:val="24"/>
        </w:rPr>
        <w:t>o</w:t>
      </w:r>
      <w:r w:rsidRPr="00F7079B">
        <w:rPr>
          <w:sz w:val="24"/>
          <w:szCs w:val="24"/>
        </w:rPr>
        <w:t xml:space="preserve">ffices </w:t>
      </w:r>
      <w:r w:rsidR="000048D2" w:rsidRPr="00F7079B">
        <w:rPr>
          <w:sz w:val="24"/>
          <w:szCs w:val="24"/>
        </w:rPr>
        <w:t>r</w:t>
      </w:r>
      <w:r w:rsidRPr="00F7079B">
        <w:rPr>
          <w:sz w:val="24"/>
          <w:szCs w:val="24"/>
        </w:rPr>
        <w:t>equests’</w:t>
      </w:r>
      <w:r w:rsidRPr="00F7079B">
        <w:rPr>
          <w:i/>
          <w:sz w:val="24"/>
          <w:szCs w:val="24"/>
        </w:rPr>
        <w:t xml:space="preserve">, Alternative Dispute Resolution, </w:t>
      </w:r>
      <w:r w:rsidRPr="00F7079B">
        <w:rPr>
          <w:sz w:val="24"/>
          <w:szCs w:val="24"/>
        </w:rPr>
        <w:t xml:space="preserve">WIPO website, n.d., accessed </w:t>
      </w:r>
      <w:r w:rsidR="009C0720" w:rsidRPr="00F7079B">
        <w:rPr>
          <w:sz w:val="24"/>
          <w:szCs w:val="24"/>
        </w:rPr>
        <w:t>18 </w:t>
      </w:r>
      <w:r w:rsidRPr="00F7079B">
        <w:rPr>
          <w:sz w:val="24"/>
          <w:szCs w:val="24"/>
        </w:rPr>
        <w:t xml:space="preserve">December 2020. </w:t>
      </w:r>
      <w:hyperlink r:id="rId96">
        <w:r w:rsidRPr="72EB7D45">
          <w:rPr>
            <w:rStyle w:val="Hyperlink"/>
            <w:sz w:val="24"/>
            <w:szCs w:val="24"/>
          </w:rPr>
          <w:t>https://www.wipo.int/amc/en/center/caseload.html</w:t>
        </w:r>
      </w:hyperlink>
      <w:r w:rsidRPr="72EB7D45">
        <w:rPr>
          <w:sz w:val="24"/>
          <w:szCs w:val="24"/>
        </w:rPr>
        <w:t>.</w:t>
      </w:r>
      <w:r w:rsidR="00CC231B" w:rsidRPr="72EB7D45">
        <w:rPr>
          <w:sz w:val="24"/>
          <w:szCs w:val="24"/>
        </w:rPr>
        <w:t xml:space="preserve"> </w:t>
      </w:r>
    </w:p>
    <w:p w14:paraId="057B42ED" w14:textId="6EB857BD" w:rsidR="00CC231B" w:rsidRPr="00F7079B" w:rsidRDefault="004B3D37" w:rsidP="00CC231B">
      <w:pPr>
        <w:pStyle w:val="FootnoteText"/>
        <w:spacing w:after="120"/>
        <w:rPr>
          <w:sz w:val="24"/>
          <w:szCs w:val="24"/>
        </w:rPr>
      </w:pPr>
      <w:r w:rsidRPr="00F7079B">
        <w:rPr>
          <w:sz w:val="24"/>
          <w:szCs w:val="24"/>
        </w:rPr>
        <w:t>WIPO, ‘WIPO Good Offices’</w:t>
      </w:r>
      <w:r w:rsidRPr="00F7079B">
        <w:rPr>
          <w:i/>
          <w:sz w:val="24"/>
          <w:szCs w:val="24"/>
        </w:rPr>
        <w:t xml:space="preserve">, Alternative </w:t>
      </w:r>
      <w:r w:rsidR="00706A02" w:rsidRPr="00F7079B">
        <w:rPr>
          <w:i/>
          <w:sz w:val="24"/>
          <w:szCs w:val="24"/>
        </w:rPr>
        <w:t>d</w:t>
      </w:r>
      <w:r w:rsidRPr="00F7079B">
        <w:rPr>
          <w:i/>
          <w:sz w:val="24"/>
          <w:szCs w:val="24"/>
        </w:rPr>
        <w:t xml:space="preserve">ispute </w:t>
      </w:r>
      <w:r w:rsidR="00706A02" w:rsidRPr="00F7079B">
        <w:rPr>
          <w:i/>
          <w:sz w:val="24"/>
          <w:szCs w:val="24"/>
        </w:rPr>
        <w:t>r</w:t>
      </w:r>
      <w:r w:rsidRPr="00F7079B">
        <w:rPr>
          <w:i/>
          <w:sz w:val="24"/>
          <w:szCs w:val="24"/>
        </w:rPr>
        <w:t xml:space="preserve">esolution, </w:t>
      </w:r>
      <w:r w:rsidRPr="00F7079B">
        <w:rPr>
          <w:sz w:val="24"/>
          <w:szCs w:val="24"/>
        </w:rPr>
        <w:t xml:space="preserve">WIPO website, n.d., accessed </w:t>
      </w:r>
      <w:r w:rsidR="009C0720" w:rsidRPr="00F7079B">
        <w:rPr>
          <w:sz w:val="24"/>
          <w:szCs w:val="24"/>
        </w:rPr>
        <w:t>18 </w:t>
      </w:r>
      <w:r w:rsidRPr="00F7079B">
        <w:rPr>
          <w:sz w:val="24"/>
          <w:szCs w:val="24"/>
        </w:rPr>
        <w:t xml:space="preserve">December 2020. </w:t>
      </w:r>
      <w:hyperlink r:id="rId97">
        <w:r w:rsidRPr="72EB7D45">
          <w:rPr>
            <w:rStyle w:val="Hyperlink"/>
            <w:sz w:val="24"/>
            <w:szCs w:val="24"/>
          </w:rPr>
          <w:t>https://www.wipo.int/amc/en/goodoffices/</w:t>
        </w:r>
      </w:hyperlink>
      <w:r w:rsidRPr="72EB7D45">
        <w:rPr>
          <w:sz w:val="24"/>
          <w:szCs w:val="24"/>
        </w:rPr>
        <w:t>.</w:t>
      </w:r>
      <w:r w:rsidR="00CC231B" w:rsidRPr="72EB7D45">
        <w:rPr>
          <w:sz w:val="24"/>
          <w:szCs w:val="24"/>
        </w:rPr>
        <w:t xml:space="preserve"> </w:t>
      </w:r>
    </w:p>
    <w:p w14:paraId="33D0C193" w14:textId="2CD2E9B9" w:rsidR="002C68AA" w:rsidRPr="00F7079B" w:rsidRDefault="004B3D37" w:rsidP="006F7EDE">
      <w:pPr>
        <w:pStyle w:val="FootnoteText"/>
        <w:spacing w:after="120"/>
        <w:rPr>
          <w:sz w:val="24"/>
          <w:szCs w:val="24"/>
        </w:rPr>
      </w:pPr>
      <w:r w:rsidRPr="00F7079B">
        <w:rPr>
          <w:sz w:val="24"/>
          <w:szCs w:val="24"/>
        </w:rPr>
        <w:t xml:space="preserve">WIPO, ‘WIPO </w:t>
      </w:r>
      <w:r w:rsidR="0063576A" w:rsidRPr="00F7079B">
        <w:rPr>
          <w:sz w:val="24"/>
          <w:szCs w:val="24"/>
        </w:rPr>
        <w:t>m</w:t>
      </w:r>
      <w:r w:rsidRPr="00F7079B">
        <w:rPr>
          <w:sz w:val="24"/>
          <w:szCs w:val="24"/>
        </w:rPr>
        <w:t xml:space="preserve">ediation: </w:t>
      </w:r>
      <w:r w:rsidR="00CE3BCD" w:rsidRPr="00F7079B">
        <w:rPr>
          <w:sz w:val="24"/>
          <w:szCs w:val="24"/>
        </w:rPr>
        <w:t>s</w:t>
      </w:r>
      <w:r w:rsidRPr="00F7079B">
        <w:rPr>
          <w:sz w:val="24"/>
          <w:szCs w:val="24"/>
        </w:rPr>
        <w:t xml:space="preserve">chedule of </w:t>
      </w:r>
      <w:r w:rsidR="0063576A" w:rsidRPr="00F7079B">
        <w:rPr>
          <w:sz w:val="24"/>
          <w:szCs w:val="24"/>
        </w:rPr>
        <w:t>f</w:t>
      </w:r>
      <w:r w:rsidRPr="00F7079B">
        <w:rPr>
          <w:sz w:val="24"/>
          <w:szCs w:val="24"/>
        </w:rPr>
        <w:t xml:space="preserve">ees and </w:t>
      </w:r>
      <w:r w:rsidR="0063576A" w:rsidRPr="00F7079B">
        <w:rPr>
          <w:sz w:val="24"/>
          <w:szCs w:val="24"/>
        </w:rPr>
        <w:t>c</w:t>
      </w:r>
      <w:r w:rsidRPr="00F7079B">
        <w:rPr>
          <w:sz w:val="24"/>
          <w:szCs w:val="24"/>
        </w:rPr>
        <w:t>osts’</w:t>
      </w:r>
      <w:r w:rsidRPr="00F7079B">
        <w:rPr>
          <w:i/>
          <w:sz w:val="24"/>
          <w:szCs w:val="24"/>
        </w:rPr>
        <w:t xml:space="preserve">, Alternative </w:t>
      </w:r>
      <w:r w:rsidR="00F05A45" w:rsidRPr="00F7079B">
        <w:rPr>
          <w:i/>
          <w:sz w:val="24"/>
          <w:szCs w:val="24"/>
        </w:rPr>
        <w:t>d</w:t>
      </w:r>
      <w:r w:rsidRPr="00F7079B">
        <w:rPr>
          <w:i/>
          <w:sz w:val="24"/>
          <w:szCs w:val="24"/>
        </w:rPr>
        <w:t xml:space="preserve">ispute </w:t>
      </w:r>
      <w:r w:rsidR="00F05A45" w:rsidRPr="00F7079B">
        <w:rPr>
          <w:i/>
          <w:sz w:val="24"/>
          <w:szCs w:val="24"/>
        </w:rPr>
        <w:t>r</w:t>
      </w:r>
      <w:r w:rsidRPr="00F7079B">
        <w:rPr>
          <w:i/>
          <w:sz w:val="24"/>
          <w:szCs w:val="24"/>
        </w:rPr>
        <w:t xml:space="preserve">esolution, </w:t>
      </w:r>
      <w:r w:rsidRPr="00F7079B">
        <w:rPr>
          <w:sz w:val="24"/>
          <w:szCs w:val="24"/>
        </w:rPr>
        <w:t xml:space="preserve">WIPO website, n.d., accessed 18 December 2020. </w:t>
      </w:r>
      <w:hyperlink r:id="rId98">
        <w:r w:rsidRPr="72EB7D45">
          <w:rPr>
            <w:rStyle w:val="Hyperlink"/>
            <w:sz w:val="24"/>
            <w:szCs w:val="24"/>
          </w:rPr>
          <w:t>https://www.wipo.int/amc/en/mediation/fees/index.html</w:t>
        </w:r>
      </w:hyperlink>
      <w:r w:rsidRPr="72EB7D45">
        <w:rPr>
          <w:sz w:val="24"/>
          <w:szCs w:val="24"/>
        </w:rPr>
        <w:t>.</w:t>
      </w:r>
      <w:r w:rsidR="00CC231B" w:rsidRPr="72EB7D45">
        <w:rPr>
          <w:sz w:val="24"/>
          <w:szCs w:val="24"/>
        </w:rPr>
        <w:t xml:space="preserve"> </w:t>
      </w:r>
    </w:p>
    <w:p w14:paraId="2A4305CC" w14:textId="77777777" w:rsidR="00E91250" w:rsidRDefault="00E91250">
      <w:pPr>
        <w:rPr>
          <w:rFonts w:asciiTheme="majorHAnsi" w:eastAsiaTheme="majorEastAsia" w:hAnsiTheme="majorHAnsi" w:cstheme="majorBidi"/>
          <w:color w:val="005677" w:themeColor="text2"/>
          <w:sz w:val="48"/>
          <w:szCs w:val="32"/>
        </w:rPr>
      </w:pPr>
      <w:bookmarkStart w:id="367" w:name="_Toc59109352"/>
      <w:r>
        <w:br w:type="page"/>
      </w:r>
    </w:p>
    <w:p w14:paraId="15289721" w14:textId="15290953" w:rsidR="003C717C" w:rsidRDefault="00B918C2" w:rsidP="00CE4C52">
      <w:pPr>
        <w:pStyle w:val="Heading1"/>
        <w:spacing w:after="360"/>
      </w:pPr>
      <w:bookmarkStart w:id="368" w:name="_Toc60760646"/>
      <w:bookmarkStart w:id="369" w:name="_Toc60834832"/>
      <w:bookmarkStart w:id="370" w:name="_Toc60836782"/>
      <w:bookmarkStart w:id="371" w:name="_Toc60997770"/>
      <w:bookmarkStart w:id="372" w:name="_Toc61015584"/>
      <w:bookmarkStart w:id="373" w:name="_Toc61269616"/>
      <w:bookmarkStart w:id="374" w:name="_Toc61356724"/>
      <w:bookmarkStart w:id="375" w:name="_Toc65159334"/>
      <w:r>
        <w:lastRenderedPageBreak/>
        <w:t xml:space="preserve">Appendix </w:t>
      </w:r>
      <w:r w:rsidR="781456AF">
        <w:t>D</w:t>
      </w:r>
      <w:r w:rsidR="003C717C">
        <w:t xml:space="preserve"> – Patent enforcement in Australia</w:t>
      </w:r>
      <w:bookmarkEnd w:id="367"/>
      <w:bookmarkEnd w:id="368"/>
      <w:bookmarkEnd w:id="369"/>
      <w:bookmarkEnd w:id="370"/>
      <w:bookmarkEnd w:id="371"/>
      <w:bookmarkEnd w:id="372"/>
      <w:bookmarkEnd w:id="373"/>
      <w:bookmarkEnd w:id="374"/>
      <w:bookmarkEnd w:id="375"/>
    </w:p>
    <w:p w14:paraId="348B3A7B" w14:textId="065E4FB5" w:rsidR="00FE21AD" w:rsidRPr="00CE4C52" w:rsidRDefault="00280273" w:rsidP="003C717C">
      <w:pPr>
        <w:rPr>
          <w:rFonts w:cs="Arial (Body CS)"/>
          <w:spacing w:val="-2"/>
          <w:szCs w:val="24"/>
        </w:rPr>
      </w:pPr>
      <w:r w:rsidRPr="00CE4C52">
        <w:rPr>
          <w:rFonts w:cs="Arial (Body CS)"/>
          <w:spacing w:val="-2"/>
          <w:szCs w:val="24"/>
        </w:rPr>
        <w:t>M</w:t>
      </w:r>
      <w:r w:rsidR="00FE21AD" w:rsidRPr="00CE4C52">
        <w:rPr>
          <w:rFonts w:cs="Arial (Body CS)"/>
          <w:spacing w:val="-2"/>
          <w:szCs w:val="24"/>
        </w:rPr>
        <w:t>any patent enforcement disputes contain both infringement and invalidity issues.</w:t>
      </w:r>
      <w:r w:rsidR="00583636" w:rsidRPr="00CE4C52">
        <w:rPr>
          <w:rFonts w:cs="Arial (Body CS)"/>
          <w:spacing w:val="-2"/>
          <w:szCs w:val="24"/>
        </w:rPr>
        <w:t xml:space="preserve"> </w:t>
      </w:r>
      <w:r w:rsidR="0091784A" w:rsidRPr="00CE4C52">
        <w:rPr>
          <w:rFonts w:cs="Arial (Body CS)"/>
          <w:spacing w:val="-2"/>
          <w:szCs w:val="24"/>
        </w:rPr>
        <w:t>If they think that someone is trespassing on their patent rights, the patentee can sue them for patent infringement.</w:t>
      </w:r>
      <w:r w:rsidR="00583636" w:rsidRPr="00CE4C52">
        <w:rPr>
          <w:rFonts w:cs="Arial (Body CS)"/>
          <w:spacing w:val="-2"/>
          <w:szCs w:val="24"/>
        </w:rPr>
        <w:t xml:space="preserve"> </w:t>
      </w:r>
      <w:r w:rsidR="00984D45" w:rsidRPr="00CE4C52">
        <w:rPr>
          <w:rFonts w:cs="Arial (Body CS)"/>
          <w:spacing w:val="-2"/>
          <w:szCs w:val="24"/>
        </w:rPr>
        <w:t>However</w:t>
      </w:r>
      <w:r w:rsidR="00B854EB" w:rsidRPr="00CE4C52">
        <w:rPr>
          <w:rFonts w:cs="Arial (Body CS)"/>
          <w:spacing w:val="-2"/>
          <w:szCs w:val="24"/>
        </w:rPr>
        <w:t>,</w:t>
      </w:r>
      <w:r w:rsidR="00984D45" w:rsidRPr="00CE4C52">
        <w:rPr>
          <w:rFonts w:cs="Arial (Body CS)"/>
          <w:spacing w:val="-2"/>
          <w:szCs w:val="24"/>
        </w:rPr>
        <w:t xml:space="preserve"> if a patentee seeks to enforce their patent against a competitor, that competitor may counter that the patent is invalid and </w:t>
      </w:r>
      <w:r w:rsidR="00B854EB" w:rsidRPr="00CE4C52">
        <w:rPr>
          <w:rFonts w:cs="Arial (Body CS)"/>
          <w:spacing w:val="-2"/>
          <w:szCs w:val="24"/>
        </w:rPr>
        <w:t xml:space="preserve">that it </w:t>
      </w:r>
      <w:r w:rsidR="00984D45" w:rsidRPr="00CE4C52">
        <w:rPr>
          <w:rFonts w:cs="Arial (Body CS)"/>
          <w:spacing w:val="-2"/>
          <w:szCs w:val="24"/>
        </w:rPr>
        <w:t xml:space="preserve">cannot be enforced. </w:t>
      </w:r>
    </w:p>
    <w:p w14:paraId="1ACFB1E3" w14:textId="27FF905A" w:rsidR="003C717C" w:rsidRPr="00F7079B" w:rsidRDefault="00984D45" w:rsidP="003C717C">
      <w:pPr>
        <w:rPr>
          <w:szCs w:val="24"/>
        </w:rPr>
      </w:pPr>
      <w:r w:rsidRPr="00F7079B">
        <w:rPr>
          <w:szCs w:val="24"/>
        </w:rPr>
        <w:t>The processes for resolving infringement and invalidity disputes are explain</w:t>
      </w:r>
      <w:r w:rsidR="003B7C7A" w:rsidRPr="00F7079B">
        <w:rPr>
          <w:szCs w:val="24"/>
        </w:rPr>
        <w:t>ed</w:t>
      </w:r>
      <w:r w:rsidRPr="00F7079B">
        <w:rPr>
          <w:szCs w:val="24"/>
        </w:rPr>
        <w:t xml:space="preserve"> below.</w:t>
      </w:r>
      <w:r w:rsidR="001E15C7" w:rsidRPr="00F7079B">
        <w:rPr>
          <w:szCs w:val="24"/>
        </w:rPr>
        <w:t xml:space="preserve"> </w:t>
      </w:r>
    </w:p>
    <w:p w14:paraId="742614FF" w14:textId="01C1B239" w:rsidR="00984D45" w:rsidRPr="00E91250" w:rsidRDefault="00984D45" w:rsidP="00A25A03">
      <w:pPr>
        <w:pStyle w:val="Heading2"/>
        <w:rPr>
          <w:sz w:val="32"/>
          <w:szCs w:val="32"/>
        </w:rPr>
      </w:pPr>
      <w:r w:rsidRPr="00585B6B">
        <w:rPr>
          <w:sz w:val="32"/>
          <w:szCs w:val="32"/>
        </w:rPr>
        <w:t>Infringement</w:t>
      </w:r>
    </w:p>
    <w:p w14:paraId="43247F41" w14:textId="20604BF7" w:rsidR="00B116F7" w:rsidRPr="00F7079B" w:rsidRDefault="1EED5695" w:rsidP="003C717C">
      <w:pPr>
        <w:rPr>
          <w:szCs w:val="24"/>
        </w:rPr>
      </w:pPr>
      <w:r w:rsidRPr="4D879BC5">
        <w:t>Patent infringement dispu</w:t>
      </w:r>
      <w:r w:rsidR="184B1EB8" w:rsidRPr="4D879BC5">
        <w:t xml:space="preserve">tes may only be </w:t>
      </w:r>
      <w:r w:rsidR="001E15C7" w:rsidRPr="4D879BC5">
        <w:t xml:space="preserve">finally </w:t>
      </w:r>
      <w:r w:rsidR="184B1EB8" w:rsidRPr="4D879BC5">
        <w:t>resolved</w:t>
      </w:r>
      <w:r w:rsidR="0348785E" w:rsidRPr="00F7079B">
        <w:rPr>
          <w:szCs w:val="24"/>
        </w:rPr>
        <w:t xml:space="preserve"> </w:t>
      </w:r>
      <w:r w:rsidRPr="4D879BC5">
        <w:t xml:space="preserve">by a court. </w:t>
      </w:r>
      <w:r w:rsidR="0348785E" w:rsidRPr="4D879BC5">
        <w:t>To force an infringer to stop or to pay compensation, a</w:t>
      </w:r>
      <w:r w:rsidR="5688DFC0" w:rsidRPr="4D879BC5">
        <w:t xml:space="preserve"> patentee (or their exclusive licensee) must initiate civil litigation to enforce their patent.</w:t>
      </w:r>
      <w:r w:rsidR="00A25A03" w:rsidRPr="4D879BC5">
        <w:rPr>
          <w:rStyle w:val="FootnoteReference"/>
        </w:rPr>
        <w:footnoteReference w:id="97"/>
      </w:r>
      <w:r w:rsidR="5688DFC0" w:rsidRPr="4D879BC5">
        <w:t xml:space="preserve"> There are no criminal penalties for patent infringement. Patents are not enforced by IP Australia or any other government body.</w:t>
      </w:r>
    </w:p>
    <w:p w14:paraId="688A228A" w14:textId="1A28C356" w:rsidR="00B116F7" w:rsidRPr="00E91250" w:rsidRDefault="00B116F7" w:rsidP="00A25A03">
      <w:pPr>
        <w:pStyle w:val="Heading3"/>
      </w:pPr>
      <w:r w:rsidRPr="00E91250">
        <w:t>Patent infringement trials</w:t>
      </w:r>
    </w:p>
    <w:p w14:paraId="07E292DC" w14:textId="55E3D122" w:rsidR="00B116F7" w:rsidRPr="00F7079B" w:rsidRDefault="0348785E" w:rsidP="003C717C">
      <w:pPr>
        <w:rPr>
          <w:szCs w:val="24"/>
        </w:rPr>
      </w:pPr>
      <w:r w:rsidRPr="4D879BC5">
        <w:t xml:space="preserve">A person may initiate patent infringement proceedings in the </w:t>
      </w:r>
      <w:r w:rsidR="009E76F8" w:rsidRPr="4D879BC5">
        <w:t>Federal</w:t>
      </w:r>
      <w:r w:rsidR="009E76F8">
        <w:t xml:space="preserve"> </w:t>
      </w:r>
      <w:r w:rsidR="009E76F8" w:rsidRPr="4D879BC5">
        <w:t>Court</w:t>
      </w:r>
      <w:r w:rsidR="009E76F8">
        <w:t xml:space="preserve"> </w:t>
      </w:r>
      <w:r w:rsidR="009E76F8" w:rsidRPr="4D879BC5">
        <w:t>of</w:t>
      </w:r>
      <w:r w:rsidR="009E76F8">
        <w:t xml:space="preserve"> </w:t>
      </w:r>
      <w:r w:rsidR="009E76F8" w:rsidRPr="4D879BC5">
        <w:t>Australia</w:t>
      </w:r>
      <w:r w:rsidR="009E76F8">
        <w:t xml:space="preserve"> </w:t>
      </w:r>
      <w:r w:rsidR="002C34E8" w:rsidRPr="00F7079B">
        <w:rPr>
          <w:szCs w:val="24"/>
        </w:rPr>
        <w:t>(</w:t>
      </w:r>
      <w:r w:rsidR="00BA52C1" w:rsidRPr="4D879BC5">
        <w:t>FCA</w:t>
      </w:r>
      <w:r w:rsidR="002C34E8" w:rsidRPr="00F7079B">
        <w:rPr>
          <w:szCs w:val="24"/>
        </w:rPr>
        <w:t>)</w:t>
      </w:r>
      <w:r w:rsidRPr="4D879BC5">
        <w:t>, or a State or Territory Supreme Court.</w:t>
      </w:r>
      <w:r w:rsidR="00A25A03" w:rsidRPr="4D879BC5">
        <w:rPr>
          <w:rStyle w:val="FootnoteReference"/>
        </w:rPr>
        <w:footnoteReference w:id="98"/>
      </w:r>
      <w:r w:rsidRPr="4D879BC5">
        <w:t xml:space="preserve"> Currently, the </w:t>
      </w:r>
      <w:r w:rsidR="002C34E8" w:rsidRPr="4D879BC5">
        <w:t>Federal Circuit Court (</w:t>
      </w:r>
      <w:r w:rsidR="00BA52C1" w:rsidRPr="4D879BC5">
        <w:t>FCC</w:t>
      </w:r>
      <w:r w:rsidR="002C34E8" w:rsidRPr="00F7079B">
        <w:rPr>
          <w:szCs w:val="24"/>
        </w:rPr>
        <w:t>)</w:t>
      </w:r>
      <w:r w:rsidRPr="4D879BC5">
        <w:t xml:space="preserve"> does not have jurisdiction to hear patent </w:t>
      </w:r>
      <w:r w:rsidR="00DA6796" w:rsidRPr="4D879BC5">
        <w:t xml:space="preserve">cases </w:t>
      </w:r>
      <w:r w:rsidRPr="4D879BC5">
        <w:t xml:space="preserve">(though it can </w:t>
      </w:r>
      <w:r w:rsidR="7A4991B8" w:rsidRPr="4D879BC5">
        <w:t xml:space="preserve">hear cases for other </w:t>
      </w:r>
      <w:r w:rsidR="006B663B" w:rsidRPr="4D879BC5">
        <w:t>intellectual property (</w:t>
      </w:r>
      <w:r w:rsidR="7A4991B8" w:rsidRPr="4D879BC5">
        <w:t>IP</w:t>
      </w:r>
      <w:r w:rsidR="006B663B" w:rsidRPr="00F7079B">
        <w:rPr>
          <w:szCs w:val="24"/>
        </w:rPr>
        <w:t>)</w:t>
      </w:r>
      <w:r w:rsidR="7A4991B8" w:rsidRPr="4D879BC5">
        <w:t xml:space="preserve"> rights). </w:t>
      </w:r>
    </w:p>
    <w:p w14:paraId="742E5882" w14:textId="5E53C019" w:rsidR="00C024BF" w:rsidRPr="00F7079B" w:rsidRDefault="7A4991B8" w:rsidP="003C717C">
      <w:pPr>
        <w:rPr>
          <w:szCs w:val="24"/>
        </w:rPr>
      </w:pPr>
      <w:r w:rsidRPr="4D879BC5">
        <w:t>P</w:t>
      </w:r>
      <w:r w:rsidR="5730F5C1" w:rsidRPr="4D879BC5">
        <w:t>re-trial procedures for p</w:t>
      </w:r>
      <w:r w:rsidRPr="4D879BC5">
        <w:t xml:space="preserve">atent infringement proceedings are </w:t>
      </w:r>
      <w:r w:rsidR="5730F5C1" w:rsidRPr="4D879BC5">
        <w:t xml:space="preserve">much the same process as </w:t>
      </w:r>
      <w:r w:rsidR="00DA6796" w:rsidRPr="4D879BC5">
        <w:t xml:space="preserve">for </w:t>
      </w:r>
      <w:r w:rsidR="5730F5C1" w:rsidRPr="4D879BC5">
        <w:t>other civil litig</w:t>
      </w:r>
      <w:r w:rsidR="00D870B5" w:rsidRPr="4D879BC5">
        <w:t>ation cases:</w:t>
      </w:r>
      <w:r w:rsidR="00F34436" w:rsidRPr="4D879BC5">
        <w:rPr>
          <w:rStyle w:val="FootnoteReference"/>
        </w:rPr>
        <w:footnoteReference w:id="99"/>
      </w:r>
    </w:p>
    <w:p w14:paraId="2DD9906D" w14:textId="2834CA3D" w:rsidR="00F34436" w:rsidRPr="00F7079B" w:rsidRDefault="00F34436" w:rsidP="00CE4C52">
      <w:pPr>
        <w:pStyle w:val="ListParagraph"/>
        <w:numPr>
          <w:ilvl w:val="0"/>
          <w:numId w:val="9"/>
        </w:numPr>
        <w:rPr>
          <w:szCs w:val="24"/>
        </w:rPr>
      </w:pPr>
      <w:r w:rsidRPr="00F7079B">
        <w:rPr>
          <w:szCs w:val="24"/>
        </w:rPr>
        <w:t>Statement of claim filed by the patentee (or exclusive licensee)</w:t>
      </w:r>
    </w:p>
    <w:p w14:paraId="25CF9932" w14:textId="7177B5D3" w:rsidR="00F34436" w:rsidRPr="00F7079B" w:rsidRDefault="00F34436" w:rsidP="00CE4C52">
      <w:pPr>
        <w:pStyle w:val="ListParagraph"/>
        <w:numPr>
          <w:ilvl w:val="0"/>
          <w:numId w:val="9"/>
        </w:numPr>
        <w:rPr>
          <w:szCs w:val="24"/>
        </w:rPr>
      </w:pPr>
      <w:r w:rsidRPr="00F7079B">
        <w:rPr>
          <w:szCs w:val="24"/>
        </w:rPr>
        <w:t>Defence filed by the alleged infringer</w:t>
      </w:r>
    </w:p>
    <w:p w14:paraId="12BCD658" w14:textId="10D6BD24" w:rsidR="00F34436" w:rsidRPr="00F7079B" w:rsidRDefault="00F34436" w:rsidP="00CE4C52">
      <w:pPr>
        <w:pStyle w:val="ListParagraph"/>
        <w:numPr>
          <w:ilvl w:val="0"/>
          <w:numId w:val="9"/>
        </w:numPr>
        <w:rPr>
          <w:szCs w:val="24"/>
        </w:rPr>
      </w:pPr>
      <w:r w:rsidRPr="00F7079B">
        <w:rPr>
          <w:szCs w:val="24"/>
        </w:rPr>
        <w:t>Disclosure or discovery of relevant document</w:t>
      </w:r>
      <w:r w:rsidR="004E094E">
        <w:rPr>
          <w:szCs w:val="24"/>
        </w:rPr>
        <w:t>s</w:t>
      </w:r>
      <w:r w:rsidRPr="00F7079B">
        <w:rPr>
          <w:szCs w:val="24"/>
        </w:rPr>
        <w:t xml:space="preserve"> by each party</w:t>
      </w:r>
    </w:p>
    <w:p w14:paraId="6467DA93" w14:textId="58150546" w:rsidR="00F34436" w:rsidRPr="00F7079B" w:rsidRDefault="00F34436" w:rsidP="00CE4C52">
      <w:pPr>
        <w:pStyle w:val="ListParagraph"/>
        <w:numPr>
          <w:ilvl w:val="0"/>
          <w:numId w:val="9"/>
        </w:numPr>
        <w:spacing w:after="360"/>
        <w:rPr>
          <w:szCs w:val="24"/>
        </w:rPr>
      </w:pPr>
      <w:r w:rsidRPr="00F7079B">
        <w:rPr>
          <w:szCs w:val="24"/>
        </w:rPr>
        <w:t>Affidavits (written statements of evidence) filed by both parties.</w:t>
      </w:r>
    </w:p>
    <w:p w14:paraId="6B708E6E" w14:textId="506F0A8C" w:rsidR="00F34436" w:rsidRPr="00F7079B" w:rsidRDefault="00F34436" w:rsidP="00F34436">
      <w:pPr>
        <w:rPr>
          <w:szCs w:val="24"/>
        </w:rPr>
      </w:pPr>
      <w:r w:rsidRPr="00F7079B">
        <w:rPr>
          <w:szCs w:val="24"/>
        </w:rPr>
        <w:t>If the case is not settled out of court by the parties it proceeds to trial</w:t>
      </w:r>
      <w:r w:rsidR="00DA6796" w:rsidRPr="00F7079B">
        <w:rPr>
          <w:szCs w:val="24"/>
        </w:rPr>
        <w:t>,</w:t>
      </w:r>
      <w:r w:rsidRPr="00F7079B">
        <w:rPr>
          <w:szCs w:val="24"/>
        </w:rPr>
        <w:t xml:space="preserve"> where both sides will present submissions and evidence</w:t>
      </w:r>
      <w:r w:rsidR="004E094E">
        <w:rPr>
          <w:szCs w:val="24"/>
        </w:rPr>
        <w:t>,</w:t>
      </w:r>
      <w:r w:rsidRPr="00F7079B">
        <w:rPr>
          <w:szCs w:val="24"/>
        </w:rPr>
        <w:t xml:space="preserve"> and test the evidence of the other </w:t>
      </w:r>
      <w:r w:rsidR="004E094E">
        <w:rPr>
          <w:szCs w:val="24"/>
        </w:rPr>
        <w:t xml:space="preserve">side </w:t>
      </w:r>
      <w:r w:rsidRPr="00F7079B">
        <w:rPr>
          <w:szCs w:val="24"/>
        </w:rPr>
        <w:t>(</w:t>
      </w:r>
      <w:r w:rsidR="00F65F94" w:rsidRPr="00F7079B">
        <w:rPr>
          <w:szCs w:val="24"/>
        </w:rPr>
        <w:t xml:space="preserve">for example, </w:t>
      </w:r>
      <w:r w:rsidRPr="00F7079B">
        <w:rPr>
          <w:szCs w:val="24"/>
        </w:rPr>
        <w:t xml:space="preserve">by </w:t>
      </w:r>
      <w:r w:rsidR="00C133A4">
        <w:rPr>
          <w:szCs w:val="24"/>
        </w:rPr>
        <w:br/>
      </w:r>
      <w:r w:rsidRPr="00F7079B">
        <w:rPr>
          <w:szCs w:val="24"/>
        </w:rPr>
        <w:t>cross-examination of witnesses</w:t>
      </w:r>
      <w:r w:rsidR="00F65F94" w:rsidRPr="00F7079B">
        <w:rPr>
          <w:szCs w:val="24"/>
        </w:rPr>
        <w:t>)</w:t>
      </w:r>
      <w:r w:rsidRPr="00F7079B">
        <w:rPr>
          <w:szCs w:val="24"/>
        </w:rPr>
        <w:t xml:space="preserve">. Given the technical nature of most patents, an important feature of patent litigation is often the heavy use of expert evidence from specialists in the relevant field of technology. </w:t>
      </w:r>
    </w:p>
    <w:p w14:paraId="6FFC3C2D" w14:textId="0DBB01E6" w:rsidR="00F34436" w:rsidRPr="00986A53" w:rsidRDefault="002B236B">
      <w:r w:rsidRPr="00585B6B">
        <w:lastRenderedPageBreak/>
        <w:t xml:space="preserve">The majority of patent cases are heard by the </w:t>
      </w:r>
      <w:r w:rsidR="00BA52C1" w:rsidRPr="00986A53">
        <w:t>FCA</w:t>
      </w:r>
      <w:r w:rsidR="006D1D67">
        <w:t>.</w:t>
      </w:r>
      <w:r w:rsidR="00086E0F">
        <w:rPr>
          <w:rStyle w:val="FootnoteReference"/>
        </w:rPr>
        <w:footnoteReference w:id="100"/>
      </w:r>
      <w:r w:rsidRPr="00585B6B">
        <w:t xml:space="preserve"> </w:t>
      </w:r>
    </w:p>
    <w:p w14:paraId="65C8D619" w14:textId="0191191F" w:rsidR="00DC31E9" w:rsidRPr="00F7079B" w:rsidRDefault="00DC31E9" w:rsidP="00F34436">
      <w:pPr>
        <w:rPr>
          <w:szCs w:val="24"/>
        </w:rPr>
      </w:pPr>
      <w:r w:rsidRPr="4D879BC5">
        <w:t xml:space="preserve">The </w:t>
      </w:r>
      <w:r w:rsidR="00BA52C1" w:rsidRPr="4D879BC5">
        <w:t>FCA</w:t>
      </w:r>
      <w:r w:rsidRPr="4D879BC5">
        <w:t xml:space="preserve"> has power to order parties to mediation or arbitration.</w:t>
      </w:r>
      <w:r w:rsidRPr="4D879BC5">
        <w:rPr>
          <w:rStyle w:val="FootnoteReference"/>
        </w:rPr>
        <w:footnoteReference w:id="101"/>
      </w:r>
      <w:r w:rsidRPr="4D879BC5">
        <w:t xml:space="preserve"> In 2018</w:t>
      </w:r>
      <w:r w:rsidR="00CF16DF" w:rsidRPr="00F7079B">
        <w:rPr>
          <w:szCs w:val="24"/>
        </w:rPr>
        <w:t>–</w:t>
      </w:r>
      <w:r w:rsidRPr="4D879BC5">
        <w:t xml:space="preserve">19 the </w:t>
      </w:r>
      <w:r w:rsidR="00BA52C1" w:rsidRPr="4D879BC5">
        <w:t>FCA</w:t>
      </w:r>
      <w:r w:rsidRPr="4D879BC5">
        <w:t xml:space="preserve"> referred between 35 and 42% of IP cases to mediation, compared </w:t>
      </w:r>
      <w:r w:rsidR="009B5A83" w:rsidRPr="4D879BC5">
        <w:t xml:space="preserve">with </w:t>
      </w:r>
      <w:r w:rsidRPr="4D879BC5">
        <w:t>10 to 15% of its overall cases.</w:t>
      </w:r>
      <w:r w:rsidRPr="4D879BC5">
        <w:rPr>
          <w:rStyle w:val="FootnoteReference"/>
        </w:rPr>
        <w:footnoteReference w:id="102"/>
      </w:r>
      <w:r w:rsidRPr="00F7079B">
        <w:rPr>
          <w:szCs w:val="24"/>
        </w:rPr>
        <w:t> </w:t>
      </w:r>
    </w:p>
    <w:p w14:paraId="2453401E" w14:textId="65C96D87" w:rsidR="00B116F7" w:rsidRPr="00986A53" w:rsidRDefault="00B116F7" w:rsidP="00076C3F">
      <w:pPr>
        <w:pStyle w:val="Heading3"/>
      </w:pPr>
      <w:r w:rsidRPr="00986A53">
        <w:t>Patent infringement appeals</w:t>
      </w:r>
    </w:p>
    <w:p w14:paraId="60778F83" w14:textId="4AEF474E" w:rsidR="00B116F7" w:rsidRPr="00F7079B" w:rsidRDefault="2C731ADE" w:rsidP="003C717C">
      <w:pPr>
        <w:rPr>
          <w:szCs w:val="24"/>
        </w:rPr>
      </w:pPr>
      <w:r w:rsidRPr="4D879BC5">
        <w:t>Ap</w:t>
      </w:r>
      <w:r w:rsidR="002B236B" w:rsidRPr="4D879BC5">
        <w:t xml:space="preserve">peals from </w:t>
      </w:r>
      <w:r w:rsidR="0091784A" w:rsidRPr="4D879BC5">
        <w:t>trial</w:t>
      </w:r>
      <w:r w:rsidR="002B236B" w:rsidRPr="4D879BC5">
        <w:t xml:space="preserve"> judgments in patent cases are heard by the </w:t>
      </w:r>
      <w:r w:rsidR="00BA52C1" w:rsidRPr="4D879BC5">
        <w:t>FCA</w:t>
      </w:r>
      <w:r w:rsidR="002B236B" w:rsidRPr="00F7079B">
        <w:rPr>
          <w:szCs w:val="24"/>
        </w:rPr>
        <w:t>.</w:t>
      </w:r>
      <w:r w:rsidR="002B236B" w:rsidRPr="4D879BC5">
        <w:rPr>
          <w:rStyle w:val="FootnoteReference"/>
        </w:rPr>
        <w:footnoteReference w:id="103"/>
      </w:r>
      <w:r w:rsidR="002B236B" w:rsidRPr="4D879BC5">
        <w:t xml:space="preserve"> Appeals are typically heard by a Full Court panel of 3 judges (</w:t>
      </w:r>
      <w:r w:rsidR="009F2952" w:rsidRPr="4D879BC5">
        <w:t xml:space="preserve">and </w:t>
      </w:r>
      <w:r w:rsidR="002B236B" w:rsidRPr="4D879BC5">
        <w:t xml:space="preserve">occasionally </w:t>
      </w:r>
      <w:r w:rsidR="00E91250" w:rsidRPr="4D879BC5">
        <w:t xml:space="preserve">5 </w:t>
      </w:r>
      <w:r w:rsidR="002B236B" w:rsidRPr="4D879BC5">
        <w:t xml:space="preserve">judges). Appeal judgments from the Full Court of the </w:t>
      </w:r>
      <w:r w:rsidR="00BA52C1" w:rsidRPr="4D879BC5">
        <w:t>FCA</w:t>
      </w:r>
      <w:r w:rsidR="002B236B" w:rsidRPr="4D879BC5">
        <w:t xml:space="preserve"> can be appealed to the High Court of Australia, but only with the special leave of the High Court.</w:t>
      </w:r>
      <w:r w:rsidR="002B236B" w:rsidRPr="4D879BC5">
        <w:rPr>
          <w:rStyle w:val="FootnoteReference"/>
        </w:rPr>
        <w:footnoteReference w:id="104"/>
      </w:r>
      <w:r w:rsidR="002B236B" w:rsidRPr="00F7079B">
        <w:rPr>
          <w:szCs w:val="24"/>
        </w:rPr>
        <w:t xml:space="preserve"> </w:t>
      </w:r>
    </w:p>
    <w:p w14:paraId="676D1039" w14:textId="21442D3D" w:rsidR="00984D45" w:rsidRPr="00986A53" w:rsidRDefault="00A25A03" w:rsidP="00A25A03">
      <w:pPr>
        <w:pStyle w:val="Heading3"/>
      </w:pPr>
      <w:r w:rsidRPr="00986A53">
        <w:t>Remedies for patent infringement</w:t>
      </w:r>
    </w:p>
    <w:p w14:paraId="7CE8E82F" w14:textId="0F4478FF" w:rsidR="00984D45" w:rsidRPr="00CE4C52" w:rsidRDefault="002A534C" w:rsidP="003C717C">
      <w:pPr>
        <w:rPr>
          <w:rFonts w:cs="Arial (Body CS)"/>
          <w:spacing w:val="-4"/>
          <w:szCs w:val="24"/>
        </w:rPr>
      </w:pPr>
      <w:r w:rsidRPr="4D879BC5">
        <w:rPr>
          <w:rFonts w:cs="Arial (Body CS)"/>
          <w:spacing w:val="-4"/>
        </w:rPr>
        <w:t>A patentee who is successful in bringing a patent infringement claim may be granted an injunction (either preliminary or final). They may also be awarded damages or an account of profits (their choice).</w:t>
      </w:r>
      <w:r w:rsidRPr="4D879BC5">
        <w:rPr>
          <w:rStyle w:val="FootnoteReference"/>
          <w:rFonts w:cs="Arial (Body CS)"/>
          <w:spacing w:val="-4"/>
        </w:rPr>
        <w:footnoteReference w:id="105"/>
      </w:r>
      <w:r w:rsidRPr="4D879BC5">
        <w:rPr>
          <w:rFonts w:cs="Arial (Body CS)"/>
          <w:spacing w:val="-4"/>
        </w:rPr>
        <w:t xml:space="preserve"> Additional damages may be awarded in cases of flagrant infringement.</w:t>
      </w:r>
      <w:r w:rsidRPr="4D879BC5">
        <w:rPr>
          <w:rStyle w:val="FootnoteReference"/>
          <w:rFonts w:cs="Arial (Body CS)"/>
          <w:spacing w:val="-4"/>
        </w:rPr>
        <w:footnoteReference w:id="106"/>
      </w:r>
      <w:r w:rsidR="00861044" w:rsidRPr="4D879BC5">
        <w:rPr>
          <w:rFonts w:cs="Arial (Body CS)"/>
          <w:spacing w:val="-4"/>
        </w:rPr>
        <w:t xml:space="preserve"> </w:t>
      </w:r>
    </w:p>
    <w:p w14:paraId="036AE62B" w14:textId="01C0D92A" w:rsidR="00583636" w:rsidRPr="00986A53" w:rsidRDefault="00583636" w:rsidP="00583636">
      <w:pPr>
        <w:pStyle w:val="Heading2"/>
        <w:rPr>
          <w:sz w:val="32"/>
          <w:szCs w:val="32"/>
        </w:rPr>
      </w:pPr>
      <w:r w:rsidRPr="00585B6B">
        <w:rPr>
          <w:sz w:val="32"/>
          <w:szCs w:val="32"/>
        </w:rPr>
        <w:t xml:space="preserve">Invalidity </w:t>
      </w:r>
    </w:p>
    <w:p w14:paraId="370CC1DC" w14:textId="6371E3EB" w:rsidR="00D21754" w:rsidRDefault="00984D45" w:rsidP="00583636">
      <w:pPr>
        <w:rPr>
          <w:szCs w:val="24"/>
        </w:rPr>
      </w:pPr>
      <w:r w:rsidRPr="00F7079B">
        <w:rPr>
          <w:szCs w:val="24"/>
        </w:rPr>
        <w:t xml:space="preserve">Unlike infringement </w:t>
      </w:r>
      <w:r w:rsidR="00BC3F9C">
        <w:rPr>
          <w:szCs w:val="24"/>
        </w:rPr>
        <w:t>–</w:t>
      </w:r>
      <w:r w:rsidR="00794096" w:rsidRPr="00F7079B">
        <w:rPr>
          <w:szCs w:val="24"/>
        </w:rPr>
        <w:t xml:space="preserve"> </w:t>
      </w:r>
      <w:r w:rsidRPr="00F7079B">
        <w:rPr>
          <w:szCs w:val="24"/>
        </w:rPr>
        <w:t xml:space="preserve">which can only be determined by the courts </w:t>
      </w:r>
      <w:r w:rsidR="00BC3F9C">
        <w:rPr>
          <w:szCs w:val="24"/>
        </w:rPr>
        <w:t>–</w:t>
      </w:r>
      <w:r w:rsidR="00794096" w:rsidRPr="00F7079B">
        <w:rPr>
          <w:szCs w:val="24"/>
        </w:rPr>
        <w:t xml:space="preserve"> </w:t>
      </w:r>
      <w:r w:rsidRPr="00F7079B">
        <w:rPr>
          <w:szCs w:val="24"/>
        </w:rPr>
        <w:t>invalidity issues can be considered by both the courts and the Commissioner of Patents (within</w:t>
      </w:r>
      <w:r w:rsidR="00494CE9">
        <w:rPr>
          <w:szCs w:val="24"/>
        </w:rPr>
        <w:t xml:space="preserve"> IP Australia</w:t>
      </w:r>
      <w:r w:rsidRPr="00F7079B">
        <w:rPr>
          <w:szCs w:val="24"/>
        </w:rPr>
        <w:t xml:space="preserve">). As mentioned above, invalidity may be asserted </w:t>
      </w:r>
      <w:r w:rsidR="002A534C" w:rsidRPr="00F7079B">
        <w:rPr>
          <w:szCs w:val="24"/>
        </w:rPr>
        <w:t>to counter</w:t>
      </w:r>
      <w:r w:rsidRPr="00F7079B">
        <w:rPr>
          <w:szCs w:val="24"/>
        </w:rPr>
        <w:t xml:space="preserve"> a claim for infringement.</w:t>
      </w:r>
      <w:r w:rsidR="00583636" w:rsidRPr="00F7079B">
        <w:rPr>
          <w:szCs w:val="24"/>
        </w:rPr>
        <w:t xml:space="preserve"> This may be </w:t>
      </w:r>
      <w:r w:rsidR="00F63708" w:rsidRPr="00F7079B">
        <w:rPr>
          <w:szCs w:val="24"/>
        </w:rPr>
        <w:t xml:space="preserve">done </w:t>
      </w:r>
      <w:r w:rsidR="00583636" w:rsidRPr="00F7079B">
        <w:rPr>
          <w:szCs w:val="24"/>
        </w:rPr>
        <w:t>pre-emptively (</w:t>
      </w:r>
      <w:r w:rsidR="00F63708" w:rsidRPr="00F7079B">
        <w:rPr>
          <w:szCs w:val="24"/>
        </w:rPr>
        <w:t xml:space="preserve">for </w:t>
      </w:r>
      <w:r w:rsidR="00373DBB" w:rsidRPr="00F7079B">
        <w:rPr>
          <w:szCs w:val="24"/>
        </w:rPr>
        <w:t>example,</w:t>
      </w:r>
      <w:r w:rsidR="00583636" w:rsidRPr="00F7079B">
        <w:rPr>
          <w:szCs w:val="24"/>
        </w:rPr>
        <w:t xml:space="preserve"> ahead of a likely infringement claim) or reactively (</w:t>
      </w:r>
      <w:r w:rsidR="00373DBB" w:rsidRPr="00F7079B">
        <w:rPr>
          <w:szCs w:val="24"/>
        </w:rPr>
        <w:t>for example,</w:t>
      </w:r>
      <w:r w:rsidR="00583636" w:rsidRPr="00F7079B">
        <w:rPr>
          <w:szCs w:val="24"/>
        </w:rPr>
        <w:t xml:space="preserve"> </w:t>
      </w:r>
      <w:r w:rsidR="00373DBB" w:rsidRPr="00F7079B">
        <w:rPr>
          <w:szCs w:val="24"/>
        </w:rPr>
        <w:t xml:space="preserve">by </w:t>
      </w:r>
      <w:r w:rsidR="00583636" w:rsidRPr="00F7079B">
        <w:rPr>
          <w:szCs w:val="24"/>
        </w:rPr>
        <w:t xml:space="preserve">cross-claiming for invalidity when sued for infringement). </w:t>
      </w:r>
      <w:r w:rsidR="00373DBB" w:rsidRPr="00F7079B">
        <w:rPr>
          <w:szCs w:val="24"/>
        </w:rPr>
        <w:t xml:space="preserve">A </w:t>
      </w:r>
      <w:r w:rsidR="0049162C" w:rsidRPr="00F7079B">
        <w:rPr>
          <w:szCs w:val="24"/>
        </w:rPr>
        <w:t>claim of i</w:t>
      </w:r>
      <w:r w:rsidR="00583636" w:rsidRPr="00F7079B">
        <w:rPr>
          <w:szCs w:val="24"/>
        </w:rPr>
        <w:t xml:space="preserve">nvalidity can </w:t>
      </w:r>
      <w:r w:rsidR="0049162C" w:rsidRPr="00F7079B">
        <w:rPr>
          <w:szCs w:val="24"/>
        </w:rPr>
        <w:t xml:space="preserve">also </w:t>
      </w:r>
      <w:r w:rsidR="00583636" w:rsidRPr="00F7079B">
        <w:rPr>
          <w:szCs w:val="24"/>
        </w:rPr>
        <w:t>be challenge</w:t>
      </w:r>
      <w:r w:rsidRPr="00F7079B">
        <w:rPr>
          <w:szCs w:val="24"/>
        </w:rPr>
        <w:t>d in a number of different ways</w:t>
      </w:r>
      <w:r w:rsidR="002D0161" w:rsidRPr="00F7079B">
        <w:rPr>
          <w:szCs w:val="24"/>
        </w:rPr>
        <w:t xml:space="preserve"> </w:t>
      </w:r>
      <w:r w:rsidR="00BC3F9C">
        <w:rPr>
          <w:szCs w:val="24"/>
        </w:rPr>
        <w:t>–</w:t>
      </w:r>
      <w:r w:rsidR="00794096" w:rsidRPr="00F7079B">
        <w:rPr>
          <w:szCs w:val="24"/>
        </w:rPr>
        <w:t xml:space="preserve"> </w:t>
      </w:r>
      <w:r w:rsidR="002D0161" w:rsidRPr="00F7079B">
        <w:rPr>
          <w:szCs w:val="24"/>
        </w:rPr>
        <w:t>see diagram below</w:t>
      </w:r>
      <w:r w:rsidRPr="00F7079B">
        <w:rPr>
          <w:szCs w:val="24"/>
        </w:rPr>
        <w:t>.</w:t>
      </w:r>
      <w:r w:rsidR="00D21754">
        <w:rPr>
          <w:szCs w:val="24"/>
        </w:rPr>
        <w:br w:type="page"/>
      </w:r>
    </w:p>
    <w:p w14:paraId="7F75DE46" w14:textId="77777777" w:rsidR="00583636" w:rsidRPr="00E91250" w:rsidRDefault="00583636" w:rsidP="00583636">
      <w:pPr>
        <w:pStyle w:val="Heading3"/>
      </w:pPr>
      <w:r w:rsidRPr="00E91250">
        <w:lastRenderedPageBreak/>
        <w:t xml:space="preserve">Oppositions </w:t>
      </w:r>
    </w:p>
    <w:p w14:paraId="67DD1CF6" w14:textId="289C9D0B" w:rsidR="00583636" w:rsidRPr="00F7079B" w:rsidRDefault="00714A04" w:rsidP="00583636">
      <w:pPr>
        <w:rPr>
          <w:szCs w:val="24"/>
        </w:rPr>
      </w:pPr>
      <w:r w:rsidRPr="00F7079B">
        <w:rPr>
          <w:szCs w:val="24"/>
        </w:rPr>
        <w:t>‘</w:t>
      </w:r>
      <w:r w:rsidR="23879F17" w:rsidRPr="4D879BC5">
        <w:t>Oppositions</w:t>
      </w:r>
      <w:r w:rsidRPr="00F7079B">
        <w:rPr>
          <w:szCs w:val="24"/>
        </w:rPr>
        <w:t>’</w:t>
      </w:r>
      <w:r w:rsidR="23879F17" w:rsidRPr="4D879BC5">
        <w:t xml:space="preserve"> are contested proceedings, with both sides providing evidence and argument via a structured process before a formal hearing.</w:t>
      </w:r>
      <w:r w:rsidR="00984D45" w:rsidRPr="4D879BC5">
        <w:rPr>
          <w:rStyle w:val="FootnoteReference"/>
        </w:rPr>
        <w:footnoteReference w:id="107"/>
      </w:r>
      <w:r w:rsidR="23879F17" w:rsidRPr="00F7079B">
        <w:rPr>
          <w:szCs w:val="24"/>
        </w:rPr>
        <w:t xml:space="preserve"> </w:t>
      </w:r>
      <w:r w:rsidR="002D0161" w:rsidRPr="4D879BC5">
        <w:t>These occur after examination, but before a patent is granted.</w:t>
      </w:r>
      <w:r w:rsidR="00494CE9">
        <w:t xml:space="preserve"> IP Australia</w:t>
      </w:r>
      <w:r w:rsidR="23879F17" w:rsidRPr="4D879BC5">
        <w:t xml:space="preserve"> has information on the opposition process, which was substantially reformed by the </w:t>
      </w:r>
      <w:r w:rsidR="23879F17" w:rsidRPr="4D879BC5">
        <w:rPr>
          <w:i/>
        </w:rPr>
        <w:t xml:space="preserve">Raising the Bar </w:t>
      </w:r>
      <w:r w:rsidR="7A511D6D" w:rsidRPr="4D879BC5">
        <w:rPr>
          <w:i/>
        </w:rPr>
        <w:t>reforms</w:t>
      </w:r>
      <w:r w:rsidR="00017584" w:rsidRPr="00F7079B">
        <w:rPr>
          <w:szCs w:val="24"/>
        </w:rPr>
        <w:t xml:space="preserve"> </w:t>
      </w:r>
      <w:r w:rsidR="23879F17" w:rsidRPr="4D879BC5">
        <w:t>in 2012</w:t>
      </w:r>
      <w:r w:rsidR="00842090" w:rsidRPr="4D879BC5">
        <w:t>, which served</w:t>
      </w:r>
      <w:r w:rsidR="23879F17" w:rsidRPr="4D879BC5">
        <w:t xml:space="preserve"> to shorten oppositions and limit strategic delay.</w:t>
      </w:r>
      <w:r w:rsidR="00017584" w:rsidRPr="4D879BC5">
        <w:rPr>
          <w:rStyle w:val="FootnoteReference"/>
        </w:rPr>
        <w:footnoteReference w:id="108"/>
      </w:r>
    </w:p>
    <w:p w14:paraId="28ACFB2F" w14:textId="419EDE1C" w:rsidR="00583636" w:rsidRPr="00986A53" w:rsidRDefault="00583636" w:rsidP="00583636">
      <w:pPr>
        <w:pStyle w:val="Heading3"/>
      </w:pPr>
      <w:r w:rsidRPr="00986A53">
        <w:t xml:space="preserve">Appeals to </w:t>
      </w:r>
      <w:r w:rsidR="00BA52C1" w:rsidRPr="00986A53">
        <w:t>FCA</w:t>
      </w:r>
      <w:r w:rsidRPr="00986A53">
        <w:t xml:space="preserve"> from oppositions </w:t>
      </w:r>
    </w:p>
    <w:p w14:paraId="0F2D108B" w14:textId="6E361DDB" w:rsidR="00583636" w:rsidRPr="00F7079B" w:rsidRDefault="002D0161" w:rsidP="00583636">
      <w:pPr>
        <w:rPr>
          <w:szCs w:val="24"/>
        </w:rPr>
      </w:pPr>
      <w:r w:rsidRPr="00F7079B">
        <w:rPr>
          <w:szCs w:val="24"/>
        </w:rPr>
        <w:t>Either party can appeal to the FCA about a decision that</w:t>
      </w:r>
      <w:r w:rsidR="00494CE9">
        <w:rPr>
          <w:szCs w:val="24"/>
        </w:rPr>
        <w:t xml:space="preserve"> IP Australia</w:t>
      </w:r>
      <w:r w:rsidRPr="00F7079B">
        <w:rPr>
          <w:szCs w:val="24"/>
        </w:rPr>
        <w:t xml:space="preserve"> has made in relation to an opposition</w:t>
      </w:r>
      <w:r w:rsidR="00BA52C1" w:rsidRPr="00F7079B">
        <w:rPr>
          <w:szCs w:val="24"/>
        </w:rPr>
        <w:t xml:space="preserve">. </w:t>
      </w:r>
      <w:r w:rsidR="00583636" w:rsidRPr="00F7079B">
        <w:rPr>
          <w:szCs w:val="24"/>
        </w:rPr>
        <w:t xml:space="preserve">These appeals are heard on a </w:t>
      </w:r>
      <w:r w:rsidR="00583636" w:rsidRPr="00F7079B">
        <w:rPr>
          <w:i/>
          <w:szCs w:val="24"/>
        </w:rPr>
        <w:t>de novo</w:t>
      </w:r>
      <w:r w:rsidR="00583636" w:rsidRPr="00F7079B">
        <w:rPr>
          <w:szCs w:val="24"/>
        </w:rPr>
        <w:t xml:space="preserve"> basis. This means that either party is free to provide new evidence or argument that wasn’t </w:t>
      </w:r>
      <w:r w:rsidR="004C043E" w:rsidRPr="00F7079B">
        <w:rPr>
          <w:szCs w:val="24"/>
        </w:rPr>
        <w:t xml:space="preserve">originally </w:t>
      </w:r>
      <w:r w:rsidR="00583636" w:rsidRPr="00F7079B">
        <w:rPr>
          <w:szCs w:val="24"/>
        </w:rPr>
        <w:t xml:space="preserve">provided in the opposition. </w:t>
      </w:r>
    </w:p>
    <w:p w14:paraId="4EE06F80" w14:textId="77777777" w:rsidR="00583636" w:rsidRPr="00E91250" w:rsidRDefault="00583636" w:rsidP="00583636">
      <w:pPr>
        <w:pStyle w:val="Heading3"/>
      </w:pPr>
      <w:r w:rsidRPr="00E91250">
        <w:t xml:space="preserve">Re-examination </w:t>
      </w:r>
    </w:p>
    <w:p w14:paraId="13225486" w14:textId="45D2704E" w:rsidR="00583636" w:rsidRPr="00F7079B" w:rsidRDefault="00583636" w:rsidP="00583636">
      <w:pPr>
        <w:rPr>
          <w:szCs w:val="24"/>
        </w:rPr>
      </w:pPr>
      <w:r w:rsidRPr="4D879BC5">
        <w:t xml:space="preserve">This can happen after examination, </w:t>
      </w:r>
      <w:r w:rsidR="002D0161" w:rsidRPr="4D879BC5">
        <w:t xml:space="preserve">and </w:t>
      </w:r>
      <w:r w:rsidRPr="4D879BC5">
        <w:t>before or after grant</w:t>
      </w:r>
      <w:r w:rsidR="002D0161" w:rsidRPr="4D879BC5">
        <w:t xml:space="preserve"> of a patent</w:t>
      </w:r>
      <w:r w:rsidRPr="4D879BC5">
        <w:t xml:space="preserve">. Although </w:t>
      </w:r>
      <w:r w:rsidR="00C133A4">
        <w:br/>
      </w:r>
      <w:r w:rsidRPr="4D879BC5">
        <w:t xml:space="preserve">re-examination can be triggered at the request of a third party (who often provides information and reasons to support revoking the patent), the </w:t>
      </w:r>
      <w:r w:rsidR="004C043E" w:rsidRPr="4D879BC5">
        <w:t xml:space="preserve">third </w:t>
      </w:r>
      <w:r w:rsidRPr="4D879BC5">
        <w:t>party has no formal subsequent role.</w:t>
      </w:r>
      <w:r w:rsidR="00494CE9">
        <w:t xml:space="preserve"> IP Australia</w:t>
      </w:r>
      <w:r w:rsidRPr="4D879BC5">
        <w:t xml:space="preserve"> may also initiate re-examination at any point after acceptance</w:t>
      </w:r>
      <w:r w:rsidR="002D0161" w:rsidRPr="4D879BC5">
        <w:t xml:space="preserve"> of a patent</w:t>
      </w:r>
      <w:r w:rsidRPr="4D879BC5">
        <w:t>. The re-examination is conducted between the patentee and</w:t>
      </w:r>
      <w:r w:rsidR="00494CE9">
        <w:t xml:space="preserve"> IP Australia</w:t>
      </w:r>
      <w:r w:rsidRPr="00F7079B">
        <w:rPr>
          <w:szCs w:val="24"/>
        </w:rPr>
        <w:t>.</w:t>
      </w:r>
      <w:r w:rsidR="00494CE9">
        <w:t xml:space="preserve"> IP</w:t>
      </w:r>
      <w:r w:rsidR="000158EF">
        <w:t> </w:t>
      </w:r>
      <w:r w:rsidR="00494CE9">
        <w:t>Australia</w:t>
      </w:r>
      <w:r w:rsidRPr="4D879BC5">
        <w:t xml:space="preserve"> has information on the re-examination process.</w:t>
      </w:r>
      <w:r w:rsidR="002D0161" w:rsidRPr="4D879BC5">
        <w:rPr>
          <w:rStyle w:val="FootnoteReference"/>
        </w:rPr>
        <w:footnoteReference w:id="109"/>
      </w:r>
    </w:p>
    <w:p w14:paraId="2711560C" w14:textId="67DD0374" w:rsidR="00583636" w:rsidRPr="00986A53" w:rsidRDefault="00583636" w:rsidP="00583636">
      <w:pPr>
        <w:pStyle w:val="Heading3"/>
      </w:pPr>
      <w:r w:rsidRPr="00E91250">
        <w:t xml:space="preserve">Appeal to </w:t>
      </w:r>
      <w:r w:rsidRPr="00986A53">
        <w:t xml:space="preserve">the </w:t>
      </w:r>
      <w:r w:rsidR="00BA52C1" w:rsidRPr="00986A53">
        <w:t>FCA</w:t>
      </w:r>
      <w:r w:rsidRPr="00986A53">
        <w:t xml:space="preserve"> from re-examination</w:t>
      </w:r>
    </w:p>
    <w:p w14:paraId="5F1EDB21" w14:textId="579EAE9D" w:rsidR="00D21754" w:rsidRDefault="00583636" w:rsidP="00583636">
      <w:pPr>
        <w:rPr>
          <w:szCs w:val="24"/>
        </w:rPr>
      </w:pPr>
      <w:r w:rsidRPr="00F7079B">
        <w:rPr>
          <w:szCs w:val="24"/>
        </w:rPr>
        <w:t xml:space="preserve">Re-examination decisions can only be appealed by the patentee: a </w:t>
      </w:r>
      <w:r w:rsidR="00C569ED" w:rsidRPr="00F7079B">
        <w:rPr>
          <w:szCs w:val="24"/>
        </w:rPr>
        <w:t xml:space="preserve">third </w:t>
      </w:r>
      <w:r w:rsidRPr="00F7079B">
        <w:rPr>
          <w:szCs w:val="24"/>
        </w:rPr>
        <w:t xml:space="preserve">party has no explicit right of appeal. A </w:t>
      </w:r>
      <w:r w:rsidR="00C569ED" w:rsidRPr="00F7079B">
        <w:rPr>
          <w:szCs w:val="24"/>
        </w:rPr>
        <w:t xml:space="preserve">third </w:t>
      </w:r>
      <w:r w:rsidRPr="00F7079B">
        <w:rPr>
          <w:szCs w:val="24"/>
        </w:rPr>
        <w:t xml:space="preserve">party may be able to challenge a re-examination decision via the </w:t>
      </w:r>
      <w:r w:rsidRPr="00F7079B">
        <w:rPr>
          <w:i/>
          <w:szCs w:val="24"/>
        </w:rPr>
        <w:t>Administrative Decisions (Judicial Review) Act 1977</w:t>
      </w:r>
      <w:r w:rsidRPr="00F7079B">
        <w:rPr>
          <w:szCs w:val="24"/>
        </w:rPr>
        <w:t xml:space="preserve">. However, in practice this is rare, as </w:t>
      </w:r>
      <w:r w:rsidRPr="00F7079B">
        <w:rPr>
          <w:i/>
          <w:szCs w:val="24"/>
        </w:rPr>
        <w:t>de</w:t>
      </w:r>
      <w:r w:rsidR="000158EF">
        <w:rPr>
          <w:i/>
          <w:szCs w:val="24"/>
        </w:rPr>
        <w:t> </w:t>
      </w:r>
      <w:r w:rsidRPr="00F7079B">
        <w:rPr>
          <w:i/>
          <w:szCs w:val="24"/>
        </w:rPr>
        <w:t>novo</w:t>
      </w:r>
      <w:r w:rsidRPr="00F7079B">
        <w:rPr>
          <w:szCs w:val="24"/>
        </w:rPr>
        <w:t xml:space="preserve"> review (which favours the party </w:t>
      </w:r>
      <w:r w:rsidR="00E65EEE">
        <w:rPr>
          <w:szCs w:val="24"/>
        </w:rPr>
        <w:t>assert</w:t>
      </w:r>
      <w:r w:rsidR="00E65EEE" w:rsidRPr="00F7079B">
        <w:rPr>
          <w:szCs w:val="24"/>
        </w:rPr>
        <w:t xml:space="preserve">ing </w:t>
      </w:r>
      <w:r w:rsidRPr="00F7079B">
        <w:rPr>
          <w:szCs w:val="24"/>
        </w:rPr>
        <w:t xml:space="preserve">invalidity) is available via a revocation action in the </w:t>
      </w:r>
      <w:r w:rsidR="00BA52C1" w:rsidRPr="00F7079B">
        <w:rPr>
          <w:szCs w:val="24"/>
        </w:rPr>
        <w:t>FCA</w:t>
      </w:r>
      <w:r w:rsidRPr="00F7079B">
        <w:rPr>
          <w:szCs w:val="24"/>
        </w:rPr>
        <w:t>.</w:t>
      </w:r>
      <w:r w:rsidR="00D21754">
        <w:rPr>
          <w:szCs w:val="24"/>
        </w:rPr>
        <w:br w:type="page"/>
      </w:r>
    </w:p>
    <w:p w14:paraId="3DC979D9" w14:textId="67B0ED37" w:rsidR="00583636" w:rsidRPr="00986A53" w:rsidRDefault="00583636" w:rsidP="00583636">
      <w:pPr>
        <w:pStyle w:val="Heading3"/>
      </w:pPr>
      <w:r w:rsidRPr="00986A53">
        <w:lastRenderedPageBreak/>
        <w:t xml:space="preserve">Revocation actions in the </w:t>
      </w:r>
      <w:r w:rsidR="00BA52C1" w:rsidRPr="00986A53">
        <w:t>FCA</w:t>
      </w:r>
      <w:r w:rsidRPr="00986A53">
        <w:t xml:space="preserve"> </w:t>
      </w:r>
    </w:p>
    <w:p w14:paraId="75545325" w14:textId="4630B6F9" w:rsidR="00583636" w:rsidRPr="00F7079B" w:rsidRDefault="00583636" w:rsidP="00583636">
      <w:pPr>
        <w:rPr>
          <w:szCs w:val="24"/>
        </w:rPr>
      </w:pPr>
      <w:r w:rsidRPr="00F7079B">
        <w:rPr>
          <w:szCs w:val="24"/>
        </w:rPr>
        <w:t xml:space="preserve">A </w:t>
      </w:r>
      <w:r w:rsidR="008013D1" w:rsidRPr="00F7079B">
        <w:rPr>
          <w:szCs w:val="24"/>
        </w:rPr>
        <w:t xml:space="preserve">third </w:t>
      </w:r>
      <w:r w:rsidRPr="00F7079B">
        <w:rPr>
          <w:szCs w:val="24"/>
        </w:rPr>
        <w:t xml:space="preserve">party can seek to have a granted patent revoked by the courts on the basis of invalidity. Again, this is on a </w:t>
      </w:r>
      <w:r w:rsidRPr="00F7079B">
        <w:rPr>
          <w:i/>
          <w:szCs w:val="24"/>
        </w:rPr>
        <w:t>de novo</w:t>
      </w:r>
      <w:r w:rsidRPr="00F7079B">
        <w:rPr>
          <w:szCs w:val="24"/>
        </w:rPr>
        <w:t xml:space="preserve"> basis, as the court considers (from scratch) whether the patent should be revoked. This can happen after grant, and provides an opportunity for competitors to challenge a patent at any point in its term. </w:t>
      </w:r>
    </w:p>
    <w:p w14:paraId="3F06A010" w14:textId="09893D1D" w:rsidR="00583636" w:rsidRPr="00986A53" w:rsidRDefault="00583636" w:rsidP="00583636">
      <w:pPr>
        <w:pStyle w:val="Heading3"/>
      </w:pPr>
      <w:r w:rsidRPr="00986A53">
        <w:t xml:space="preserve">Cross-claim for invalidity in </w:t>
      </w:r>
      <w:r w:rsidR="00BA52C1" w:rsidRPr="00986A53">
        <w:t>FCA</w:t>
      </w:r>
      <w:r w:rsidRPr="00986A53">
        <w:t xml:space="preserve"> infringement actions</w:t>
      </w:r>
    </w:p>
    <w:p w14:paraId="7C3755C2" w14:textId="18401EAC" w:rsidR="00583636" w:rsidRPr="00466012" w:rsidRDefault="00583636" w:rsidP="00583636">
      <w:pPr>
        <w:rPr>
          <w:szCs w:val="24"/>
        </w:rPr>
      </w:pPr>
      <w:r w:rsidRPr="00466012">
        <w:rPr>
          <w:szCs w:val="24"/>
        </w:rPr>
        <w:t xml:space="preserve">If a third party is sued for infringement, they can counter claim that the patent is invalid and should be revoked. As above, the invalidity claim is considered on a </w:t>
      </w:r>
      <w:r w:rsidRPr="00466012">
        <w:rPr>
          <w:i/>
          <w:iCs/>
          <w:szCs w:val="24"/>
        </w:rPr>
        <w:t>de novo</w:t>
      </w:r>
      <w:r w:rsidRPr="00466012">
        <w:rPr>
          <w:szCs w:val="24"/>
        </w:rPr>
        <w:t xml:space="preserve"> basis. The invalidity cross-claim proceeds on the same basis as a revocation proceedings</w:t>
      </w:r>
      <w:r w:rsidR="00F05A45" w:rsidRPr="00466012">
        <w:rPr>
          <w:szCs w:val="24"/>
        </w:rPr>
        <w:t>, as described</w:t>
      </w:r>
      <w:r w:rsidRPr="00466012">
        <w:rPr>
          <w:szCs w:val="24"/>
        </w:rPr>
        <w:t xml:space="preserve"> above. Importantly, this means that the party being accused of infringement may lead as much evidence as they want (within evidentiary rules) on the invalidity aspect, potentially increasing time and costs as the patentee responds. </w:t>
      </w:r>
    </w:p>
    <w:p w14:paraId="10F7AE27" w14:textId="3A90BB73" w:rsidR="00F25B6D" w:rsidRDefault="004D3EAE" w:rsidP="004D3EAE">
      <w:pPr>
        <w:rPr>
          <w:szCs w:val="24"/>
        </w:rPr>
        <w:sectPr w:rsidR="00F25B6D" w:rsidSect="00010BBA">
          <w:footerReference w:type="default" r:id="rId99"/>
          <w:headerReference w:type="first" r:id="rId100"/>
          <w:pgSz w:w="11906" w:h="16838"/>
          <w:pgMar w:top="1276" w:right="1440" w:bottom="1440" w:left="1440" w:header="851" w:footer="708" w:gutter="0"/>
          <w:pgNumType w:start="1"/>
          <w:cols w:space="708"/>
          <w:docGrid w:linePitch="360"/>
        </w:sectPr>
      </w:pPr>
      <w:r w:rsidRPr="4D879BC5">
        <w:t>A diagram of the main processes for considering invalidity is below.</w:t>
      </w:r>
      <w:r w:rsidRPr="4D879BC5">
        <w:rPr>
          <w:rStyle w:val="FootnoteReference"/>
        </w:rPr>
        <w:footnoteReference w:id="110"/>
      </w:r>
    </w:p>
    <w:p w14:paraId="01B4F57D" w14:textId="59449C8C" w:rsidR="00F25B6D" w:rsidRDefault="1C301D48" w:rsidP="00FD2A1A">
      <w:pPr>
        <w:jc w:val="center"/>
      </w:pPr>
      <w:r>
        <w:rPr>
          <w:noProof/>
          <w:lang w:eastAsia="en-AU"/>
        </w:rPr>
        <w:lastRenderedPageBreak/>
        <w:drawing>
          <wp:inline distT="0" distB="0" distL="0" distR="0" wp14:anchorId="5E74E816" wp14:editId="5018A095">
            <wp:extent cx="7894624" cy="53366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1">
                      <a:extLst>
                        <a:ext uri="{28A0092B-C50C-407E-A947-70E740481C1C}">
                          <a14:useLocalDpi xmlns:a14="http://schemas.microsoft.com/office/drawing/2010/main" val="0"/>
                        </a:ext>
                      </a:extLst>
                    </a:blip>
                    <a:stretch>
                      <a:fillRect/>
                    </a:stretch>
                  </pic:blipFill>
                  <pic:spPr>
                    <a:xfrm rot="16200000">
                      <a:off x="0" y="0"/>
                      <a:ext cx="7894624" cy="5336662"/>
                    </a:xfrm>
                    <a:prstGeom prst="rect">
                      <a:avLst/>
                    </a:prstGeom>
                  </pic:spPr>
                </pic:pic>
              </a:graphicData>
            </a:graphic>
          </wp:inline>
        </w:drawing>
      </w:r>
    </w:p>
    <w:p w14:paraId="778BFA92" w14:textId="77777777" w:rsidR="008E34D4" w:rsidRDefault="008E34D4">
      <w:pPr>
        <w:spacing w:before="0" w:after="160"/>
        <w:rPr>
          <w:rFonts w:asciiTheme="majorHAnsi" w:eastAsiaTheme="majorEastAsia" w:hAnsiTheme="majorHAnsi" w:cstheme="majorBidi"/>
          <w:color w:val="005677" w:themeColor="text2"/>
          <w:sz w:val="48"/>
          <w:szCs w:val="32"/>
        </w:rPr>
      </w:pPr>
      <w:bookmarkStart w:id="376" w:name="_Toc59109353"/>
      <w:bookmarkStart w:id="377" w:name="_Toc60760647"/>
      <w:bookmarkStart w:id="378" w:name="_Toc60834833"/>
      <w:bookmarkStart w:id="379" w:name="_Toc60836783"/>
      <w:bookmarkStart w:id="380" w:name="_Toc60997771"/>
      <w:bookmarkStart w:id="381" w:name="_Toc61015585"/>
      <w:bookmarkStart w:id="382" w:name="_Toc61269617"/>
      <w:bookmarkStart w:id="383" w:name="_Toc61356725"/>
      <w:bookmarkStart w:id="384" w:name="_Toc65159335"/>
      <w:r>
        <w:br w:type="page"/>
      </w:r>
    </w:p>
    <w:p w14:paraId="5C58B3A1" w14:textId="4338DD3B" w:rsidR="003C717C" w:rsidRDefault="00B918C2" w:rsidP="00102432">
      <w:pPr>
        <w:pStyle w:val="Heading1"/>
      </w:pPr>
      <w:r>
        <w:lastRenderedPageBreak/>
        <w:t xml:space="preserve">Appendix </w:t>
      </w:r>
      <w:r w:rsidR="0CFD1B93">
        <w:t>E</w:t>
      </w:r>
      <w:r w:rsidR="003C717C">
        <w:t xml:space="preserve"> – Overseas enforcement models</w:t>
      </w:r>
      <w:bookmarkEnd w:id="376"/>
      <w:bookmarkEnd w:id="377"/>
      <w:bookmarkEnd w:id="378"/>
      <w:bookmarkEnd w:id="379"/>
      <w:bookmarkEnd w:id="380"/>
      <w:bookmarkEnd w:id="381"/>
      <w:bookmarkEnd w:id="382"/>
      <w:bookmarkEnd w:id="383"/>
      <w:bookmarkEnd w:id="384"/>
    </w:p>
    <w:p w14:paraId="215DD4C5" w14:textId="394D66FC" w:rsidR="002A534C" w:rsidRPr="00466012" w:rsidRDefault="002A534C" w:rsidP="002A534C">
      <w:pPr>
        <w:rPr>
          <w:rFonts w:ascii="Calibri" w:eastAsia="Calibri" w:hAnsi="Calibri" w:cs="Times New Roman"/>
          <w:szCs w:val="24"/>
        </w:rPr>
      </w:pPr>
      <w:r w:rsidRPr="00466012">
        <w:rPr>
          <w:rFonts w:ascii="Calibri" w:eastAsia="Calibri" w:hAnsi="Calibri" w:cs="Times New Roman"/>
          <w:szCs w:val="24"/>
        </w:rPr>
        <w:t xml:space="preserve">Different countries have a range of mechanisms to resolve patent disputes, both via courts and Alternative Dispute Resolution (ADR). Stakeholders have suggested four of these mechanisms that could serve as a model for potential reforms in Australia to reduce the costs and time needed to resolve patent disputes for </w:t>
      </w:r>
      <w:r w:rsidR="005443F8" w:rsidRPr="00466012">
        <w:rPr>
          <w:rFonts w:ascii="Calibri" w:eastAsia="Calibri" w:hAnsi="Calibri" w:cs="Times New Roman"/>
          <w:szCs w:val="24"/>
        </w:rPr>
        <w:t>small to medium e</w:t>
      </w:r>
      <w:r w:rsidRPr="00466012">
        <w:rPr>
          <w:rFonts w:ascii="Calibri" w:eastAsia="Calibri" w:hAnsi="Calibri" w:cs="Times New Roman"/>
          <w:szCs w:val="24"/>
        </w:rPr>
        <w:t>nterprises (SMEs). These mechanisms are summarised below.</w:t>
      </w:r>
      <w:r w:rsidR="00861044" w:rsidRPr="00466012">
        <w:rPr>
          <w:rFonts w:ascii="Calibri" w:eastAsia="Calibri" w:hAnsi="Calibri" w:cs="Times New Roman"/>
          <w:szCs w:val="24"/>
        </w:rPr>
        <w:t xml:space="preserve"> </w:t>
      </w:r>
    </w:p>
    <w:p w14:paraId="27B854A5" w14:textId="65F8A107" w:rsidR="002A534C" w:rsidRPr="00F939E9" w:rsidRDefault="002A534C" w:rsidP="00585B6B">
      <w:pPr>
        <w:pStyle w:val="Heading2"/>
        <w:rPr>
          <w:color w:val="005677"/>
          <w:sz w:val="36"/>
          <w:szCs w:val="36"/>
        </w:rPr>
      </w:pPr>
      <w:r w:rsidRPr="491FF891">
        <w:t xml:space="preserve">UK </w:t>
      </w:r>
      <w:r w:rsidRPr="00986A53">
        <w:t>IPEC</w:t>
      </w:r>
    </w:p>
    <w:p w14:paraId="659417EE" w14:textId="427C861D" w:rsidR="002A534C" w:rsidRPr="00D21754" w:rsidRDefault="002A534C" w:rsidP="002A534C">
      <w:pPr>
        <w:rPr>
          <w:rFonts w:ascii="Calibri" w:eastAsia="Calibri" w:hAnsi="Calibri" w:cs="Times New Roman"/>
          <w:spacing w:val="-2"/>
        </w:rPr>
      </w:pPr>
      <w:r w:rsidRPr="0C89C1B6">
        <w:rPr>
          <w:rFonts w:ascii="Calibri" w:eastAsia="Calibri" w:hAnsi="Calibri" w:cs="Times New Roman"/>
          <w:spacing w:val="-2"/>
        </w:rPr>
        <w:t xml:space="preserve">The United Kingdom’s </w:t>
      </w:r>
      <w:r w:rsidR="00180159" w:rsidRPr="0C89C1B6">
        <w:rPr>
          <w:rFonts w:ascii="Calibri" w:eastAsia="Calibri" w:hAnsi="Calibri" w:cs="Times New Roman"/>
          <w:spacing w:val="-2"/>
        </w:rPr>
        <w:t>Intellectual Property Enterprise Court (</w:t>
      </w:r>
      <w:r w:rsidRPr="0C89C1B6">
        <w:rPr>
          <w:rFonts w:ascii="Calibri" w:eastAsia="Calibri" w:hAnsi="Calibri" w:cs="Times New Roman"/>
          <w:spacing w:val="-2"/>
        </w:rPr>
        <w:t>IPEC</w:t>
      </w:r>
      <w:r w:rsidR="00180159" w:rsidRPr="0C89C1B6">
        <w:rPr>
          <w:rFonts w:ascii="Calibri" w:eastAsia="Calibri" w:hAnsi="Calibri" w:cs="Times New Roman"/>
          <w:spacing w:val="-2"/>
        </w:rPr>
        <w:t>)</w:t>
      </w:r>
      <w:r w:rsidRPr="0C89C1B6">
        <w:rPr>
          <w:rFonts w:ascii="Calibri" w:eastAsia="Calibri" w:hAnsi="Calibri" w:cs="Times New Roman"/>
          <w:spacing w:val="-2"/>
        </w:rPr>
        <w:t xml:space="preserve"> is a specialist court designed to resolve smaller and less complex IP cases quickly and cheaply.</w:t>
      </w:r>
      <w:r w:rsidRPr="0C89C1B6">
        <w:rPr>
          <w:rStyle w:val="FootnoteReference"/>
          <w:rFonts w:ascii="Calibri" w:eastAsia="Calibri" w:hAnsi="Calibri" w:cs="Times New Roman"/>
          <w:spacing w:val="-2"/>
        </w:rPr>
        <w:footnoteReference w:id="111"/>
      </w:r>
      <w:r w:rsidRPr="0C89C1B6">
        <w:rPr>
          <w:rFonts w:ascii="Calibri" w:eastAsia="Calibri" w:hAnsi="Calibri" w:cs="Times New Roman"/>
          <w:spacing w:val="-2"/>
        </w:rPr>
        <w:t xml:space="preserve"> IPEC</w:t>
      </w:r>
      <w:r w:rsidR="00715805" w:rsidRPr="0C89C1B6">
        <w:rPr>
          <w:rFonts w:ascii="Calibri" w:eastAsia="Calibri" w:hAnsi="Calibri" w:cs="Times New Roman"/>
          <w:spacing w:val="-2"/>
        </w:rPr>
        <w:t>’s predecessor the Patents County Court (PCC)</w:t>
      </w:r>
      <w:r w:rsidRPr="0C89C1B6">
        <w:rPr>
          <w:rFonts w:ascii="Calibri" w:eastAsia="Calibri" w:hAnsi="Calibri" w:cs="Times New Roman"/>
          <w:spacing w:val="-2"/>
        </w:rPr>
        <w:t xml:space="preserve"> was </w:t>
      </w:r>
      <w:r w:rsidR="00715805" w:rsidRPr="0C89C1B6">
        <w:rPr>
          <w:rFonts w:ascii="Calibri" w:eastAsia="Calibri" w:hAnsi="Calibri" w:cs="Times New Roman"/>
          <w:spacing w:val="-2"/>
        </w:rPr>
        <w:t>reformed</w:t>
      </w:r>
      <w:r w:rsidRPr="0C89C1B6">
        <w:rPr>
          <w:rFonts w:ascii="Calibri" w:eastAsia="Calibri" w:hAnsi="Calibri" w:cs="Times New Roman"/>
          <w:spacing w:val="-2"/>
        </w:rPr>
        <w:t xml:space="preserve"> to ‘address longstanding concerns about the costs of IP litigation, particularly for SMEs’ similar to issues that have been raised in the present review.</w:t>
      </w:r>
      <w:r w:rsidRPr="0C89C1B6">
        <w:rPr>
          <w:rStyle w:val="FootnoteReference"/>
          <w:rFonts w:ascii="Calibri" w:eastAsia="Calibri" w:hAnsi="Calibri" w:cs="Times New Roman"/>
        </w:rPr>
        <w:footnoteReference w:id="112"/>
      </w:r>
      <w:r w:rsidRPr="0C89C1B6">
        <w:rPr>
          <w:rFonts w:ascii="Calibri" w:eastAsia="Calibri" w:hAnsi="Calibri" w:cs="Times New Roman"/>
          <w:spacing w:val="-2"/>
        </w:rPr>
        <w:t xml:space="preserve"> </w:t>
      </w:r>
      <w:r w:rsidR="00715805" w:rsidRPr="0C89C1B6">
        <w:rPr>
          <w:rFonts w:ascii="Calibri" w:eastAsia="Calibri" w:hAnsi="Calibri" w:cs="Times New Roman"/>
          <w:spacing w:val="-2"/>
        </w:rPr>
        <w:t>The renamed IPEC retained the key reforms to the former PCC.</w:t>
      </w:r>
    </w:p>
    <w:p w14:paraId="7D66E511" w14:textId="77777777" w:rsidR="002A534C" w:rsidRPr="00585B6B" w:rsidRDefault="002A534C" w:rsidP="00D45A2D">
      <w:pPr>
        <w:pStyle w:val="Heading3"/>
        <w:rPr>
          <w:color w:val="005677"/>
        </w:rPr>
      </w:pPr>
      <w:r w:rsidRPr="00585B6B">
        <w:t>Jurisdiction of IPEC</w:t>
      </w:r>
    </w:p>
    <w:p w14:paraId="6F6EB4AF" w14:textId="6EF397D3" w:rsidR="002A534C" w:rsidRPr="00466012" w:rsidRDefault="002A534C" w:rsidP="002A534C">
      <w:pPr>
        <w:rPr>
          <w:rFonts w:ascii="Calibri" w:eastAsia="Calibri" w:hAnsi="Calibri" w:cs="Times New Roman"/>
          <w:szCs w:val="24"/>
        </w:rPr>
      </w:pPr>
      <w:r w:rsidRPr="4D879BC5">
        <w:rPr>
          <w:rFonts w:ascii="Calibri" w:eastAsia="Calibri" w:hAnsi="Calibri" w:cs="Times New Roman"/>
        </w:rPr>
        <w:t xml:space="preserve">The IPEC handles all types of intellectual property </w:t>
      </w:r>
      <w:r w:rsidR="006B663B" w:rsidRPr="4D879BC5">
        <w:rPr>
          <w:rFonts w:ascii="Calibri" w:eastAsia="Calibri" w:hAnsi="Calibri" w:cs="Times New Roman"/>
        </w:rPr>
        <w:t xml:space="preserve">(IP) </w:t>
      </w:r>
      <w:r w:rsidRPr="4D879BC5">
        <w:rPr>
          <w:rFonts w:ascii="Calibri" w:eastAsia="Calibri" w:hAnsi="Calibri" w:cs="Times New Roman"/>
        </w:rPr>
        <w:t>cases, including patent cases.</w:t>
      </w:r>
      <w:r w:rsidRPr="4D879BC5">
        <w:rPr>
          <w:rStyle w:val="FootnoteReference"/>
          <w:rFonts w:ascii="Calibri" w:eastAsia="Calibri" w:hAnsi="Calibri" w:cs="Times New Roman"/>
        </w:rPr>
        <w:footnoteReference w:id="113"/>
      </w:r>
      <w:r w:rsidRPr="4D879BC5">
        <w:rPr>
          <w:rFonts w:ascii="Calibri" w:eastAsia="Calibri" w:hAnsi="Calibri" w:cs="Times New Roman"/>
        </w:rPr>
        <w:t xml:space="preserve"> This includes both claims for patent infringement, and claims that a patent is invalid.</w:t>
      </w:r>
      <w:r w:rsidRPr="4D879BC5">
        <w:rPr>
          <w:rStyle w:val="FootnoteReference"/>
          <w:rFonts w:ascii="Calibri" w:eastAsia="Calibri" w:hAnsi="Calibri" w:cs="Times New Roman"/>
        </w:rPr>
        <w:footnoteReference w:id="114"/>
      </w:r>
      <w:r w:rsidRPr="4D879BC5">
        <w:rPr>
          <w:rFonts w:ascii="Calibri" w:eastAsia="Calibri" w:hAnsi="Calibri" w:cs="Times New Roman"/>
        </w:rPr>
        <w:t xml:space="preserve"> </w:t>
      </w:r>
    </w:p>
    <w:p w14:paraId="051692FE" w14:textId="77777777" w:rsidR="002A534C" w:rsidRPr="00D21754" w:rsidRDefault="002A534C" w:rsidP="002A534C">
      <w:pPr>
        <w:rPr>
          <w:rFonts w:ascii="Calibri" w:eastAsia="Calibri" w:hAnsi="Calibri" w:cs="Times New Roman"/>
          <w:spacing w:val="-2"/>
          <w:szCs w:val="24"/>
        </w:rPr>
      </w:pPr>
      <w:r w:rsidRPr="4D879BC5">
        <w:rPr>
          <w:rFonts w:ascii="Calibri" w:eastAsia="Calibri" w:hAnsi="Calibri" w:cs="Times New Roman"/>
          <w:spacing w:val="-2"/>
        </w:rPr>
        <w:t xml:space="preserve">The IPEC has two tracks for disputes, a ‘multi-track’ and a ‘small claims track’. The small claims track relates to simpler cases with lower levels of damages (less than </w:t>
      </w:r>
      <w:r w:rsidRPr="4D879BC5">
        <w:rPr>
          <w:rFonts w:ascii="Calibri" w:eastAsia="Calibri" w:hAnsi="Calibri" w:cs="Calibri"/>
          <w:spacing w:val="-2"/>
        </w:rPr>
        <w:t>£</w:t>
      </w:r>
      <w:r w:rsidRPr="4D879BC5">
        <w:rPr>
          <w:rFonts w:ascii="Calibri" w:eastAsia="Calibri" w:hAnsi="Calibri" w:cs="Times New Roman"/>
          <w:spacing w:val="-2"/>
        </w:rPr>
        <w:t>10,000).</w:t>
      </w:r>
      <w:r w:rsidRPr="4D879BC5">
        <w:rPr>
          <w:rStyle w:val="FootnoteReference"/>
          <w:rFonts w:ascii="Calibri" w:eastAsia="Calibri" w:hAnsi="Calibri" w:cs="Times New Roman"/>
          <w:spacing w:val="-2"/>
        </w:rPr>
        <w:footnoteReference w:id="115"/>
      </w:r>
      <w:r w:rsidRPr="4D879BC5">
        <w:rPr>
          <w:rFonts w:ascii="Calibri" w:eastAsia="Calibri" w:hAnsi="Calibri" w:cs="Times New Roman"/>
          <w:spacing w:val="-2"/>
        </w:rPr>
        <w:t xml:space="preserve"> Patent cases are not suitable for the small claims track, and must be pursued via the multi-track.</w:t>
      </w:r>
      <w:r w:rsidRPr="4D879BC5">
        <w:rPr>
          <w:rStyle w:val="FootnoteReference"/>
          <w:rFonts w:ascii="Calibri" w:eastAsia="Calibri" w:hAnsi="Calibri" w:cs="Times New Roman"/>
          <w:spacing w:val="-2"/>
        </w:rPr>
        <w:footnoteReference w:id="116"/>
      </w:r>
    </w:p>
    <w:p w14:paraId="4E11BFAA" w14:textId="66F60E41" w:rsidR="002A534C" w:rsidRPr="00466012" w:rsidRDefault="002A534C" w:rsidP="002A534C">
      <w:pPr>
        <w:rPr>
          <w:rFonts w:ascii="Calibri" w:eastAsia="Calibri" w:hAnsi="Calibri" w:cs="Times New Roman"/>
          <w:szCs w:val="24"/>
        </w:rPr>
      </w:pPr>
      <w:r w:rsidRPr="4D879BC5">
        <w:rPr>
          <w:rFonts w:ascii="Calibri" w:eastAsia="Calibri" w:hAnsi="Calibri" w:cs="Times New Roman"/>
        </w:rPr>
        <w:lastRenderedPageBreak/>
        <w:t xml:space="preserve">Cases filed in </w:t>
      </w:r>
      <w:r w:rsidR="001B7D59" w:rsidRPr="4D879BC5">
        <w:rPr>
          <w:rFonts w:ascii="Calibri" w:eastAsia="Calibri" w:hAnsi="Calibri" w:cs="Times New Roman"/>
        </w:rPr>
        <w:t xml:space="preserve">the </w:t>
      </w:r>
      <w:r w:rsidRPr="4D879BC5">
        <w:rPr>
          <w:rFonts w:ascii="Calibri" w:eastAsia="Calibri" w:hAnsi="Calibri" w:cs="Times New Roman"/>
        </w:rPr>
        <w:t>IPEC may be transferred to the Chancery Division of the UK High Court</w:t>
      </w:r>
      <w:r w:rsidR="001B7D59" w:rsidRPr="4D879BC5">
        <w:rPr>
          <w:rFonts w:ascii="Calibri" w:eastAsia="Calibri" w:hAnsi="Calibri" w:cs="Times New Roman"/>
        </w:rPr>
        <w:t>,</w:t>
      </w:r>
      <w:r w:rsidRPr="4D879BC5">
        <w:rPr>
          <w:rFonts w:ascii="Calibri" w:eastAsia="Calibri" w:hAnsi="Calibri" w:cs="Times New Roman"/>
        </w:rPr>
        <w:t xml:space="preserve"> and vice versa where appropriate. The key factors determine whether a case is suitable for IPEC are:</w:t>
      </w:r>
      <w:r w:rsidRPr="4D879BC5">
        <w:rPr>
          <w:rStyle w:val="FootnoteReference"/>
          <w:rFonts w:ascii="Calibri" w:eastAsia="Calibri" w:hAnsi="Calibri" w:cs="Times New Roman"/>
        </w:rPr>
        <w:footnoteReference w:id="117"/>
      </w:r>
    </w:p>
    <w:p w14:paraId="19F2A8BD" w14:textId="7ADE6F08" w:rsidR="002A534C" w:rsidRPr="00466012" w:rsidRDefault="001B7D59" w:rsidP="00D21754">
      <w:pPr>
        <w:pStyle w:val="ListParagraph"/>
        <w:numPr>
          <w:ilvl w:val="0"/>
          <w:numId w:val="18"/>
        </w:numPr>
        <w:rPr>
          <w:szCs w:val="24"/>
        </w:rPr>
      </w:pPr>
      <w:r w:rsidRPr="00466012">
        <w:rPr>
          <w:szCs w:val="24"/>
        </w:rPr>
        <w:t>t</w:t>
      </w:r>
      <w:r w:rsidR="002A534C" w:rsidRPr="00466012">
        <w:rPr>
          <w:szCs w:val="24"/>
        </w:rPr>
        <w:t>he financial resources of the parties</w:t>
      </w:r>
    </w:p>
    <w:p w14:paraId="0D40152F" w14:textId="63DF9C99" w:rsidR="002A534C" w:rsidRPr="00466012" w:rsidRDefault="001B7D59" w:rsidP="00D21754">
      <w:pPr>
        <w:pStyle w:val="ListParagraph"/>
        <w:numPr>
          <w:ilvl w:val="0"/>
          <w:numId w:val="18"/>
        </w:numPr>
        <w:rPr>
          <w:szCs w:val="24"/>
        </w:rPr>
      </w:pPr>
      <w:r w:rsidRPr="00466012">
        <w:rPr>
          <w:szCs w:val="24"/>
        </w:rPr>
        <w:t>t</w:t>
      </w:r>
      <w:r w:rsidR="002A534C" w:rsidRPr="00466012">
        <w:rPr>
          <w:szCs w:val="24"/>
        </w:rPr>
        <w:t xml:space="preserve">he overall complexity of the claim </w:t>
      </w:r>
    </w:p>
    <w:p w14:paraId="6E795A3A" w14:textId="3ED8B308" w:rsidR="002A534C" w:rsidRPr="00466012" w:rsidRDefault="001B7D59" w:rsidP="00D21754">
      <w:pPr>
        <w:pStyle w:val="ListParagraph"/>
        <w:numPr>
          <w:ilvl w:val="0"/>
          <w:numId w:val="18"/>
        </w:numPr>
        <w:rPr>
          <w:szCs w:val="24"/>
        </w:rPr>
      </w:pPr>
      <w:r w:rsidRPr="00466012">
        <w:rPr>
          <w:szCs w:val="24"/>
        </w:rPr>
        <w:t>t</w:t>
      </w:r>
      <w:r w:rsidR="002A534C" w:rsidRPr="00466012">
        <w:rPr>
          <w:szCs w:val="24"/>
        </w:rPr>
        <w:t>he nature of the evidence</w:t>
      </w:r>
    </w:p>
    <w:p w14:paraId="40875F14" w14:textId="55E0460D" w:rsidR="002A534C" w:rsidRPr="00466012" w:rsidRDefault="001B7D59" w:rsidP="00D21754">
      <w:pPr>
        <w:pStyle w:val="ListParagraph"/>
        <w:numPr>
          <w:ilvl w:val="0"/>
          <w:numId w:val="18"/>
        </w:numPr>
        <w:spacing w:after="360"/>
        <w:rPr>
          <w:szCs w:val="24"/>
        </w:rPr>
      </w:pPr>
      <w:r w:rsidRPr="00466012">
        <w:rPr>
          <w:szCs w:val="24"/>
        </w:rPr>
        <w:t>t</w:t>
      </w:r>
      <w:r w:rsidR="002A534C" w:rsidRPr="00466012">
        <w:rPr>
          <w:szCs w:val="24"/>
        </w:rPr>
        <w:t>he value of the claim.</w:t>
      </w:r>
    </w:p>
    <w:p w14:paraId="24574D6C" w14:textId="77777777" w:rsidR="002A534C" w:rsidRPr="00585B6B" w:rsidRDefault="002A534C" w:rsidP="00D45A2D">
      <w:pPr>
        <w:pStyle w:val="Heading3"/>
        <w:rPr>
          <w:color w:val="005677"/>
        </w:rPr>
      </w:pPr>
      <w:r w:rsidRPr="00585B6B">
        <w:t>Procedures in IPEC</w:t>
      </w:r>
    </w:p>
    <w:p w14:paraId="4441E2D4" w14:textId="09E90390" w:rsidR="002A534C" w:rsidRPr="00466012" w:rsidRDefault="002A534C" w:rsidP="002A534C">
      <w:pPr>
        <w:rPr>
          <w:rFonts w:ascii="Calibri" w:eastAsia="Calibri" w:hAnsi="Calibri" w:cs="Times New Roman"/>
          <w:szCs w:val="24"/>
        </w:rPr>
      </w:pPr>
      <w:r w:rsidRPr="00466012">
        <w:rPr>
          <w:rFonts w:ascii="Calibri" w:eastAsia="Calibri" w:hAnsi="Calibri" w:cs="Times New Roman"/>
          <w:szCs w:val="24"/>
        </w:rPr>
        <w:t xml:space="preserve">While the IPEC has similar procedures to other courts in many respects </w:t>
      </w:r>
      <w:r w:rsidR="00BC3F9C">
        <w:rPr>
          <w:rFonts w:ascii="Calibri" w:eastAsia="Calibri" w:hAnsi="Calibri" w:cs="Times New Roman"/>
          <w:szCs w:val="24"/>
        </w:rPr>
        <w:t>–</w:t>
      </w:r>
      <w:r w:rsidR="00794096" w:rsidRPr="00466012">
        <w:rPr>
          <w:rFonts w:ascii="Calibri" w:eastAsia="Calibri" w:hAnsi="Calibri" w:cs="Times New Roman"/>
          <w:szCs w:val="24"/>
        </w:rPr>
        <w:t xml:space="preserve"> </w:t>
      </w:r>
      <w:r w:rsidRPr="00466012">
        <w:rPr>
          <w:rFonts w:ascii="Calibri" w:eastAsia="Calibri" w:hAnsi="Calibri" w:cs="Times New Roman"/>
          <w:szCs w:val="24"/>
        </w:rPr>
        <w:t xml:space="preserve">filing proceedings, serving a claim on the other party, response by the defendant, and statements of case </w:t>
      </w:r>
      <w:r w:rsidR="00BC3F9C">
        <w:rPr>
          <w:rFonts w:ascii="Calibri" w:eastAsia="Calibri" w:hAnsi="Calibri" w:cs="Times New Roman"/>
          <w:szCs w:val="24"/>
        </w:rPr>
        <w:t>–</w:t>
      </w:r>
      <w:r w:rsidR="00794096" w:rsidRPr="00466012">
        <w:rPr>
          <w:rFonts w:ascii="Calibri" w:eastAsia="Calibri" w:hAnsi="Calibri" w:cs="Times New Roman"/>
          <w:szCs w:val="24"/>
        </w:rPr>
        <w:t xml:space="preserve"> </w:t>
      </w:r>
      <w:r w:rsidRPr="00466012">
        <w:rPr>
          <w:rFonts w:ascii="Calibri" w:eastAsia="Calibri" w:hAnsi="Calibri" w:cs="Times New Roman"/>
          <w:szCs w:val="24"/>
        </w:rPr>
        <w:t xml:space="preserve">its processes are streamlined and are designed to ensure the matter is resolved as quickly and cheaply as possible. </w:t>
      </w:r>
    </w:p>
    <w:p w14:paraId="2EA7BA81" w14:textId="17EC4DD2" w:rsidR="002A534C" w:rsidRPr="00466012" w:rsidRDefault="002A534C" w:rsidP="002A534C">
      <w:pPr>
        <w:rPr>
          <w:rFonts w:ascii="Calibri" w:eastAsia="Calibri" w:hAnsi="Calibri" w:cs="Times New Roman"/>
          <w:szCs w:val="24"/>
        </w:rPr>
      </w:pPr>
      <w:r w:rsidRPr="4D879BC5">
        <w:rPr>
          <w:rFonts w:ascii="Calibri" w:eastAsia="Calibri" w:hAnsi="Calibri" w:cs="Times New Roman"/>
        </w:rPr>
        <w:t xml:space="preserve">Written pleadings are expected to fully set out the issues in greater detail at the start of the case (when compared </w:t>
      </w:r>
      <w:r w:rsidR="001B7D59" w:rsidRPr="4D879BC5">
        <w:rPr>
          <w:rFonts w:ascii="Calibri" w:eastAsia="Calibri" w:hAnsi="Calibri" w:cs="Times New Roman"/>
        </w:rPr>
        <w:t xml:space="preserve">with </w:t>
      </w:r>
      <w:r w:rsidRPr="4D879BC5">
        <w:rPr>
          <w:rFonts w:ascii="Calibri" w:eastAsia="Calibri" w:hAnsi="Calibri" w:cs="Times New Roman"/>
        </w:rPr>
        <w:t>other courts). This has the effect of ‘front-loading’ the costs of litigation, so that later aspects of the case can be resolved more quickly and cheaply.</w:t>
      </w:r>
      <w:r w:rsidRPr="4D879BC5">
        <w:rPr>
          <w:rStyle w:val="FootnoteReference"/>
          <w:rFonts w:ascii="Calibri" w:eastAsia="Calibri" w:hAnsi="Calibri" w:cs="Times New Roman"/>
        </w:rPr>
        <w:footnoteReference w:id="118"/>
      </w:r>
      <w:r w:rsidRPr="4D879BC5">
        <w:rPr>
          <w:rFonts w:ascii="Calibri" w:eastAsia="Calibri" w:hAnsi="Calibri" w:cs="Times New Roman"/>
        </w:rPr>
        <w:t xml:space="preserve"> </w:t>
      </w:r>
    </w:p>
    <w:p w14:paraId="73AAB862" w14:textId="166616F1" w:rsidR="00D21754" w:rsidRDefault="002A534C" w:rsidP="002A534C">
      <w:pPr>
        <w:rPr>
          <w:rFonts w:ascii="Calibri" w:eastAsia="Calibri" w:hAnsi="Calibri" w:cs="Times New Roman"/>
          <w:szCs w:val="24"/>
        </w:rPr>
      </w:pPr>
      <w:r w:rsidRPr="4D879BC5">
        <w:rPr>
          <w:rFonts w:ascii="Calibri" w:eastAsia="Calibri" w:hAnsi="Calibri" w:cs="Times New Roman"/>
        </w:rPr>
        <w:t>Particular emphasis is placed on clearly defining the ‘real’ issues in the dispute early on</w:t>
      </w:r>
      <w:r w:rsidR="001B7D59" w:rsidRPr="4D879BC5">
        <w:rPr>
          <w:rFonts w:ascii="Calibri" w:eastAsia="Calibri" w:hAnsi="Calibri" w:cs="Times New Roman"/>
        </w:rPr>
        <w:t>,</w:t>
      </w:r>
      <w:r w:rsidRPr="4D879BC5">
        <w:rPr>
          <w:rFonts w:ascii="Calibri" w:eastAsia="Calibri" w:hAnsi="Calibri" w:cs="Times New Roman"/>
        </w:rPr>
        <w:t xml:space="preserve"> via the case management conference (CMC). Parties must identify the key issues of law and fact to be resolved at trial. Usually, the CMC is the ‘first and last’ opportunity for parties to obtain orders from the judge that they may lead evidence, require disclosure of documents, or make written submissions on a particular issue.</w:t>
      </w:r>
      <w:r w:rsidRPr="4D879BC5">
        <w:rPr>
          <w:rStyle w:val="FootnoteReference"/>
          <w:rFonts w:ascii="Calibri" w:eastAsia="Calibri" w:hAnsi="Calibri" w:cs="Times New Roman"/>
        </w:rPr>
        <w:footnoteReference w:id="119"/>
      </w:r>
      <w:r w:rsidRPr="4D879BC5">
        <w:rPr>
          <w:rFonts w:ascii="Calibri" w:eastAsia="Calibri" w:hAnsi="Calibri" w:cs="Times New Roman"/>
        </w:rPr>
        <w:t xml:space="preserve"> Such orders are only granted if they pass a cost/benefit test. ‘This includes thinking about its probative value [of the requested evidence, disclosure or submission] as well as the proportionality of the cost to the value of the dispute overall.’</w:t>
      </w:r>
      <w:r w:rsidRPr="4D879BC5">
        <w:rPr>
          <w:rStyle w:val="FootnoteReference"/>
          <w:rFonts w:ascii="Calibri" w:eastAsia="Calibri" w:hAnsi="Calibri" w:cs="Times New Roman"/>
        </w:rPr>
        <w:footnoteReference w:id="120"/>
      </w:r>
      <w:r w:rsidRPr="4D879BC5">
        <w:rPr>
          <w:rFonts w:ascii="Calibri" w:eastAsia="Calibri" w:hAnsi="Calibri" w:cs="Times New Roman"/>
        </w:rPr>
        <w:t xml:space="preserve"> </w:t>
      </w:r>
      <w:r w:rsidR="00D21754" w:rsidRPr="4D879BC5">
        <w:rPr>
          <w:rFonts w:ascii="Calibri" w:eastAsia="Calibri" w:hAnsi="Calibri" w:cs="Times New Roman"/>
        </w:rPr>
        <w:br w:type="page"/>
      </w:r>
    </w:p>
    <w:p w14:paraId="7770796A" w14:textId="2CE7D1B5" w:rsidR="002A534C" w:rsidRPr="00466012" w:rsidRDefault="002A534C" w:rsidP="002A534C">
      <w:pPr>
        <w:rPr>
          <w:rFonts w:ascii="Calibri" w:eastAsia="Calibri" w:hAnsi="Calibri" w:cs="Times New Roman"/>
          <w:szCs w:val="24"/>
        </w:rPr>
      </w:pPr>
      <w:r w:rsidRPr="4D879BC5">
        <w:rPr>
          <w:rFonts w:ascii="Calibri" w:eastAsia="Calibri" w:hAnsi="Calibri" w:cs="Times New Roman"/>
        </w:rPr>
        <w:lastRenderedPageBreak/>
        <w:t>The CMC also sets the timetable for the stages up to the trial and the date for the trial.</w:t>
      </w:r>
      <w:r w:rsidRPr="4D879BC5">
        <w:rPr>
          <w:rStyle w:val="FootnoteReference"/>
          <w:rFonts w:ascii="Calibri" w:eastAsia="Calibri" w:hAnsi="Calibri" w:cs="Times New Roman"/>
        </w:rPr>
        <w:footnoteReference w:id="121"/>
      </w:r>
      <w:r w:rsidRPr="4D879BC5">
        <w:rPr>
          <w:rFonts w:ascii="Calibri" w:eastAsia="Calibri" w:hAnsi="Calibri" w:cs="Times New Roman"/>
        </w:rPr>
        <w:t xml:space="preserve"> Trials in the UK IPEC usually last no more than 2 days, or 3 days in very rare cases. Disputes where the parties are unable to conduct the trial within these timeframes are likely to be inappropriate for </w:t>
      </w:r>
      <w:r w:rsidR="003A4E56" w:rsidRPr="4D879BC5">
        <w:rPr>
          <w:rFonts w:ascii="Calibri" w:eastAsia="Calibri" w:hAnsi="Calibri" w:cs="Times New Roman"/>
        </w:rPr>
        <w:t xml:space="preserve">the </w:t>
      </w:r>
      <w:r w:rsidRPr="4D879BC5">
        <w:rPr>
          <w:rFonts w:ascii="Calibri" w:eastAsia="Calibri" w:hAnsi="Calibri" w:cs="Times New Roman"/>
        </w:rPr>
        <w:t>IPEC.</w:t>
      </w:r>
      <w:r w:rsidRPr="4D879BC5">
        <w:rPr>
          <w:rStyle w:val="FootnoteReference"/>
          <w:rFonts w:ascii="Calibri" w:eastAsia="Calibri" w:hAnsi="Calibri" w:cs="Times New Roman"/>
        </w:rPr>
        <w:footnoteReference w:id="122"/>
      </w:r>
    </w:p>
    <w:p w14:paraId="30EED46A" w14:textId="77777777" w:rsidR="002A534C" w:rsidRPr="00585B6B" w:rsidRDefault="002A534C" w:rsidP="00D45A2D">
      <w:pPr>
        <w:pStyle w:val="Heading3"/>
        <w:rPr>
          <w:color w:val="005677"/>
        </w:rPr>
      </w:pPr>
      <w:r w:rsidRPr="00585B6B">
        <w:t>Fees and costs for IPEC</w:t>
      </w:r>
    </w:p>
    <w:p w14:paraId="5557B88E" w14:textId="75B6E5E3" w:rsidR="002A534C" w:rsidRPr="00466012" w:rsidRDefault="002A534C" w:rsidP="002A534C">
      <w:pPr>
        <w:rPr>
          <w:rFonts w:ascii="Calibri" w:eastAsia="Calibri" w:hAnsi="Calibri" w:cs="Times New Roman"/>
          <w:szCs w:val="24"/>
        </w:rPr>
      </w:pPr>
      <w:r w:rsidRPr="4D879BC5">
        <w:rPr>
          <w:rFonts w:ascii="Calibri" w:eastAsia="Calibri" w:hAnsi="Calibri" w:cs="Times New Roman"/>
        </w:rPr>
        <w:t xml:space="preserve">Official court fees depend on the value of the claim. For a </w:t>
      </w:r>
      <w:r w:rsidRPr="4D879BC5">
        <w:rPr>
          <w:rFonts w:ascii="Calibri" w:eastAsia="Calibri" w:hAnsi="Calibri" w:cs="Calibri"/>
        </w:rPr>
        <w:t>£</w:t>
      </w:r>
      <w:r w:rsidRPr="4D879BC5">
        <w:rPr>
          <w:rFonts w:ascii="Calibri" w:eastAsia="Calibri" w:hAnsi="Calibri" w:cs="Times New Roman"/>
        </w:rPr>
        <w:t xml:space="preserve">500,000 claim (the maximum in </w:t>
      </w:r>
      <w:r w:rsidR="000E5AC4" w:rsidRPr="4D879BC5">
        <w:rPr>
          <w:rFonts w:ascii="Calibri" w:eastAsia="Calibri" w:hAnsi="Calibri" w:cs="Times New Roman"/>
        </w:rPr>
        <w:t xml:space="preserve">the </w:t>
      </w:r>
      <w:r w:rsidRPr="4D879BC5">
        <w:rPr>
          <w:rFonts w:ascii="Calibri" w:eastAsia="Calibri" w:hAnsi="Calibri" w:cs="Times New Roman"/>
        </w:rPr>
        <w:t>IPEC)</w:t>
      </w:r>
      <w:r w:rsidR="000E5AC4" w:rsidRPr="4D879BC5">
        <w:rPr>
          <w:rFonts w:ascii="Calibri" w:eastAsia="Calibri" w:hAnsi="Calibri" w:cs="Times New Roman"/>
        </w:rPr>
        <w:t>,</w:t>
      </w:r>
      <w:r w:rsidRPr="4D879BC5">
        <w:rPr>
          <w:rFonts w:ascii="Calibri" w:eastAsia="Calibri" w:hAnsi="Calibri" w:cs="Times New Roman"/>
        </w:rPr>
        <w:t xml:space="preserve"> the IPEC claim fee would be </w:t>
      </w:r>
      <w:r w:rsidRPr="4D879BC5">
        <w:rPr>
          <w:rFonts w:ascii="Calibri" w:eastAsia="Calibri" w:hAnsi="Calibri" w:cs="Calibri"/>
        </w:rPr>
        <w:t>£</w:t>
      </w:r>
      <w:r w:rsidRPr="4D879BC5">
        <w:rPr>
          <w:rFonts w:ascii="Calibri" w:eastAsia="Calibri" w:hAnsi="Calibri" w:cs="Times New Roman"/>
        </w:rPr>
        <w:t>10,000, while an application for a non-money claim (</w:t>
      </w:r>
      <w:r w:rsidR="00F65F94" w:rsidRPr="4D879BC5">
        <w:rPr>
          <w:rFonts w:ascii="Calibri" w:eastAsia="Calibri" w:hAnsi="Calibri" w:cs="Times New Roman"/>
        </w:rPr>
        <w:t xml:space="preserve">for example, </w:t>
      </w:r>
      <w:r w:rsidRPr="4D879BC5">
        <w:rPr>
          <w:rFonts w:ascii="Calibri" w:eastAsia="Calibri" w:hAnsi="Calibri" w:cs="Times New Roman"/>
        </w:rPr>
        <w:t xml:space="preserve">an injunction) would be </w:t>
      </w:r>
      <w:r w:rsidRPr="4D879BC5">
        <w:rPr>
          <w:rFonts w:ascii="Calibri" w:eastAsia="Calibri" w:hAnsi="Calibri" w:cs="Calibri"/>
        </w:rPr>
        <w:t>£</w:t>
      </w:r>
      <w:r w:rsidRPr="4D879BC5">
        <w:rPr>
          <w:rFonts w:ascii="Calibri" w:eastAsia="Calibri" w:hAnsi="Calibri" w:cs="Times New Roman"/>
        </w:rPr>
        <w:t>528. Counterclaims (</w:t>
      </w:r>
      <w:r w:rsidR="00F65F94" w:rsidRPr="4D879BC5">
        <w:rPr>
          <w:rFonts w:ascii="Calibri" w:eastAsia="Calibri" w:hAnsi="Calibri" w:cs="Times New Roman"/>
        </w:rPr>
        <w:t xml:space="preserve">for example, </w:t>
      </w:r>
      <w:r w:rsidRPr="4D879BC5">
        <w:rPr>
          <w:rFonts w:ascii="Calibri" w:eastAsia="Calibri" w:hAnsi="Calibri" w:cs="Times New Roman"/>
        </w:rPr>
        <w:t xml:space="preserve">for invalidity in response to a patent infringement claim) attract similar fees. For cases that proceed to a hearing, the hearing fee is up to </w:t>
      </w:r>
      <w:r w:rsidRPr="4D879BC5">
        <w:rPr>
          <w:rFonts w:ascii="Calibri" w:eastAsia="Calibri" w:hAnsi="Calibri" w:cs="Calibri"/>
        </w:rPr>
        <w:t>£</w:t>
      </w:r>
      <w:r w:rsidRPr="4D879BC5">
        <w:rPr>
          <w:rFonts w:ascii="Calibri" w:eastAsia="Calibri" w:hAnsi="Calibri" w:cs="Times New Roman"/>
        </w:rPr>
        <w:t xml:space="preserve">335 for </w:t>
      </w:r>
      <w:r w:rsidR="000E5AC4" w:rsidRPr="4D879BC5">
        <w:rPr>
          <w:rFonts w:ascii="Calibri" w:eastAsia="Calibri" w:hAnsi="Calibri" w:cs="Times New Roman"/>
        </w:rPr>
        <w:t xml:space="preserve">the </w:t>
      </w:r>
      <w:r w:rsidR="006F7EDE" w:rsidRPr="4D879BC5">
        <w:rPr>
          <w:rFonts w:ascii="Calibri" w:eastAsia="Calibri" w:hAnsi="Calibri" w:cs="Times New Roman"/>
        </w:rPr>
        <w:t>S</w:t>
      </w:r>
      <w:r w:rsidRPr="4D879BC5">
        <w:rPr>
          <w:rFonts w:ascii="Calibri" w:eastAsia="Calibri" w:hAnsi="Calibri" w:cs="Times New Roman"/>
        </w:rPr>
        <w:t xml:space="preserve">mall </w:t>
      </w:r>
      <w:r w:rsidR="006F7EDE" w:rsidRPr="4D879BC5">
        <w:rPr>
          <w:rFonts w:ascii="Calibri" w:eastAsia="Calibri" w:hAnsi="Calibri" w:cs="Times New Roman"/>
        </w:rPr>
        <w:t>C</w:t>
      </w:r>
      <w:r w:rsidRPr="4D879BC5">
        <w:rPr>
          <w:rFonts w:ascii="Calibri" w:eastAsia="Calibri" w:hAnsi="Calibri" w:cs="Times New Roman"/>
        </w:rPr>
        <w:t xml:space="preserve">laims </w:t>
      </w:r>
      <w:r w:rsidR="006F7EDE" w:rsidRPr="4D879BC5">
        <w:rPr>
          <w:rFonts w:ascii="Calibri" w:eastAsia="Calibri" w:hAnsi="Calibri" w:cs="Times New Roman"/>
        </w:rPr>
        <w:t>T</w:t>
      </w:r>
      <w:r w:rsidRPr="4D879BC5">
        <w:rPr>
          <w:rFonts w:ascii="Calibri" w:eastAsia="Calibri" w:hAnsi="Calibri" w:cs="Times New Roman"/>
        </w:rPr>
        <w:t xml:space="preserve">rack, and </w:t>
      </w:r>
      <w:r w:rsidRPr="4D879BC5">
        <w:rPr>
          <w:rFonts w:ascii="Calibri" w:eastAsia="Calibri" w:hAnsi="Calibri" w:cs="Calibri"/>
        </w:rPr>
        <w:t>£</w:t>
      </w:r>
      <w:r w:rsidRPr="4D879BC5">
        <w:rPr>
          <w:rFonts w:ascii="Calibri" w:eastAsia="Calibri" w:hAnsi="Calibri" w:cs="Times New Roman"/>
        </w:rPr>
        <w:t xml:space="preserve">1090 for the </w:t>
      </w:r>
      <w:r w:rsidR="006F7EDE" w:rsidRPr="4D879BC5">
        <w:rPr>
          <w:rFonts w:ascii="Calibri" w:eastAsia="Calibri" w:hAnsi="Calibri" w:cs="Times New Roman"/>
        </w:rPr>
        <w:t>M</w:t>
      </w:r>
      <w:r w:rsidRPr="4D879BC5">
        <w:rPr>
          <w:rFonts w:ascii="Calibri" w:eastAsia="Calibri" w:hAnsi="Calibri" w:cs="Times New Roman"/>
        </w:rPr>
        <w:t>ulti</w:t>
      </w:r>
      <w:r w:rsidR="000158EF" w:rsidRPr="4D879BC5">
        <w:rPr>
          <w:rFonts w:ascii="Calibri" w:eastAsia="Calibri" w:hAnsi="Calibri" w:cs="Times New Roman"/>
        </w:rPr>
        <w:t> </w:t>
      </w:r>
      <w:r w:rsidR="006F7EDE" w:rsidRPr="4D879BC5">
        <w:rPr>
          <w:rFonts w:ascii="Calibri" w:eastAsia="Calibri" w:hAnsi="Calibri" w:cs="Times New Roman"/>
        </w:rPr>
        <w:t>T</w:t>
      </w:r>
      <w:r w:rsidRPr="4D879BC5">
        <w:rPr>
          <w:rFonts w:ascii="Calibri" w:eastAsia="Calibri" w:hAnsi="Calibri" w:cs="Times New Roman"/>
        </w:rPr>
        <w:t xml:space="preserve">rack. </w:t>
      </w:r>
      <w:r w:rsidR="000E5AC4" w:rsidRPr="4D879BC5">
        <w:rPr>
          <w:rFonts w:ascii="Calibri" w:eastAsia="Calibri" w:hAnsi="Calibri" w:cs="Times New Roman"/>
        </w:rPr>
        <w:t>(</w:t>
      </w:r>
      <w:r w:rsidRPr="4D879BC5">
        <w:rPr>
          <w:rFonts w:ascii="Calibri" w:eastAsia="Calibri" w:hAnsi="Calibri" w:cs="Times New Roman"/>
        </w:rPr>
        <w:t>Note that other fees may apply in certain circumstances.</w:t>
      </w:r>
      <w:r w:rsidRPr="4D879BC5">
        <w:rPr>
          <w:rStyle w:val="FootnoteReference"/>
          <w:rFonts w:ascii="Calibri" w:eastAsia="Calibri" w:hAnsi="Calibri" w:cs="Times New Roman"/>
        </w:rPr>
        <w:footnoteReference w:id="123"/>
      </w:r>
      <w:r w:rsidR="000E5AC4" w:rsidRPr="4D879BC5">
        <w:rPr>
          <w:rFonts w:ascii="Calibri" w:eastAsia="Calibri" w:hAnsi="Calibri" w:cs="Times New Roman"/>
        </w:rPr>
        <w:t>)</w:t>
      </w:r>
    </w:p>
    <w:p w14:paraId="214FF575" w14:textId="2FD76486" w:rsidR="002A534C" w:rsidRPr="00466012" w:rsidRDefault="002A534C" w:rsidP="00D21754">
      <w:pPr>
        <w:spacing w:after="60"/>
        <w:rPr>
          <w:rFonts w:ascii="Calibri" w:eastAsia="Calibri" w:hAnsi="Calibri" w:cs="Times New Roman"/>
          <w:szCs w:val="24"/>
        </w:rPr>
      </w:pPr>
      <w:r w:rsidRPr="4D879BC5">
        <w:rPr>
          <w:rFonts w:ascii="Calibri" w:eastAsia="Calibri" w:hAnsi="Calibri" w:cs="Times New Roman"/>
        </w:rPr>
        <w:t xml:space="preserve">The losing party may have to pay the legal costs of the other party, usually in the order of 65 </w:t>
      </w:r>
      <w:r w:rsidR="00786DB7" w:rsidRPr="4D879BC5">
        <w:rPr>
          <w:rFonts w:ascii="Calibri" w:eastAsia="Calibri" w:hAnsi="Calibri" w:cs="Times New Roman"/>
        </w:rPr>
        <w:t>to</w:t>
      </w:r>
      <w:r w:rsidRPr="4D879BC5">
        <w:rPr>
          <w:rFonts w:ascii="Calibri" w:eastAsia="Calibri" w:hAnsi="Calibri" w:cs="Times New Roman"/>
        </w:rPr>
        <w:t xml:space="preserve"> 80% of their actual legal costs.</w:t>
      </w:r>
      <w:r w:rsidRPr="4D879BC5">
        <w:rPr>
          <w:rStyle w:val="FootnoteReference"/>
          <w:rFonts w:ascii="Calibri" w:eastAsia="Calibri" w:hAnsi="Calibri" w:cs="Times New Roman"/>
        </w:rPr>
        <w:footnoteReference w:id="124"/>
      </w:r>
      <w:r w:rsidRPr="4D879BC5">
        <w:rPr>
          <w:rFonts w:ascii="Calibri" w:eastAsia="Calibri" w:hAnsi="Calibri" w:cs="Times New Roman"/>
        </w:rPr>
        <w:t xml:space="preserve"> Importantly, the amount of costs that may be awarded is capped in </w:t>
      </w:r>
      <w:r w:rsidR="00786DB7" w:rsidRPr="4D879BC5">
        <w:rPr>
          <w:rFonts w:ascii="Calibri" w:eastAsia="Calibri" w:hAnsi="Calibri" w:cs="Times New Roman"/>
        </w:rPr>
        <w:t xml:space="preserve">the </w:t>
      </w:r>
      <w:r w:rsidRPr="4D879BC5">
        <w:rPr>
          <w:rFonts w:ascii="Calibri" w:eastAsia="Calibri" w:hAnsi="Calibri" w:cs="Times New Roman"/>
        </w:rPr>
        <w:t>IPEC (with limited exceptions) to:</w:t>
      </w:r>
    </w:p>
    <w:p w14:paraId="13884320" w14:textId="77777777" w:rsidR="002A534C" w:rsidRPr="00466012" w:rsidRDefault="002A534C" w:rsidP="00D21754">
      <w:pPr>
        <w:pStyle w:val="ListParagraph"/>
        <w:numPr>
          <w:ilvl w:val="0"/>
          <w:numId w:val="19"/>
        </w:numPr>
        <w:rPr>
          <w:rFonts w:cs="Times New Roman"/>
          <w:szCs w:val="24"/>
        </w:rPr>
      </w:pPr>
      <w:r w:rsidRPr="00466012">
        <w:rPr>
          <w:szCs w:val="24"/>
        </w:rPr>
        <w:t>£50,000 on the final determination of a claim</w:t>
      </w:r>
    </w:p>
    <w:p w14:paraId="6D83F040" w14:textId="77777777" w:rsidR="002A534C" w:rsidRPr="00466012" w:rsidRDefault="002A534C" w:rsidP="00D21754">
      <w:pPr>
        <w:pStyle w:val="ListParagraph"/>
        <w:numPr>
          <w:ilvl w:val="0"/>
          <w:numId w:val="19"/>
        </w:numPr>
        <w:spacing w:after="360"/>
        <w:rPr>
          <w:rFonts w:cs="Times New Roman"/>
          <w:szCs w:val="24"/>
        </w:rPr>
      </w:pPr>
      <w:r w:rsidRPr="00466012">
        <w:rPr>
          <w:szCs w:val="24"/>
        </w:rPr>
        <w:t>£25,000 on an inquiry as to damages or account of profits.</w:t>
      </w:r>
    </w:p>
    <w:p w14:paraId="79A4A7FB" w14:textId="77777777" w:rsidR="002A534C" w:rsidRPr="00466012" w:rsidRDefault="002A534C" w:rsidP="002A534C">
      <w:pPr>
        <w:rPr>
          <w:rFonts w:ascii="Calibri" w:eastAsia="Calibri" w:hAnsi="Calibri" w:cs="Calibri"/>
          <w:szCs w:val="24"/>
        </w:rPr>
      </w:pPr>
      <w:r w:rsidRPr="4D879BC5">
        <w:rPr>
          <w:rFonts w:ascii="Calibri" w:eastAsia="Calibri" w:hAnsi="Calibri" w:cs="Times New Roman"/>
        </w:rPr>
        <w:t xml:space="preserve">Despite the cap of £50,000, most costs awards are below </w:t>
      </w:r>
      <w:r w:rsidRPr="4D879BC5">
        <w:rPr>
          <w:rFonts w:ascii="Calibri" w:eastAsia="Calibri" w:hAnsi="Calibri" w:cs="Calibri"/>
        </w:rPr>
        <w:t>£40,000.</w:t>
      </w:r>
      <w:r w:rsidRPr="4D879BC5">
        <w:rPr>
          <w:rStyle w:val="FootnoteReference"/>
          <w:rFonts w:ascii="Calibri" w:eastAsia="Calibri" w:hAnsi="Calibri" w:cs="Calibri"/>
        </w:rPr>
        <w:footnoteReference w:id="125"/>
      </w:r>
    </w:p>
    <w:p w14:paraId="3CCD3534" w14:textId="0600E1E6" w:rsidR="002A534C" w:rsidRPr="00466012" w:rsidRDefault="002A534C" w:rsidP="002A534C">
      <w:pPr>
        <w:rPr>
          <w:rFonts w:ascii="Calibri" w:eastAsia="Calibri" w:hAnsi="Calibri" w:cs="Times New Roman"/>
          <w:szCs w:val="24"/>
        </w:rPr>
      </w:pPr>
      <w:r w:rsidRPr="4D879BC5">
        <w:rPr>
          <w:rFonts w:ascii="Calibri" w:eastAsia="Calibri" w:hAnsi="Calibri" w:cs="Times New Roman"/>
        </w:rPr>
        <w:t xml:space="preserve">Estimates of the actual legal costs incurred by a party </w:t>
      </w:r>
      <w:r w:rsidR="00786DB7" w:rsidRPr="4D879BC5">
        <w:rPr>
          <w:rFonts w:ascii="Calibri" w:eastAsia="Calibri" w:hAnsi="Calibri" w:cs="Times New Roman"/>
        </w:rPr>
        <w:t xml:space="preserve">in </w:t>
      </w:r>
      <w:r w:rsidR="00F37CED" w:rsidRPr="4D879BC5">
        <w:rPr>
          <w:rFonts w:ascii="Calibri" w:eastAsia="Calibri" w:hAnsi="Calibri" w:cs="Times New Roman"/>
        </w:rPr>
        <w:t>bringing</w:t>
      </w:r>
      <w:r w:rsidRPr="4D879BC5">
        <w:rPr>
          <w:rFonts w:ascii="Calibri" w:eastAsia="Calibri" w:hAnsi="Calibri" w:cs="Times New Roman"/>
        </w:rPr>
        <w:t xml:space="preserve"> a case to trial in the IPEC range from £50,000 to £150,000. By comparison, legal costs for litigation in the UK</w:t>
      </w:r>
      <w:r w:rsidR="000158EF" w:rsidRPr="4D879BC5">
        <w:rPr>
          <w:rFonts w:ascii="Calibri" w:eastAsia="Calibri" w:hAnsi="Calibri" w:cs="Times New Roman"/>
        </w:rPr>
        <w:t> </w:t>
      </w:r>
      <w:r w:rsidRPr="4D879BC5">
        <w:rPr>
          <w:rFonts w:ascii="Calibri" w:eastAsia="Calibri" w:hAnsi="Calibri" w:cs="Times New Roman"/>
        </w:rPr>
        <w:t>High</w:t>
      </w:r>
      <w:r w:rsidR="000158EF" w:rsidRPr="4D879BC5">
        <w:rPr>
          <w:rFonts w:ascii="Calibri" w:eastAsia="Calibri" w:hAnsi="Calibri" w:cs="Times New Roman"/>
        </w:rPr>
        <w:t> </w:t>
      </w:r>
      <w:r w:rsidRPr="4D879BC5">
        <w:rPr>
          <w:rFonts w:ascii="Calibri" w:eastAsia="Calibri" w:hAnsi="Calibri" w:cs="Times New Roman"/>
        </w:rPr>
        <w:t>Court typically range from £250,000 to £750,000.</w:t>
      </w:r>
      <w:r w:rsidRPr="4D879BC5">
        <w:rPr>
          <w:rStyle w:val="FootnoteReference"/>
          <w:rFonts w:ascii="Calibri" w:eastAsia="Calibri" w:hAnsi="Calibri" w:cs="Times New Roman"/>
        </w:rPr>
        <w:footnoteReference w:id="126"/>
      </w:r>
    </w:p>
    <w:p w14:paraId="277EF0D2" w14:textId="317AFD83" w:rsidR="002A534C" w:rsidRPr="00585B6B" w:rsidRDefault="002A534C" w:rsidP="00D45A2D">
      <w:pPr>
        <w:pStyle w:val="Heading3"/>
        <w:rPr>
          <w:color w:val="005677"/>
        </w:rPr>
      </w:pPr>
      <w:r w:rsidRPr="00585B6B">
        <w:lastRenderedPageBreak/>
        <w:t xml:space="preserve">Remedies available in </w:t>
      </w:r>
      <w:r w:rsidR="0079234F">
        <w:t xml:space="preserve">the </w:t>
      </w:r>
      <w:r w:rsidRPr="00585B6B">
        <w:t>IPEC</w:t>
      </w:r>
    </w:p>
    <w:p w14:paraId="4BE97577" w14:textId="315BF2BE" w:rsidR="002A534C" w:rsidRPr="00466012" w:rsidRDefault="002A534C" w:rsidP="00D21754">
      <w:pPr>
        <w:spacing w:after="60"/>
        <w:rPr>
          <w:rStyle w:val="FootnoteReference"/>
          <w:rFonts w:ascii="Calibri" w:eastAsia="Calibri" w:hAnsi="Calibri" w:cs="Times New Roman"/>
        </w:rPr>
      </w:pPr>
      <w:r w:rsidRPr="0C89C1B6">
        <w:rPr>
          <w:rFonts w:ascii="Calibri" w:eastAsia="Calibri" w:hAnsi="Calibri" w:cs="Times New Roman"/>
        </w:rPr>
        <w:t xml:space="preserve">Successful parties in </w:t>
      </w:r>
      <w:r w:rsidR="0079234F" w:rsidRPr="0C89C1B6">
        <w:rPr>
          <w:rFonts w:ascii="Calibri" w:eastAsia="Calibri" w:hAnsi="Calibri" w:cs="Times New Roman"/>
        </w:rPr>
        <w:t xml:space="preserve">the </w:t>
      </w:r>
      <w:r w:rsidRPr="0C89C1B6">
        <w:rPr>
          <w:rFonts w:ascii="Calibri" w:eastAsia="Calibri" w:hAnsi="Calibri" w:cs="Times New Roman"/>
        </w:rPr>
        <w:t>IPEC have access to all the same remedies as available in the UK</w:t>
      </w:r>
      <w:r w:rsidR="000158EF" w:rsidRPr="0C89C1B6">
        <w:rPr>
          <w:rFonts w:ascii="Calibri" w:eastAsia="Calibri" w:hAnsi="Calibri" w:cs="Times New Roman"/>
        </w:rPr>
        <w:t> </w:t>
      </w:r>
      <w:r w:rsidRPr="0C89C1B6">
        <w:rPr>
          <w:rFonts w:ascii="Calibri" w:eastAsia="Calibri" w:hAnsi="Calibri" w:cs="Times New Roman"/>
        </w:rPr>
        <w:t>High</w:t>
      </w:r>
      <w:r w:rsidR="000158EF" w:rsidRPr="0C89C1B6">
        <w:rPr>
          <w:rFonts w:ascii="Calibri" w:eastAsia="Calibri" w:hAnsi="Calibri" w:cs="Times New Roman"/>
        </w:rPr>
        <w:t> </w:t>
      </w:r>
      <w:r w:rsidRPr="0C89C1B6">
        <w:rPr>
          <w:rFonts w:ascii="Calibri" w:eastAsia="Calibri" w:hAnsi="Calibri" w:cs="Times New Roman"/>
        </w:rPr>
        <w:t>Court, including:</w:t>
      </w:r>
    </w:p>
    <w:p w14:paraId="564C3384" w14:textId="77777777" w:rsidR="002A534C" w:rsidRPr="00466012" w:rsidRDefault="002A534C" w:rsidP="004E3C05">
      <w:pPr>
        <w:pStyle w:val="ListParagraph"/>
        <w:numPr>
          <w:ilvl w:val="0"/>
          <w:numId w:val="20"/>
        </w:numPr>
        <w:rPr>
          <w:szCs w:val="24"/>
        </w:rPr>
      </w:pPr>
      <w:r w:rsidRPr="00466012">
        <w:rPr>
          <w:szCs w:val="24"/>
        </w:rPr>
        <w:t>preliminary and final injunctions</w:t>
      </w:r>
    </w:p>
    <w:p w14:paraId="44612E43" w14:textId="77777777" w:rsidR="002A534C" w:rsidRPr="00466012" w:rsidRDefault="002A534C" w:rsidP="004E3C05">
      <w:pPr>
        <w:pStyle w:val="ListParagraph"/>
        <w:numPr>
          <w:ilvl w:val="0"/>
          <w:numId w:val="20"/>
        </w:numPr>
        <w:rPr>
          <w:szCs w:val="24"/>
        </w:rPr>
      </w:pPr>
      <w:r w:rsidRPr="00466012">
        <w:rPr>
          <w:szCs w:val="24"/>
        </w:rPr>
        <w:t>damages</w:t>
      </w:r>
    </w:p>
    <w:p w14:paraId="5F389BFA" w14:textId="467E7524" w:rsidR="002A534C" w:rsidRPr="00466012" w:rsidRDefault="002A534C" w:rsidP="004E3C05">
      <w:pPr>
        <w:pStyle w:val="ListParagraph"/>
        <w:numPr>
          <w:ilvl w:val="0"/>
          <w:numId w:val="20"/>
        </w:numPr>
        <w:rPr>
          <w:szCs w:val="24"/>
        </w:rPr>
      </w:pPr>
      <w:r w:rsidRPr="00466012">
        <w:rPr>
          <w:szCs w:val="24"/>
        </w:rPr>
        <w:t>account of profits</w:t>
      </w:r>
    </w:p>
    <w:p w14:paraId="19C4A548" w14:textId="03A7A53C" w:rsidR="002A534C" w:rsidRPr="00466012" w:rsidRDefault="002A534C" w:rsidP="004E3C05">
      <w:pPr>
        <w:pStyle w:val="ListParagraph"/>
        <w:numPr>
          <w:ilvl w:val="0"/>
          <w:numId w:val="20"/>
        </w:numPr>
        <w:rPr>
          <w:rFonts w:eastAsiaTheme="minorEastAsia"/>
        </w:rPr>
      </w:pPr>
      <w:r>
        <w:t>a range of ancillary orders.</w:t>
      </w:r>
      <w:r w:rsidRPr="0C89C1B6">
        <w:rPr>
          <w:rStyle w:val="FootnoteReference"/>
          <w:rFonts w:ascii="Calibri" w:eastAsia="Calibri" w:hAnsi="Calibri" w:cs="Times New Roman"/>
        </w:rPr>
        <w:footnoteReference w:id="127"/>
      </w:r>
    </w:p>
    <w:p w14:paraId="28057E5E" w14:textId="2E352EBD" w:rsidR="002A534C" w:rsidRPr="00585B6B" w:rsidRDefault="002A534C" w:rsidP="00D45A2D">
      <w:pPr>
        <w:pStyle w:val="Heading3"/>
        <w:rPr>
          <w:color w:val="005677"/>
        </w:rPr>
      </w:pPr>
      <w:r w:rsidRPr="00585B6B">
        <w:t xml:space="preserve">Representation before </w:t>
      </w:r>
      <w:r w:rsidR="00F37CED">
        <w:t xml:space="preserve">the </w:t>
      </w:r>
      <w:r w:rsidRPr="00585B6B">
        <w:t>IPEC</w:t>
      </w:r>
    </w:p>
    <w:p w14:paraId="75CDB35D" w14:textId="77777777" w:rsidR="002A534C" w:rsidRPr="00466012" w:rsidRDefault="002A534C" w:rsidP="002A534C">
      <w:pPr>
        <w:rPr>
          <w:rFonts w:ascii="Calibri" w:eastAsia="Calibri" w:hAnsi="Calibri" w:cs="Times New Roman"/>
          <w:szCs w:val="24"/>
        </w:rPr>
      </w:pPr>
      <w:r w:rsidRPr="00466012">
        <w:rPr>
          <w:rFonts w:ascii="Calibri" w:eastAsia="Calibri" w:hAnsi="Calibri" w:cs="Times New Roman"/>
          <w:szCs w:val="24"/>
        </w:rPr>
        <w:t xml:space="preserve">Parties may represent themselves, though they are usually encouraged to engage a professional representative. Parties are usually represented by a barrister or a solicitor. </w:t>
      </w:r>
    </w:p>
    <w:p w14:paraId="6F66E11B" w14:textId="77777777" w:rsidR="002A534C" w:rsidRPr="00D21754" w:rsidRDefault="002A534C" w:rsidP="002A534C">
      <w:pPr>
        <w:rPr>
          <w:rFonts w:ascii="Calibri" w:eastAsia="Calibri" w:hAnsi="Calibri" w:cs="Times New Roman"/>
          <w:spacing w:val="-6"/>
          <w:szCs w:val="24"/>
        </w:rPr>
      </w:pPr>
      <w:r w:rsidRPr="4D879BC5">
        <w:rPr>
          <w:rFonts w:ascii="Calibri" w:eastAsia="Calibri" w:hAnsi="Calibri" w:cs="Times New Roman"/>
          <w:spacing w:val="-6"/>
        </w:rPr>
        <w:t>Notably, parties may also be represented by patent and trade mark attorneys, unlike the cases in Australia where patent and trade mark attorneys have no automatic right to appear in court.</w:t>
      </w:r>
      <w:r w:rsidRPr="4D879BC5">
        <w:rPr>
          <w:rStyle w:val="FootnoteReference"/>
          <w:rFonts w:ascii="Calibri" w:eastAsia="Calibri" w:hAnsi="Calibri" w:cs="Times New Roman"/>
          <w:spacing w:val="-6"/>
        </w:rPr>
        <w:footnoteReference w:id="128"/>
      </w:r>
      <w:r w:rsidRPr="4D879BC5">
        <w:rPr>
          <w:rFonts w:ascii="Calibri" w:eastAsia="Calibri" w:hAnsi="Calibri" w:cs="Times New Roman"/>
          <w:spacing w:val="-6"/>
        </w:rPr>
        <w:t xml:space="preserve"> </w:t>
      </w:r>
    </w:p>
    <w:p w14:paraId="58D6BF6B" w14:textId="77777777" w:rsidR="002A534C" w:rsidRPr="00585B6B" w:rsidRDefault="002A534C" w:rsidP="00D45A2D">
      <w:pPr>
        <w:pStyle w:val="Heading3"/>
        <w:rPr>
          <w:color w:val="005677"/>
        </w:rPr>
      </w:pPr>
      <w:r w:rsidRPr="00585B6B">
        <w:t>Evaluation of IPEC</w:t>
      </w:r>
    </w:p>
    <w:p w14:paraId="417A5A64" w14:textId="4074A9FD" w:rsidR="002A534C" w:rsidRPr="00466012" w:rsidRDefault="002A534C" w:rsidP="002A534C">
      <w:pPr>
        <w:rPr>
          <w:rStyle w:val="FootnoteReference"/>
          <w:rFonts w:ascii="Calibri" w:eastAsia="Calibri" w:hAnsi="Calibri" w:cs="Times New Roman"/>
        </w:rPr>
      </w:pPr>
      <w:r w:rsidRPr="0C89C1B6">
        <w:rPr>
          <w:rFonts w:ascii="Calibri" w:eastAsia="Calibri" w:hAnsi="Calibri" w:cs="Times New Roman"/>
        </w:rPr>
        <w:t>An evaluation of the UK IPEC was conducted in 2015.</w:t>
      </w:r>
      <w:r w:rsidRPr="0C89C1B6">
        <w:rPr>
          <w:rStyle w:val="FootnoteReference"/>
          <w:rFonts w:ascii="Calibri" w:eastAsia="Calibri" w:hAnsi="Calibri" w:cs="Times New Roman"/>
        </w:rPr>
        <w:footnoteReference w:id="129"/>
      </w:r>
      <w:r w:rsidRPr="0C89C1B6">
        <w:rPr>
          <w:rFonts w:ascii="Calibri" w:eastAsia="Calibri" w:hAnsi="Calibri" w:cs="Times New Roman"/>
        </w:rPr>
        <w:t xml:space="preserve"> The evaluation included both qualitative and quantitative findings.</w:t>
      </w:r>
      <w:r w:rsidRPr="0C89C1B6">
        <w:rPr>
          <w:rStyle w:val="FootnoteReference"/>
          <w:rFonts w:ascii="Calibri" w:eastAsia="Calibri" w:hAnsi="Calibri" w:cs="Times New Roman"/>
        </w:rPr>
        <w:footnoteReference w:id="130"/>
      </w:r>
      <w:r w:rsidRPr="0C89C1B6">
        <w:rPr>
          <w:rFonts w:ascii="Calibri" w:eastAsia="Calibri" w:hAnsi="Calibri" w:cs="Times New Roman"/>
        </w:rPr>
        <w:t xml:space="preserve"> The evaluation summarised the main insights from their qualitative findings:</w:t>
      </w:r>
    </w:p>
    <w:p w14:paraId="0DEA8519" w14:textId="7C60CEAD" w:rsidR="002A534C" w:rsidRPr="00466012" w:rsidRDefault="00BB6F9E" w:rsidP="004E3C05">
      <w:pPr>
        <w:pStyle w:val="ListParagraph"/>
        <w:numPr>
          <w:ilvl w:val="0"/>
          <w:numId w:val="21"/>
        </w:numPr>
        <w:rPr>
          <w:szCs w:val="24"/>
        </w:rPr>
      </w:pPr>
      <w:r w:rsidRPr="00466012">
        <w:rPr>
          <w:szCs w:val="24"/>
        </w:rPr>
        <w:t>‘</w:t>
      </w:r>
      <w:r w:rsidR="002A534C" w:rsidRPr="00466012">
        <w:rPr>
          <w:szCs w:val="24"/>
        </w:rPr>
        <w:t>Legal practitioners are unanimous in their assessment that the ability of SMEs/individuals to gain access to justice has been greatly improved by the reforms</w:t>
      </w:r>
      <w:r w:rsidR="001224CB" w:rsidRPr="00466012">
        <w:rPr>
          <w:szCs w:val="24"/>
        </w:rPr>
        <w:t>.</w:t>
      </w:r>
      <w:r w:rsidR="002A534C" w:rsidRPr="00466012">
        <w:rPr>
          <w:szCs w:val="24"/>
        </w:rPr>
        <w:t xml:space="preserve"> </w:t>
      </w:r>
    </w:p>
    <w:p w14:paraId="7900D098" w14:textId="28E5B291" w:rsidR="002A534C" w:rsidRPr="00466012" w:rsidRDefault="002A534C" w:rsidP="004E3C05">
      <w:pPr>
        <w:pStyle w:val="ListParagraph"/>
        <w:numPr>
          <w:ilvl w:val="0"/>
          <w:numId w:val="21"/>
        </w:numPr>
        <w:rPr>
          <w:szCs w:val="24"/>
        </w:rPr>
      </w:pPr>
      <w:r w:rsidRPr="00466012">
        <w:rPr>
          <w:szCs w:val="24"/>
        </w:rPr>
        <w:t>The costs cap (recoverable scale up to £50,000) and Active Case Management (ACM) by judges are clearly identified as the most important reforms</w:t>
      </w:r>
      <w:r w:rsidR="001224CB" w:rsidRPr="00466012">
        <w:rPr>
          <w:szCs w:val="24"/>
        </w:rPr>
        <w:t>.</w:t>
      </w:r>
      <w:r w:rsidRPr="00466012">
        <w:rPr>
          <w:szCs w:val="24"/>
        </w:rPr>
        <w:t xml:space="preserve"> </w:t>
      </w:r>
    </w:p>
    <w:p w14:paraId="2F4F401F" w14:textId="0F0037ED" w:rsidR="002A534C" w:rsidRPr="00466012" w:rsidRDefault="002A534C" w:rsidP="004E3C05">
      <w:pPr>
        <w:pStyle w:val="ListParagraph"/>
        <w:numPr>
          <w:ilvl w:val="0"/>
          <w:numId w:val="21"/>
        </w:numPr>
        <w:rPr>
          <w:szCs w:val="24"/>
        </w:rPr>
      </w:pPr>
      <w:r w:rsidRPr="00466012">
        <w:rPr>
          <w:szCs w:val="24"/>
        </w:rPr>
        <w:t>Regarding the costs cap, the benefit is that litigants know their potential exposure before initiating a claim; in practice, a costs award of less than £40,000 is commonly awarded to the winning party</w:t>
      </w:r>
      <w:r w:rsidR="001224CB" w:rsidRPr="00466012">
        <w:rPr>
          <w:szCs w:val="24"/>
        </w:rPr>
        <w:t>.</w:t>
      </w:r>
      <w:r w:rsidRPr="00466012">
        <w:rPr>
          <w:szCs w:val="24"/>
        </w:rPr>
        <w:t xml:space="preserve"> </w:t>
      </w:r>
    </w:p>
    <w:p w14:paraId="0E5BA421" w14:textId="1B74B023" w:rsidR="002A534C" w:rsidRPr="00466012" w:rsidRDefault="002A534C" w:rsidP="004E3C05">
      <w:pPr>
        <w:pStyle w:val="ListParagraph"/>
        <w:numPr>
          <w:ilvl w:val="0"/>
          <w:numId w:val="21"/>
        </w:numPr>
        <w:rPr>
          <w:szCs w:val="24"/>
        </w:rPr>
      </w:pPr>
      <w:r w:rsidRPr="00466012">
        <w:rPr>
          <w:szCs w:val="24"/>
        </w:rPr>
        <w:t>Meanwhile, ACM clarifies and limits claims</w:t>
      </w:r>
      <w:r w:rsidR="003C1C4C" w:rsidRPr="00466012">
        <w:rPr>
          <w:szCs w:val="24"/>
        </w:rPr>
        <w:t xml:space="preserve">, </w:t>
      </w:r>
      <w:r w:rsidRPr="00466012">
        <w:rPr>
          <w:szCs w:val="24"/>
        </w:rPr>
        <w:t>greatly speeding up the process of litigation</w:t>
      </w:r>
      <w:r w:rsidR="001224CB" w:rsidRPr="00466012">
        <w:rPr>
          <w:szCs w:val="24"/>
        </w:rPr>
        <w:t>.</w:t>
      </w:r>
      <w:r w:rsidRPr="00466012">
        <w:rPr>
          <w:szCs w:val="24"/>
        </w:rPr>
        <w:t xml:space="preserve"> </w:t>
      </w:r>
    </w:p>
    <w:p w14:paraId="6CB448AC" w14:textId="06F57492" w:rsidR="002A534C" w:rsidRPr="00466012" w:rsidRDefault="002A534C" w:rsidP="004E3C05">
      <w:pPr>
        <w:pStyle w:val="ListParagraph"/>
        <w:numPr>
          <w:ilvl w:val="0"/>
          <w:numId w:val="21"/>
        </w:numPr>
        <w:rPr>
          <w:szCs w:val="24"/>
        </w:rPr>
      </w:pPr>
      <w:r w:rsidRPr="00466012">
        <w:rPr>
          <w:szCs w:val="24"/>
        </w:rPr>
        <w:t>The Small Claims Track is seen as a useful option</w:t>
      </w:r>
      <w:r w:rsidR="003C1C4C" w:rsidRPr="00466012">
        <w:rPr>
          <w:szCs w:val="24"/>
        </w:rPr>
        <w:t>,</w:t>
      </w:r>
      <w:r w:rsidR="006F7EDE" w:rsidRPr="00466012">
        <w:rPr>
          <w:szCs w:val="24"/>
        </w:rPr>
        <w:t xml:space="preserve"> </w:t>
      </w:r>
      <w:r w:rsidRPr="00466012">
        <w:rPr>
          <w:szCs w:val="24"/>
        </w:rPr>
        <w:t>particularly for individuals and small enterprises that previously may not have attempted to litigate</w:t>
      </w:r>
      <w:r w:rsidR="001224CB" w:rsidRPr="00466012">
        <w:rPr>
          <w:szCs w:val="24"/>
        </w:rPr>
        <w:t>.</w:t>
      </w:r>
      <w:r w:rsidRPr="00466012">
        <w:rPr>
          <w:szCs w:val="24"/>
        </w:rPr>
        <w:t xml:space="preserve"> </w:t>
      </w:r>
    </w:p>
    <w:p w14:paraId="5B54E1A6" w14:textId="0D0FC572" w:rsidR="002A534C" w:rsidRPr="00466012" w:rsidRDefault="002A534C" w:rsidP="0041485D">
      <w:pPr>
        <w:pStyle w:val="ListParagraph"/>
        <w:numPr>
          <w:ilvl w:val="0"/>
          <w:numId w:val="21"/>
        </w:numPr>
        <w:rPr>
          <w:szCs w:val="24"/>
        </w:rPr>
      </w:pPr>
      <w:r w:rsidRPr="00466012">
        <w:rPr>
          <w:szCs w:val="24"/>
        </w:rPr>
        <w:lastRenderedPageBreak/>
        <w:t>The damages cap (£500,000) is seen as relatively unimportant (in most cases the interim and/or final injunction is seen as the main goal for litigants)</w:t>
      </w:r>
      <w:r w:rsidR="001224CB" w:rsidRPr="00466012">
        <w:rPr>
          <w:szCs w:val="24"/>
        </w:rPr>
        <w:t>.</w:t>
      </w:r>
      <w:r w:rsidRPr="00466012">
        <w:rPr>
          <w:szCs w:val="24"/>
        </w:rPr>
        <w:t xml:space="preserve"> </w:t>
      </w:r>
    </w:p>
    <w:p w14:paraId="62617E2F" w14:textId="2F7C373F" w:rsidR="002A534C" w:rsidRPr="00466012" w:rsidRDefault="002A534C" w:rsidP="00D21754">
      <w:pPr>
        <w:pStyle w:val="ListParagraph"/>
        <w:numPr>
          <w:ilvl w:val="0"/>
          <w:numId w:val="21"/>
        </w:numPr>
        <w:spacing w:after="360"/>
        <w:rPr>
          <w:szCs w:val="24"/>
        </w:rPr>
      </w:pPr>
      <w:r w:rsidRPr="00466012">
        <w:rPr>
          <w:szCs w:val="24"/>
        </w:rPr>
        <w:t xml:space="preserve">The reforms have opened up the IPEC Multi Track to a wider range of representatives </w:t>
      </w:r>
      <w:r w:rsidR="00BC3F9C">
        <w:rPr>
          <w:szCs w:val="24"/>
        </w:rPr>
        <w:t>–</w:t>
      </w:r>
      <w:r w:rsidR="00794096" w:rsidRPr="00466012">
        <w:rPr>
          <w:szCs w:val="24"/>
        </w:rPr>
        <w:t xml:space="preserve"> </w:t>
      </w:r>
      <w:r w:rsidRPr="00466012">
        <w:rPr>
          <w:szCs w:val="24"/>
        </w:rPr>
        <w:t>there has been greater participation by patent attorneys and trade mark attorneys, in addition to the continuing presence of solicitors and barristers.</w:t>
      </w:r>
      <w:r w:rsidR="00BB6F9E" w:rsidRPr="00466012">
        <w:rPr>
          <w:szCs w:val="24"/>
        </w:rPr>
        <w:t>’</w:t>
      </w:r>
    </w:p>
    <w:p w14:paraId="5132CBF5" w14:textId="6C253E3E" w:rsidR="002A534C" w:rsidRPr="00D21754" w:rsidRDefault="002A534C" w:rsidP="002A534C">
      <w:pPr>
        <w:rPr>
          <w:rFonts w:ascii="Calibri" w:eastAsia="Calibri" w:hAnsi="Calibri" w:cs="Times New Roman"/>
          <w:spacing w:val="-2"/>
        </w:rPr>
      </w:pPr>
      <w:r w:rsidRPr="0C89C1B6">
        <w:rPr>
          <w:rFonts w:ascii="Calibri" w:eastAsia="Calibri" w:hAnsi="Calibri" w:cs="Times New Roman"/>
          <w:spacing w:val="-2"/>
        </w:rPr>
        <w:t>The quantitative analysis in the evaluation found that there was a substantial increase in case counts for all IP rights following the introduction of the costs cap and ACM. Importantly, ‘the number of cases brought before the IPEC by SME claimants has increased significantly following the reforms.</w:t>
      </w:r>
      <w:r w:rsidRPr="0C89C1B6">
        <w:rPr>
          <w:rStyle w:val="FootnoteReference"/>
          <w:rFonts w:ascii="Calibri" w:eastAsia="Calibri" w:hAnsi="Calibri" w:cs="Times New Roman"/>
          <w:spacing w:val="-2"/>
        </w:rPr>
        <w:footnoteReference w:id="131"/>
      </w:r>
      <w:r w:rsidRPr="0C89C1B6">
        <w:rPr>
          <w:rFonts w:ascii="Calibri" w:eastAsia="Calibri" w:hAnsi="Calibri" w:cs="Times New Roman"/>
          <w:spacing w:val="-2"/>
        </w:rPr>
        <w:t xml:space="preserve"> The evaluation states that ‘the reforms appear to have fundamentally altered the IP dispute landscape, and in doing so they have increased the likelihood that IP holders will attempt to uphold their rights against potential infringers.</w:t>
      </w:r>
      <w:r w:rsidRPr="0C89C1B6">
        <w:rPr>
          <w:rStyle w:val="FootnoteReference"/>
          <w:rFonts w:ascii="Calibri" w:eastAsia="Calibri" w:hAnsi="Calibri" w:cs="Times New Roman"/>
          <w:spacing w:val="-2"/>
        </w:rPr>
        <w:footnoteReference w:id="132"/>
      </w:r>
    </w:p>
    <w:p w14:paraId="24C74BA6" w14:textId="77777777" w:rsidR="002A534C" w:rsidRPr="00F939E9" w:rsidRDefault="002A534C" w:rsidP="00D45A2D">
      <w:pPr>
        <w:pStyle w:val="Heading3"/>
        <w:rPr>
          <w:iCs/>
          <w:color w:val="005677"/>
        </w:rPr>
      </w:pPr>
      <w:r w:rsidRPr="4EF12081">
        <w:t xml:space="preserve">Statistics </w:t>
      </w:r>
      <w:r w:rsidRPr="00585B6B">
        <w:rPr>
          <w:szCs w:val="32"/>
        </w:rPr>
        <w:t>on</w:t>
      </w:r>
      <w:r w:rsidRPr="4EF12081">
        <w:t xml:space="preserve"> IPEC usage</w:t>
      </w:r>
    </w:p>
    <w:p w14:paraId="0CADEA63" w14:textId="3116558C" w:rsidR="002A534C" w:rsidRPr="00466012" w:rsidRDefault="00715805" w:rsidP="002A534C">
      <w:pPr>
        <w:rPr>
          <w:rFonts w:ascii="Calibri" w:eastAsia="Calibri" w:hAnsi="Calibri" w:cs="Times New Roman"/>
          <w:szCs w:val="24"/>
        </w:rPr>
      </w:pPr>
      <w:r w:rsidRPr="4D879BC5">
        <w:rPr>
          <w:rFonts w:ascii="Calibri" w:eastAsia="Calibri" w:hAnsi="Calibri" w:cs="Times New Roman"/>
        </w:rPr>
        <w:t>The most significant reforms to the PCC (</w:t>
      </w:r>
      <w:r w:rsidR="00DB6540" w:rsidRPr="4D879BC5">
        <w:rPr>
          <w:rFonts w:ascii="Calibri" w:eastAsia="Calibri" w:hAnsi="Calibri" w:cs="Times New Roman"/>
        </w:rPr>
        <w:t xml:space="preserve">the </w:t>
      </w:r>
      <w:r w:rsidRPr="4D879BC5">
        <w:rPr>
          <w:rFonts w:ascii="Calibri" w:eastAsia="Calibri" w:hAnsi="Calibri" w:cs="Times New Roman"/>
        </w:rPr>
        <w:t xml:space="preserve">predecessor to the IPEC) </w:t>
      </w:r>
      <w:r w:rsidR="004D4FCD" w:rsidRPr="4D879BC5">
        <w:rPr>
          <w:rFonts w:ascii="Calibri" w:eastAsia="Calibri" w:hAnsi="Calibri" w:cs="Times New Roman"/>
        </w:rPr>
        <w:t xml:space="preserve">occurred in late 2010. </w:t>
      </w:r>
      <w:r w:rsidR="002A534C" w:rsidRPr="4D879BC5">
        <w:rPr>
          <w:rFonts w:ascii="Calibri" w:eastAsia="Calibri" w:hAnsi="Calibri" w:cs="Times New Roman"/>
        </w:rPr>
        <w:t xml:space="preserve">Filing of total IP cases in the </w:t>
      </w:r>
      <w:r w:rsidRPr="4D879BC5">
        <w:rPr>
          <w:rFonts w:ascii="Calibri" w:eastAsia="Calibri" w:hAnsi="Calibri" w:cs="Times New Roman"/>
        </w:rPr>
        <w:t>PCC</w:t>
      </w:r>
      <w:r w:rsidR="002A534C" w:rsidRPr="4D879BC5">
        <w:rPr>
          <w:rFonts w:ascii="Calibri" w:eastAsia="Calibri" w:hAnsi="Calibri" w:cs="Times New Roman"/>
        </w:rPr>
        <w:t xml:space="preserve"> and grew from 31 cases in 2007 to 272 cases in 2013.</w:t>
      </w:r>
      <w:r w:rsidR="00BB6F9E" w:rsidRPr="4D879BC5">
        <w:rPr>
          <w:rFonts w:ascii="Calibri" w:eastAsia="Calibri" w:hAnsi="Calibri" w:cs="Times New Roman"/>
        </w:rPr>
        <w:t xml:space="preserve"> </w:t>
      </w:r>
      <w:r w:rsidR="002A534C" w:rsidRPr="4D879BC5">
        <w:rPr>
          <w:rFonts w:ascii="Calibri" w:eastAsia="Calibri" w:hAnsi="Calibri" w:cs="Times New Roman"/>
        </w:rPr>
        <w:t>Patent cases grew from 6 to 17 cases in the same period.</w:t>
      </w:r>
      <w:r w:rsidR="004D4FCD" w:rsidRPr="4D879BC5">
        <w:rPr>
          <w:rFonts w:ascii="Calibri" w:eastAsia="Calibri" w:hAnsi="Calibri" w:cs="Times New Roman"/>
        </w:rPr>
        <w:t xml:space="preserve"> The PCC averaged 6.5 patent cases per year between 2007 and 2010 (</w:t>
      </w:r>
      <w:r w:rsidR="00F65F94" w:rsidRPr="4D879BC5">
        <w:rPr>
          <w:rFonts w:ascii="Calibri" w:eastAsia="Calibri" w:hAnsi="Calibri" w:cs="Times New Roman"/>
        </w:rPr>
        <w:t xml:space="preserve">that is, </w:t>
      </w:r>
      <w:r w:rsidR="004D4FCD" w:rsidRPr="4D879BC5">
        <w:rPr>
          <w:rFonts w:ascii="Calibri" w:eastAsia="Calibri" w:hAnsi="Calibri" w:cs="Times New Roman"/>
        </w:rPr>
        <w:t>largely prior to the reforms) and averaged 23.3 patent cases per year between 2011 and 2013</w:t>
      </w:r>
      <w:r w:rsidR="002A534C" w:rsidRPr="4D879BC5">
        <w:rPr>
          <w:rFonts w:ascii="Calibri" w:eastAsia="Calibri" w:hAnsi="Calibri" w:cs="Times New Roman"/>
        </w:rPr>
        <w:t>.</w:t>
      </w:r>
      <w:r w:rsidR="002A534C" w:rsidRPr="4D879BC5">
        <w:rPr>
          <w:rStyle w:val="FootnoteReference"/>
          <w:rFonts w:ascii="Calibri" w:eastAsia="Calibri" w:hAnsi="Calibri" w:cs="Times New Roman"/>
        </w:rPr>
        <w:footnoteReference w:id="133"/>
      </w:r>
      <w:r w:rsidR="002A534C" w:rsidRPr="4D879BC5">
        <w:rPr>
          <w:rFonts w:ascii="Calibri" w:eastAsia="Calibri" w:hAnsi="Calibri" w:cs="Times New Roman"/>
        </w:rPr>
        <w:t xml:space="preserve"> </w:t>
      </w:r>
    </w:p>
    <w:p w14:paraId="07058B98" w14:textId="5262F403" w:rsidR="002A534C" w:rsidRPr="00585B6B" w:rsidRDefault="002A534C" w:rsidP="00585B6B">
      <w:pPr>
        <w:pStyle w:val="Heading2"/>
        <w:rPr>
          <w:color w:val="005677"/>
        </w:rPr>
      </w:pPr>
      <w:r w:rsidRPr="00585B6B">
        <w:t xml:space="preserve">German </w:t>
      </w:r>
      <w:r w:rsidR="009D6F9F">
        <w:t>c</w:t>
      </w:r>
      <w:r w:rsidRPr="00585B6B">
        <w:t>ourts</w:t>
      </w:r>
    </w:p>
    <w:p w14:paraId="7AC8FF76" w14:textId="77777777" w:rsidR="002A534C" w:rsidRPr="00D21754" w:rsidRDefault="002A534C" w:rsidP="002A534C">
      <w:pPr>
        <w:rPr>
          <w:rFonts w:ascii="Calibri" w:eastAsia="Calibri" w:hAnsi="Calibri" w:cs="Times New Roman"/>
          <w:spacing w:val="-6"/>
          <w:szCs w:val="24"/>
        </w:rPr>
      </w:pPr>
      <w:r w:rsidRPr="00D21754">
        <w:rPr>
          <w:rFonts w:ascii="Calibri" w:eastAsia="Calibri" w:hAnsi="Calibri" w:cs="Times New Roman"/>
          <w:spacing w:val="-6"/>
          <w:szCs w:val="24"/>
        </w:rPr>
        <w:t>The German court systems varies in some key respects from the courts in common law countries.</w:t>
      </w:r>
    </w:p>
    <w:p w14:paraId="0BFD4962" w14:textId="5E853F16" w:rsidR="002A534C" w:rsidRPr="00585B6B" w:rsidRDefault="002A534C" w:rsidP="00D45A2D">
      <w:pPr>
        <w:pStyle w:val="Heading3"/>
        <w:rPr>
          <w:color w:val="005677"/>
        </w:rPr>
      </w:pPr>
      <w:r w:rsidRPr="00585B6B">
        <w:t xml:space="preserve">Jurisdiction of German </w:t>
      </w:r>
      <w:r w:rsidR="00C346BB">
        <w:t>c</w:t>
      </w:r>
      <w:r w:rsidRPr="00585B6B">
        <w:t>ourts</w:t>
      </w:r>
    </w:p>
    <w:p w14:paraId="0EF4DD4A" w14:textId="6D795D97" w:rsidR="002A534C" w:rsidRPr="00466012" w:rsidRDefault="002A534C" w:rsidP="002A534C">
      <w:pPr>
        <w:rPr>
          <w:rFonts w:ascii="Calibri" w:eastAsia="Calibri" w:hAnsi="Calibri" w:cs="Times New Roman"/>
          <w:szCs w:val="24"/>
        </w:rPr>
      </w:pPr>
      <w:r w:rsidRPr="4D879BC5">
        <w:rPr>
          <w:rFonts w:ascii="Calibri" w:eastAsia="Calibri" w:hAnsi="Calibri" w:cs="Times New Roman"/>
        </w:rPr>
        <w:t>Germany has a bifurcated patent litigation system, which splits responsibility for hearing patent infringement and patent validity cases between separate courts. The</w:t>
      </w:r>
      <w:r w:rsidR="000158EF" w:rsidRPr="4D879BC5">
        <w:rPr>
          <w:rFonts w:ascii="Calibri" w:eastAsia="Calibri" w:hAnsi="Calibri" w:cs="Times New Roman"/>
        </w:rPr>
        <w:t> </w:t>
      </w:r>
      <w:r w:rsidRPr="4D879BC5">
        <w:rPr>
          <w:rFonts w:ascii="Calibri" w:eastAsia="Calibri" w:hAnsi="Calibri" w:cs="Times New Roman"/>
        </w:rPr>
        <w:t>Federal</w:t>
      </w:r>
      <w:r w:rsidR="000158EF" w:rsidRPr="4D879BC5">
        <w:rPr>
          <w:rFonts w:ascii="Calibri" w:eastAsia="Calibri" w:hAnsi="Calibri" w:cs="Times New Roman"/>
        </w:rPr>
        <w:t> </w:t>
      </w:r>
      <w:r w:rsidRPr="4D879BC5">
        <w:rPr>
          <w:rFonts w:ascii="Calibri" w:eastAsia="Calibri" w:hAnsi="Calibri" w:cs="Times New Roman"/>
        </w:rPr>
        <w:t>Patent</w:t>
      </w:r>
      <w:r w:rsidR="000158EF" w:rsidRPr="4D879BC5">
        <w:rPr>
          <w:rFonts w:ascii="Calibri" w:eastAsia="Calibri" w:hAnsi="Calibri" w:cs="Times New Roman"/>
        </w:rPr>
        <w:t> </w:t>
      </w:r>
      <w:r w:rsidRPr="4D879BC5">
        <w:rPr>
          <w:rFonts w:ascii="Calibri" w:eastAsia="Calibri" w:hAnsi="Calibri" w:cs="Times New Roman"/>
        </w:rPr>
        <w:t>Court has exclusive jurisdiction over patent validity trials.</w:t>
      </w:r>
      <w:r w:rsidRPr="4D879BC5">
        <w:rPr>
          <w:rStyle w:val="FootnoteReference"/>
          <w:rFonts w:ascii="Calibri" w:eastAsia="Calibri" w:hAnsi="Calibri" w:cs="Times New Roman"/>
        </w:rPr>
        <w:footnoteReference w:id="134"/>
      </w:r>
      <w:r w:rsidRPr="4D879BC5">
        <w:rPr>
          <w:rFonts w:ascii="Calibri" w:eastAsia="Calibri" w:hAnsi="Calibri" w:cs="Times New Roman"/>
        </w:rPr>
        <w:t xml:space="preserve"> Patent </w:t>
      </w:r>
      <w:r w:rsidRPr="4D879BC5">
        <w:rPr>
          <w:rFonts w:ascii="Calibri" w:eastAsia="Calibri" w:hAnsi="Calibri" w:cs="Times New Roman"/>
        </w:rPr>
        <w:lastRenderedPageBreak/>
        <w:t>infringement trials are heard in the German regional courts. The Dusseldorf regional court accounts for more than half of all patent litigation in Germany.</w:t>
      </w:r>
      <w:r w:rsidRPr="4D879BC5">
        <w:rPr>
          <w:rStyle w:val="FootnoteReference"/>
          <w:rFonts w:ascii="Calibri" w:eastAsia="Calibri" w:hAnsi="Calibri" w:cs="Times New Roman"/>
        </w:rPr>
        <w:footnoteReference w:id="135"/>
      </w:r>
      <w:r w:rsidRPr="4D879BC5">
        <w:rPr>
          <w:rFonts w:ascii="Calibri" w:eastAsia="Calibri" w:hAnsi="Calibri" w:cs="Times New Roman"/>
        </w:rPr>
        <w:t xml:space="preserve"> </w:t>
      </w:r>
    </w:p>
    <w:p w14:paraId="62DA2B8F" w14:textId="243CE634" w:rsidR="002A534C" w:rsidRPr="00466012" w:rsidRDefault="002A534C" w:rsidP="002A534C">
      <w:pPr>
        <w:rPr>
          <w:rFonts w:ascii="Calibri" w:eastAsia="Calibri" w:hAnsi="Calibri" w:cs="Times New Roman"/>
          <w:szCs w:val="24"/>
        </w:rPr>
      </w:pPr>
      <w:r w:rsidRPr="4D879BC5">
        <w:rPr>
          <w:rFonts w:ascii="Calibri" w:eastAsia="Calibri" w:hAnsi="Calibri" w:cs="Times New Roman"/>
        </w:rPr>
        <w:t>This bifurcated system complicates those patent disputes that involve both infringement and validity issues. Typically</w:t>
      </w:r>
      <w:r w:rsidR="0056788C" w:rsidRPr="4D879BC5">
        <w:rPr>
          <w:rFonts w:ascii="Calibri" w:eastAsia="Calibri" w:hAnsi="Calibri" w:cs="Times New Roman"/>
        </w:rPr>
        <w:t>,</w:t>
      </w:r>
      <w:r w:rsidRPr="4D879BC5">
        <w:rPr>
          <w:rFonts w:ascii="Calibri" w:eastAsia="Calibri" w:hAnsi="Calibri" w:cs="Times New Roman"/>
        </w:rPr>
        <w:t xml:space="preserve"> timelines to complete patent infringement cases are shorter than timelines to complete patent invalidity cases. Estimates of the time difference for infringement proceedings vary from 8 to 15 months.</w:t>
      </w:r>
      <w:r w:rsidRPr="4D879BC5">
        <w:rPr>
          <w:rStyle w:val="FootnoteReference"/>
          <w:rFonts w:ascii="Calibri" w:eastAsia="Calibri" w:hAnsi="Calibri" w:cs="Times New Roman"/>
        </w:rPr>
        <w:footnoteReference w:id="136"/>
      </w:r>
      <w:r w:rsidRPr="4D879BC5">
        <w:rPr>
          <w:rFonts w:ascii="Calibri" w:eastAsia="Calibri" w:hAnsi="Calibri" w:cs="Times New Roman"/>
        </w:rPr>
        <w:t xml:space="preserve"> By comparison estimates for invalidity proceedings vary from 12 to 24 months.</w:t>
      </w:r>
      <w:r w:rsidRPr="4D879BC5">
        <w:rPr>
          <w:rStyle w:val="FootnoteReference"/>
          <w:rFonts w:ascii="Calibri" w:eastAsia="Calibri" w:hAnsi="Calibri" w:cs="Times New Roman"/>
        </w:rPr>
        <w:footnoteReference w:id="137"/>
      </w:r>
    </w:p>
    <w:p w14:paraId="66C5F852" w14:textId="77777777" w:rsidR="002A534C" w:rsidRPr="00466012" w:rsidRDefault="002A534C" w:rsidP="002A534C">
      <w:pPr>
        <w:rPr>
          <w:rFonts w:ascii="Calibri" w:eastAsia="Calibri" w:hAnsi="Calibri" w:cs="Times New Roman"/>
          <w:szCs w:val="24"/>
        </w:rPr>
      </w:pPr>
      <w:r w:rsidRPr="4D879BC5">
        <w:rPr>
          <w:rFonts w:ascii="Calibri" w:eastAsia="Calibri" w:hAnsi="Calibri" w:cs="Times New Roman"/>
        </w:rPr>
        <w:t>A court hearing an infringement case that is the subject of a separate invalidity challenge in another court may stay the infringement proceedings until the invalidity proceedings are resolved. However, the percentage of cases that are stayed is substantially lower than the percentage where the validity challenge is successful. This often leads to an ‘injunction gap’, where a successful patent infringement case results in an injunction in respect of a patent that is later found to be invalid. Draft legislation has recently been proposed to mitigate the impacts of this situation.</w:t>
      </w:r>
      <w:r w:rsidRPr="4D879BC5">
        <w:rPr>
          <w:rStyle w:val="FootnoteReference"/>
          <w:rFonts w:ascii="Calibri" w:eastAsia="Calibri" w:hAnsi="Calibri" w:cs="Times New Roman"/>
        </w:rPr>
        <w:footnoteReference w:id="138"/>
      </w:r>
      <w:r w:rsidRPr="4D879BC5">
        <w:rPr>
          <w:rFonts w:ascii="Calibri" w:eastAsia="Calibri" w:hAnsi="Calibri" w:cs="Times New Roman"/>
        </w:rPr>
        <w:t xml:space="preserve"> </w:t>
      </w:r>
    </w:p>
    <w:p w14:paraId="53D446CB" w14:textId="07B0BD10" w:rsidR="002A534C" w:rsidRPr="00585B6B" w:rsidRDefault="002A534C" w:rsidP="00D45A2D">
      <w:pPr>
        <w:pStyle w:val="Heading3"/>
        <w:rPr>
          <w:color w:val="005677"/>
        </w:rPr>
      </w:pPr>
      <w:r w:rsidRPr="00585B6B">
        <w:t xml:space="preserve">Procedures in German </w:t>
      </w:r>
      <w:r w:rsidR="00195826">
        <w:t>c</w:t>
      </w:r>
      <w:r w:rsidRPr="00585B6B">
        <w:t>ourts</w:t>
      </w:r>
    </w:p>
    <w:p w14:paraId="11ACADE5" w14:textId="2251BC72" w:rsidR="002A534C" w:rsidRPr="00466012" w:rsidRDefault="002A534C" w:rsidP="002A534C">
      <w:pPr>
        <w:rPr>
          <w:rStyle w:val="FootnoteReference"/>
          <w:rFonts w:ascii="Calibri" w:eastAsia="Calibri" w:hAnsi="Calibri" w:cs="Times New Roman"/>
        </w:rPr>
      </w:pPr>
      <w:r w:rsidRPr="0C89C1B6">
        <w:rPr>
          <w:rFonts w:ascii="Calibri" w:eastAsia="Calibri" w:hAnsi="Calibri" w:cs="Times New Roman"/>
        </w:rPr>
        <w:t>Typical steps in a German patent infringement case comprise:</w:t>
      </w:r>
    </w:p>
    <w:p w14:paraId="2897DCFF" w14:textId="72387780" w:rsidR="002A534C" w:rsidRPr="00466012" w:rsidRDefault="00393380" w:rsidP="00B97FBC">
      <w:pPr>
        <w:numPr>
          <w:ilvl w:val="0"/>
          <w:numId w:val="22"/>
        </w:numPr>
        <w:ind w:left="714" w:hanging="357"/>
        <w:contextualSpacing/>
        <w:rPr>
          <w:rFonts w:ascii="Calibri" w:eastAsia="Calibri" w:hAnsi="Calibri" w:cs="Times New Roman"/>
          <w:szCs w:val="24"/>
        </w:rPr>
      </w:pPr>
      <w:r w:rsidRPr="00466012">
        <w:rPr>
          <w:rFonts w:ascii="Calibri" w:eastAsia="Calibri" w:hAnsi="Calibri" w:cs="Times New Roman"/>
          <w:szCs w:val="24"/>
        </w:rPr>
        <w:t>f</w:t>
      </w:r>
      <w:r w:rsidR="002A534C" w:rsidRPr="00466012">
        <w:rPr>
          <w:rFonts w:ascii="Calibri" w:eastAsia="Calibri" w:hAnsi="Calibri" w:cs="Times New Roman"/>
          <w:szCs w:val="24"/>
        </w:rPr>
        <w:t>iling a complaint with the court and paying fees</w:t>
      </w:r>
    </w:p>
    <w:p w14:paraId="6505DBF4" w14:textId="27F425D4" w:rsidR="002A534C" w:rsidRPr="00466012" w:rsidRDefault="00393380" w:rsidP="00B97FBC">
      <w:pPr>
        <w:numPr>
          <w:ilvl w:val="0"/>
          <w:numId w:val="22"/>
        </w:numPr>
        <w:ind w:left="714" w:hanging="357"/>
        <w:contextualSpacing/>
        <w:rPr>
          <w:rFonts w:ascii="Calibri" w:eastAsia="Calibri" w:hAnsi="Calibri" w:cs="Times New Roman"/>
          <w:szCs w:val="24"/>
        </w:rPr>
      </w:pPr>
      <w:r w:rsidRPr="00466012">
        <w:rPr>
          <w:rFonts w:ascii="Calibri" w:eastAsia="Calibri" w:hAnsi="Calibri" w:cs="Times New Roman"/>
          <w:szCs w:val="24"/>
        </w:rPr>
        <w:t>s</w:t>
      </w:r>
      <w:r w:rsidR="002A534C" w:rsidRPr="00466012">
        <w:rPr>
          <w:rFonts w:ascii="Calibri" w:eastAsia="Calibri" w:hAnsi="Calibri" w:cs="Times New Roman"/>
          <w:szCs w:val="24"/>
        </w:rPr>
        <w:t>erving the complaint on the defendant and setting a deadline for a reply</w:t>
      </w:r>
    </w:p>
    <w:p w14:paraId="2CD41E1F" w14:textId="2EE4CF7F" w:rsidR="002A534C" w:rsidRPr="00466012" w:rsidRDefault="00393380" w:rsidP="00B97FBC">
      <w:pPr>
        <w:numPr>
          <w:ilvl w:val="0"/>
          <w:numId w:val="22"/>
        </w:numPr>
        <w:ind w:left="714" w:hanging="357"/>
        <w:contextualSpacing/>
        <w:rPr>
          <w:rFonts w:ascii="Calibri" w:eastAsia="Calibri" w:hAnsi="Calibri" w:cs="Times New Roman"/>
          <w:szCs w:val="24"/>
        </w:rPr>
      </w:pPr>
      <w:r w:rsidRPr="00466012">
        <w:rPr>
          <w:rFonts w:ascii="Calibri" w:eastAsia="Calibri" w:hAnsi="Calibri" w:cs="Times New Roman"/>
          <w:szCs w:val="24"/>
        </w:rPr>
        <w:t>t</w:t>
      </w:r>
      <w:r w:rsidR="002A534C" w:rsidRPr="00466012">
        <w:rPr>
          <w:rFonts w:ascii="Calibri" w:eastAsia="Calibri" w:hAnsi="Calibri" w:cs="Times New Roman"/>
          <w:szCs w:val="24"/>
        </w:rPr>
        <w:t>he defendant submit</w:t>
      </w:r>
      <w:r w:rsidRPr="00466012">
        <w:rPr>
          <w:rFonts w:ascii="Calibri" w:eastAsia="Calibri" w:hAnsi="Calibri" w:cs="Times New Roman"/>
          <w:szCs w:val="24"/>
        </w:rPr>
        <w:t>ting</w:t>
      </w:r>
      <w:r w:rsidR="002A534C" w:rsidRPr="00466012">
        <w:rPr>
          <w:rFonts w:ascii="Calibri" w:eastAsia="Calibri" w:hAnsi="Calibri" w:cs="Times New Roman"/>
          <w:szCs w:val="24"/>
        </w:rPr>
        <w:t xml:space="preserve"> the defence pleading</w:t>
      </w:r>
    </w:p>
    <w:p w14:paraId="6094561D" w14:textId="441AC7FA" w:rsidR="002A534C" w:rsidRPr="00D21754" w:rsidRDefault="00393380" w:rsidP="00B97FBC">
      <w:pPr>
        <w:numPr>
          <w:ilvl w:val="0"/>
          <w:numId w:val="22"/>
        </w:numPr>
        <w:ind w:left="714" w:hanging="357"/>
        <w:contextualSpacing/>
        <w:rPr>
          <w:rFonts w:ascii="Calibri" w:eastAsia="Calibri" w:hAnsi="Calibri" w:cs="Times New Roman"/>
          <w:spacing w:val="-2"/>
          <w:szCs w:val="24"/>
        </w:rPr>
      </w:pPr>
      <w:r w:rsidRPr="00D21754">
        <w:rPr>
          <w:rFonts w:ascii="Calibri" w:eastAsia="Calibri" w:hAnsi="Calibri" w:cs="Times New Roman"/>
          <w:spacing w:val="-2"/>
          <w:szCs w:val="24"/>
        </w:rPr>
        <w:t>t</w:t>
      </w:r>
      <w:r w:rsidR="002A534C" w:rsidRPr="00D21754">
        <w:rPr>
          <w:rFonts w:ascii="Calibri" w:eastAsia="Calibri" w:hAnsi="Calibri" w:cs="Times New Roman"/>
          <w:spacing w:val="-2"/>
          <w:szCs w:val="24"/>
        </w:rPr>
        <w:t>he claimant submit</w:t>
      </w:r>
      <w:r w:rsidRPr="00D21754">
        <w:rPr>
          <w:rFonts w:ascii="Calibri" w:eastAsia="Calibri" w:hAnsi="Calibri" w:cs="Times New Roman"/>
          <w:spacing w:val="-2"/>
          <w:szCs w:val="24"/>
        </w:rPr>
        <w:t>ting</w:t>
      </w:r>
      <w:r w:rsidR="002A534C" w:rsidRPr="00D21754">
        <w:rPr>
          <w:rFonts w:ascii="Calibri" w:eastAsia="Calibri" w:hAnsi="Calibri" w:cs="Times New Roman"/>
          <w:spacing w:val="-2"/>
          <w:szCs w:val="24"/>
        </w:rPr>
        <w:t xml:space="preserve"> a written reply and the defendant submit</w:t>
      </w:r>
      <w:r w:rsidR="000E1128" w:rsidRPr="00D21754">
        <w:rPr>
          <w:rFonts w:ascii="Calibri" w:eastAsia="Calibri" w:hAnsi="Calibri" w:cs="Times New Roman"/>
          <w:spacing w:val="-2"/>
          <w:szCs w:val="24"/>
        </w:rPr>
        <w:t>ting</w:t>
      </w:r>
      <w:r w:rsidR="002A534C" w:rsidRPr="00D21754">
        <w:rPr>
          <w:rFonts w:ascii="Calibri" w:eastAsia="Calibri" w:hAnsi="Calibri" w:cs="Times New Roman"/>
          <w:spacing w:val="-2"/>
          <w:szCs w:val="24"/>
        </w:rPr>
        <w:t xml:space="preserve"> </w:t>
      </w:r>
      <w:r w:rsidR="000E1128" w:rsidRPr="00D21754">
        <w:rPr>
          <w:rFonts w:ascii="Calibri" w:eastAsia="Calibri" w:hAnsi="Calibri" w:cs="Times New Roman"/>
          <w:spacing w:val="-2"/>
          <w:szCs w:val="24"/>
        </w:rPr>
        <w:t xml:space="preserve">a </w:t>
      </w:r>
      <w:r w:rsidR="002A534C" w:rsidRPr="00D21754">
        <w:rPr>
          <w:rFonts w:ascii="Calibri" w:eastAsia="Calibri" w:hAnsi="Calibri" w:cs="Times New Roman"/>
          <w:spacing w:val="-2"/>
          <w:szCs w:val="24"/>
        </w:rPr>
        <w:t>final response</w:t>
      </w:r>
    </w:p>
    <w:p w14:paraId="35B881FC" w14:textId="2ABFF9C2" w:rsidR="002A534C" w:rsidRPr="00466012" w:rsidRDefault="000E1128" w:rsidP="00B97FBC">
      <w:pPr>
        <w:numPr>
          <w:ilvl w:val="0"/>
          <w:numId w:val="22"/>
        </w:numPr>
        <w:ind w:left="714" w:hanging="357"/>
        <w:contextualSpacing/>
        <w:rPr>
          <w:rFonts w:ascii="Calibri" w:eastAsia="Calibri" w:hAnsi="Calibri" w:cs="Times New Roman"/>
          <w:szCs w:val="24"/>
        </w:rPr>
      </w:pPr>
      <w:r w:rsidRPr="00466012">
        <w:rPr>
          <w:rFonts w:ascii="Calibri" w:eastAsia="Calibri" w:hAnsi="Calibri" w:cs="Times New Roman"/>
          <w:szCs w:val="24"/>
        </w:rPr>
        <w:t>o</w:t>
      </w:r>
      <w:r w:rsidR="002A534C" w:rsidRPr="00466012">
        <w:rPr>
          <w:rFonts w:ascii="Calibri" w:eastAsia="Calibri" w:hAnsi="Calibri" w:cs="Times New Roman"/>
          <w:szCs w:val="24"/>
        </w:rPr>
        <w:t>ral hearing (usually 9 and 12 months after complaint filed)</w:t>
      </w:r>
    </w:p>
    <w:p w14:paraId="025F6629" w14:textId="27AF5D82" w:rsidR="002A534C" w:rsidRPr="00466012" w:rsidRDefault="000E1128" w:rsidP="00D21754">
      <w:pPr>
        <w:numPr>
          <w:ilvl w:val="0"/>
          <w:numId w:val="22"/>
        </w:numPr>
        <w:spacing w:after="360"/>
        <w:ind w:left="714" w:hanging="357"/>
        <w:rPr>
          <w:rFonts w:eastAsiaTheme="minorEastAsia"/>
        </w:rPr>
      </w:pPr>
      <w:r w:rsidRPr="0C89C1B6">
        <w:rPr>
          <w:rFonts w:ascii="Calibri" w:eastAsia="Calibri" w:hAnsi="Calibri" w:cs="Times New Roman"/>
        </w:rPr>
        <w:t>j</w:t>
      </w:r>
      <w:r w:rsidR="002A534C" w:rsidRPr="0C89C1B6">
        <w:rPr>
          <w:rFonts w:ascii="Calibri" w:eastAsia="Calibri" w:hAnsi="Calibri" w:cs="Times New Roman"/>
        </w:rPr>
        <w:t>udgment of the court (usually 6 to 8 weeks after the hearing).</w:t>
      </w:r>
      <w:r w:rsidRPr="0C89C1B6">
        <w:rPr>
          <w:rStyle w:val="FootnoteReference"/>
          <w:rFonts w:ascii="Calibri" w:eastAsia="Calibri" w:hAnsi="Calibri" w:cs="Times New Roman"/>
        </w:rPr>
        <w:footnoteReference w:id="139"/>
      </w:r>
    </w:p>
    <w:p w14:paraId="20DEDC8F" w14:textId="77777777" w:rsidR="002A534C" w:rsidRPr="00D21754" w:rsidRDefault="002A534C" w:rsidP="002A534C">
      <w:pPr>
        <w:rPr>
          <w:rFonts w:ascii="Calibri" w:eastAsia="Calibri" w:hAnsi="Calibri" w:cs="Times New Roman"/>
          <w:spacing w:val="-4"/>
          <w:szCs w:val="24"/>
        </w:rPr>
      </w:pPr>
      <w:r w:rsidRPr="4D879BC5">
        <w:rPr>
          <w:rFonts w:ascii="Calibri" w:eastAsia="Calibri" w:hAnsi="Calibri" w:cs="Times New Roman"/>
          <w:spacing w:val="-4"/>
        </w:rPr>
        <w:lastRenderedPageBreak/>
        <w:t>German regional courts hear patent infringement cases in panels of 3 judges experienced in patents.</w:t>
      </w:r>
      <w:r w:rsidRPr="4D879BC5">
        <w:rPr>
          <w:rStyle w:val="FootnoteReference"/>
          <w:rFonts w:ascii="Calibri" w:eastAsia="Calibri" w:hAnsi="Calibri" w:cs="Times New Roman"/>
          <w:spacing w:val="-4"/>
        </w:rPr>
        <w:footnoteReference w:id="140"/>
      </w:r>
      <w:r w:rsidRPr="4D879BC5">
        <w:rPr>
          <w:rFonts w:ascii="Calibri" w:eastAsia="Calibri" w:hAnsi="Calibri" w:cs="Times New Roman"/>
          <w:spacing w:val="-4"/>
        </w:rPr>
        <w:t xml:space="preserve"> The Federal Patents Court hears patent invalidity cases in panels of 5 judges, 3 of which will usually have scientific or technical qualifications relevant to the patent in question.</w:t>
      </w:r>
      <w:r w:rsidRPr="4D879BC5">
        <w:rPr>
          <w:rStyle w:val="FootnoteReference"/>
          <w:rFonts w:ascii="Calibri" w:eastAsia="Calibri" w:hAnsi="Calibri" w:cs="Times New Roman"/>
          <w:spacing w:val="-4"/>
        </w:rPr>
        <w:footnoteReference w:id="141"/>
      </w:r>
      <w:r w:rsidRPr="4D879BC5">
        <w:rPr>
          <w:rFonts w:ascii="Calibri" w:eastAsia="Calibri" w:hAnsi="Calibri" w:cs="Times New Roman"/>
          <w:spacing w:val="-4"/>
        </w:rPr>
        <w:t xml:space="preserve"> </w:t>
      </w:r>
    </w:p>
    <w:p w14:paraId="20C00D21" w14:textId="44B08947" w:rsidR="002A534C" w:rsidRPr="00A525A6" w:rsidRDefault="002A534C" w:rsidP="002A534C">
      <w:pPr>
        <w:rPr>
          <w:rFonts w:ascii="Calibri" w:eastAsia="Calibri" w:hAnsi="Calibri" w:cs="Times New Roman"/>
          <w:spacing w:val="-2"/>
          <w:szCs w:val="24"/>
        </w:rPr>
      </w:pPr>
      <w:r w:rsidRPr="4D879BC5">
        <w:rPr>
          <w:rFonts w:ascii="Calibri" w:eastAsia="Calibri" w:hAnsi="Calibri" w:cs="Times New Roman"/>
          <w:spacing w:val="-2"/>
        </w:rPr>
        <w:t xml:space="preserve">German court procedures place a greater emphasis on written submissions, compared to common law countries like Australia. German court hearings rarely </w:t>
      </w:r>
      <w:r w:rsidR="006F7EDE" w:rsidRPr="4D879BC5">
        <w:rPr>
          <w:rFonts w:ascii="Calibri" w:eastAsia="Calibri" w:hAnsi="Calibri" w:cs="Times New Roman"/>
          <w:spacing w:val="-2"/>
        </w:rPr>
        <w:t>last</w:t>
      </w:r>
      <w:r w:rsidRPr="4D879BC5">
        <w:rPr>
          <w:rFonts w:ascii="Calibri" w:eastAsia="Calibri" w:hAnsi="Calibri" w:cs="Times New Roman"/>
          <w:spacing w:val="-2"/>
        </w:rPr>
        <w:t xml:space="preserve"> longer than 3 hours.</w:t>
      </w:r>
      <w:r w:rsidRPr="4D879BC5">
        <w:rPr>
          <w:rStyle w:val="FootnoteReference"/>
          <w:rFonts w:ascii="Calibri" w:eastAsia="Calibri" w:hAnsi="Calibri" w:cs="Times New Roman"/>
          <w:spacing w:val="-2"/>
        </w:rPr>
        <w:footnoteReference w:id="142"/>
      </w:r>
      <w:r w:rsidRPr="4D879BC5">
        <w:rPr>
          <w:rFonts w:ascii="Calibri" w:eastAsia="Calibri" w:hAnsi="Calibri" w:cs="Times New Roman"/>
          <w:spacing w:val="-2"/>
        </w:rPr>
        <w:t xml:space="preserve"> </w:t>
      </w:r>
    </w:p>
    <w:p w14:paraId="02C477CB" w14:textId="77777777" w:rsidR="002A534C" w:rsidRPr="00466012" w:rsidRDefault="002A534C" w:rsidP="002A534C">
      <w:pPr>
        <w:rPr>
          <w:rFonts w:ascii="Calibri" w:eastAsia="Calibri" w:hAnsi="Calibri" w:cs="Times New Roman"/>
          <w:szCs w:val="24"/>
        </w:rPr>
      </w:pPr>
      <w:r w:rsidRPr="4D879BC5">
        <w:rPr>
          <w:rFonts w:ascii="Calibri" w:eastAsia="Calibri" w:hAnsi="Calibri" w:cs="Times New Roman"/>
        </w:rPr>
        <w:t>German courts typically appoint neutral experts, rather than rely on the expert evidence of the parties (though that may be considered). They also rarely order discovery of documents. Witness testimony is heavily supervised by the court, with the presiding judge questioning witnesses before questions are permitted from the parties’ lawyers.</w:t>
      </w:r>
      <w:r w:rsidRPr="4D879BC5">
        <w:rPr>
          <w:rStyle w:val="FootnoteReference"/>
          <w:rFonts w:ascii="Calibri" w:eastAsia="Calibri" w:hAnsi="Calibri" w:cs="Times New Roman"/>
        </w:rPr>
        <w:footnoteReference w:id="143"/>
      </w:r>
    </w:p>
    <w:p w14:paraId="46346131" w14:textId="438F41E2" w:rsidR="002A534C" w:rsidRPr="00585B6B" w:rsidRDefault="002A534C" w:rsidP="00D45A2D">
      <w:pPr>
        <w:pStyle w:val="Heading3"/>
        <w:rPr>
          <w:color w:val="005677"/>
        </w:rPr>
      </w:pPr>
      <w:r w:rsidRPr="00585B6B">
        <w:t xml:space="preserve">Fees and costs for German </w:t>
      </w:r>
      <w:r w:rsidR="00EB2DF4">
        <w:t>c</w:t>
      </w:r>
      <w:r w:rsidRPr="00585B6B">
        <w:t>ourts</w:t>
      </w:r>
    </w:p>
    <w:p w14:paraId="6281625A" w14:textId="77777777" w:rsidR="002A534C" w:rsidRPr="00466012" w:rsidRDefault="002A534C" w:rsidP="002A534C">
      <w:pPr>
        <w:rPr>
          <w:rFonts w:ascii="Calibri" w:eastAsia="Calibri" w:hAnsi="Calibri" w:cs="Times New Roman"/>
          <w:szCs w:val="24"/>
        </w:rPr>
      </w:pPr>
      <w:r w:rsidRPr="4D879BC5">
        <w:rPr>
          <w:rFonts w:ascii="Calibri" w:eastAsia="Calibri" w:hAnsi="Calibri" w:cs="Times New Roman"/>
        </w:rPr>
        <w:t>Court fees are calculated based on the value of the dispute. For a €1 million infringement case, the court fee would be €16,000. The winning party may be awarded ‘statutory’ costs for their lawyers. The prescribed amount for a trial is €12,000 (with higher prescribed amounts for appeals).</w:t>
      </w:r>
      <w:r w:rsidRPr="4D879BC5">
        <w:rPr>
          <w:rStyle w:val="FootnoteReference"/>
          <w:rFonts w:ascii="Calibri" w:eastAsia="Calibri" w:hAnsi="Calibri" w:cs="Times New Roman"/>
        </w:rPr>
        <w:footnoteReference w:id="144"/>
      </w:r>
      <w:r w:rsidRPr="4D879BC5">
        <w:rPr>
          <w:rFonts w:ascii="Calibri" w:eastAsia="Calibri" w:hAnsi="Calibri" w:cs="Times New Roman"/>
        </w:rPr>
        <w:t xml:space="preserve"> </w:t>
      </w:r>
    </w:p>
    <w:p w14:paraId="18A70777" w14:textId="77777777" w:rsidR="002A534C" w:rsidRPr="00466012" w:rsidRDefault="002A534C" w:rsidP="002A534C">
      <w:pPr>
        <w:rPr>
          <w:rFonts w:ascii="Calibri" w:eastAsia="Calibri" w:hAnsi="Calibri" w:cs="Times New Roman"/>
          <w:szCs w:val="24"/>
        </w:rPr>
      </w:pPr>
      <w:r w:rsidRPr="4D879BC5">
        <w:rPr>
          <w:rFonts w:ascii="Calibri" w:eastAsia="Calibri" w:hAnsi="Calibri" w:cs="Times New Roman"/>
        </w:rPr>
        <w:t>Note that a party’s actual costs are likely to be substantially higher than the prescribed amount. Estimates of actual legal fees vary between €70,000 and €500,000 for infringement proceedings, and between €90,000 and €600,000 for invalidity proceedings.</w:t>
      </w:r>
      <w:r w:rsidRPr="4D879BC5">
        <w:rPr>
          <w:rStyle w:val="FootnoteReference"/>
          <w:rFonts w:ascii="Calibri" w:eastAsia="Calibri" w:hAnsi="Calibri" w:cs="Times New Roman"/>
        </w:rPr>
        <w:footnoteReference w:id="145"/>
      </w:r>
    </w:p>
    <w:p w14:paraId="5AD621DE" w14:textId="4F10151C" w:rsidR="002A534C" w:rsidRPr="00585B6B" w:rsidRDefault="002A534C" w:rsidP="00D45A2D">
      <w:pPr>
        <w:pStyle w:val="Heading3"/>
        <w:rPr>
          <w:color w:val="005677"/>
        </w:rPr>
      </w:pPr>
      <w:r w:rsidRPr="00585B6B">
        <w:lastRenderedPageBreak/>
        <w:t xml:space="preserve">Remedies available in German </w:t>
      </w:r>
      <w:r w:rsidR="00EB2DF4">
        <w:t>c</w:t>
      </w:r>
      <w:r w:rsidRPr="00585B6B">
        <w:t>ourts</w:t>
      </w:r>
    </w:p>
    <w:p w14:paraId="63DE1FFB" w14:textId="45EDFCFF" w:rsidR="002A534C" w:rsidRPr="00A525A6" w:rsidRDefault="002A534C" w:rsidP="002A534C">
      <w:pPr>
        <w:rPr>
          <w:rFonts w:ascii="Calibri" w:eastAsia="Calibri" w:hAnsi="Calibri" w:cs="Times New Roman"/>
          <w:spacing w:val="-4"/>
          <w:szCs w:val="24"/>
        </w:rPr>
      </w:pPr>
      <w:r w:rsidRPr="4D879BC5">
        <w:rPr>
          <w:rFonts w:ascii="Calibri" w:eastAsia="Calibri" w:hAnsi="Calibri" w:cs="Times New Roman"/>
          <w:spacing w:val="-4"/>
        </w:rPr>
        <w:t>German regional courts can provide similar remedies to Australian courts</w:t>
      </w:r>
      <w:r w:rsidR="00945F13" w:rsidRPr="4D879BC5">
        <w:rPr>
          <w:rFonts w:ascii="Calibri" w:eastAsia="Calibri" w:hAnsi="Calibri" w:cs="Times New Roman"/>
          <w:spacing w:val="-4"/>
        </w:rPr>
        <w:t>,</w:t>
      </w:r>
      <w:r w:rsidRPr="4D879BC5">
        <w:rPr>
          <w:rFonts w:ascii="Calibri" w:eastAsia="Calibri" w:hAnsi="Calibri" w:cs="Times New Roman"/>
          <w:spacing w:val="-4"/>
        </w:rPr>
        <w:t xml:space="preserve"> including preliminary and final injunctions, damages, and account of profits. However, the threshold for injunctions may be higher in Germany, and exemplary or punitive damages are not available.</w:t>
      </w:r>
      <w:r w:rsidRPr="4D879BC5">
        <w:rPr>
          <w:rStyle w:val="FootnoteReference"/>
          <w:rFonts w:ascii="Calibri" w:eastAsia="Calibri" w:hAnsi="Calibri" w:cs="Times New Roman"/>
          <w:spacing w:val="-4"/>
        </w:rPr>
        <w:footnoteReference w:id="146"/>
      </w:r>
      <w:r w:rsidRPr="4D879BC5">
        <w:rPr>
          <w:rFonts w:ascii="Calibri" w:eastAsia="Calibri" w:hAnsi="Calibri" w:cs="Times New Roman"/>
          <w:spacing w:val="-4"/>
        </w:rPr>
        <w:t xml:space="preserve"> </w:t>
      </w:r>
    </w:p>
    <w:p w14:paraId="5B7DD452" w14:textId="3706BE18" w:rsidR="002A534C" w:rsidRPr="00585B6B" w:rsidRDefault="002A534C" w:rsidP="00D45A2D">
      <w:pPr>
        <w:pStyle w:val="Heading3"/>
        <w:rPr>
          <w:color w:val="005677"/>
        </w:rPr>
      </w:pPr>
      <w:r w:rsidRPr="00585B6B">
        <w:t xml:space="preserve">Representation before German </w:t>
      </w:r>
      <w:r w:rsidR="00EB2DF4">
        <w:t>c</w:t>
      </w:r>
      <w:r w:rsidRPr="00585B6B">
        <w:t>ourts</w:t>
      </w:r>
    </w:p>
    <w:p w14:paraId="05473C76" w14:textId="77777777" w:rsidR="002A534C" w:rsidRPr="00466012" w:rsidRDefault="002A534C" w:rsidP="002A534C">
      <w:pPr>
        <w:rPr>
          <w:rFonts w:ascii="Calibri" w:eastAsia="Calibri" w:hAnsi="Calibri" w:cs="Times New Roman"/>
          <w:szCs w:val="24"/>
        </w:rPr>
      </w:pPr>
      <w:r w:rsidRPr="4D879BC5">
        <w:rPr>
          <w:rFonts w:ascii="Calibri" w:eastAsia="Calibri" w:hAnsi="Calibri" w:cs="Times New Roman"/>
        </w:rPr>
        <w:t xml:space="preserve">Parties must be represented by a German qualified lawyer. Patent attorneys cannot represent a party in an infringement cases in the German regional courts. </w:t>
      </w:r>
      <w:r w:rsidRPr="4D879BC5">
        <w:rPr>
          <w:rStyle w:val="FootnoteReference"/>
          <w:rFonts w:ascii="Calibri" w:eastAsia="Calibri" w:hAnsi="Calibri" w:cs="Times New Roman"/>
        </w:rPr>
        <w:footnoteReference w:id="147"/>
      </w:r>
    </w:p>
    <w:p w14:paraId="18E73936" w14:textId="52C0EA4D" w:rsidR="002A534C" w:rsidRPr="00585B6B" w:rsidRDefault="002A534C" w:rsidP="00585B6B">
      <w:pPr>
        <w:pStyle w:val="Heading2"/>
        <w:rPr>
          <w:color w:val="005677"/>
        </w:rPr>
      </w:pPr>
      <w:r w:rsidRPr="00585B6B">
        <w:t xml:space="preserve">UK </w:t>
      </w:r>
      <w:r w:rsidR="00EB2DF4">
        <w:t>o</w:t>
      </w:r>
      <w:r w:rsidRPr="00585B6B">
        <w:t xml:space="preserve">pinion </w:t>
      </w:r>
      <w:r w:rsidR="00EB2DF4">
        <w:t>s</w:t>
      </w:r>
      <w:r w:rsidRPr="00585B6B">
        <w:t>ervice</w:t>
      </w:r>
    </w:p>
    <w:p w14:paraId="798A84E3" w14:textId="77777777" w:rsidR="002A534C" w:rsidRPr="00466012" w:rsidRDefault="002A534C" w:rsidP="002A534C">
      <w:pPr>
        <w:rPr>
          <w:rFonts w:ascii="Calibri" w:eastAsia="Calibri" w:hAnsi="Calibri" w:cs="Times New Roman"/>
          <w:szCs w:val="24"/>
        </w:rPr>
      </w:pPr>
      <w:r w:rsidRPr="4D879BC5">
        <w:rPr>
          <w:rFonts w:ascii="Calibri" w:eastAsia="Calibri" w:hAnsi="Calibri" w:cs="Times New Roman"/>
        </w:rPr>
        <w:t>The United Kingdom Intellectual Property Office (UKIPO) offers a non-binding patent infringement and validity opinion service (‘UK opinion service’).</w:t>
      </w:r>
      <w:r w:rsidRPr="4D879BC5">
        <w:rPr>
          <w:rStyle w:val="FootnoteReference"/>
          <w:rFonts w:ascii="Calibri" w:eastAsia="Calibri" w:hAnsi="Calibri" w:cs="Times New Roman"/>
        </w:rPr>
        <w:footnoteReference w:id="148"/>
      </w:r>
      <w:r w:rsidRPr="4D879BC5">
        <w:rPr>
          <w:rFonts w:ascii="Calibri" w:eastAsia="Calibri" w:hAnsi="Calibri" w:cs="Times New Roman"/>
        </w:rPr>
        <w:t xml:space="preserve"> </w:t>
      </w:r>
      <w:r w:rsidRPr="4D879BC5">
        <w:rPr>
          <w:rStyle w:val="normaltextrun"/>
          <w:rFonts w:ascii="Calibri" w:hAnsi="Calibri" w:cs="Calibri"/>
        </w:rPr>
        <w:t>Any person can request a non-binding opinion on whether a patent has been infringed, or whether it is valid (or both). </w:t>
      </w:r>
      <w:r w:rsidRPr="4D879BC5">
        <w:rPr>
          <w:rFonts w:ascii="Calibri" w:eastAsia="Calibri" w:hAnsi="Calibri" w:cs="Times New Roman"/>
        </w:rPr>
        <w:t>The key features of the service are described below. Noting that it was very costly to resolve some patent issues in court, the service was introduced in 2004 to assist parties to resolve actual or potential disputes without launching full proceedings.</w:t>
      </w:r>
      <w:r w:rsidRPr="4D879BC5">
        <w:rPr>
          <w:rStyle w:val="FootnoteReference"/>
          <w:rFonts w:ascii="Calibri" w:eastAsia="Calibri" w:hAnsi="Calibri" w:cs="Times New Roman"/>
        </w:rPr>
        <w:footnoteReference w:id="149"/>
      </w:r>
      <w:r w:rsidRPr="4D879BC5">
        <w:rPr>
          <w:rFonts w:ascii="Calibri" w:eastAsia="Calibri" w:hAnsi="Calibri" w:cs="Times New Roman"/>
        </w:rPr>
        <w:t xml:space="preserve"> </w:t>
      </w:r>
    </w:p>
    <w:p w14:paraId="5218E21D" w14:textId="7CAF9061" w:rsidR="002A534C" w:rsidRPr="00585B6B" w:rsidRDefault="002A534C" w:rsidP="00585B6B">
      <w:pPr>
        <w:pStyle w:val="Heading3"/>
        <w:rPr>
          <w:rFonts w:ascii="Segoe UI" w:hAnsi="Segoe UI" w:cs="Segoe UI"/>
          <w:szCs w:val="32"/>
        </w:rPr>
      </w:pPr>
      <w:r w:rsidRPr="00585B6B">
        <w:rPr>
          <w:rStyle w:val="normaltextrun"/>
          <w:rFonts w:ascii="Calibri" w:hAnsi="Calibri" w:cs="Calibri"/>
          <w:szCs w:val="32"/>
        </w:rPr>
        <w:t>Key steps</w:t>
      </w:r>
      <w:r w:rsidRPr="4EF12081">
        <w:rPr>
          <w:rStyle w:val="normaltextrun"/>
          <w:rFonts w:ascii="Calibri" w:hAnsi="Calibri" w:cs="Calibri"/>
          <w:szCs w:val="32"/>
        </w:rPr>
        <w:t xml:space="preserve"> </w:t>
      </w:r>
      <w:r w:rsidR="209648AB" w:rsidRPr="4EF12081">
        <w:rPr>
          <w:rStyle w:val="normaltextrun"/>
          <w:rFonts w:ascii="Calibri" w:hAnsi="Calibri" w:cs="Calibri"/>
          <w:szCs w:val="32"/>
        </w:rPr>
        <w:t>in</w:t>
      </w:r>
      <w:r w:rsidRPr="00585B6B">
        <w:rPr>
          <w:rStyle w:val="normaltextrun"/>
          <w:rFonts w:ascii="Calibri" w:hAnsi="Calibri" w:cs="Calibri"/>
          <w:szCs w:val="32"/>
        </w:rPr>
        <w:t xml:space="preserve"> the UK opinion service</w:t>
      </w:r>
      <w:r w:rsidRPr="00585B6B">
        <w:rPr>
          <w:rStyle w:val="eop"/>
          <w:rFonts w:ascii="Calibri" w:hAnsi="Calibri" w:cs="Calibri"/>
          <w:szCs w:val="32"/>
        </w:rPr>
        <w:t> process</w:t>
      </w:r>
    </w:p>
    <w:p w14:paraId="1FA750DF" w14:textId="1D5080A6" w:rsidR="002A534C" w:rsidRPr="00466012" w:rsidRDefault="002A534C" w:rsidP="005735E9">
      <w:pPr>
        <w:pStyle w:val="paragraph"/>
        <w:spacing w:before="0" w:beforeAutospacing="0" w:after="60" w:afterAutospacing="0"/>
        <w:textAlignment w:val="baseline"/>
        <w:rPr>
          <w:rFonts w:ascii="Segoe UI" w:hAnsi="Segoe UI" w:cs="Segoe UI"/>
        </w:rPr>
      </w:pPr>
      <w:r w:rsidRPr="00466012">
        <w:rPr>
          <w:rStyle w:val="normaltextrun"/>
          <w:rFonts w:ascii="Calibri" w:eastAsiaTheme="majorEastAsia" w:hAnsi="Calibri" w:cs="Calibri"/>
        </w:rPr>
        <w:t>Broadly, the steps involved are</w:t>
      </w:r>
      <w:r w:rsidR="007A51DE" w:rsidRPr="00466012">
        <w:rPr>
          <w:rStyle w:val="normaltextrun"/>
          <w:rFonts w:ascii="Calibri" w:eastAsiaTheme="majorEastAsia" w:hAnsi="Calibri" w:cs="Calibri"/>
        </w:rPr>
        <w:t xml:space="preserve"> as follows</w:t>
      </w:r>
      <w:r w:rsidRPr="00466012">
        <w:rPr>
          <w:rStyle w:val="normaltextrun"/>
          <w:rFonts w:ascii="Calibri" w:eastAsiaTheme="majorEastAsia" w:hAnsi="Calibri" w:cs="Calibri"/>
        </w:rPr>
        <w:t>:</w:t>
      </w:r>
      <w:r w:rsidRPr="00466012">
        <w:rPr>
          <w:rStyle w:val="eop"/>
          <w:rFonts w:ascii="Calibri" w:eastAsiaTheme="majorEastAsia" w:hAnsi="Calibri" w:cs="Calibri"/>
        </w:rPr>
        <w:t> </w:t>
      </w:r>
    </w:p>
    <w:p w14:paraId="70D648C9" w14:textId="77777777" w:rsidR="002A534C" w:rsidRPr="00466012" w:rsidRDefault="002A534C" w:rsidP="005735E9">
      <w:pPr>
        <w:pStyle w:val="paragraph"/>
        <w:numPr>
          <w:ilvl w:val="0"/>
          <w:numId w:val="69"/>
        </w:numPr>
        <w:spacing w:before="0" w:beforeAutospacing="0" w:after="60" w:afterAutospacing="0"/>
        <w:textAlignment w:val="baseline"/>
        <w:rPr>
          <w:rFonts w:ascii="Calibri" w:hAnsi="Calibri" w:cs="Calibri"/>
        </w:rPr>
      </w:pPr>
      <w:r w:rsidRPr="00466012">
        <w:rPr>
          <w:rStyle w:val="normaltextrun"/>
          <w:rFonts w:ascii="Calibri" w:eastAsiaTheme="majorEastAsia" w:hAnsi="Calibri" w:cs="Calibri"/>
        </w:rPr>
        <w:t>Person files a request for an opinion.</w:t>
      </w:r>
      <w:r w:rsidRPr="00466012">
        <w:rPr>
          <w:rStyle w:val="eop"/>
          <w:rFonts w:ascii="Calibri" w:eastAsiaTheme="majorEastAsia" w:hAnsi="Calibri" w:cs="Calibri"/>
        </w:rPr>
        <w:t> </w:t>
      </w:r>
    </w:p>
    <w:p w14:paraId="67B335B0" w14:textId="77777777" w:rsidR="002A534C" w:rsidRPr="00466012" w:rsidRDefault="002A534C" w:rsidP="005735E9">
      <w:pPr>
        <w:pStyle w:val="paragraph"/>
        <w:numPr>
          <w:ilvl w:val="0"/>
          <w:numId w:val="69"/>
        </w:numPr>
        <w:spacing w:before="0" w:beforeAutospacing="0" w:after="60" w:afterAutospacing="0"/>
        <w:textAlignment w:val="baseline"/>
        <w:rPr>
          <w:rFonts w:ascii="Calibri" w:hAnsi="Calibri" w:cs="Calibri"/>
        </w:rPr>
      </w:pPr>
      <w:r w:rsidRPr="00466012">
        <w:rPr>
          <w:rStyle w:val="normaltextrun"/>
          <w:rFonts w:ascii="Calibri" w:eastAsiaTheme="majorEastAsia" w:hAnsi="Calibri" w:cs="Calibri"/>
        </w:rPr>
        <w:t>The request is advertised and ‘observations’ from interested parties are invited.</w:t>
      </w:r>
      <w:r w:rsidRPr="00466012">
        <w:rPr>
          <w:rStyle w:val="eop"/>
          <w:rFonts w:ascii="Calibri" w:eastAsiaTheme="majorEastAsia" w:hAnsi="Calibri" w:cs="Calibri"/>
        </w:rPr>
        <w:t> </w:t>
      </w:r>
    </w:p>
    <w:p w14:paraId="611F85B7" w14:textId="77777777" w:rsidR="002A534C" w:rsidRPr="00466012" w:rsidRDefault="002A534C" w:rsidP="005735E9">
      <w:pPr>
        <w:pStyle w:val="paragraph"/>
        <w:numPr>
          <w:ilvl w:val="0"/>
          <w:numId w:val="69"/>
        </w:numPr>
        <w:spacing w:before="0" w:beforeAutospacing="0" w:after="60" w:afterAutospacing="0"/>
        <w:textAlignment w:val="baseline"/>
        <w:rPr>
          <w:rFonts w:ascii="Calibri" w:hAnsi="Calibri" w:cs="Calibri"/>
        </w:rPr>
      </w:pPr>
      <w:r w:rsidRPr="00466012">
        <w:rPr>
          <w:rStyle w:val="normaltextrun"/>
          <w:rFonts w:ascii="Calibri" w:eastAsiaTheme="majorEastAsia" w:hAnsi="Calibri" w:cs="Calibri"/>
        </w:rPr>
        <w:t>If interested parties file observations, the requester can file observations in reply.</w:t>
      </w:r>
      <w:r w:rsidRPr="00466012">
        <w:rPr>
          <w:rStyle w:val="eop"/>
          <w:rFonts w:ascii="Calibri" w:eastAsiaTheme="majorEastAsia" w:hAnsi="Calibri" w:cs="Calibri"/>
        </w:rPr>
        <w:t> </w:t>
      </w:r>
    </w:p>
    <w:p w14:paraId="1159A316" w14:textId="77777777" w:rsidR="002A534C" w:rsidRPr="00466012" w:rsidRDefault="002A534C" w:rsidP="005735E9">
      <w:pPr>
        <w:pStyle w:val="paragraph"/>
        <w:numPr>
          <w:ilvl w:val="0"/>
          <w:numId w:val="69"/>
        </w:numPr>
        <w:spacing w:before="0" w:beforeAutospacing="0" w:after="60" w:afterAutospacing="0"/>
        <w:textAlignment w:val="baseline"/>
        <w:rPr>
          <w:rFonts w:ascii="Calibri" w:hAnsi="Calibri" w:cs="Calibri"/>
        </w:rPr>
      </w:pPr>
      <w:r w:rsidRPr="00466012">
        <w:rPr>
          <w:rStyle w:val="normaltextrun"/>
          <w:rFonts w:ascii="Calibri" w:eastAsiaTheme="majorEastAsia" w:hAnsi="Calibri" w:cs="Calibri"/>
        </w:rPr>
        <w:t>The office publishes an opinion and provides it to interested parties.</w:t>
      </w:r>
      <w:r w:rsidRPr="00466012">
        <w:rPr>
          <w:rStyle w:val="eop"/>
          <w:rFonts w:ascii="Calibri" w:eastAsiaTheme="majorEastAsia" w:hAnsi="Calibri" w:cs="Calibri"/>
        </w:rPr>
        <w:t> </w:t>
      </w:r>
    </w:p>
    <w:p w14:paraId="36D24228" w14:textId="77777777" w:rsidR="002A534C" w:rsidRPr="00466012" w:rsidRDefault="002A534C" w:rsidP="005735E9">
      <w:pPr>
        <w:pStyle w:val="paragraph"/>
        <w:numPr>
          <w:ilvl w:val="0"/>
          <w:numId w:val="69"/>
        </w:numPr>
        <w:spacing w:before="0" w:beforeAutospacing="0" w:after="60" w:afterAutospacing="0"/>
        <w:textAlignment w:val="baseline"/>
        <w:rPr>
          <w:rFonts w:ascii="Calibri" w:hAnsi="Calibri" w:cs="Calibri"/>
        </w:rPr>
      </w:pPr>
      <w:r w:rsidRPr="00466012">
        <w:rPr>
          <w:rStyle w:val="normaltextrun"/>
          <w:rFonts w:ascii="Calibri" w:eastAsiaTheme="majorEastAsia" w:hAnsi="Calibri" w:cs="Calibri"/>
        </w:rPr>
        <w:t>The patentee may apply for review of the opinion.</w:t>
      </w:r>
      <w:r w:rsidRPr="00466012">
        <w:rPr>
          <w:rStyle w:val="eop"/>
          <w:rFonts w:ascii="Calibri" w:eastAsiaTheme="majorEastAsia" w:hAnsi="Calibri" w:cs="Calibri"/>
        </w:rPr>
        <w:t> </w:t>
      </w:r>
    </w:p>
    <w:p w14:paraId="3B40D717" w14:textId="77777777" w:rsidR="002A534C" w:rsidRPr="00466012" w:rsidRDefault="002A534C" w:rsidP="005735E9">
      <w:pPr>
        <w:pStyle w:val="paragraph"/>
        <w:numPr>
          <w:ilvl w:val="0"/>
          <w:numId w:val="69"/>
        </w:numPr>
        <w:spacing w:before="0" w:beforeAutospacing="0" w:after="60" w:afterAutospacing="0"/>
        <w:textAlignment w:val="baseline"/>
        <w:rPr>
          <w:rFonts w:ascii="Calibri" w:hAnsi="Calibri" w:cs="Calibri"/>
        </w:rPr>
      </w:pPr>
      <w:r w:rsidRPr="00466012">
        <w:rPr>
          <w:rStyle w:val="normaltextrun"/>
          <w:rFonts w:ascii="Calibri" w:eastAsiaTheme="majorEastAsia" w:hAnsi="Calibri" w:cs="Calibri"/>
        </w:rPr>
        <w:t>If the opinion is reviewed, then interested parties file statements.</w:t>
      </w:r>
      <w:r w:rsidRPr="00466012">
        <w:rPr>
          <w:rStyle w:val="eop"/>
          <w:rFonts w:ascii="Calibri" w:eastAsiaTheme="majorEastAsia" w:hAnsi="Calibri" w:cs="Calibri"/>
        </w:rPr>
        <w:t> </w:t>
      </w:r>
    </w:p>
    <w:p w14:paraId="41887009" w14:textId="77777777" w:rsidR="002A534C" w:rsidRPr="00466012" w:rsidRDefault="002A534C" w:rsidP="00A525A6">
      <w:pPr>
        <w:pStyle w:val="paragraph"/>
        <w:numPr>
          <w:ilvl w:val="0"/>
          <w:numId w:val="69"/>
        </w:numPr>
        <w:spacing w:before="0" w:beforeAutospacing="0" w:after="360" w:afterAutospacing="0"/>
        <w:textAlignment w:val="baseline"/>
        <w:rPr>
          <w:rStyle w:val="eop"/>
          <w:rFonts w:ascii="Calibri" w:eastAsiaTheme="majorEastAsia" w:hAnsi="Calibri" w:cs="Calibri"/>
        </w:rPr>
      </w:pPr>
      <w:r w:rsidRPr="00466012">
        <w:rPr>
          <w:rStyle w:val="normaltextrun"/>
          <w:rFonts w:ascii="Calibri" w:eastAsiaTheme="majorEastAsia" w:hAnsi="Calibri" w:cs="Calibri"/>
        </w:rPr>
        <w:t>The review is published.</w:t>
      </w:r>
      <w:r w:rsidRPr="00466012">
        <w:rPr>
          <w:rStyle w:val="eop"/>
          <w:rFonts w:ascii="Calibri" w:eastAsiaTheme="majorEastAsia" w:hAnsi="Calibri" w:cs="Calibri"/>
        </w:rPr>
        <w:t> </w:t>
      </w:r>
    </w:p>
    <w:p w14:paraId="4AE04C3B" w14:textId="232F4AD2" w:rsidR="002A534C" w:rsidRPr="00585B6B" w:rsidRDefault="002A534C" w:rsidP="00585B6B">
      <w:pPr>
        <w:pStyle w:val="Heading3"/>
        <w:rPr>
          <w:rFonts w:ascii="Calibri" w:hAnsi="Calibri" w:cs="Calibri"/>
          <w:szCs w:val="32"/>
        </w:rPr>
      </w:pPr>
      <w:r w:rsidRPr="00585B6B">
        <w:rPr>
          <w:rStyle w:val="normaltextrun"/>
          <w:rFonts w:ascii="Calibri" w:hAnsi="Calibri" w:cs="Calibri"/>
          <w:szCs w:val="32"/>
        </w:rPr>
        <w:lastRenderedPageBreak/>
        <w:t xml:space="preserve">Statutory scheme for </w:t>
      </w:r>
      <w:r w:rsidR="00EB2DF4">
        <w:rPr>
          <w:rStyle w:val="normaltextrun"/>
          <w:rFonts w:ascii="Calibri" w:hAnsi="Calibri" w:cs="Calibri"/>
          <w:szCs w:val="32"/>
        </w:rPr>
        <w:t xml:space="preserve">the </w:t>
      </w:r>
      <w:r w:rsidRPr="00585B6B">
        <w:rPr>
          <w:rStyle w:val="normaltextrun"/>
          <w:rFonts w:ascii="Calibri" w:hAnsi="Calibri" w:cs="Calibri"/>
          <w:szCs w:val="32"/>
        </w:rPr>
        <w:t>UK opinion service</w:t>
      </w:r>
      <w:r w:rsidRPr="00585B6B">
        <w:rPr>
          <w:rStyle w:val="eop"/>
          <w:rFonts w:ascii="Calibri" w:hAnsi="Calibri" w:cs="Calibri"/>
          <w:szCs w:val="32"/>
        </w:rPr>
        <w:t> </w:t>
      </w:r>
    </w:p>
    <w:p w14:paraId="19D94781" w14:textId="37D8D1B7" w:rsidR="002A534C" w:rsidRPr="00466012" w:rsidRDefault="002A534C" w:rsidP="0020157F">
      <w:pPr>
        <w:pStyle w:val="paragraph"/>
        <w:spacing w:before="0" w:beforeAutospacing="0" w:after="240" w:afterAutospacing="0"/>
        <w:textAlignment w:val="baseline"/>
        <w:rPr>
          <w:rFonts w:ascii="Calibri" w:hAnsi="Calibri" w:cs="Calibri"/>
        </w:rPr>
      </w:pPr>
      <w:r w:rsidRPr="00A525A6">
        <w:rPr>
          <w:rFonts w:ascii="Calibri" w:hAnsi="Calibri" w:cs="Calibri"/>
          <w:spacing w:val="-2"/>
        </w:rPr>
        <w:t>The UK opinion service is authorised by legislation.</w:t>
      </w:r>
      <w:r w:rsidRPr="00A525A6">
        <w:rPr>
          <w:rStyle w:val="FootnoteReference"/>
          <w:rFonts w:ascii="Calibri" w:hAnsi="Calibri" w:cs="Calibri"/>
          <w:spacing w:val="-2"/>
        </w:rPr>
        <w:footnoteReference w:id="150"/>
      </w:r>
      <w:r w:rsidRPr="00A525A6">
        <w:rPr>
          <w:rFonts w:ascii="Calibri" w:hAnsi="Calibri" w:cs="Calibri"/>
          <w:spacing w:val="-2"/>
        </w:rPr>
        <w:t xml:space="preserve"> The statutory scheme sets out detailed procedural rules for opinions and reviews, including timeframes, notification of interested parties, requirements for observations, and publication of the request and opinion.</w:t>
      </w:r>
      <w:r w:rsidRPr="4D879BC5">
        <w:rPr>
          <w:rFonts w:ascii="Calibri" w:hAnsi="Calibri" w:cs="Calibri"/>
        </w:rPr>
        <w:t xml:space="preserve"> </w:t>
      </w:r>
      <w:r w:rsidRPr="00466012">
        <w:rPr>
          <w:rFonts w:ascii="Calibri" w:hAnsi="Calibri" w:cs="Calibri"/>
        </w:rPr>
        <w:t>A requestor is not required to identify themselves if the request is made on their behalf by an agent.</w:t>
      </w:r>
      <w:r w:rsidRPr="00466012">
        <w:rPr>
          <w:rStyle w:val="FootnoteReference"/>
          <w:rFonts w:ascii="Calibri" w:hAnsi="Calibri" w:cs="Calibri"/>
        </w:rPr>
        <w:footnoteReference w:id="151"/>
      </w:r>
      <w:r w:rsidRPr="00466012">
        <w:rPr>
          <w:rFonts w:ascii="Calibri" w:hAnsi="Calibri" w:cs="Calibri"/>
        </w:rPr>
        <w:t xml:space="preserve"> The legislation also expressly provides that opinions are not binding,</w:t>
      </w:r>
      <w:r w:rsidRPr="00466012">
        <w:rPr>
          <w:rStyle w:val="FootnoteReference"/>
          <w:rFonts w:ascii="Calibri" w:hAnsi="Calibri" w:cs="Calibri"/>
        </w:rPr>
        <w:footnoteReference w:id="152"/>
      </w:r>
      <w:r w:rsidRPr="00466012">
        <w:rPr>
          <w:rFonts w:ascii="Calibri" w:hAnsi="Calibri" w:cs="Calibri"/>
        </w:rPr>
        <w:t xml:space="preserve"> and requires opinions to be prepared by an examiner.</w:t>
      </w:r>
      <w:r w:rsidRPr="00466012">
        <w:rPr>
          <w:rStyle w:val="FootnoteReference"/>
          <w:rFonts w:ascii="Calibri" w:hAnsi="Calibri" w:cs="Calibri"/>
        </w:rPr>
        <w:footnoteReference w:id="153"/>
      </w:r>
      <w:r w:rsidRPr="00466012">
        <w:rPr>
          <w:rFonts w:ascii="Calibri" w:hAnsi="Calibri" w:cs="Calibri"/>
        </w:rPr>
        <w:t xml:space="preserve"> Where the opinion indicates that the patent is invalid, the patent may be revoked (after giving the patentee the opportunity to make further observations or amend the patent).</w:t>
      </w:r>
      <w:r w:rsidRPr="00466012">
        <w:rPr>
          <w:rStyle w:val="FootnoteReference"/>
          <w:rFonts w:ascii="Calibri" w:hAnsi="Calibri" w:cs="Calibri"/>
        </w:rPr>
        <w:footnoteReference w:id="154"/>
      </w:r>
      <w:r w:rsidRPr="00466012">
        <w:rPr>
          <w:rFonts w:ascii="Calibri" w:hAnsi="Calibri" w:cs="Calibri"/>
        </w:rPr>
        <w:t xml:space="preserve"> </w:t>
      </w:r>
    </w:p>
    <w:p w14:paraId="698B0D40" w14:textId="77777777" w:rsidR="002A534C" w:rsidRPr="00585B6B" w:rsidRDefault="002A534C" w:rsidP="00585B6B">
      <w:pPr>
        <w:pStyle w:val="Heading3"/>
        <w:rPr>
          <w:rFonts w:ascii="Segoe UI" w:hAnsi="Segoe UI" w:cs="Segoe UI"/>
          <w:szCs w:val="32"/>
        </w:rPr>
      </w:pPr>
      <w:r w:rsidRPr="00585B6B">
        <w:rPr>
          <w:rStyle w:val="normaltextrun"/>
          <w:rFonts w:ascii="Calibri" w:hAnsi="Calibri" w:cs="Calibri"/>
          <w:szCs w:val="32"/>
        </w:rPr>
        <w:t>Time frames for the UK opinion service</w:t>
      </w:r>
      <w:r w:rsidRPr="00585B6B">
        <w:rPr>
          <w:rStyle w:val="eop"/>
          <w:rFonts w:ascii="Calibri" w:hAnsi="Calibri" w:cs="Calibri"/>
          <w:szCs w:val="32"/>
        </w:rPr>
        <w:t> </w:t>
      </w:r>
    </w:p>
    <w:p w14:paraId="0632C770" w14:textId="610DB457" w:rsidR="002A534C" w:rsidRPr="00A525A6" w:rsidRDefault="002A534C" w:rsidP="00A525A6">
      <w:r w:rsidRPr="00466012">
        <w:t>It takes no more than 3 months to get an opinion.</w:t>
      </w:r>
      <w:r w:rsidRPr="00466012">
        <w:rPr>
          <w:rStyle w:val="FootnoteReference"/>
          <w:rFonts w:ascii="Calibri" w:hAnsi="Calibri" w:cs="Calibri"/>
        </w:rPr>
        <w:footnoteReference w:id="155"/>
      </w:r>
      <w:r w:rsidRPr="00466012">
        <w:t xml:space="preserve"> After a request is advertised, interested parties have 4 weeks to file observations. The requestor has 2 weeks after this deadline to file observations in reply. Extensions of time to make observations are short and must be supported by good reasons. </w:t>
      </w:r>
    </w:p>
    <w:p w14:paraId="28F4A831" w14:textId="13F223E3" w:rsidR="002A534C" w:rsidRDefault="002A534C" w:rsidP="00A525A6">
      <w:r w:rsidRPr="00466012">
        <w:t>The patentee has 3 months after the opinion to request a review. Timeframes for the review are similar to the original opinion, so are likely to last no more than 3 months</w:t>
      </w:r>
      <w:r w:rsidR="005E29A6" w:rsidRPr="00466012">
        <w:t xml:space="preserve"> </w:t>
      </w:r>
      <w:r w:rsidR="00BC3F9C">
        <w:t>–</w:t>
      </w:r>
      <w:r w:rsidR="00794096" w:rsidRPr="00466012">
        <w:t xml:space="preserve"> </w:t>
      </w:r>
      <w:r w:rsidR="005E29A6" w:rsidRPr="00466012">
        <w:t>so</w:t>
      </w:r>
      <w:r w:rsidRPr="00466012">
        <w:t xml:space="preserve"> the total time period to get an opinion and a review of that opinion would ordinarily be no more than 9 months.</w:t>
      </w:r>
    </w:p>
    <w:p w14:paraId="4CE51B12" w14:textId="77777777" w:rsidR="002A534C" w:rsidRPr="00585B6B" w:rsidRDefault="002A534C" w:rsidP="00585B6B">
      <w:pPr>
        <w:pStyle w:val="Heading3"/>
        <w:rPr>
          <w:rFonts w:ascii="Segoe UI" w:hAnsi="Segoe UI" w:cs="Segoe UI"/>
          <w:szCs w:val="32"/>
        </w:rPr>
      </w:pPr>
      <w:r w:rsidRPr="00585B6B">
        <w:rPr>
          <w:rStyle w:val="normaltextrun"/>
          <w:rFonts w:ascii="Calibri" w:hAnsi="Calibri" w:cs="Calibri"/>
          <w:szCs w:val="32"/>
        </w:rPr>
        <w:lastRenderedPageBreak/>
        <w:t>Costs of the UK opinion service</w:t>
      </w:r>
      <w:r w:rsidRPr="00585B6B">
        <w:rPr>
          <w:rStyle w:val="eop"/>
          <w:rFonts w:ascii="Calibri" w:hAnsi="Calibri" w:cs="Calibri"/>
          <w:szCs w:val="32"/>
        </w:rPr>
        <w:t> </w:t>
      </w:r>
    </w:p>
    <w:p w14:paraId="0C4C4F05" w14:textId="663167C8" w:rsidR="002A534C" w:rsidRPr="00A525A6" w:rsidRDefault="002A534C" w:rsidP="00A525A6">
      <w:pPr>
        <w:rPr>
          <w:rStyle w:val="normaltextrun"/>
          <w:rFonts w:ascii="Calibri" w:eastAsiaTheme="majorEastAsia" w:hAnsi="Calibri" w:cs="Calibri"/>
          <w:spacing w:val="-4"/>
        </w:rPr>
      </w:pPr>
      <w:r w:rsidRPr="00A525A6">
        <w:rPr>
          <w:rStyle w:val="normaltextrun"/>
          <w:rFonts w:ascii="Calibri" w:eastAsiaTheme="majorEastAsia" w:hAnsi="Calibri" w:cs="Calibri"/>
          <w:spacing w:val="-4"/>
        </w:rPr>
        <w:t xml:space="preserve">The official fee for requesting an opinion is £200. Professional fees charged by a lawyer or a patent attorney to prepare a request for an opinion and make observations may vary depending on the nature of the </w:t>
      </w:r>
      <w:r w:rsidR="005735E9" w:rsidRPr="00A525A6">
        <w:rPr>
          <w:rStyle w:val="normaltextrun"/>
          <w:rFonts w:ascii="Calibri" w:eastAsiaTheme="majorEastAsia" w:hAnsi="Calibri" w:cs="Calibri"/>
          <w:spacing w:val="-4"/>
        </w:rPr>
        <w:t>case but</w:t>
      </w:r>
      <w:r w:rsidRPr="00A525A6">
        <w:rPr>
          <w:rStyle w:val="normaltextrun"/>
          <w:rFonts w:ascii="Calibri" w:eastAsiaTheme="majorEastAsia" w:hAnsi="Calibri" w:cs="Calibri"/>
          <w:spacing w:val="-4"/>
        </w:rPr>
        <w:t xml:space="preserve"> is estimated to typically be between £5,000 and £10,000.</w:t>
      </w:r>
      <w:r w:rsidRPr="00A525A6">
        <w:rPr>
          <w:rStyle w:val="FootnoteReference"/>
          <w:rFonts w:ascii="Calibri" w:hAnsi="Calibri" w:cs="Calibri"/>
          <w:spacing w:val="-4"/>
        </w:rPr>
        <w:footnoteReference w:id="156"/>
      </w:r>
    </w:p>
    <w:p w14:paraId="77D21B09" w14:textId="71992C76" w:rsidR="002A534C" w:rsidRPr="00A525A6" w:rsidRDefault="002A534C" w:rsidP="00A525A6">
      <w:pPr>
        <w:rPr>
          <w:rFonts w:ascii="Calibri" w:eastAsiaTheme="majorEastAsia" w:hAnsi="Calibri" w:cs="Calibri"/>
          <w:spacing w:val="-2"/>
        </w:rPr>
      </w:pPr>
      <w:r w:rsidRPr="00A525A6">
        <w:rPr>
          <w:rStyle w:val="normaltextrun"/>
          <w:rFonts w:ascii="Calibri" w:eastAsiaTheme="majorEastAsia" w:hAnsi="Calibri" w:cs="Calibri"/>
          <w:spacing w:val="-2"/>
        </w:rPr>
        <w:t>If an opinion is reviewed, and the review upholds the original opinion, the patentee may be liable to pay the costs of other interested parties. These might typically run to £1,000 or more.</w:t>
      </w:r>
    </w:p>
    <w:p w14:paraId="52642001" w14:textId="77777777" w:rsidR="002A534C" w:rsidRPr="00585B6B" w:rsidRDefault="002A534C" w:rsidP="00585B6B">
      <w:pPr>
        <w:pStyle w:val="Heading3"/>
        <w:rPr>
          <w:rFonts w:ascii="Segoe UI" w:hAnsi="Segoe UI" w:cs="Segoe UI"/>
          <w:szCs w:val="32"/>
        </w:rPr>
      </w:pPr>
      <w:r w:rsidRPr="00585B6B">
        <w:rPr>
          <w:rStyle w:val="normaltextrun"/>
          <w:rFonts w:ascii="Calibri" w:hAnsi="Calibri" w:cs="Calibri"/>
          <w:szCs w:val="32"/>
        </w:rPr>
        <w:t>Data on usage of the UK opinion service</w:t>
      </w:r>
      <w:r w:rsidRPr="00585B6B">
        <w:rPr>
          <w:rStyle w:val="eop"/>
          <w:rFonts w:ascii="Calibri" w:hAnsi="Calibri" w:cs="Calibri"/>
          <w:szCs w:val="32"/>
        </w:rPr>
        <w:t> </w:t>
      </w:r>
    </w:p>
    <w:p w14:paraId="662CAA64" w14:textId="77777777" w:rsidR="002A534C" w:rsidRPr="00466012" w:rsidRDefault="002A534C" w:rsidP="00A525A6">
      <w:pPr>
        <w:spacing w:after="360"/>
        <w:rPr>
          <w:rStyle w:val="normaltextrun"/>
          <w:rFonts w:ascii="Calibri" w:eastAsiaTheme="majorEastAsia" w:hAnsi="Calibri" w:cs="Calibri"/>
        </w:rPr>
      </w:pPr>
      <w:r w:rsidRPr="00466012">
        <w:rPr>
          <w:rStyle w:val="normaltextrun"/>
          <w:rFonts w:ascii="Calibri" w:eastAsiaTheme="majorEastAsia" w:hAnsi="Calibri" w:cs="Calibri"/>
        </w:rPr>
        <w:t>Statistics on recent usage of the UK opinion service shows that the UKIPO has received 104 requests (resulting in 83 opinions) since 2017, at an average of 26.7 requests per year. Of that 104, 79 relate to whether the patent is valid (76%), 23 relate to infringement (22%), and 2 relate to both infringement and validity (2%).</w:t>
      </w:r>
    </w:p>
    <w:p w14:paraId="2158FAD6" w14:textId="5A89903D" w:rsidR="002A534C" w:rsidRPr="000F48FC" w:rsidRDefault="002A534C" w:rsidP="002A534C">
      <w:pPr>
        <w:keepNext/>
        <w:spacing w:line="240" w:lineRule="auto"/>
        <w:rPr>
          <w:rFonts w:ascii="Calibri" w:eastAsia="Calibri" w:hAnsi="Calibri" w:cs="Times New Roman"/>
          <w:i/>
          <w:color w:val="005677"/>
        </w:rPr>
      </w:pPr>
      <w:r w:rsidRPr="0C89C1B6">
        <w:rPr>
          <w:rFonts w:ascii="Calibri" w:eastAsia="Calibri" w:hAnsi="Calibri" w:cs="Times New Roman"/>
          <w:i/>
          <w:color w:val="005677"/>
        </w:rPr>
        <w:t xml:space="preserve">Table </w:t>
      </w:r>
      <w:r w:rsidR="004C6A9D">
        <w:rPr>
          <w:rFonts w:ascii="Calibri" w:eastAsia="Calibri" w:hAnsi="Calibri" w:cs="Times New Roman"/>
          <w:i/>
          <w:color w:val="005677" w:themeColor="text2"/>
        </w:rPr>
        <w:t>3</w:t>
      </w:r>
      <w:r w:rsidRPr="0C89C1B6">
        <w:rPr>
          <w:rFonts w:ascii="Calibri" w:eastAsia="Calibri" w:hAnsi="Calibri" w:cs="Times New Roman"/>
          <w:i/>
          <w:color w:val="005677"/>
        </w:rPr>
        <w:t xml:space="preserve"> – Annual usage statistics for UK opinion service</w:t>
      </w:r>
      <w:r w:rsidR="5A3846C8" w:rsidRPr="4D879BC5">
        <w:rPr>
          <w:rFonts w:ascii="Calibri" w:eastAsia="Calibri" w:hAnsi="Calibri" w:cs="Times New Roman"/>
          <w:i/>
          <w:color w:val="005677" w:themeColor="text2"/>
        </w:rPr>
        <w:t>.</w:t>
      </w:r>
      <w:r w:rsidRPr="0C89C1B6">
        <w:rPr>
          <w:rStyle w:val="FootnoteReference"/>
          <w:rFonts w:ascii="Calibri" w:eastAsia="Calibri" w:hAnsi="Calibri" w:cs="Times New Roman"/>
          <w:i/>
          <w:color w:val="005677"/>
        </w:rPr>
        <w:footnoteReference w:id="157"/>
      </w:r>
    </w:p>
    <w:tbl>
      <w:tblPr>
        <w:tblStyle w:val="ListTable3-Accent31"/>
        <w:tblW w:w="9014" w:type="dxa"/>
        <w:tblLook w:val="04A0" w:firstRow="1" w:lastRow="0" w:firstColumn="1" w:lastColumn="0" w:noHBand="0" w:noVBand="1"/>
        <w:tblCaption w:val="Sample table"/>
        <w:tblDescription w:val="Add text broadly describing the table. You do not need to replicate the whole contents."/>
      </w:tblPr>
      <w:tblGrid>
        <w:gridCol w:w="1417"/>
        <w:gridCol w:w="1814"/>
        <w:gridCol w:w="1814"/>
        <w:gridCol w:w="2665"/>
        <w:gridCol w:w="1304"/>
      </w:tblGrid>
      <w:tr w:rsidR="00A525A6" w:rsidRPr="00852CA8" w14:paraId="4A01C9E9" w14:textId="77777777" w:rsidTr="00A525A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7" w:type="dxa"/>
          </w:tcPr>
          <w:p w14:paraId="6D9B9831" w14:textId="77777777" w:rsidR="002A534C" w:rsidRPr="000F48FC" w:rsidRDefault="002A534C" w:rsidP="002A534C">
            <w:pPr>
              <w:rPr>
                <w:rFonts w:ascii="Calibri" w:eastAsia="Calibri" w:hAnsi="Calibri" w:cs="Times New Roman"/>
                <w:szCs w:val="24"/>
              </w:rPr>
            </w:pPr>
            <w:r w:rsidRPr="000F48FC">
              <w:rPr>
                <w:rFonts w:ascii="Calibri" w:eastAsia="Calibri" w:hAnsi="Calibri" w:cs="Times New Roman"/>
                <w:szCs w:val="24"/>
              </w:rPr>
              <w:t>Year</w:t>
            </w:r>
          </w:p>
        </w:tc>
        <w:tc>
          <w:tcPr>
            <w:tcW w:w="1814" w:type="dxa"/>
          </w:tcPr>
          <w:p w14:paraId="052A6F57" w14:textId="77777777"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Infringement</w:t>
            </w:r>
          </w:p>
        </w:tc>
        <w:tc>
          <w:tcPr>
            <w:tcW w:w="1814" w:type="dxa"/>
          </w:tcPr>
          <w:p w14:paraId="47FE007F" w14:textId="77777777"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Validity</w:t>
            </w:r>
          </w:p>
        </w:tc>
        <w:tc>
          <w:tcPr>
            <w:tcW w:w="2665" w:type="dxa"/>
          </w:tcPr>
          <w:p w14:paraId="7665E233" w14:textId="77777777"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Infringement &amp; validity</w:t>
            </w:r>
          </w:p>
        </w:tc>
        <w:tc>
          <w:tcPr>
            <w:tcW w:w="1304" w:type="dxa"/>
          </w:tcPr>
          <w:p w14:paraId="3DA3A51B" w14:textId="77777777"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Total</w:t>
            </w:r>
          </w:p>
        </w:tc>
      </w:tr>
      <w:tr w:rsidR="00A525A6" w:rsidRPr="00852CA8" w14:paraId="516B17FB" w14:textId="77777777" w:rsidTr="00A52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41ABC5F6" w14:textId="77777777" w:rsidR="002A534C" w:rsidRPr="000F48FC" w:rsidRDefault="002A534C" w:rsidP="002A534C">
            <w:pPr>
              <w:rPr>
                <w:rFonts w:ascii="Calibri" w:eastAsia="Calibri" w:hAnsi="Calibri" w:cs="Times New Roman"/>
                <w:szCs w:val="24"/>
              </w:rPr>
            </w:pPr>
            <w:r w:rsidRPr="4D879BC5">
              <w:rPr>
                <w:rFonts w:ascii="Calibri" w:eastAsia="Calibri" w:hAnsi="Calibri" w:cs="Times New Roman"/>
              </w:rPr>
              <w:t>2020</w:t>
            </w:r>
            <w:r w:rsidRPr="4D879BC5">
              <w:rPr>
                <w:rStyle w:val="FootnoteReference"/>
                <w:rFonts w:ascii="Calibri" w:eastAsia="Calibri" w:hAnsi="Calibri" w:cs="Times New Roman"/>
              </w:rPr>
              <w:footnoteReference w:id="158"/>
            </w:r>
          </w:p>
        </w:tc>
        <w:tc>
          <w:tcPr>
            <w:tcW w:w="1814" w:type="dxa"/>
          </w:tcPr>
          <w:p w14:paraId="75D651CB"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4</w:t>
            </w:r>
          </w:p>
        </w:tc>
        <w:tc>
          <w:tcPr>
            <w:tcW w:w="1814" w:type="dxa"/>
          </w:tcPr>
          <w:p w14:paraId="3A0CDA5F"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18</w:t>
            </w:r>
          </w:p>
        </w:tc>
        <w:tc>
          <w:tcPr>
            <w:tcW w:w="2665" w:type="dxa"/>
          </w:tcPr>
          <w:p w14:paraId="1A2251A5"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0</w:t>
            </w:r>
          </w:p>
        </w:tc>
        <w:tc>
          <w:tcPr>
            <w:tcW w:w="1304" w:type="dxa"/>
          </w:tcPr>
          <w:p w14:paraId="31A2E655"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Cs w:val="24"/>
              </w:rPr>
            </w:pPr>
            <w:r w:rsidRPr="000F48FC">
              <w:rPr>
                <w:b/>
                <w:szCs w:val="24"/>
              </w:rPr>
              <w:t>22</w:t>
            </w:r>
          </w:p>
        </w:tc>
      </w:tr>
      <w:tr w:rsidR="00A525A6" w:rsidRPr="00852CA8" w14:paraId="24EF83F6" w14:textId="77777777" w:rsidTr="00A525A6">
        <w:tc>
          <w:tcPr>
            <w:cnfStyle w:val="001000000000" w:firstRow="0" w:lastRow="0" w:firstColumn="1" w:lastColumn="0" w:oddVBand="0" w:evenVBand="0" w:oddHBand="0" w:evenHBand="0" w:firstRowFirstColumn="0" w:firstRowLastColumn="0" w:lastRowFirstColumn="0" w:lastRowLastColumn="0"/>
            <w:tcW w:w="1417" w:type="dxa"/>
          </w:tcPr>
          <w:p w14:paraId="1483CE81" w14:textId="77777777" w:rsidR="002A534C" w:rsidRPr="000F48FC" w:rsidRDefault="002A534C" w:rsidP="002A534C">
            <w:pPr>
              <w:rPr>
                <w:rFonts w:ascii="Calibri" w:eastAsia="Calibri" w:hAnsi="Calibri" w:cs="Times New Roman"/>
                <w:szCs w:val="24"/>
              </w:rPr>
            </w:pPr>
            <w:r w:rsidRPr="000F48FC">
              <w:rPr>
                <w:rFonts w:ascii="Calibri" w:eastAsia="Calibri" w:hAnsi="Calibri" w:cs="Times New Roman"/>
                <w:szCs w:val="24"/>
              </w:rPr>
              <w:t>2019</w:t>
            </w:r>
          </w:p>
        </w:tc>
        <w:tc>
          <w:tcPr>
            <w:tcW w:w="1814" w:type="dxa"/>
          </w:tcPr>
          <w:p w14:paraId="1F95E7EF"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5</w:t>
            </w:r>
          </w:p>
        </w:tc>
        <w:tc>
          <w:tcPr>
            <w:tcW w:w="1814" w:type="dxa"/>
          </w:tcPr>
          <w:p w14:paraId="54EF70B9"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16</w:t>
            </w:r>
          </w:p>
        </w:tc>
        <w:tc>
          <w:tcPr>
            <w:tcW w:w="2665" w:type="dxa"/>
          </w:tcPr>
          <w:p w14:paraId="00C44C31"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1</w:t>
            </w:r>
          </w:p>
        </w:tc>
        <w:tc>
          <w:tcPr>
            <w:tcW w:w="1304" w:type="dxa"/>
          </w:tcPr>
          <w:p w14:paraId="05ABA542"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Cs w:val="24"/>
              </w:rPr>
            </w:pPr>
            <w:r w:rsidRPr="000F48FC">
              <w:rPr>
                <w:b/>
                <w:szCs w:val="24"/>
              </w:rPr>
              <w:t>22</w:t>
            </w:r>
          </w:p>
        </w:tc>
      </w:tr>
      <w:tr w:rsidR="00A525A6" w:rsidRPr="00852CA8" w14:paraId="2DE5EF03" w14:textId="77777777" w:rsidTr="00A52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13A62F12" w14:textId="77777777" w:rsidR="002A534C" w:rsidRPr="000F48FC" w:rsidRDefault="002A534C" w:rsidP="002A534C">
            <w:pPr>
              <w:rPr>
                <w:rFonts w:ascii="Calibri" w:eastAsia="Calibri" w:hAnsi="Calibri" w:cs="Times New Roman"/>
                <w:szCs w:val="24"/>
              </w:rPr>
            </w:pPr>
            <w:r w:rsidRPr="000F48FC">
              <w:rPr>
                <w:rFonts w:ascii="Calibri" w:eastAsia="Calibri" w:hAnsi="Calibri" w:cs="Times New Roman"/>
                <w:szCs w:val="24"/>
              </w:rPr>
              <w:t>2018</w:t>
            </w:r>
          </w:p>
        </w:tc>
        <w:tc>
          <w:tcPr>
            <w:tcW w:w="1814" w:type="dxa"/>
          </w:tcPr>
          <w:p w14:paraId="696890A7"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8</w:t>
            </w:r>
          </w:p>
        </w:tc>
        <w:tc>
          <w:tcPr>
            <w:tcW w:w="1814" w:type="dxa"/>
          </w:tcPr>
          <w:p w14:paraId="6B824752"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26</w:t>
            </w:r>
          </w:p>
        </w:tc>
        <w:tc>
          <w:tcPr>
            <w:tcW w:w="2665" w:type="dxa"/>
          </w:tcPr>
          <w:p w14:paraId="7FF7057A"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1</w:t>
            </w:r>
          </w:p>
        </w:tc>
        <w:tc>
          <w:tcPr>
            <w:tcW w:w="1304" w:type="dxa"/>
          </w:tcPr>
          <w:p w14:paraId="429A20B7"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Cs w:val="24"/>
              </w:rPr>
            </w:pPr>
            <w:r w:rsidRPr="000F48FC">
              <w:rPr>
                <w:b/>
                <w:szCs w:val="24"/>
              </w:rPr>
              <w:t>35</w:t>
            </w:r>
          </w:p>
        </w:tc>
      </w:tr>
      <w:tr w:rsidR="00A525A6" w:rsidRPr="00852CA8" w14:paraId="386A382C" w14:textId="77777777" w:rsidTr="00A525A6">
        <w:tc>
          <w:tcPr>
            <w:cnfStyle w:val="001000000000" w:firstRow="0" w:lastRow="0" w:firstColumn="1" w:lastColumn="0" w:oddVBand="0" w:evenVBand="0" w:oddHBand="0" w:evenHBand="0" w:firstRowFirstColumn="0" w:firstRowLastColumn="0" w:lastRowFirstColumn="0" w:lastRowLastColumn="0"/>
            <w:tcW w:w="1417" w:type="dxa"/>
          </w:tcPr>
          <w:p w14:paraId="690F1A75" w14:textId="77777777" w:rsidR="002A534C" w:rsidRPr="000F48FC" w:rsidRDefault="002A534C" w:rsidP="002A534C">
            <w:pPr>
              <w:rPr>
                <w:rFonts w:ascii="Calibri" w:eastAsia="Calibri" w:hAnsi="Calibri" w:cs="Times New Roman"/>
                <w:szCs w:val="24"/>
              </w:rPr>
            </w:pPr>
            <w:r w:rsidRPr="000F48FC">
              <w:rPr>
                <w:rFonts w:ascii="Calibri" w:eastAsia="Calibri" w:hAnsi="Calibri" w:cs="Times New Roman"/>
                <w:szCs w:val="24"/>
              </w:rPr>
              <w:t>2017</w:t>
            </w:r>
          </w:p>
        </w:tc>
        <w:tc>
          <w:tcPr>
            <w:tcW w:w="1814" w:type="dxa"/>
          </w:tcPr>
          <w:p w14:paraId="0376E894"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6</w:t>
            </w:r>
          </w:p>
        </w:tc>
        <w:tc>
          <w:tcPr>
            <w:tcW w:w="1814" w:type="dxa"/>
          </w:tcPr>
          <w:p w14:paraId="03C522BA"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19</w:t>
            </w:r>
          </w:p>
        </w:tc>
        <w:tc>
          <w:tcPr>
            <w:tcW w:w="2665" w:type="dxa"/>
          </w:tcPr>
          <w:p w14:paraId="3CD1EC72"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0</w:t>
            </w:r>
          </w:p>
        </w:tc>
        <w:tc>
          <w:tcPr>
            <w:tcW w:w="1304" w:type="dxa"/>
          </w:tcPr>
          <w:p w14:paraId="5C68B810"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Cs w:val="24"/>
              </w:rPr>
            </w:pPr>
            <w:r w:rsidRPr="000F48FC">
              <w:rPr>
                <w:b/>
                <w:szCs w:val="24"/>
              </w:rPr>
              <w:t>25</w:t>
            </w:r>
          </w:p>
        </w:tc>
      </w:tr>
    </w:tbl>
    <w:p w14:paraId="3CBF21DD" w14:textId="2C7D780A" w:rsidR="002A534C" w:rsidRPr="00585B6B" w:rsidRDefault="002A534C" w:rsidP="006E1022">
      <w:pPr>
        <w:pStyle w:val="paragraph"/>
        <w:spacing w:before="480" w:beforeAutospacing="0" w:after="480" w:afterAutospacing="0"/>
        <w:textAlignment w:val="baseline"/>
        <w:rPr>
          <w:rStyle w:val="normaltextrun"/>
          <w:rFonts w:ascii="Calibri" w:eastAsiaTheme="majorEastAsia" w:hAnsi="Calibri" w:cs="Calibri"/>
          <w:sz w:val="28"/>
          <w:szCs w:val="28"/>
        </w:rPr>
      </w:pPr>
      <w:r w:rsidRPr="00466012">
        <w:rPr>
          <w:rStyle w:val="normaltextrun"/>
          <w:rFonts w:ascii="Calibri" w:eastAsiaTheme="majorEastAsia" w:hAnsi="Calibri" w:cs="Calibri"/>
        </w:rPr>
        <w:t xml:space="preserve">The majority of requestors are </w:t>
      </w:r>
      <w:r w:rsidR="00857BAF" w:rsidRPr="00466012">
        <w:rPr>
          <w:rStyle w:val="normaltextrun"/>
          <w:rFonts w:ascii="Calibri" w:eastAsiaTheme="majorEastAsia" w:hAnsi="Calibri" w:cs="Calibri"/>
        </w:rPr>
        <w:t xml:space="preserve">third </w:t>
      </w:r>
      <w:r w:rsidRPr="00466012">
        <w:rPr>
          <w:rStyle w:val="normaltextrun"/>
          <w:rFonts w:ascii="Calibri" w:eastAsiaTheme="majorEastAsia" w:hAnsi="Calibri" w:cs="Calibri"/>
        </w:rPr>
        <w:t xml:space="preserve">parties or anonymous, with a minority of requests being made by the patentee. Of the 83 requests that proceeded to an opinion, 37 were made by a </w:t>
      </w:r>
      <w:r w:rsidRPr="00466012">
        <w:rPr>
          <w:rStyle w:val="normaltextrun"/>
          <w:rFonts w:ascii="Calibri" w:eastAsiaTheme="majorEastAsia" w:hAnsi="Calibri" w:cs="Calibri"/>
        </w:rPr>
        <w:lastRenderedPageBreak/>
        <w:t>third party (45%), 32 were made by an agent without disclosing the requestor (39%), while only 14 were made by the patentee (17%).</w:t>
      </w:r>
    </w:p>
    <w:p w14:paraId="0B82ED2F" w14:textId="7890984A" w:rsidR="002A534C" w:rsidRPr="000F48FC" w:rsidRDefault="002A534C" w:rsidP="002A534C">
      <w:pPr>
        <w:keepNext/>
        <w:spacing w:line="240" w:lineRule="auto"/>
        <w:rPr>
          <w:rFonts w:ascii="Calibri" w:eastAsia="Calibri" w:hAnsi="Calibri" w:cs="Times New Roman"/>
          <w:i/>
          <w:color w:val="005677"/>
        </w:rPr>
      </w:pPr>
      <w:r w:rsidRPr="0C89C1B6">
        <w:rPr>
          <w:rFonts w:ascii="Calibri" w:eastAsia="Calibri" w:hAnsi="Calibri" w:cs="Times New Roman"/>
          <w:i/>
          <w:color w:val="005677" w:themeColor="text2"/>
        </w:rPr>
        <w:t xml:space="preserve">Table </w:t>
      </w:r>
      <w:r w:rsidR="004C6A9D">
        <w:rPr>
          <w:rFonts w:ascii="Calibri" w:eastAsia="Calibri" w:hAnsi="Calibri" w:cs="Times New Roman"/>
          <w:i/>
          <w:color w:val="005677" w:themeColor="text2"/>
        </w:rPr>
        <w:t>4</w:t>
      </w:r>
      <w:r w:rsidR="004C6A9D" w:rsidRPr="0C89C1B6">
        <w:rPr>
          <w:rFonts w:ascii="Calibri" w:eastAsia="Calibri" w:hAnsi="Calibri" w:cs="Times New Roman"/>
          <w:i/>
          <w:color w:val="005677" w:themeColor="text2"/>
        </w:rPr>
        <w:t xml:space="preserve"> </w:t>
      </w:r>
      <w:r w:rsidRPr="0C89C1B6">
        <w:rPr>
          <w:rFonts w:ascii="Calibri" w:eastAsia="Calibri" w:hAnsi="Calibri" w:cs="Times New Roman"/>
          <w:i/>
          <w:color w:val="005677" w:themeColor="text2"/>
        </w:rPr>
        <w:t>– Aggregate requestor statistics for UK opinion service</w:t>
      </w:r>
      <w:r w:rsidR="456E204D" w:rsidRPr="0C89C1B6">
        <w:rPr>
          <w:rFonts w:ascii="Calibri" w:eastAsia="Calibri" w:hAnsi="Calibri" w:cs="Times New Roman"/>
          <w:i/>
          <w:iCs/>
          <w:color w:val="005677" w:themeColor="text2"/>
        </w:rPr>
        <w:t>.</w:t>
      </w:r>
      <w:r w:rsidRPr="0C89C1B6">
        <w:rPr>
          <w:rFonts w:ascii="Calibri" w:eastAsia="Calibri" w:hAnsi="Calibri" w:cs="Times New Roman"/>
          <w:i/>
          <w:color w:val="005677" w:themeColor="text2"/>
        </w:rPr>
        <w:t xml:space="preserve"> </w:t>
      </w:r>
    </w:p>
    <w:tbl>
      <w:tblPr>
        <w:tblStyle w:val="ListTable3-Accent31"/>
        <w:tblW w:w="9042" w:type="dxa"/>
        <w:tblLook w:val="04A0" w:firstRow="1" w:lastRow="0" w:firstColumn="1" w:lastColumn="0" w:noHBand="0" w:noVBand="1"/>
        <w:tblCaption w:val="Sample table"/>
        <w:tblDescription w:val="Add text broadly describing the table. You do not need to replicate the whole contents."/>
      </w:tblPr>
      <w:tblGrid>
        <w:gridCol w:w="2551"/>
        <w:gridCol w:w="2551"/>
        <w:gridCol w:w="2665"/>
        <w:gridCol w:w="1275"/>
      </w:tblGrid>
      <w:tr w:rsidR="002A534C" w:rsidRPr="00852CA8" w14:paraId="7304AF8B" w14:textId="77777777" w:rsidTr="006E10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51" w:type="dxa"/>
          </w:tcPr>
          <w:p w14:paraId="38D1EC02" w14:textId="77777777" w:rsidR="002A534C" w:rsidRPr="000F48FC" w:rsidRDefault="002A534C" w:rsidP="002A534C">
            <w:pPr>
              <w:rPr>
                <w:rFonts w:ascii="Calibri" w:eastAsia="Calibri" w:hAnsi="Calibri" w:cs="Times New Roman"/>
                <w:szCs w:val="24"/>
              </w:rPr>
            </w:pPr>
            <w:r w:rsidRPr="000F48FC">
              <w:rPr>
                <w:rFonts w:ascii="Calibri" w:eastAsia="Calibri" w:hAnsi="Calibri" w:cs="Times New Roman"/>
                <w:szCs w:val="24"/>
              </w:rPr>
              <w:t>Request by patentee</w:t>
            </w:r>
          </w:p>
        </w:tc>
        <w:tc>
          <w:tcPr>
            <w:tcW w:w="2551" w:type="dxa"/>
          </w:tcPr>
          <w:p w14:paraId="6857CA96" w14:textId="77777777"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Request by 3</w:t>
            </w:r>
            <w:r w:rsidRPr="000F48FC">
              <w:rPr>
                <w:rFonts w:ascii="Calibri" w:eastAsia="Calibri" w:hAnsi="Calibri" w:cs="Times New Roman"/>
                <w:szCs w:val="24"/>
                <w:vertAlign w:val="superscript"/>
              </w:rPr>
              <w:t>rd</w:t>
            </w:r>
            <w:r w:rsidRPr="000F48FC">
              <w:rPr>
                <w:rFonts w:ascii="Calibri" w:eastAsia="Calibri" w:hAnsi="Calibri" w:cs="Times New Roman"/>
                <w:szCs w:val="24"/>
              </w:rPr>
              <w:t xml:space="preserve"> party</w:t>
            </w:r>
          </w:p>
        </w:tc>
        <w:tc>
          <w:tcPr>
            <w:tcW w:w="2665" w:type="dxa"/>
          </w:tcPr>
          <w:p w14:paraId="0B03CFBC" w14:textId="02BB84BB"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Request by agent (anon</w:t>
            </w:r>
            <w:r w:rsidR="00B42DCE" w:rsidRPr="000F48FC">
              <w:rPr>
                <w:rFonts w:ascii="Calibri" w:eastAsia="Calibri" w:hAnsi="Calibri" w:cs="Times New Roman"/>
                <w:szCs w:val="24"/>
              </w:rPr>
              <w:t>)</w:t>
            </w:r>
          </w:p>
        </w:tc>
        <w:tc>
          <w:tcPr>
            <w:tcW w:w="1275" w:type="dxa"/>
          </w:tcPr>
          <w:p w14:paraId="2C4520B6" w14:textId="77777777"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Total</w:t>
            </w:r>
          </w:p>
        </w:tc>
      </w:tr>
      <w:tr w:rsidR="002A534C" w:rsidRPr="00852CA8" w14:paraId="1710AA84" w14:textId="77777777" w:rsidTr="006E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15CF6800" w14:textId="77777777" w:rsidR="002A534C" w:rsidRPr="000F48FC" w:rsidRDefault="002A534C" w:rsidP="002A534C">
            <w:pPr>
              <w:rPr>
                <w:rFonts w:ascii="Calibri" w:eastAsia="Calibri" w:hAnsi="Calibri" w:cs="Times New Roman"/>
                <w:szCs w:val="24"/>
              </w:rPr>
            </w:pPr>
            <w:r w:rsidRPr="000F48FC">
              <w:rPr>
                <w:szCs w:val="24"/>
              </w:rPr>
              <w:t>14</w:t>
            </w:r>
          </w:p>
        </w:tc>
        <w:tc>
          <w:tcPr>
            <w:tcW w:w="2551" w:type="dxa"/>
          </w:tcPr>
          <w:p w14:paraId="50D58F42"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szCs w:val="24"/>
              </w:rPr>
              <w:t>37</w:t>
            </w:r>
          </w:p>
        </w:tc>
        <w:tc>
          <w:tcPr>
            <w:tcW w:w="2665" w:type="dxa"/>
          </w:tcPr>
          <w:p w14:paraId="2BE5A6DA"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szCs w:val="24"/>
              </w:rPr>
              <w:t>32</w:t>
            </w:r>
          </w:p>
        </w:tc>
        <w:tc>
          <w:tcPr>
            <w:tcW w:w="1275" w:type="dxa"/>
          </w:tcPr>
          <w:p w14:paraId="243EC4CD"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b/>
                <w:szCs w:val="24"/>
              </w:rPr>
              <w:t>83</w:t>
            </w:r>
          </w:p>
        </w:tc>
      </w:tr>
    </w:tbl>
    <w:p w14:paraId="48FFAA66" w14:textId="77777777" w:rsidR="0012452C" w:rsidRDefault="0012452C" w:rsidP="00B17837">
      <w:pPr>
        <w:pStyle w:val="paragraph"/>
        <w:spacing w:before="120" w:beforeAutospacing="0" w:after="0" w:afterAutospacing="0"/>
        <w:textAlignment w:val="baseline"/>
        <w:rPr>
          <w:rStyle w:val="normaltextrun"/>
          <w:rFonts w:ascii="Calibri" w:eastAsiaTheme="majorEastAsia" w:hAnsi="Calibri" w:cs="Calibri"/>
          <w:szCs w:val="22"/>
          <w:lang w:eastAsia="en-US"/>
        </w:rPr>
      </w:pPr>
    </w:p>
    <w:p w14:paraId="0A0DDC41" w14:textId="0FBF2C90" w:rsidR="002A534C" w:rsidRPr="00466012" w:rsidRDefault="002A534C" w:rsidP="00B17837">
      <w:pPr>
        <w:pStyle w:val="paragraph"/>
        <w:spacing w:before="120" w:beforeAutospacing="0" w:after="0" w:afterAutospacing="0"/>
        <w:textAlignment w:val="baseline"/>
        <w:rPr>
          <w:rStyle w:val="normaltextrun"/>
          <w:rFonts w:ascii="Calibri" w:eastAsiaTheme="majorEastAsia" w:hAnsi="Calibri" w:cs="Calibri"/>
        </w:rPr>
      </w:pPr>
      <w:r w:rsidRPr="00466012">
        <w:rPr>
          <w:rStyle w:val="normaltextrun"/>
          <w:rFonts w:ascii="Calibri" w:eastAsiaTheme="majorEastAsia" w:hAnsi="Calibri" w:cs="Calibri"/>
        </w:rPr>
        <w:t xml:space="preserve">Infringement opinions were more likely to find that the product or process did not infringe the patent (64%), than to find that it did infringe the patent (36%). However, it should be noted that this is a small sample. Validity opinions were evenly split, with 33 finding the patent valid (52%) and 31 finding </w:t>
      </w:r>
      <w:r w:rsidR="004D742D" w:rsidRPr="00466012">
        <w:rPr>
          <w:rStyle w:val="normaltextrun"/>
          <w:rFonts w:ascii="Calibri" w:eastAsiaTheme="majorEastAsia" w:hAnsi="Calibri" w:cs="Calibri"/>
        </w:rPr>
        <w:t xml:space="preserve">that </w:t>
      </w:r>
      <w:r w:rsidRPr="00466012">
        <w:rPr>
          <w:rStyle w:val="normaltextrun"/>
          <w:rFonts w:ascii="Calibri" w:eastAsiaTheme="majorEastAsia" w:hAnsi="Calibri" w:cs="Calibri"/>
        </w:rPr>
        <w:t xml:space="preserve">the patent would be (at least partly) invalid (48%). </w:t>
      </w:r>
    </w:p>
    <w:p w14:paraId="0BBE07DC" w14:textId="293FD435" w:rsidR="002A534C" w:rsidRPr="000F48FC" w:rsidRDefault="002A534C" w:rsidP="006E1022">
      <w:pPr>
        <w:keepNext/>
        <w:spacing w:before="360" w:line="240" w:lineRule="auto"/>
        <w:rPr>
          <w:rFonts w:ascii="Calibri" w:eastAsia="Calibri" w:hAnsi="Calibri" w:cs="Times New Roman"/>
          <w:i/>
          <w:color w:val="005677"/>
        </w:rPr>
      </w:pPr>
      <w:r w:rsidRPr="0C89C1B6">
        <w:rPr>
          <w:rFonts w:ascii="Calibri" w:eastAsia="Calibri" w:hAnsi="Calibri" w:cs="Times New Roman"/>
          <w:i/>
          <w:color w:val="005677" w:themeColor="text2"/>
        </w:rPr>
        <w:t xml:space="preserve">Table </w:t>
      </w:r>
      <w:r w:rsidR="004C6A9D">
        <w:rPr>
          <w:rFonts w:ascii="Calibri" w:eastAsia="Calibri" w:hAnsi="Calibri" w:cs="Times New Roman"/>
          <w:i/>
          <w:color w:val="005677" w:themeColor="text2"/>
        </w:rPr>
        <w:t>5</w:t>
      </w:r>
      <w:r w:rsidRPr="0C89C1B6">
        <w:rPr>
          <w:rFonts w:ascii="Calibri" w:eastAsia="Calibri" w:hAnsi="Calibri" w:cs="Times New Roman"/>
          <w:i/>
          <w:color w:val="005677" w:themeColor="text2"/>
        </w:rPr>
        <w:t xml:space="preserve"> – Aggregate outcome statistics for UK opinion service</w:t>
      </w:r>
      <w:r w:rsidR="20630FB0" w:rsidRPr="0C89C1B6">
        <w:rPr>
          <w:rFonts w:ascii="Calibri" w:eastAsia="Calibri" w:hAnsi="Calibri" w:cs="Times New Roman"/>
          <w:i/>
          <w:iCs/>
          <w:color w:val="005677" w:themeColor="text2"/>
        </w:rPr>
        <w:t>.</w:t>
      </w:r>
      <w:r w:rsidRPr="0C89C1B6">
        <w:rPr>
          <w:rFonts w:ascii="Calibri" w:eastAsia="Calibri" w:hAnsi="Calibri" w:cs="Times New Roman"/>
          <w:i/>
          <w:color w:val="005677" w:themeColor="text2"/>
        </w:rPr>
        <w:t xml:space="preserve"> </w:t>
      </w:r>
    </w:p>
    <w:tbl>
      <w:tblPr>
        <w:tblStyle w:val="ListTable3-Accent31"/>
        <w:tblW w:w="9067" w:type="dxa"/>
        <w:tblLook w:val="04A0" w:firstRow="1" w:lastRow="0" w:firstColumn="1" w:lastColumn="0" w:noHBand="0" w:noVBand="1"/>
        <w:tblCaption w:val="Sample table"/>
        <w:tblDescription w:val="Add text broadly describing the table. You do not need to replicate the whole contents."/>
      </w:tblPr>
      <w:tblGrid>
        <w:gridCol w:w="1980"/>
        <w:gridCol w:w="1417"/>
        <w:gridCol w:w="1985"/>
        <w:gridCol w:w="1559"/>
        <w:gridCol w:w="2126"/>
      </w:tblGrid>
      <w:tr w:rsidR="002A534C" w:rsidRPr="00852CA8" w14:paraId="633E5841" w14:textId="77777777" w:rsidTr="79344E9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Pr>
          <w:p w14:paraId="14402A90" w14:textId="77777777" w:rsidR="002A534C" w:rsidRPr="000F48FC" w:rsidRDefault="002A534C" w:rsidP="002A534C">
            <w:pPr>
              <w:rPr>
                <w:rFonts w:ascii="Calibri" w:eastAsia="Calibri" w:hAnsi="Calibri" w:cs="Times New Roman"/>
                <w:szCs w:val="24"/>
              </w:rPr>
            </w:pPr>
            <w:r w:rsidRPr="000F48FC">
              <w:rPr>
                <w:rFonts w:ascii="Calibri" w:eastAsia="Calibri" w:hAnsi="Calibri" w:cs="Times New Roman"/>
                <w:szCs w:val="24"/>
              </w:rPr>
              <w:t>Issue</w:t>
            </w:r>
          </w:p>
        </w:tc>
        <w:tc>
          <w:tcPr>
            <w:tcW w:w="1417" w:type="dxa"/>
          </w:tcPr>
          <w:p w14:paraId="7CAD8D28" w14:textId="77777777"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Infringes</w:t>
            </w:r>
          </w:p>
        </w:tc>
        <w:tc>
          <w:tcPr>
            <w:tcW w:w="1985" w:type="dxa"/>
          </w:tcPr>
          <w:p w14:paraId="290D363D" w14:textId="77777777"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Does not infringe</w:t>
            </w:r>
          </w:p>
        </w:tc>
        <w:tc>
          <w:tcPr>
            <w:tcW w:w="1559" w:type="dxa"/>
          </w:tcPr>
          <w:p w14:paraId="7AE67BA0" w14:textId="77777777"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Patent valid</w:t>
            </w:r>
          </w:p>
        </w:tc>
        <w:tc>
          <w:tcPr>
            <w:tcW w:w="2126" w:type="dxa"/>
          </w:tcPr>
          <w:p w14:paraId="7721B58A" w14:textId="77777777"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Patent invalid</w:t>
            </w:r>
          </w:p>
        </w:tc>
      </w:tr>
      <w:tr w:rsidR="002A534C" w:rsidRPr="00852CA8" w14:paraId="18C544DF" w14:textId="77777777" w:rsidTr="79344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9CCAFD2" w14:textId="77777777" w:rsidR="002A534C" w:rsidRPr="000F48FC" w:rsidRDefault="002A534C" w:rsidP="002A534C">
            <w:pPr>
              <w:rPr>
                <w:rFonts w:ascii="Calibri" w:eastAsia="Calibri" w:hAnsi="Calibri" w:cs="Times New Roman"/>
                <w:szCs w:val="24"/>
              </w:rPr>
            </w:pPr>
            <w:r w:rsidRPr="000F48FC">
              <w:rPr>
                <w:rFonts w:ascii="Calibri" w:eastAsia="Calibri" w:hAnsi="Calibri" w:cs="Times New Roman"/>
                <w:szCs w:val="24"/>
              </w:rPr>
              <w:t>Infringement</w:t>
            </w:r>
          </w:p>
        </w:tc>
        <w:tc>
          <w:tcPr>
            <w:tcW w:w="1417" w:type="dxa"/>
          </w:tcPr>
          <w:p w14:paraId="6C81EEF1"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8</w:t>
            </w:r>
          </w:p>
        </w:tc>
        <w:tc>
          <w:tcPr>
            <w:tcW w:w="1985" w:type="dxa"/>
          </w:tcPr>
          <w:p w14:paraId="4FB883B8"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14</w:t>
            </w:r>
          </w:p>
        </w:tc>
        <w:tc>
          <w:tcPr>
            <w:tcW w:w="1559" w:type="dxa"/>
          </w:tcPr>
          <w:p w14:paraId="74A20088"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w:t>
            </w:r>
          </w:p>
        </w:tc>
        <w:tc>
          <w:tcPr>
            <w:tcW w:w="2126" w:type="dxa"/>
          </w:tcPr>
          <w:p w14:paraId="05FB67AE"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w:t>
            </w:r>
          </w:p>
        </w:tc>
      </w:tr>
      <w:tr w:rsidR="002A534C" w:rsidRPr="00852CA8" w14:paraId="74A409F9" w14:textId="77777777" w:rsidTr="79344E9E">
        <w:tc>
          <w:tcPr>
            <w:cnfStyle w:val="001000000000" w:firstRow="0" w:lastRow="0" w:firstColumn="1" w:lastColumn="0" w:oddVBand="0" w:evenVBand="0" w:oddHBand="0" w:evenHBand="0" w:firstRowFirstColumn="0" w:firstRowLastColumn="0" w:lastRowFirstColumn="0" w:lastRowLastColumn="0"/>
            <w:tcW w:w="1980" w:type="dxa"/>
          </w:tcPr>
          <w:p w14:paraId="62EFDD80" w14:textId="77777777" w:rsidR="002A534C" w:rsidRPr="000F48FC" w:rsidRDefault="002A534C" w:rsidP="002A534C">
            <w:pPr>
              <w:rPr>
                <w:rFonts w:ascii="Calibri" w:eastAsia="Calibri" w:hAnsi="Calibri" w:cs="Times New Roman"/>
                <w:szCs w:val="24"/>
              </w:rPr>
            </w:pPr>
            <w:r w:rsidRPr="000F48FC">
              <w:rPr>
                <w:rFonts w:ascii="Calibri" w:eastAsia="Calibri" w:hAnsi="Calibri" w:cs="Times New Roman"/>
                <w:szCs w:val="24"/>
              </w:rPr>
              <w:t>Validity</w:t>
            </w:r>
          </w:p>
        </w:tc>
        <w:tc>
          <w:tcPr>
            <w:tcW w:w="1417" w:type="dxa"/>
          </w:tcPr>
          <w:p w14:paraId="27116413"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szCs w:val="24"/>
              </w:rPr>
              <w:t>-</w:t>
            </w:r>
          </w:p>
        </w:tc>
        <w:tc>
          <w:tcPr>
            <w:tcW w:w="1985" w:type="dxa"/>
          </w:tcPr>
          <w:p w14:paraId="6138E7F2"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w:t>
            </w:r>
          </w:p>
        </w:tc>
        <w:tc>
          <w:tcPr>
            <w:tcW w:w="1559" w:type="dxa"/>
          </w:tcPr>
          <w:p w14:paraId="5F270DD9"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33</w:t>
            </w:r>
          </w:p>
        </w:tc>
        <w:tc>
          <w:tcPr>
            <w:tcW w:w="2126" w:type="dxa"/>
          </w:tcPr>
          <w:p w14:paraId="784B1CFD"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31</w:t>
            </w:r>
          </w:p>
        </w:tc>
      </w:tr>
    </w:tbl>
    <w:p w14:paraId="5714304D" w14:textId="6170C1EC" w:rsidR="002A534C" w:rsidRPr="00466012" w:rsidRDefault="002A534C" w:rsidP="006E1022">
      <w:pPr>
        <w:spacing w:before="360"/>
      </w:pPr>
      <w:r w:rsidRPr="00466012">
        <w:t xml:space="preserve">Since 2017, review has been requested for 9 opinions, with a review published in 8 of those cases. In all but one of those reviews, the original opinion was not set aside. </w:t>
      </w:r>
    </w:p>
    <w:p w14:paraId="291A77B1" w14:textId="10BCB1E0" w:rsidR="002A534C" w:rsidRPr="000F48FC" w:rsidRDefault="002A534C" w:rsidP="006E1022">
      <w:pPr>
        <w:keepNext/>
        <w:spacing w:before="480" w:line="240" w:lineRule="auto"/>
        <w:rPr>
          <w:rFonts w:ascii="Calibri" w:eastAsia="Calibri" w:hAnsi="Calibri" w:cs="Times New Roman"/>
          <w:i/>
          <w:color w:val="005677"/>
        </w:rPr>
      </w:pPr>
      <w:r w:rsidRPr="0C89C1B6">
        <w:rPr>
          <w:rFonts w:ascii="Calibri" w:eastAsia="Calibri" w:hAnsi="Calibri" w:cs="Times New Roman"/>
          <w:i/>
          <w:color w:val="005677"/>
        </w:rPr>
        <w:t xml:space="preserve">Table </w:t>
      </w:r>
      <w:r w:rsidR="004C6A9D">
        <w:rPr>
          <w:rFonts w:ascii="Calibri" w:eastAsia="Calibri" w:hAnsi="Calibri" w:cs="Times New Roman"/>
          <w:i/>
          <w:color w:val="005677" w:themeColor="text2"/>
        </w:rPr>
        <w:t>6</w:t>
      </w:r>
      <w:r w:rsidRPr="0C89C1B6">
        <w:rPr>
          <w:rFonts w:ascii="Calibri" w:eastAsia="Calibri" w:hAnsi="Calibri" w:cs="Times New Roman"/>
          <w:i/>
          <w:color w:val="005677"/>
        </w:rPr>
        <w:t xml:space="preserve"> – Aggregate review statistics for UK opinion service</w:t>
      </w:r>
      <w:r w:rsidR="468DB546" w:rsidRPr="4D879BC5">
        <w:rPr>
          <w:rFonts w:ascii="Calibri" w:eastAsia="Calibri" w:hAnsi="Calibri" w:cs="Times New Roman"/>
          <w:i/>
          <w:color w:val="005677" w:themeColor="text2"/>
        </w:rPr>
        <w:t>.</w:t>
      </w:r>
      <w:r w:rsidRPr="0C89C1B6">
        <w:rPr>
          <w:rStyle w:val="FootnoteReference"/>
          <w:rFonts w:ascii="Calibri" w:eastAsia="Calibri" w:hAnsi="Calibri" w:cs="Times New Roman"/>
          <w:i/>
          <w:color w:val="005677"/>
        </w:rPr>
        <w:footnoteReference w:id="159"/>
      </w:r>
    </w:p>
    <w:tbl>
      <w:tblPr>
        <w:tblStyle w:val="ListTable3-Accent31"/>
        <w:tblW w:w="9071" w:type="dxa"/>
        <w:tblLook w:val="04A0" w:firstRow="1" w:lastRow="0" w:firstColumn="1" w:lastColumn="0" w:noHBand="0" w:noVBand="1"/>
        <w:tblCaption w:val="Sample table"/>
        <w:tblDescription w:val="Add text broadly describing the table. You do not need to replicate the whole contents."/>
      </w:tblPr>
      <w:tblGrid>
        <w:gridCol w:w="2268"/>
        <w:gridCol w:w="2551"/>
        <w:gridCol w:w="2551"/>
        <w:gridCol w:w="1701"/>
      </w:tblGrid>
      <w:tr w:rsidR="002A534C" w:rsidRPr="00852CA8" w14:paraId="2DF8F06F" w14:textId="77777777" w:rsidTr="005735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776E8A94" w14:textId="77777777" w:rsidR="002A534C" w:rsidRPr="000F48FC" w:rsidRDefault="002A534C" w:rsidP="002A534C">
            <w:pPr>
              <w:rPr>
                <w:rFonts w:ascii="Calibri" w:eastAsia="Calibri" w:hAnsi="Calibri" w:cs="Times New Roman"/>
                <w:szCs w:val="24"/>
              </w:rPr>
            </w:pPr>
            <w:r w:rsidRPr="000F48FC">
              <w:rPr>
                <w:rFonts w:ascii="Calibri" w:eastAsia="Calibri" w:hAnsi="Calibri" w:cs="Times New Roman"/>
                <w:szCs w:val="24"/>
              </w:rPr>
              <w:t>Original opinion</w:t>
            </w:r>
          </w:p>
        </w:tc>
        <w:tc>
          <w:tcPr>
            <w:tcW w:w="2551" w:type="dxa"/>
          </w:tcPr>
          <w:p w14:paraId="66C74254" w14:textId="77777777"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Opinion not set aside</w:t>
            </w:r>
          </w:p>
        </w:tc>
        <w:tc>
          <w:tcPr>
            <w:tcW w:w="2551" w:type="dxa"/>
          </w:tcPr>
          <w:p w14:paraId="05488662" w14:textId="77777777"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Opinion set aside</w:t>
            </w:r>
          </w:p>
        </w:tc>
        <w:tc>
          <w:tcPr>
            <w:tcW w:w="1701" w:type="dxa"/>
          </w:tcPr>
          <w:p w14:paraId="4A58065D" w14:textId="77777777" w:rsidR="002A534C" w:rsidRPr="000F48FC" w:rsidRDefault="002A534C" w:rsidP="002A534C">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Total</w:t>
            </w:r>
          </w:p>
        </w:tc>
      </w:tr>
      <w:tr w:rsidR="002A534C" w:rsidRPr="00852CA8" w14:paraId="0B199D1D" w14:textId="77777777" w:rsidTr="00573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22C9336" w14:textId="77777777" w:rsidR="002A534C" w:rsidRPr="000F48FC" w:rsidRDefault="002A534C" w:rsidP="002A534C">
            <w:pPr>
              <w:rPr>
                <w:rFonts w:ascii="Calibri" w:eastAsia="Calibri" w:hAnsi="Calibri" w:cs="Times New Roman"/>
                <w:szCs w:val="24"/>
              </w:rPr>
            </w:pPr>
            <w:r w:rsidRPr="000F48FC">
              <w:rPr>
                <w:rFonts w:ascii="Calibri" w:eastAsia="Calibri" w:hAnsi="Calibri" w:cs="Times New Roman"/>
                <w:szCs w:val="24"/>
              </w:rPr>
              <w:t>Does not infringe</w:t>
            </w:r>
          </w:p>
        </w:tc>
        <w:tc>
          <w:tcPr>
            <w:tcW w:w="2551" w:type="dxa"/>
          </w:tcPr>
          <w:p w14:paraId="431863FF"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5</w:t>
            </w:r>
          </w:p>
        </w:tc>
        <w:tc>
          <w:tcPr>
            <w:tcW w:w="2551" w:type="dxa"/>
          </w:tcPr>
          <w:p w14:paraId="19C0FE43"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1</w:t>
            </w:r>
          </w:p>
        </w:tc>
        <w:tc>
          <w:tcPr>
            <w:tcW w:w="1701" w:type="dxa"/>
          </w:tcPr>
          <w:p w14:paraId="1BE714E7" w14:textId="77777777" w:rsidR="002A534C" w:rsidRPr="000F48FC" w:rsidRDefault="002A534C" w:rsidP="002A534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Cs w:val="24"/>
              </w:rPr>
            </w:pPr>
            <w:r w:rsidRPr="000F48FC">
              <w:rPr>
                <w:rFonts w:ascii="Calibri" w:eastAsia="Calibri" w:hAnsi="Calibri" w:cs="Times New Roman"/>
                <w:b/>
                <w:szCs w:val="24"/>
              </w:rPr>
              <w:t>6</w:t>
            </w:r>
          </w:p>
        </w:tc>
      </w:tr>
      <w:tr w:rsidR="002A534C" w:rsidRPr="00852CA8" w14:paraId="3E8C5ADF" w14:textId="77777777" w:rsidTr="005735E9">
        <w:tc>
          <w:tcPr>
            <w:cnfStyle w:val="001000000000" w:firstRow="0" w:lastRow="0" w:firstColumn="1" w:lastColumn="0" w:oddVBand="0" w:evenVBand="0" w:oddHBand="0" w:evenHBand="0" w:firstRowFirstColumn="0" w:firstRowLastColumn="0" w:lastRowFirstColumn="0" w:lastRowLastColumn="0"/>
            <w:tcW w:w="2268" w:type="dxa"/>
          </w:tcPr>
          <w:p w14:paraId="70AD280A" w14:textId="77777777" w:rsidR="002A534C" w:rsidRPr="000F48FC" w:rsidRDefault="002A534C" w:rsidP="002A534C">
            <w:pPr>
              <w:rPr>
                <w:rFonts w:ascii="Calibri" w:eastAsia="Calibri" w:hAnsi="Calibri" w:cs="Times New Roman"/>
                <w:szCs w:val="24"/>
              </w:rPr>
            </w:pPr>
            <w:r w:rsidRPr="000F48FC">
              <w:rPr>
                <w:rFonts w:ascii="Calibri" w:eastAsia="Calibri" w:hAnsi="Calibri" w:cs="Times New Roman"/>
                <w:szCs w:val="24"/>
              </w:rPr>
              <w:t>Patent invalid</w:t>
            </w:r>
          </w:p>
        </w:tc>
        <w:tc>
          <w:tcPr>
            <w:tcW w:w="2551" w:type="dxa"/>
          </w:tcPr>
          <w:p w14:paraId="3DE604EA"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2</w:t>
            </w:r>
          </w:p>
        </w:tc>
        <w:tc>
          <w:tcPr>
            <w:tcW w:w="2551" w:type="dxa"/>
          </w:tcPr>
          <w:p w14:paraId="3C575375"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0F48FC">
              <w:rPr>
                <w:rFonts w:ascii="Calibri" w:eastAsia="Calibri" w:hAnsi="Calibri" w:cs="Times New Roman"/>
                <w:szCs w:val="24"/>
              </w:rPr>
              <w:t>0</w:t>
            </w:r>
          </w:p>
        </w:tc>
        <w:tc>
          <w:tcPr>
            <w:tcW w:w="1701" w:type="dxa"/>
          </w:tcPr>
          <w:p w14:paraId="7D299028" w14:textId="77777777" w:rsidR="002A534C" w:rsidRPr="000F48FC" w:rsidRDefault="002A534C" w:rsidP="002A534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Cs w:val="24"/>
              </w:rPr>
            </w:pPr>
            <w:r w:rsidRPr="000F48FC">
              <w:rPr>
                <w:rFonts w:ascii="Calibri" w:eastAsia="Calibri" w:hAnsi="Calibri" w:cs="Times New Roman"/>
                <w:b/>
                <w:szCs w:val="24"/>
              </w:rPr>
              <w:t>2</w:t>
            </w:r>
          </w:p>
        </w:tc>
      </w:tr>
    </w:tbl>
    <w:p w14:paraId="2986FF18" w14:textId="061DA2A6" w:rsidR="002A534C" w:rsidRPr="006E1022" w:rsidRDefault="00F02BFF" w:rsidP="006E1022">
      <w:pPr>
        <w:spacing w:before="360"/>
        <w:rPr>
          <w:rStyle w:val="normaltextrun"/>
          <w:rFonts w:ascii="Calibri" w:eastAsiaTheme="majorEastAsia" w:hAnsi="Calibri" w:cs="Arial (Body CS)"/>
          <w:spacing w:val="-2"/>
          <w:sz w:val="28"/>
          <w:szCs w:val="28"/>
        </w:rPr>
      </w:pPr>
      <w:r>
        <w:rPr>
          <w:rFonts w:cs="Arial (Body CS)"/>
          <w:spacing w:val="-2"/>
        </w:rPr>
        <w:lastRenderedPageBreak/>
        <w:t>A</w:t>
      </w:r>
      <w:r w:rsidR="00966C35" w:rsidRPr="006E1022">
        <w:rPr>
          <w:rFonts w:cs="Arial (Body CS)"/>
          <w:spacing w:val="-2"/>
        </w:rPr>
        <w:t xml:space="preserve"> party who is dissatisfied with the review of an opinion may appeal to a court. Since the inception of the UK opinion service only 2 reviews have been appealed and in both cases the appeal was dismissed with the court refusing to interfere with the UKIPO’s review decision.</w:t>
      </w:r>
      <w:r w:rsidR="00966C35" w:rsidRPr="4D879BC5">
        <w:rPr>
          <w:rStyle w:val="FootnoteReference"/>
          <w:rFonts w:cs="Arial (Body CS)"/>
          <w:spacing w:val="-2"/>
        </w:rPr>
        <w:footnoteReference w:id="160"/>
      </w:r>
      <w:r w:rsidR="00966C35" w:rsidRPr="006E1022">
        <w:rPr>
          <w:rFonts w:cs="Arial (Body CS)"/>
          <w:spacing w:val="-2"/>
        </w:rPr>
        <w:t xml:space="preserve"> </w:t>
      </w:r>
    </w:p>
    <w:p w14:paraId="77F6C9F3" w14:textId="2343A572" w:rsidR="4EF12081" w:rsidRPr="00585B6B" w:rsidRDefault="2DCFA22C" w:rsidP="00585B6B">
      <w:pPr>
        <w:pStyle w:val="Heading2"/>
      </w:pPr>
      <w:r>
        <w:t>WIPO Arbitration and Mediation Center</w:t>
      </w:r>
    </w:p>
    <w:p w14:paraId="6777D51D" w14:textId="5C8949ED" w:rsidR="00CA487E" w:rsidRPr="006E1022" w:rsidRDefault="002A534C" w:rsidP="00585B6B">
      <w:pPr>
        <w:rPr>
          <w:spacing w:val="-4"/>
          <w:szCs w:val="24"/>
        </w:rPr>
      </w:pPr>
      <w:r w:rsidRPr="4D879BC5">
        <w:rPr>
          <w:spacing w:val="-4"/>
        </w:rPr>
        <w:t xml:space="preserve">The </w:t>
      </w:r>
      <w:r w:rsidR="00230C16" w:rsidRPr="4D879BC5">
        <w:rPr>
          <w:spacing w:val="-4"/>
        </w:rPr>
        <w:t>World Intellectual Property Organization (</w:t>
      </w:r>
      <w:r w:rsidRPr="4D879BC5">
        <w:rPr>
          <w:spacing w:val="-4"/>
        </w:rPr>
        <w:t>WIPO</w:t>
      </w:r>
      <w:r w:rsidR="00230C16" w:rsidRPr="006E1022">
        <w:rPr>
          <w:spacing w:val="-4"/>
          <w:szCs w:val="24"/>
        </w:rPr>
        <w:t>)</w:t>
      </w:r>
      <w:r w:rsidRPr="4D879BC5">
        <w:rPr>
          <w:spacing w:val="-4"/>
        </w:rPr>
        <w:t xml:space="preserve"> Arbitration and Mediation Center </w:t>
      </w:r>
      <w:r w:rsidR="009503D2" w:rsidRPr="4D879BC5">
        <w:rPr>
          <w:spacing w:val="-4"/>
        </w:rPr>
        <w:t>(AMC</w:t>
      </w:r>
      <w:r w:rsidRPr="4D879BC5">
        <w:rPr>
          <w:spacing w:val="-4"/>
        </w:rPr>
        <w:t>) is a neutral, international and non-profit A</w:t>
      </w:r>
      <w:r w:rsidR="41342C91" w:rsidRPr="4D879BC5">
        <w:rPr>
          <w:spacing w:val="-4"/>
        </w:rPr>
        <w:t>lternative Dispute Resolution (ADR)</w:t>
      </w:r>
      <w:r w:rsidRPr="4D879BC5">
        <w:rPr>
          <w:spacing w:val="-4"/>
        </w:rPr>
        <w:t xml:space="preserve"> service, offering mediation, arbitration, expedited arbitration and expert determination services.</w:t>
      </w:r>
      <w:r w:rsidRPr="4D879BC5">
        <w:rPr>
          <w:rStyle w:val="FootnoteReference"/>
          <w:rFonts w:eastAsia="Calibri" w:cs="Times New Roman"/>
          <w:spacing w:val="-4"/>
        </w:rPr>
        <w:footnoteReference w:id="161"/>
      </w:r>
      <w:r w:rsidRPr="4D879BC5">
        <w:rPr>
          <w:spacing w:val="-4"/>
        </w:rPr>
        <w:t xml:space="preserve"> The</w:t>
      </w:r>
      <w:r w:rsidR="000158EF">
        <w:t> </w:t>
      </w:r>
      <w:r w:rsidRPr="4D879BC5">
        <w:rPr>
          <w:spacing w:val="-4"/>
        </w:rPr>
        <w:t>WIPO</w:t>
      </w:r>
      <w:r w:rsidR="000158EF">
        <w:t> </w:t>
      </w:r>
      <w:r w:rsidRPr="4D879BC5">
        <w:rPr>
          <w:spacing w:val="-4"/>
        </w:rPr>
        <w:t>AMC was set up in Geneva in 1994, and has had an office in Singapore since 2010.</w:t>
      </w:r>
      <w:r w:rsidRPr="4D879BC5">
        <w:rPr>
          <w:rStyle w:val="FootnoteReference"/>
          <w:rFonts w:eastAsia="Calibri" w:cs="Times New Roman"/>
          <w:spacing w:val="-4"/>
        </w:rPr>
        <w:footnoteReference w:id="162"/>
      </w:r>
      <w:r w:rsidRPr="4D879BC5">
        <w:rPr>
          <w:spacing w:val="-4"/>
        </w:rPr>
        <w:t xml:space="preserve"> It has conducted over 700 ADR cases since its inception, involving parties based in over 50</w:t>
      </w:r>
      <w:r w:rsidR="006E1022" w:rsidRPr="006E1022">
        <w:rPr>
          <w:spacing w:val="-4"/>
          <w:szCs w:val="24"/>
        </w:rPr>
        <w:t xml:space="preserve"> </w:t>
      </w:r>
      <w:r w:rsidRPr="4D879BC5">
        <w:rPr>
          <w:spacing w:val="-4"/>
        </w:rPr>
        <w:t>jurisdictions (including Australia) in relation to disputes ranging in value from $15,000</w:t>
      </w:r>
      <w:r w:rsidR="000158EF">
        <w:t> </w:t>
      </w:r>
      <w:r w:rsidRPr="4D879BC5">
        <w:rPr>
          <w:spacing w:val="-4"/>
        </w:rPr>
        <w:t>to</w:t>
      </w:r>
      <w:r w:rsidR="000158EF">
        <w:t> </w:t>
      </w:r>
      <w:r w:rsidRPr="4D879BC5">
        <w:rPr>
          <w:spacing w:val="-4"/>
        </w:rPr>
        <w:t>$1</w:t>
      </w:r>
      <w:r w:rsidR="000158EF">
        <w:t> </w:t>
      </w:r>
      <w:r w:rsidRPr="4D879BC5">
        <w:rPr>
          <w:spacing w:val="-4"/>
        </w:rPr>
        <w:t>billion</w:t>
      </w:r>
      <w:r w:rsidR="00995669" w:rsidRPr="006E1022">
        <w:rPr>
          <w:spacing w:val="-4"/>
          <w:szCs w:val="24"/>
        </w:rPr>
        <w:t>.</w:t>
      </w:r>
      <w:r w:rsidRPr="006E1022">
        <w:rPr>
          <w:spacing w:val="-4"/>
          <w:szCs w:val="24"/>
        </w:rPr>
        <w:t xml:space="preserve"> (</w:t>
      </w:r>
      <w:r w:rsidR="00995669" w:rsidRPr="4D879BC5">
        <w:rPr>
          <w:spacing w:val="-4"/>
        </w:rPr>
        <w:t>N</w:t>
      </w:r>
      <w:r w:rsidRPr="4D879BC5">
        <w:rPr>
          <w:spacing w:val="-4"/>
        </w:rPr>
        <w:t xml:space="preserve">ote </w:t>
      </w:r>
      <w:r w:rsidR="00995669" w:rsidRPr="4D879BC5">
        <w:rPr>
          <w:spacing w:val="-4"/>
        </w:rPr>
        <w:t xml:space="preserve">that </w:t>
      </w:r>
      <w:r w:rsidRPr="4D879BC5">
        <w:rPr>
          <w:spacing w:val="-4"/>
        </w:rPr>
        <w:t xml:space="preserve">all amounts in this section of the appendix are US dollars). </w:t>
      </w:r>
    </w:p>
    <w:p w14:paraId="66321743" w14:textId="58C6ABDC" w:rsidR="002A534C" w:rsidRPr="00F939E9" w:rsidRDefault="00333A97" w:rsidP="00585B6B">
      <w:pPr>
        <w:pStyle w:val="Heading3"/>
        <w:rPr>
          <w:color w:val="005677"/>
        </w:rPr>
      </w:pPr>
      <w:r>
        <w:t>M</w:t>
      </w:r>
      <w:r w:rsidR="002A534C" w:rsidRPr="4EF12081">
        <w:t xml:space="preserve">ediation at </w:t>
      </w:r>
      <w:r w:rsidR="002904AC">
        <w:t xml:space="preserve">the </w:t>
      </w:r>
      <w:r w:rsidR="002A534C" w:rsidRPr="4EF12081">
        <w:t>WIPO AMC</w:t>
      </w:r>
    </w:p>
    <w:p w14:paraId="2AB35489" w14:textId="354A9384" w:rsidR="002A534C" w:rsidRPr="006E1022" w:rsidRDefault="002A534C" w:rsidP="006E1022">
      <w:pPr>
        <w:spacing w:after="60"/>
        <w:rPr>
          <w:rStyle w:val="FootnoteReference"/>
          <w:rFonts w:ascii="Calibri" w:eastAsia="Calibri" w:hAnsi="Calibri" w:cs="Times New Roman"/>
          <w:spacing w:val="-6"/>
        </w:rPr>
      </w:pPr>
      <w:r w:rsidRPr="0C89C1B6">
        <w:rPr>
          <w:rFonts w:ascii="Calibri" w:eastAsia="Calibri" w:hAnsi="Calibri" w:cs="Times New Roman"/>
          <w:spacing w:val="-6"/>
        </w:rPr>
        <w:t>Mediation is where a neutral mediator helps the parties to reach a mutually satisfactory settlement of their dispute. WIPO AMC mediations are confidential</w:t>
      </w:r>
      <w:r w:rsidR="00995669" w:rsidRPr="0C89C1B6">
        <w:rPr>
          <w:rFonts w:ascii="Calibri" w:eastAsia="Calibri" w:hAnsi="Calibri" w:cs="Times New Roman"/>
          <w:spacing w:val="-6"/>
        </w:rPr>
        <w:t xml:space="preserve"> and </w:t>
      </w:r>
      <w:r w:rsidRPr="0C89C1B6">
        <w:rPr>
          <w:rFonts w:ascii="Calibri" w:eastAsia="Calibri" w:hAnsi="Calibri" w:cs="Times New Roman"/>
          <w:spacing w:val="-6"/>
        </w:rPr>
        <w:t>non-binding (unless the parties reach an agreement, which is then enforceable as a contract), and guided by the business interests of the parties.</w:t>
      </w:r>
      <w:r w:rsidRPr="0C89C1B6">
        <w:rPr>
          <w:rStyle w:val="FootnoteReference"/>
          <w:rFonts w:ascii="Calibri" w:eastAsia="Calibri" w:hAnsi="Calibri" w:cs="Times New Roman"/>
          <w:spacing w:val="-6"/>
        </w:rPr>
        <w:footnoteReference w:id="163"/>
      </w:r>
      <w:r w:rsidRPr="0C89C1B6">
        <w:rPr>
          <w:rFonts w:ascii="Calibri" w:eastAsia="Calibri" w:hAnsi="Calibri" w:cs="Times New Roman"/>
          <w:spacing w:val="-6"/>
        </w:rPr>
        <w:t xml:space="preserve"> The main procedural steps in a WIPO AMC mediation are:</w:t>
      </w:r>
    </w:p>
    <w:p w14:paraId="3CBED487" w14:textId="5D1D922A" w:rsidR="002A534C" w:rsidRPr="00466012" w:rsidRDefault="00995669" w:rsidP="004E3C05">
      <w:pPr>
        <w:pStyle w:val="ListParagraph"/>
        <w:numPr>
          <w:ilvl w:val="0"/>
          <w:numId w:val="23"/>
        </w:numPr>
        <w:rPr>
          <w:szCs w:val="24"/>
        </w:rPr>
      </w:pPr>
      <w:r w:rsidRPr="00466012">
        <w:rPr>
          <w:szCs w:val="24"/>
        </w:rPr>
        <w:t xml:space="preserve">request </w:t>
      </w:r>
      <w:r w:rsidR="002A534C" w:rsidRPr="00466012">
        <w:rPr>
          <w:szCs w:val="24"/>
        </w:rPr>
        <w:t>for mediation</w:t>
      </w:r>
    </w:p>
    <w:p w14:paraId="7FEC00D4" w14:textId="527D3517" w:rsidR="002A534C" w:rsidRPr="00466012" w:rsidRDefault="00995669" w:rsidP="004E3C05">
      <w:pPr>
        <w:pStyle w:val="ListParagraph"/>
        <w:numPr>
          <w:ilvl w:val="0"/>
          <w:numId w:val="23"/>
        </w:numPr>
        <w:rPr>
          <w:szCs w:val="24"/>
        </w:rPr>
      </w:pPr>
      <w:r w:rsidRPr="00466012">
        <w:rPr>
          <w:szCs w:val="24"/>
        </w:rPr>
        <w:t xml:space="preserve">appointment </w:t>
      </w:r>
      <w:r w:rsidR="002A534C" w:rsidRPr="00466012">
        <w:rPr>
          <w:szCs w:val="24"/>
        </w:rPr>
        <w:t>of a mediator</w:t>
      </w:r>
    </w:p>
    <w:p w14:paraId="1BE8B14A" w14:textId="286A9969" w:rsidR="002A534C" w:rsidRPr="00466012" w:rsidRDefault="00995669" w:rsidP="004E3C05">
      <w:pPr>
        <w:pStyle w:val="ListParagraph"/>
        <w:numPr>
          <w:ilvl w:val="0"/>
          <w:numId w:val="23"/>
        </w:numPr>
        <w:rPr>
          <w:szCs w:val="24"/>
        </w:rPr>
      </w:pPr>
      <w:r w:rsidRPr="00466012">
        <w:rPr>
          <w:szCs w:val="24"/>
        </w:rPr>
        <w:t xml:space="preserve">initial </w:t>
      </w:r>
      <w:r w:rsidR="002A534C" w:rsidRPr="00466012">
        <w:rPr>
          <w:szCs w:val="24"/>
        </w:rPr>
        <w:t>contact between the mediator and the parties (set up first meeting and agree on preliminary exchange of documents)</w:t>
      </w:r>
    </w:p>
    <w:p w14:paraId="48E6297E" w14:textId="4223CB4E" w:rsidR="002A534C" w:rsidRPr="006E1022" w:rsidRDefault="00995669" w:rsidP="004E3C05">
      <w:pPr>
        <w:pStyle w:val="ListParagraph"/>
        <w:numPr>
          <w:ilvl w:val="0"/>
          <w:numId w:val="23"/>
        </w:numPr>
        <w:rPr>
          <w:rFonts w:cs="Arial (Body CS)"/>
          <w:spacing w:val="-4"/>
          <w:szCs w:val="24"/>
        </w:rPr>
      </w:pPr>
      <w:r w:rsidRPr="006E1022">
        <w:rPr>
          <w:rFonts w:cs="Arial (Body CS)"/>
          <w:spacing w:val="-4"/>
          <w:szCs w:val="24"/>
        </w:rPr>
        <w:t xml:space="preserve">first </w:t>
      </w:r>
      <w:r w:rsidR="002A534C" w:rsidRPr="006E1022">
        <w:rPr>
          <w:rFonts w:cs="Arial (Body CS)"/>
          <w:spacing w:val="-4"/>
          <w:szCs w:val="24"/>
        </w:rPr>
        <w:t>and subsequent meetings (agree on ground rules of the process</w:t>
      </w:r>
      <w:r w:rsidRPr="006E1022">
        <w:rPr>
          <w:rFonts w:cs="Arial (Body CS)"/>
          <w:spacing w:val="-4"/>
          <w:szCs w:val="24"/>
        </w:rPr>
        <w:t xml:space="preserve">; </w:t>
      </w:r>
      <w:r w:rsidR="002A534C" w:rsidRPr="006E1022">
        <w:rPr>
          <w:rFonts w:cs="Arial (Body CS)"/>
          <w:spacing w:val="-4"/>
          <w:szCs w:val="24"/>
        </w:rPr>
        <w:t>gather information and identify issues</w:t>
      </w:r>
      <w:r w:rsidRPr="006E1022">
        <w:rPr>
          <w:rFonts w:cs="Arial (Body CS)"/>
          <w:spacing w:val="-4"/>
          <w:szCs w:val="24"/>
        </w:rPr>
        <w:t xml:space="preserve">; </w:t>
      </w:r>
      <w:r w:rsidR="002A534C" w:rsidRPr="006E1022">
        <w:rPr>
          <w:rFonts w:cs="Arial (Body CS)"/>
          <w:spacing w:val="-4"/>
          <w:szCs w:val="24"/>
        </w:rPr>
        <w:t>explore the interest of the parties</w:t>
      </w:r>
      <w:r w:rsidRPr="006E1022">
        <w:rPr>
          <w:rFonts w:cs="Arial (Body CS)"/>
          <w:spacing w:val="-4"/>
          <w:szCs w:val="24"/>
        </w:rPr>
        <w:t xml:space="preserve">; </w:t>
      </w:r>
      <w:r w:rsidR="002A534C" w:rsidRPr="006E1022">
        <w:rPr>
          <w:rFonts w:cs="Arial (Body CS)"/>
          <w:spacing w:val="-4"/>
          <w:szCs w:val="24"/>
        </w:rPr>
        <w:t>develop options for settlement</w:t>
      </w:r>
      <w:r w:rsidRPr="006E1022">
        <w:rPr>
          <w:rFonts w:cs="Arial (Body CS)"/>
          <w:spacing w:val="-4"/>
          <w:szCs w:val="24"/>
        </w:rPr>
        <w:t xml:space="preserve">; </w:t>
      </w:r>
      <w:r w:rsidR="002A534C" w:rsidRPr="006E1022">
        <w:rPr>
          <w:rFonts w:cs="Arial (Body CS)"/>
          <w:spacing w:val="-4"/>
          <w:szCs w:val="24"/>
        </w:rPr>
        <w:t>and evaluate options)</w:t>
      </w:r>
    </w:p>
    <w:p w14:paraId="40D296CC" w14:textId="25E7EF03" w:rsidR="00F67A20" w:rsidRDefault="00995669" w:rsidP="006E1022">
      <w:pPr>
        <w:pStyle w:val="ListParagraph"/>
        <w:numPr>
          <w:ilvl w:val="0"/>
          <w:numId w:val="23"/>
        </w:numPr>
        <w:spacing w:after="360"/>
        <w:rPr>
          <w:rFonts w:eastAsiaTheme="minorEastAsia"/>
        </w:rPr>
      </w:pPr>
      <w:r>
        <w:t>conclusion.</w:t>
      </w:r>
      <w:r w:rsidRPr="0C89C1B6">
        <w:rPr>
          <w:rStyle w:val="FootnoteReference"/>
          <w:rFonts w:ascii="Calibri" w:eastAsia="Calibri" w:hAnsi="Calibri" w:cs="Times New Roman"/>
        </w:rPr>
        <w:footnoteReference w:id="164"/>
      </w:r>
      <w:r w:rsidR="00F67A20">
        <w:br w:type="page"/>
      </w:r>
    </w:p>
    <w:p w14:paraId="69EFE9A5" w14:textId="77777777" w:rsidR="002A534C" w:rsidRPr="006E1022" w:rsidRDefault="002A534C" w:rsidP="006E1022">
      <w:pPr>
        <w:spacing w:after="60"/>
        <w:rPr>
          <w:rStyle w:val="FootnoteReference"/>
          <w:rFonts w:ascii="Calibri" w:eastAsia="Calibri" w:hAnsi="Calibri" w:cs="Times New Roman"/>
          <w:spacing w:val="-2"/>
        </w:rPr>
      </w:pPr>
      <w:r w:rsidRPr="0C89C1B6">
        <w:rPr>
          <w:rFonts w:ascii="Calibri" w:eastAsia="Calibri" w:hAnsi="Calibri" w:cs="Times New Roman"/>
          <w:spacing w:val="-2"/>
        </w:rPr>
        <w:lastRenderedPageBreak/>
        <w:t>WIPO AMC mediation fees (usually shared equally between the parties) depend on the amount in dispute:</w:t>
      </w:r>
    </w:p>
    <w:p w14:paraId="33E36178" w14:textId="77777777" w:rsidR="002A534C" w:rsidRPr="006E1022" w:rsidRDefault="002A534C" w:rsidP="004E3C05">
      <w:pPr>
        <w:pStyle w:val="ListParagraph"/>
        <w:numPr>
          <w:ilvl w:val="0"/>
          <w:numId w:val="24"/>
        </w:numPr>
        <w:rPr>
          <w:rFonts w:ascii="Calibri" w:hAnsi="Calibri"/>
          <w:spacing w:val="-2"/>
          <w:szCs w:val="24"/>
        </w:rPr>
      </w:pPr>
      <w:r w:rsidRPr="006E1022">
        <w:rPr>
          <w:rFonts w:ascii="Calibri" w:hAnsi="Calibri"/>
          <w:spacing w:val="-2"/>
          <w:szCs w:val="24"/>
        </w:rPr>
        <w:t>For disputes up to $250,000, the administration fee is $250 and the mediator’s fee is usually $2,500.</w:t>
      </w:r>
    </w:p>
    <w:p w14:paraId="1DF9679C" w14:textId="20E3C9C1" w:rsidR="3FFF65A7" w:rsidRPr="006E1022" w:rsidRDefault="002A534C" w:rsidP="004E3C05">
      <w:pPr>
        <w:pStyle w:val="ListParagraph"/>
        <w:numPr>
          <w:ilvl w:val="0"/>
          <w:numId w:val="24"/>
        </w:numPr>
        <w:rPr>
          <w:rFonts w:eastAsiaTheme="minorEastAsia"/>
          <w:spacing w:val="-2"/>
        </w:rPr>
      </w:pPr>
      <w:r w:rsidRPr="0C89C1B6">
        <w:rPr>
          <w:rFonts w:ascii="Calibri" w:hAnsi="Calibri"/>
          <w:spacing w:val="-2"/>
        </w:rPr>
        <w:t>For disputes over $250,000, the administration fee is 0.10% of the value of the dispute (capped at $10,000), and the mediator’s fee is usually between $300 – $600 per hour or $1,500 – $3,500 per day.</w:t>
      </w:r>
      <w:r w:rsidRPr="0C89C1B6">
        <w:rPr>
          <w:rStyle w:val="FootnoteReference"/>
          <w:rFonts w:ascii="Calibri" w:eastAsia="Calibri" w:hAnsi="Calibri" w:cs="Times New Roman"/>
        </w:rPr>
        <w:footnoteReference w:id="165"/>
      </w:r>
    </w:p>
    <w:p w14:paraId="2EFBC7C3" w14:textId="365232A0" w:rsidR="00CA487E" w:rsidRDefault="00CA487E" w:rsidP="00585B6B">
      <w:pPr>
        <w:pStyle w:val="Heading3"/>
      </w:pPr>
      <w:r w:rsidRPr="00585B6B">
        <w:t>Arbitration</w:t>
      </w:r>
      <w:r>
        <w:t xml:space="preserve"> at </w:t>
      </w:r>
      <w:r w:rsidR="00621455">
        <w:t xml:space="preserve">the </w:t>
      </w:r>
      <w:r>
        <w:t>WIPO AMC</w:t>
      </w:r>
    </w:p>
    <w:p w14:paraId="09AFB59D" w14:textId="339B769C" w:rsidR="002A534C" w:rsidRPr="00466012" w:rsidRDefault="00CA487E" w:rsidP="002A534C">
      <w:pPr>
        <w:rPr>
          <w:rStyle w:val="FootnoteReference"/>
          <w:rFonts w:ascii="Calibri" w:eastAsia="Calibri" w:hAnsi="Calibri" w:cs="Times New Roman"/>
        </w:rPr>
      </w:pPr>
      <w:r w:rsidRPr="0C89C1B6">
        <w:t>A</w:t>
      </w:r>
      <w:r w:rsidR="002A534C" w:rsidRPr="0C89C1B6">
        <w:t>rbitration is where the parties agree to the dispute being settled by an independent arbitrator. WIPO AMC arbitrations are consensual (the parties must both agree to enter into arbitration), neutral (with parties choosing the arbitrator), confidential, and enforceable.</w:t>
      </w:r>
      <w:r w:rsidR="002A534C" w:rsidRPr="0C89C1B6">
        <w:rPr>
          <w:rStyle w:val="FootnoteReference"/>
          <w:rFonts w:ascii="Calibri" w:eastAsia="Calibri" w:hAnsi="Calibri" w:cs="Times New Roman"/>
        </w:rPr>
        <w:footnoteReference w:id="166"/>
      </w:r>
      <w:r w:rsidR="002A534C" w:rsidRPr="0C89C1B6">
        <w:t xml:space="preserve"> The main procedural steps in a WIPO AMC arbitration are:</w:t>
      </w:r>
    </w:p>
    <w:p w14:paraId="34D6F359" w14:textId="67B811EA" w:rsidR="002A534C" w:rsidRPr="00466012" w:rsidRDefault="00995669" w:rsidP="004E3C05">
      <w:pPr>
        <w:pStyle w:val="ListParagraph"/>
        <w:numPr>
          <w:ilvl w:val="0"/>
          <w:numId w:val="25"/>
        </w:numPr>
        <w:rPr>
          <w:szCs w:val="24"/>
        </w:rPr>
      </w:pPr>
      <w:r w:rsidRPr="00466012">
        <w:rPr>
          <w:szCs w:val="24"/>
        </w:rPr>
        <w:t>r</w:t>
      </w:r>
      <w:r w:rsidR="002A534C" w:rsidRPr="00466012">
        <w:rPr>
          <w:szCs w:val="24"/>
        </w:rPr>
        <w:t>equest for arbitration</w:t>
      </w:r>
    </w:p>
    <w:p w14:paraId="35425BDC" w14:textId="1B9427BC" w:rsidR="002A534C" w:rsidRPr="00466012" w:rsidRDefault="00995669" w:rsidP="004E3C05">
      <w:pPr>
        <w:pStyle w:val="ListParagraph"/>
        <w:numPr>
          <w:ilvl w:val="0"/>
          <w:numId w:val="25"/>
        </w:numPr>
        <w:rPr>
          <w:szCs w:val="24"/>
        </w:rPr>
      </w:pPr>
      <w:r w:rsidRPr="00466012">
        <w:rPr>
          <w:szCs w:val="24"/>
        </w:rPr>
        <w:t>a</w:t>
      </w:r>
      <w:r w:rsidR="002A534C" w:rsidRPr="00466012">
        <w:rPr>
          <w:szCs w:val="24"/>
        </w:rPr>
        <w:t>nswer to request for arbitration</w:t>
      </w:r>
    </w:p>
    <w:p w14:paraId="4DCAE3CC" w14:textId="1DC51617" w:rsidR="002A534C" w:rsidRPr="00466012" w:rsidRDefault="00995669" w:rsidP="004E3C05">
      <w:pPr>
        <w:pStyle w:val="ListParagraph"/>
        <w:numPr>
          <w:ilvl w:val="0"/>
          <w:numId w:val="25"/>
        </w:numPr>
        <w:rPr>
          <w:szCs w:val="24"/>
        </w:rPr>
      </w:pPr>
      <w:r w:rsidRPr="00466012">
        <w:rPr>
          <w:szCs w:val="24"/>
        </w:rPr>
        <w:t>a</w:t>
      </w:r>
      <w:r w:rsidR="002A534C" w:rsidRPr="00466012">
        <w:rPr>
          <w:szCs w:val="24"/>
        </w:rPr>
        <w:t>ppointment of arbitrator(s)</w:t>
      </w:r>
    </w:p>
    <w:p w14:paraId="7B91D545" w14:textId="2CED2C13" w:rsidR="002A534C" w:rsidRPr="00466012" w:rsidRDefault="00995669" w:rsidP="004E3C05">
      <w:pPr>
        <w:pStyle w:val="ListParagraph"/>
        <w:numPr>
          <w:ilvl w:val="0"/>
          <w:numId w:val="25"/>
        </w:numPr>
        <w:rPr>
          <w:szCs w:val="24"/>
        </w:rPr>
      </w:pPr>
      <w:r w:rsidRPr="00466012">
        <w:rPr>
          <w:szCs w:val="24"/>
        </w:rPr>
        <w:t>s</w:t>
      </w:r>
      <w:r w:rsidR="002A534C" w:rsidRPr="00466012">
        <w:rPr>
          <w:szCs w:val="24"/>
        </w:rPr>
        <w:t>tatement of claim</w:t>
      </w:r>
    </w:p>
    <w:p w14:paraId="24AFBD97" w14:textId="21C0A5D4" w:rsidR="002A534C" w:rsidRPr="00466012" w:rsidRDefault="00995669" w:rsidP="0041485D">
      <w:pPr>
        <w:pStyle w:val="ListParagraph"/>
        <w:numPr>
          <w:ilvl w:val="0"/>
          <w:numId w:val="25"/>
        </w:numPr>
        <w:rPr>
          <w:szCs w:val="24"/>
        </w:rPr>
      </w:pPr>
      <w:r w:rsidRPr="00466012">
        <w:rPr>
          <w:szCs w:val="24"/>
        </w:rPr>
        <w:t>s</w:t>
      </w:r>
      <w:r w:rsidR="002A534C" w:rsidRPr="00466012">
        <w:rPr>
          <w:szCs w:val="24"/>
        </w:rPr>
        <w:t>tatement of defence</w:t>
      </w:r>
    </w:p>
    <w:p w14:paraId="050917B6" w14:textId="76A67015" w:rsidR="002A534C" w:rsidRPr="00466012" w:rsidRDefault="00995669" w:rsidP="00674F75">
      <w:pPr>
        <w:pStyle w:val="ListParagraph"/>
        <w:numPr>
          <w:ilvl w:val="0"/>
          <w:numId w:val="25"/>
        </w:numPr>
        <w:rPr>
          <w:szCs w:val="24"/>
        </w:rPr>
      </w:pPr>
      <w:r w:rsidRPr="00466012">
        <w:rPr>
          <w:szCs w:val="24"/>
        </w:rPr>
        <w:t>f</w:t>
      </w:r>
      <w:r w:rsidR="002A534C" w:rsidRPr="00466012">
        <w:rPr>
          <w:szCs w:val="24"/>
        </w:rPr>
        <w:t>urther written statements and witness statements</w:t>
      </w:r>
    </w:p>
    <w:p w14:paraId="48DF4A07" w14:textId="6A26CD10" w:rsidR="002A534C" w:rsidRPr="00466012" w:rsidRDefault="00995669" w:rsidP="00377183">
      <w:pPr>
        <w:pStyle w:val="ListParagraph"/>
        <w:numPr>
          <w:ilvl w:val="0"/>
          <w:numId w:val="25"/>
        </w:numPr>
        <w:rPr>
          <w:szCs w:val="24"/>
        </w:rPr>
      </w:pPr>
      <w:r w:rsidRPr="00466012">
        <w:rPr>
          <w:szCs w:val="24"/>
        </w:rPr>
        <w:t>h</w:t>
      </w:r>
      <w:r w:rsidR="002A534C" w:rsidRPr="00466012">
        <w:rPr>
          <w:szCs w:val="24"/>
        </w:rPr>
        <w:t>earing</w:t>
      </w:r>
    </w:p>
    <w:p w14:paraId="3927CF20" w14:textId="6D95CD54" w:rsidR="002A534C" w:rsidRPr="00466012" w:rsidRDefault="00995669" w:rsidP="005C326D">
      <w:pPr>
        <w:pStyle w:val="ListParagraph"/>
        <w:numPr>
          <w:ilvl w:val="0"/>
          <w:numId w:val="25"/>
        </w:numPr>
        <w:rPr>
          <w:szCs w:val="24"/>
        </w:rPr>
      </w:pPr>
      <w:r w:rsidRPr="00466012">
        <w:rPr>
          <w:szCs w:val="24"/>
        </w:rPr>
        <w:t>c</w:t>
      </w:r>
      <w:r w:rsidR="002A534C" w:rsidRPr="00466012">
        <w:rPr>
          <w:szCs w:val="24"/>
        </w:rPr>
        <w:t>losure of proceedings</w:t>
      </w:r>
    </w:p>
    <w:p w14:paraId="4741DDA2" w14:textId="2B539F68" w:rsidR="00F67A20" w:rsidRDefault="00995669" w:rsidP="00F67A20">
      <w:pPr>
        <w:pStyle w:val="ListParagraph"/>
        <w:numPr>
          <w:ilvl w:val="0"/>
          <w:numId w:val="25"/>
        </w:numPr>
        <w:spacing w:after="480"/>
        <w:rPr>
          <w:rFonts w:eastAsiaTheme="minorEastAsia"/>
        </w:rPr>
      </w:pPr>
      <w:r>
        <w:t>f</w:t>
      </w:r>
      <w:r w:rsidR="002A534C">
        <w:t>inal award</w:t>
      </w:r>
      <w:r w:rsidR="004D742D">
        <w:t>.</w:t>
      </w:r>
      <w:r w:rsidRPr="0C89C1B6">
        <w:rPr>
          <w:rStyle w:val="FootnoteReference"/>
          <w:rFonts w:ascii="Calibri" w:eastAsia="Calibri" w:hAnsi="Calibri" w:cs="Times New Roman"/>
        </w:rPr>
        <w:footnoteReference w:id="167"/>
      </w:r>
      <w:r w:rsidR="00F67A20">
        <w:br w:type="page"/>
      </w:r>
    </w:p>
    <w:p w14:paraId="44E075FB" w14:textId="33D68CF1" w:rsidR="002A534C" w:rsidRPr="00466012" w:rsidRDefault="002A534C" w:rsidP="002A534C">
      <w:pPr>
        <w:rPr>
          <w:rStyle w:val="FootnoteReference"/>
          <w:rFonts w:ascii="Calibri" w:eastAsia="Calibri" w:hAnsi="Calibri" w:cs="Times New Roman"/>
        </w:rPr>
      </w:pPr>
      <w:r w:rsidRPr="0C89C1B6">
        <w:rPr>
          <w:rFonts w:ascii="Calibri" w:eastAsia="Calibri" w:hAnsi="Calibri" w:cs="Times New Roman"/>
        </w:rPr>
        <w:lastRenderedPageBreak/>
        <w:t>An arbitration can take up to 9 months to complete. Fees for WIPO AMC arbitrations vary</w:t>
      </w:r>
      <w:r w:rsidR="00CA271E" w:rsidRPr="0C89C1B6">
        <w:rPr>
          <w:rFonts w:ascii="Calibri" w:eastAsia="Calibri" w:hAnsi="Calibri" w:cs="Times New Roman"/>
        </w:rPr>
        <w:t>,</w:t>
      </w:r>
      <w:r w:rsidRPr="0C89C1B6">
        <w:rPr>
          <w:rFonts w:ascii="Calibri" w:eastAsia="Calibri" w:hAnsi="Calibri" w:cs="Times New Roman"/>
        </w:rPr>
        <w:t xml:space="preserve"> depending on the amount in dispute:</w:t>
      </w:r>
    </w:p>
    <w:p w14:paraId="721AE7C3" w14:textId="673045A9" w:rsidR="002A534C" w:rsidRPr="00F67A20" w:rsidRDefault="002A534C" w:rsidP="004E3C05">
      <w:pPr>
        <w:pStyle w:val="ListParagraph"/>
        <w:numPr>
          <w:ilvl w:val="0"/>
          <w:numId w:val="26"/>
        </w:numPr>
        <w:rPr>
          <w:rFonts w:cs="Arial (Body CS)"/>
          <w:spacing w:val="-4"/>
          <w:szCs w:val="24"/>
        </w:rPr>
      </w:pPr>
      <w:r w:rsidRPr="00F67A20">
        <w:rPr>
          <w:rFonts w:cs="Arial (Body CS)"/>
          <w:spacing w:val="-4"/>
          <w:szCs w:val="24"/>
        </w:rPr>
        <w:t xml:space="preserve">For disputes up to $2.5 million, there is a $2000 registration fee, a $2000 administration fee and arbitrator’s fees </w:t>
      </w:r>
      <w:r w:rsidR="00CC7A7B" w:rsidRPr="00F67A20">
        <w:rPr>
          <w:rFonts w:cs="Arial (Body CS)"/>
          <w:spacing w:val="-4"/>
          <w:szCs w:val="24"/>
        </w:rPr>
        <w:t xml:space="preserve">that </w:t>
      </w:r>
      <w:r w:rsidRPr="00F67A20">
        <w:rPr>
          <w:rFonts w:cs="Arial (Body CS)"/>
          <w:spacing w:val="-4"/>
          <w:szCs w:val="24"/>
        </w:rPr>
        <w:t xml:space="preserve">are usually </w:t>
      </w:r>
      <w:r w:rsidR="00CA271E" w:rsidRPr="00F67A20">
        <w:rPr>
          <w:rFonts w:cs="Arial (Body CS)"/>
          <w:spacing w:val="-4"/>
          <w:szCs w:val="24"/>
        </w:rPr>
        <w:t xml:space="preserve">between </w:t>
      </w:r>
      <w:r w:rsidRPr="00F67A20">
        <w:rPr>
          <w:rFonts w:cs="Arial (Body CS)"/>
          <w:spacing w:val="-4"/>
          <w:szCs w:val="24"/>
        </w:rPr>
        <w:t>$300</w:t>
      </w:r>
      <w:r w:rsidR="00CA271E" w:rsidRPr="00F67A20">
        <w:rPr>
          <w:rFonts w:cs="Arial (Body CS)"/>
          <w:spacing w:val="-4"/>
          <w:szCs w:val="24"/>
        </w:rPr>
        <w:t xml:space="preserve"> and $</w:t>
      </w:r>
      <w:r w:rsidRPr="00F67A20">
        <w:rPr>
          <w:rFonts w:cs="Arial (Body CS)"/>
          <w:spacing w:val="-4"/>
          <w:szCs w:val="24"/>
        </w:rPr>
        <w:t>600 per hour.</w:t>
      </w:r>
    </w:p>
    <w:p w14:paraId="0D3A0BEB" w14:textId="1B66D0B2" w:rsidR="002A534C" w:rsidRPr="00466012" w:rsidRDefault="002A534C" w:rsidP="004E3C05">
      <w:pPr>
        <w:pStyle w:val="ListParagraph"/>
        <w:numPr>
          <w:ilvl w:val="0"/>
          <w:numId w:val="26"/>
        </w:numPr>
        <w:rPr>
          <w:szCs w:val="24"/>
        </w:rPr>
      </w:pPr>
      <w:r w:rsidRPr="00466012">
        <w:rPr>
          <w:szCs w:val="24"/>
        </w:rPr>
        <w:t xml:space="preserve">For disputes between $2.5 million and $10 million, there is a $2000 registration fee, a $10,000 administration fee and arbitrator’s fees </w:t>
      </w:r>
      <w:r w:rsidR="00CC7A7B" w:rsidRPr="00466012">
        <w:rPr>
          <w:szCs w:val="24"/>
        </w:rPr>
        <w:t xml:space="preserve">that </w:t>
      </w:r>
      <w:r w:rsidRPr="00466012">
        <w:rPr>
          <w:szCs w:val="24"/>
        </w:rPr>
        <w:t xml:space="preserve">are usually </w:t>
      </w:r>
      <w:r w:rsidR="00CC7A7B" w:rsidRPr="00466012">
        <w:rPr>
          <w:szCs w:val="24"/>
        </w:rPr>
        <w:t xml:space="preserve">between </w:t>
      </w:r>
      <w:r w:rsidRPr="00466012">
        <w:rPr>
          <w:szCs w:val="24"/>
        </w:rPr>
        <w:t>$300</w:t>
      </w:r>
      <w:r w:rsidR="00CC7A7B" w:rsidRPr="00466012">
        <w:rPr>
          <w:szCs w:val="24"/>
        </w:rPr>
        <w:t xml:space="preserve"> and </w:t>
      </w:r>
      <w:r w:rsidRPr="00466012">
        <w:rPr>
          <w:szCs w:val="24"/>
        </w:rPr>
        <w:t>$600 per hour.</w:t>
      </w:r>
    </w:p>
    <w:p w14:paraId="06E7F564" w14:textId="340878E1" w:rsidR="002A534C" w:rsidRPr="00466012" w:rsidRDefault="002A534C" w:rsidP="00F67A20">
      <w:pPr>
        <w:pStyle w:val="ListParagraph"/>
        <w:numPr>
          <w:ilvl w:val="0"/>
          <w:numId w:val="26"/>
        </w:numPr>
        <w:spacing w:after="360"/>
        <w:rPr>
          <w:rFonts w:eastAsiaTheme="minorEastAsia"/>
        </w:rPr>
      </w:pPr>
      <w:r>
        <w:t xml:space="preserve">For disputes over $10 million, there is a $2000 registration fee, an administration fee of </w:t>
      </w:r>
      <w:r w:rsidR="00CC7A7B">
        <w:t xml:space="preserve">between </w:t>
      </w:r>
      <w:r>
        <w:t xml:space="preserve">$10,000 </w:t>
      </w:r>
      <w:r w:rsidR="00CC7A7B">
        <w:t xml:space="preserve">and </w:t>
      </w:r>
      <w:r>
        <w:t xml:space="preserve">$25,000 and arbitrator’s fees </w:t>
      </w:r>
      <w:r w:rsidR="00CC7A7B">
        <w:t xml:space="preserve">that </w:t>
      </w:r>
      <w:r>
        <w:t xml:space="preserve">are usually </w:t>
      </w:r>
      <w:r w:rsidR="00CC7A7B">
        <w:t xml:space="preserve">between </w:t>
      </w:r>
      <w:r>
        <w:t>$300</w:t>
      </w:r>
      <w:r w:rsidR="00CC7A7B">
        <w:t xml:space="preserve"> and </w:t>
      </w:r>
      <w:r>
        <w:t>$600 per hour.</w:t>
      </w:r>
      <w:r w:rsidRPr="0C89C1B6">
        <w:rPr>
          <w:rStyle w:val="FootnoteReference"/>
          <w:rFonts w:ascii="Calibri" w:eastAsia="Calibri" w:hAnsi="Calibri" w:cs="Times New Roman"/>
        </w:rPr>
        <w:footnoteReference w:id="168"/>
      </w:r>
    </w:p>
    <w:p w14:paraId="0BBDA797" w14:textId="77777777" w:rsidR="002A534C" w:rsidRPr="00585B6B" w:rsidRDefault="002A534C" w:rsidP="006F7EDE">
      <w:pPr>
        <w:keepNext/>
        <w:rPr>
          <w:rFonts w:ascii="Calibri" w:eastAsia="Calibri" w:hAnsi="Calibri" w:cs="Times New Roman"/>
          <w:sz w:val="32"/>
          <w:szCs w:val="32"/>
        </w:rPr>
      </w:pPr>
      <w:r w:rsidRPr="00585B6B">
        <w:rPr>
          <w:rFonts w:ascii="Calibri" w:eastAsia="Times New Roman" w:hAnsi="Calibri" w:cs="Times New Roman"/>
          <w:color w:val="005677" w:themeColor="text2"/>
          <w:sz w:val="32"/>
          <w:szCs w:val="32"/>
        </w:rPr>
        <w:t>Expedited arbitration at WIPO AMC</w:t>
      </w:r>
    </w:p>
    <w:p w14:paraId="05D3106B" w14:textId="77777777" w:rsidR="002A534C" w:rsidRPr="00466012" w:rsidRDefault="002A534C" w:rsidP="002A534C">
      <w:pPr>
        <w:rPr>
          <w:rStyle w:val="FootnoteReference"/>
          <w:rFonts w:ascii="Calibri" w:eastAsia="Calibri" w:hAnsi="Calibri" w:cs="Times New Roman"/>
        </w:rPr>
      </w:pPr>
      <w:r w:rsidRPr="0C89C1B6">
        <w:rPr>
          <w:rFonts w:ascii="Calibri" w:eastAsia="Calibri" w:hAnsi="Calibri" w:cs="Times New Roman"/>
        </w:rPr>
        <w:t>Expedited arbitration is similar to ordinary arbitration, except it is completed more quickly (within 6 weeks) and at reduced cost. The main procedural steps in a WIPO AMC expedited arbitration are:</w:t>
      </w:r>
    </w:p>
    <w:p w14:paraId="0D299411" w14:textId="26A88CD2" w:rsidR="002A534C" w:rsidRPr="00466012" w:rsidRDefault="007F1F5B" w:rsidP="004E3C05">
      <w:pPr>
        <w:pStyle w:val="ListParagraph"/>
        <w:numPr>
          <w:ilvl w:val="0"/>
          <w:numId w:val="25"/>
        </w:numPr>
        <w:rPr>
          <w:szCs w:val="24"/>
        </w:rPr>
      </w:pPr>
      <w:r w:rsidRPr="00466012">
        <w:rPr>
          <w:szCs w:val="24"/>
        </w:rPr>
        <w:t>r</w:t>
      </w:r>
      <w:r w:rsidR="002A534C" w:rsidRPr="00466012">
        <w:rPr>
          <w:szCs w:val="24"/>
        </w:rPr>
        <w:t>equest for arbitration and statement of claim</w:t>
      </w:r>
    </w:p>
    <w:p w14:paraId="0F2216B0" w14:textId="4AB0892E" w:rsidR="002A534C" w:rsidRPr="00466012" w:rsidRDefault="007F1F5B" w:rsidP="004E3C05">
      <w:pPr>
        <w:pStyle w:val="ListParagraph"/>
        <w:numPr>
          <w:ilvl w:val="0"/>
          <w:numId w:val="25"/>
        </w:numPr>
        <w:rPr>
          <w:szCs w:val="24"/>
        </w:rPr>
      </w:pPr>
      <w:r w:rsidRPr="00466012">
        <w:rPr>
          <w:szCs w:val="24"/>
        </w:rPr>
        <w:t>a</w:t>
      </w:r>
      <w:r w:rsidR="002A534C" w:rsidRPr="00466012">
        <w:rPr>
          <w:szCs w:val="24"/>
        </w:rPr>
        <w:t>nswer to request for arbitration and statement of defen</w:t>
      </w:r>
      <w:r w:rsidR="00A36C67" w:rsidRPr="00466012">
        <w:rPr>
          <w:szCs w:val="24"/>
        </w:rPr>
        <w:t>c</w:t>
      </w:r>
      <w:r w:rsidR="002A534C" w:rsidRPr="00466012">
        <w:rPr>
          <w:szCs w:val="24"/>
        </w:rPr>
        <w:t>e</w:t>
      </w:r>
    </w:p>
    <w:p w14:paraId="29CD0E7E" w14:textId="718B7EE7" w:rsidR="002A534C" w:rsidRPr="00466012" w:rsidRDefault="007F1F5B" w:rsidP="004E3C05">
      <w:pPr>
        <w:pStyle w:val="ListParagraph"/>
        <w:numPr>
          <w:ilvl w:val="0"/>
          <w:numId w:val="25"/>
        </w:numPr>
        <w:rPr>
          <w:szCs w:val="24"/>
        </w:rPr>
      </w:pPr>
      <w:r w:rsidRPr="00466012">
        <w:rPr>
          <w:szCs w:val="24"/>
        </w:rPr>
        <w:t>a</w:t>
      </w:r>
      <w:r w:rsidR="002A534C" w:rsidRPr="00466012">
        <w:rPr>
          <w:szCs w:val="24"/>
        </w:rPr>
        <w:t>ppointment of arbitrator(s)</w:t>
      </w:r>
    </w:p>
    <w:p w14:paraId="3AB1C639" w14:textId="0F9051EA" w:rsidR="002A534C" w:rsidRPr="00466012" w:rsidRDefault="007F1F5B" w:rsidP="004E3C05">
      <w:pPr>
        <w:pStyle w:val="ListParagraph"/>
        <w:numPr>
          <w:ilvl w:val="0"/>
          <w:numId w:val="25"/>
        </w:numPr>
        <w:rPr>
          <w:szCs w:val="24"/>
        </w:rPr>
      </w:pPr>
      <w:r w:rsidRPr="00466012">
        <w:rPr>
          <w:szCs w:val="24"/>
        </w:rPr>
        <w:t>h</w:t>
      </w:r>
      <w:r w:rsidR="002A534C" w:rsidRPr="00466012">
        <w:rPr>
          <w:szCs w:val="24"/>
        </w:rPr>
        <w:t>earing</w:t>
      </w:r>
    </w:p>
    <w:p w14:paraId="510E595D" w14:textId="2EA34A5C" w:rsidR="002A534C" w:rsidRPr="00466012" w:rsidRDefault="007F1F5B" w:rsidP="0041485D">
      <w:pPr>
        <w:pStyle w:val="ListParagraph"/>
        <w:numPr>
          <w:ilvl w:val="0"/>
          <w:numId w:val="25"/>
        </w:numPr>
        <w:rPr>
          <w:szCs w:val="24"/>
        </w:rPr>
      </w:pPr>
      <w:r w:rsidRPr="00466012">
        <w:rPr>
          <w:szCs w:val="24"/>
        </w:rPr>
        <w:t>c</w:t>
      </w:r>
      <w:r w:rsidR="002A534C" w:rsidRPr="00466012">
        <w:rPr>
          <w:szCs w:val="24"/>
        </w:rPr>
        <w:t>losure of proceedings</w:t>
      </w:r>
    </w:p>
    <w:p w14:paraId="2E872AC4" w14:textId="428FDA5A" w:rsidR="002A534C" w:rsidRPr="00466012" w:rsidRDefault="007F1F5B" w:rsidP="00F67A20">
      <w:pPr>
        <w:pStyle w:val="ListParagraph"/>
        <w:numPr>
          <w:ilvl w:val="0"/>
          <w:numId w:val="25"/>
        </w:numPr>
        <w:spacing w:after="360"/>
        <w:rPr>
          <w:rFonts w:eastAsiaTheme="minorEastAsia"/>
        </w:rPr>
      </w:pPr>
      <w:r>
        <w:t>f</w:t>
      </w:r>
      <w:r w:rsidR="002A534C">
        <w:t>inal award</w:t>
      </w:r>
      <w:r w:rsidR="005535C1">
        <w:t>.</w:t>
      </w:r>
      <w:r w:rsidRPr="0C89C1B6">
        <w:rPr>
          <w:rStyle w:val="FootnoteReference"/>
          <w:rFonts w:ascii="Calibri" w:eastAsia="Calibri" w:hAnsi="Calibri" w:cs="Times New Roman"/>
        </w:rPr>
        <w:footnoteReference w:id="169"/>
      </w:r>
    </w:p>
    <w:p w14:paraId="12805CD9" w14:textId="2FFF3095" w:rsidR="002A534C" w:rsidRPr="00F67A20" w:rsidRDefault="002A534C" w:rsidP="002A534C">
      <w:pPr>
        <w:rPr>
          <w:rStyle w:val="FootnoteReference"/>
          <w:rFonts w:ascii="Calibri" w:eastAsia="Calibri" w:hAnsi="Calibri" w:cs="Times New Roman"/>
          <w:spacing w:val="-4"/>
        </w:rPr>
      </w:pPr>
      <w:r w:rsidRPr="0C89C1B6">
        <w:rPr>
          <w:rFonts w:ascii="Calibri" w:eastAsia="Calibri" w:hAnsi="Calibri" w:cs="Times New Roman"/>
          <w:spacing w:val="-4"/>
        </w:rPr>
        <w:t xml:space="preserve">Expedited arbitrations may take up to 5 </w:t>
      </w:r>
      <w:r w:rsidR="00F67A20" w:rsidRPr="0C89C1B6">
        <w:rPr>
          <w:rFonts w:ascii="Calibri" w:eastAsia="Calibri" w:hAnsi="Calibri" w:cs="Times New Roman"/>
          <w:spacing w:val="-4"/>
        </w:rPr>
        <w:t>months but</w:t>
      </w:r>
      <w:r w:rsidRPr="0C89C1B6">
        <w:rPr>
          <w:rFonts w:ascii="Calibri" w:eastAsia="Calibri" w:hAnsi="Calibri" w:cs="Times New Roman"/>
          <w:spacing w:val="-4"/>
        </w:rPr>
        <w:t xml:space="preserve"> are often completed in as little as 6 weeks. Fees for WIPO AMC expedited arbitrations vary depending on the amount in dispute:</w:t>
      </w:r>
    </w:p>
    <w:p w14:paraId="6176BAC9" w14:textId="128E6622" w:rsidR="002A534C" w:rsidRPr="00466012" w:rsidRDefault="002A534C" w:rsidP="004E3C05">
      <w:pPr>
        <w:pStyle w:val="ListParagraph"/>
        <w:numPr>
          <w:ilvl w:val="0"/>
          <w:numId w:val="26"/>
        </w:numPr>
        <w:rPr>
          <w:szCs w:val="24"/>
        </w:rPr>
      </w:pPr>
      <w:r w:rsidRPr="00466012">
        <w:rPr>
          <w:szCs w:val="24"/>
        </w:rPr>
        <w:t>For disputes up to $2.5 million, there is a $1000 registration fee, a $1000</w:t>
      </w:r>
      <w:r w:rsidR="00F67A20">
        <w:rPr>
          <w:szCs w:val="24"/>
        </w:rPr>
        <w:t> </w:t>
      </w:r>
      <w:r w:rsidRPr="00466012">
        <w:rPr>
          <w:szCs w:val="24"/>
        </w:rPr>
        <w:t>administration fee and a fixed arbitrator’s fee of $20,000.</w:t>
      </w:r>
    </w:p>
    <w:p w14:paraId="22E89593" w14:textId="1E321658" w:rsidR="002A534C" w:rsidRPr="00466012" w:rsidRDefault="002A534C" w:rsidP="004E3C05">
      <w:pPr>
        <w:pStyle w:val="ListParagraph"/>
        <w:numPr>
          <w:ilvl w:val="0"/>
          <w:numId w:val="26"/>
        </w:numPr>
        <w:rPr>
          <w:szCs w:val="24"/>
        </w:rPr>
      </w:pPr>
      <w:r w:rsidRPr="00466012">
        <w:rPr>
          <w:szCs w:val="24"/>
        </w:rPr>
        <w:t>For disputes between $2.5 million and $10 million, there is a $1000 registration fee, a $5,000 administration fee and a fixed arbitrator’s fee of $40,000.</w:t>
      </w:r>
    </w:p>
    <w:p w14:paraId="4FBEF919" w14:textId="212A1DC2" w:rsidR="002A534C" w:rsidRPr="00466012" w:rsidRDefault="002A534C" w:rsidP="004E3C05">
      <w:pPr>
        <w:pStyle w:val="ListParagraph"/>
        <w:numPr>
          <w:ilvl w:val="0"/>
          <w:numId w:val="26"/>
        </w:numPr>
        <w:rPr>
          <w:rFonts w:eastAsiaTheme="minorEastAsia"/>
        </w:rPr>
      </w:pPr>
      <w:r>
        <w:lastRenderedPageBreak/>
        <w:t xml:space="preserve">For disputes over $10 million, there is a $1000 registration fee, an administration fee of $5,000 to $15,000 and arbitrator’s fees </w:t>
      </w:r>
      <w:r w:rsidR="00CC7A7B">
        <w:t>in the range of</w:t>
      </w:r>
      <w:r>
        <w:t xml:space="preserve"> $300</w:t>
      </w:r>
      <w:r w:rsidR="00CC7A7B">
        <w:t xml:space="preserve"> to $</w:t>
      </w:r>
      <w:r>
        <w:t>600 per hour.</w:t>
      </w:r>
      <w:r w:rsidRPr="0C89C1B6">
        <w:rPr>
          <w:rStyle w:val="FootnoteReference"/>
          <w:rFonts w:ascii="Calibri" w:eastAsia="Calibri" w:hAnsi="Calibri" w:cs="Times New Roman"/>
        </w:rPr>
        <w:footnoteReference w:id="170"/>
      </w:r>
    </w:p>
    <w:p w14:paraId="6C6725F8" w14:textId="77777777" w:rsidR="002A534C" w:rsidRPr="00585B6B" w:rsidRDefault="002A534C" w:rsidP="002A534C">
      <w:pPr>
        <w:rPr>
          <w:rFonts w:ascii="Calibri" w:eastAsia="Calibri" w:hAnsi="Calibri" w:cs="Times New Roman"/>
          <w:sz w:val="32"/>
          <w:szCs w:val="32"/>
        </w:rPr>
      </w:pPr>
      <w:r w:rsidRPr="00585B6B">
        <w:rPr>
          <w:rFonts w:ascii="Calibri" w:eastAsia="Times New Roman" w:hAnsi="Calibri" w:cs="Times New Roman"/>
          <w:color w:val="005677" w:themeColor="text2"/>
          <w:sz w:val="32"/>
          <w:szCs w:val="32"/>
        </w:rPr>
        <w:t>Expert determination at WIPO AMC</w:t>
      </w:r>
    </w:p>
    <w:p w14:paraId="4C289EE4" w14:textId="7204286F" w:rsidR="002A534C" w:rsidRPr="005735E9" w:rsidRDefault="007F1F5B" w:rsidP="002A534C">
      <w:pPr>
        <w:rPr>
          <w:rStyle w:val="FootnoteReference"/>
          <w:rFonts w:ascii="Calibri" w:eastAsia="Calibri" w:hAnsi="Calibri" w:cs="Times New Roman"/>
          <w:spacing w:val="-2"/>
        </w:rPr>
      </w:pPr>
      <w:r w:rsidRPr="0C89C1B6">
        <w:rPr>
          <w:rFonts w:ascii="Calibri" w:eastAsia="Calibri" w:hAnsi="Calibri" w:cs="Times New Roman"/>
          <w:spacing w:val="-2"/>
        </w:rPr>
        <w:t>‘</w:t>
      </w:r>
      <w:r w:rsidR="002A534C" w:rsidRPr="0C89C1B6">
        <w:rPr>
          <w:rFonts w:ascii="Calibri" w:eastAsia="Calibri" w:hAnsi="Calibri" w:cs="Times New Roman"/>
          <w:spacing w:val="-2"/>
        </w:rPr>
        <w:t>Expert determination</w:t>
      </w:r>
      <w:r w:rsidRPr="0C89C1B6">
        <w:rPr>
          <w:rFonts w:ascii="Calibri" w:eastAsia="Calibri" w:hAnsi="Calibri" w:cs="Times New Roman"/>
          <w:spacing w:val="-2"/>
        </w:rPr>
        <w:t>’</w:t>
      </w:r>
      <w:r w:rsidR="002A534C" w:rsidRPr="0C89C1B6">
        <w:rPr>
          <w:rFonts w:ascii="Calibri" w:eastAsia="Calibri" w:hAnsi="Calibri" w:cs="Times New Roman"/>
          <w:spacing w:val="-2"/>
        </w:rPr>
        <w:t xml:space="preserve"> is where parties submit a dispute or difference to one or more experts who make a determination on the matter. Expert determination is consensual, neutral and flexible (with parties choosing the expert)</w:t>
      </w:r>
      <w:r w:rsidRPr="0C89C1B6">
        <w:rPr>
          <w:rFonts w:ascii="Calibri" w:eastAsia="Calibri" w:hAnsi="Calibri" w:cs="Times New Roman"/>
          <w:spacing w:val="-2"/>
        </w:rPr>
        <w:t>;</w:t>
      </w:r>
      <w:r w:rsidR="002A534C" w:rsidRPr="0C89C1B6">
        <w:rPr>
          <w:rFonts w:ascii="Calibri" w:eastAsia="Calibri" w:hAnsi="Calibri" w:cs="Times New Roman"/>
          <w:spacing w:val="-2"/>
        </w:rPr>
        <w:t xml:space="preserve"> confidential</w:t>
      </w:r>
      <w:r w:rsidRPr="0C89C1B6">
        <w:rPr>
          <w:rFonts w:ascii="Calibri" w:eastAsia="Calibri" w:hAnsi="Calibri" w:cs="Times New Roman"/>
          <w:spacing w:val="-2"/>
        </w:rPr>
        <w:t>;</w:t>
      </w:r>
      <w:r w:rsidR="002A534C" w:rsidRPr="0C89C1B6">
        <w:rPr>
          <w:rFonts w:ascii="Calibri" w:eastAsia="Calibri" w:hAnsi="Calibri" w:cs="Times New Roman"/>
          <w:spacing w:val="-2"/>
        </w:rPr>
        <w:t xml:space="preserve"> and binding (unless the parties agree otherwise).</w:t>
      </w:r>
      <w:r w:rsidR="002A534C" w:rsidRPr="0C89C1B6">
        <w:rPr>
          <w:rStyle w:val="FootnoteReference"/>
          <w:rFonts w:ascii="Calibri" w:eastAsia="Calibri" w:hAnsi="Calibri" w:cs="Times New Roman"/>
          <w:spacing w:val="-2"/>
        </w:rPr>
        <w:footnoteReference w:id="171"/>
      </w:r>
      <w:r w:rsidR="002A534C" w:rsidRPr="0C89C1B6">
        <w:rPr>
          <w:rFonts w:ascii="Calibri" w:eastAsia="Calibri" w:hAnsi="Calibri" w:cs="Times New Roman"/>
          <w:spacing w:val="-2"/>
        </w:rPr>
        <w:t xml:space="preserve"> The main procedural steps in WIPO AMC expert determinations are:</w:t>
      </w:r>
    </w:p>
    <w:p w14:paraId="4D647E26" w14:textId="249030BF" w:rsidR="002A534C" w:rsidRPr="00466012" w:rsidRDefault="007F1F5B" w:rsidP="004E3C05">
      <w:pPr>
        <w:pStyle w:val="ListParagraph"/>
        <w:numPr>
          <w:ilvl w:val="0"/>
          <w:numId w:val="27"/>
        </w:numPr>
        <w:rPr>
          <w:szCs w:val="24"/>
        </w:rPr>
      </w:pPr>
      <w:r w:rsidRPr="00466012">
        <w:rPr>
          <w:szCs w:val="24"/>
        </w:rPr>
        <w:t>r</w:t>
      </w:r>
      <w:r w:rsidR="002A534C" w:rsidRPr="00466012">
        <w:rPr>
          <w:szCs w:val="24"/>
        </w:rPr>
        <w:t>equest for expert determination</w:t>
      </w:r>
    </w:p>
    <w:p w14:paraId="2348522C" w14:textId="4AAAE421" w:rsidR="002A534C" w:rsidRPr="00466012" w:rsidRDefault="007F1F5B" w:rsidP="004E3C05">
      <w:pPr>
        <w:pStyle w:val="ListParagraph"/>
        <w:numPr>
          <w:ilvl w:val="0"/>
          <w:numId w:val="27"/>
        </w:numPr>
        <w:rPr>
          <w:szCs w:val="24"/>
        </w:rPr>
      </w:pPr>
      <w:r w:rsidRPr="00466012">
        <w:rPr>
          <w:szCs w:val="24"/>
        </w:rPr>
        <w:t>a</w:t>
      </w:r>
      <w:r w:rsidR="002A534C" w:rsidRPr="00466012">
        <w:rPr>
          <w:szCs w:val="24"/>
        </w:rPr>
        <w:t>nswer to request for expert determination (unless jointly filed)</w:t>
      </w:r>
    </w:p>
    <w:p w14:paraId="288517B6" w14:textId="18FEB08A" w:rsidR="002A534C" w:rsidRPr="00466012" w:rsidRDefault="007F1F5B" w:rsidP="004E3C05">
      <w:pPr>
        <w:pStyle w:val="ListParagraph"/>
        <w:numPr>
          <w:ilvl w:val="0"/>
          <w:numId w:val="27"/>
        </w:numPr>
        <w:rPr>
          <w:szCs w:val="24"/>
        </w:rPr>
      </w:pPr>
      <w:r w:rsidRPr="00466012">
        <w:rPr>
          <w:szCs w:val="24"/>
        </w:rPr>
        <w:t>a</w:t>
      </w:r>
      <w:r w:rsidR="002A534C" w:rsidRPr="00466012">
        <w:rPr>
          <w:szCs w:val="24"/>
        </w:rPr>
        <w:t>ppointment of expert</w:t>
      </w:r>
    </w:p>
    <w:p w14:paraId="14EB5DAA" w14:textId="7DC75CD8" w:rsidR="002A534C" w:rsidRPr="00466012" w:rsidRDefault="007F1F5B" w:rsidP="004E3C05">
      <w:pPr>
        <w:pStyle w:val="ListParagraph"/>
        <w:numPr>
          <w:ilvl w:val="0"/>
          <w:numId w:val="27"/>
        </w:numPr>
        <w:rPr>
          <w:szCs w:val="24"/>
        </w:rPr>
      </w:pPr>
      <w:r w:rsidRPr="00466012">
        <w:rPr>
          <w:szCs w:val="24"/>
        </w:rPr>
        <w:t>e</w:t>
      </w:r>
      <w:r w:rsidR="002A534C" w:rsidRPr="00466012">
        <w:rPr>
          <w:szCs w:val="24"/>
        </w:rPr>
        <w:t>xpert prepares description of the matter referred to expert determination</w:t>
      </w:r>
    </w:p>
    <w:p w14:paraId="2474ED3F" w14:textId="6441CBF1" w:rsidR="002A534C" w:rsidRPr="00466012" w:rsidRDefault="007F1F5B" w:rsidP="0041485D">
      <w:pPr>
        <w:pStyle w:val="ListParagraph"/>
        <w:numPr>
          <w:ilvl w:val="0"/>
          <w:numId w:val="27"/>
        </w:numPr>
        <w:rPr>
          <w:szCs w:val="24"/>
        </w:rPr>
      </w:pPr>
      <w:r w:rsidRPr="00466012">
        <w:rPr>
          <w:szCs w:val="24"/>
        </w:rPr>
        <w:t>f</w:t>
      </w:r>
      <w:r w:rsidR="002A534C" w:rsidRPr="00466012">
        <w:rPr>
          <w:szCs w:val="24"/>
        </w:rPr>
        <w:t>urther submissions, conferences and meetings</w:t>
      </w:r>
    </w:p>
    <w:p w14:paraId="34BE3CFD" w14:textId="31F9DFF2" w:rsidR="002A534C" w:rsidRPr="00466012" w:rsidRDefault="007F1F5B" w:rsidP="00FD4493">
      <w:pPr>
        <w:pStyle w:val="ListParagraph"/>
        <w:numPr>
          <w:ilvl w:val="0"/>
          <w:numId w:val="27"/>
        </w:numPr>
        <w:spacing w:after="360"/>
        <w:rPr>
          <w:rFonts w:eastAsiaTheme="minorEastAsia"/>
        </w:rPr>
      </w:pPr>
      <w:r>
        <w:t>d</w:t>
      </w:r>
      <w:r w:rsidR="002A534C">
        <w:t>etermination</w:t>
      </w:r>
      <w:r>
        <w:t>.</w:t>
      </w:r>
      <w:r w:rsidRPr="0C89C1B6">
        <w:rPr>
          <w:rStyle w:val="FootnoteReference"/>
          <w:rFonts w:ascii="Calibri" w:eastAsia="Calibri" w:hAnsi="Calibri" w:cs="Times New Roman"/>
        </w:rPr>
        <w:footnoteReference w:id="172"/>
      </w:r>
    </w:p>
    <w:p w14:paraId="01368B1C" w14:textId="05A1E469" w:rsidR="002A534C" w:rsidRPr="00466012" w:rsidRDefault="002A534C" w:rsidP="002A534C">
      <w:pPr>
        <w:rPr>
          <w:rFonts w:ascii="Calibri" w:eastAsia="Calibri" w:hAnsi="Calibri" w:cs="Times New Roman"/>
          <w:szCs w:val="24"/>
        </w:rPr>
      </w:pPr>
      <w:r w:rsidRPr="4D879BC5">
        <w:rPr>
          <w:rFonts w:ascii="Calibri" w:eastAsia="Calibri" w:hAnsi="Calibri" w:cs="Times New Roman"/>
        </w:rPr>
        <w:t>For expert determinations at the WIPO AMC</w:t>
      </w:r>
      <w:r w:rsidR="007F1F5B" w:rsidRPr="4D879BC5">
        <w:rPr>
          <w:rFonts w:ascii="Calibri" w:eastAsia="Calibri" w:hAnsi="Calibri" w:cs="Times New Roman"/>
        </w:rPr>
        <w:t>,</w:t>
      </w:r>
      <w:r w:rsidRPr="4D879BC5">
        <w:rPr>
          <w:rFonts w:ascii="Calibri" w:eastAsia="Calibri" w:hAnsi="Calibri" w:cs="Times New Roman"/>
        </w:rPr>
        <w:t xml:space="preserve"> the administration fee is 0.10% of the value of the dispute (capped at $10,000), and the expert’s fee is usually between $300 </w:t>
      </w:r>
      <w:r w:rsidR="007F1F5B" w:rsidRPr="4D879BC5">
        <w:rPr>
          <w:rFonts w:ascii="Calibri" w:eastAsia="Calibri" w:hAnsi="Calibri" w:cs="Times New Roman"/>
        </w:rPr>
        <w:t xml:space="preserve">and </w:t>
      </w:r>
      <w:r w:rsidRPr="4D879BC5">
        <w:rPr>
          <w:rFonts w:ascii="Calibri" w:eastAsia="Calibri" w:hAnsi="Calibri" w:cs="Times New Roman"/>
        </w:rPr>
        <w:t xml:space="preserve">$600 per hour or $1,500 </w:t>
      </w:r>
      <w:r w:rsidR="007F1F5B" w:rsidRPr="4D879BC5">
        <w:rPr>
          <w:rFonts w:ascii="Calibri" w:eastAsia="Calibri" w:hAnsi="Calibri" w:cs="Times New Roman"/>
        </w:rPr>
        <w:t xml:space="preserve">to </w:t>
      </w:r>
      <w:r w:rsidRPr="4D879BC5">
        <w:rPr>
          <w:rFonts w:ascii="Calibri" w:eastAsia="Calibri" w:hAnsi="Calibri" w:cs="Times New Roman"/>
        </w:rPr>
        <w:t>$3,500 per day.</w:t>
      </w:r>
      <w:r w:rsidRPr="4D879BC5">
        <w:rPr>
          <w:rStyle w:val="FootnoteReference"/>
          <w:rFonts w:ascii="Calibri" w:eastAsia="Calibri" w:hAnsi="Calibri" w:cs="Times New Roman"/>
        </w:rPr>
        <w:footnoteReference w:id="173"/>
      </w:r>
    </w:p>
    <w:p w14:paraId="09D9BFDB" w14:textId="77777777" w:rsidR="00BB6F9E" w:rsidRDefault="002A534C" w:rsidP="005735E9">
      <w:pPr>
        <w:keepNext/>
        <w:spacing w:before="360"/>
        <w:rPr>
          <w:rFonts w:ascii="Calibri" w:eastAsia="Times New Roman" w:hAnsi="Calibri" w:cs="Times New Roman"/>
          <w:color w:val="005677" w:themeColor="text2"/>
          <w:sz w:val="32"/>
          <w:szCs w:val="32"/>
        </w:rPr>
      </w:pPr>
      <w:r w:rsidRPr="00585B6B">
        <w:rPr>
          <w:rFonts w:ascii="Calibri" w:eastAsia="Times New Roman" w:hAnsi="Calibri" w:cs="Times New Roman"/>
          <w:color w:val="005677" w:themeColor="text2"/>
          <w:sz w:val="32"/>
          <w:szCs w:val="32"/>
        </w:rPr>
        <w:t>Other services provided WIPO AMC</w:t>
      </w:r>
    </w:p>
    <w:p w14:paraId="5CFE8567" w14:textId="6C19C3E5" w:rsidR="002A534C" w:rsidRPr="00466012" w:rsidRDefault="007F1F5B" w:rsidP="002A534C">
      <w:pPr>
        <w:rPr>
          <w:rFonts w:ascii="Calibri" w:eastAsia="Calibri" w:hAnsi="Calibri" w:cs="Times New Roman"/>
          <w:szCs w:val="24"/>
        </w:rPr>
      </w:pPr>
      <w:r w:rsidRPr="4D879BC5">
        <w:rPr>
          <w:rFonts w:ascii="Calibri" w:eastAsia="Calibri" w:hAnsi="Calibri" w:cs="Times New Roman"/>
        </w:rPr>
        <w:t xml:space="preserve">The </w:t>
      </w:r>
      <w:r w:rsidR="002A534C" w:rsidRPr="4D879BC5">
        <w:rPr>
          <w:rFonts w:ascii="Calibri" w:eastAsia="Calibri" w:hAnsi="Calibri" w:cs="Times New Roman"/>
        </w:rPr>
        <w:t xml:space="preserve">WIPO AMC provides administrative support to the above services, including videoconferencing facilities and systems to file, store and retrieve parties’ case submissions. </w:t>
      </w:r>
      <w:r w:rsidRPr="4D879BC5">
        <w:rPr>
          <w:rFonts w:ascii="Calibri" w:eastAsia="Calibri" w:hAnsi="Calibri" w:cs="Times New Roman"/>
        </w:rPr>
        <w:t xml:space="preserve">The </w:t>
      </w:r>
      <w:r w:rsidR="002A534C" w:rsidRPr="4D879BC5">
        <w:rPr>
          <w:rFonts w:ascii="Calibri" w:eastAsia="Calibri" w:hAnsi="Calibri" w:cs="Times New Roman"/>
        </w:rPr>
        <w:t>WIPO AMC also provides events, training, workshops and free webinars.</w:t>
      </w:r>
      <w:r w:rsidR="002A534C" w:rsidRPr="4D879BC5">
        <w:rPr>
          <w:rStyle w:val="FootnoteReference"/>
          <w:rFonts w:ascii="Calibri" w:eastAsia="Calibri" w:hAnsi="Calibri" w:cs="Times New Roman"/>
        </w:rPr>
        <w:footnoteReference w:id="174"/>
      </w:r>
      <w:r w:rsidR="002A534C" w:rsidRPr="4D879BC5">
        <w:rPr>
          <w:rFonts w:ascii="Calibri" w:eastAsia="Calibri" w:hAnsi="Calibri" w:cs="Times New Roman"/>
        </w:rPr>
        <w:t xml:space="preserve"> </w:t>
      </w:r>
    </w:p>
    <w:p w14:paraId="2B50A948" w14:textId="2EC44665" w:rsidR="002A534C" w:rsidRPr="00466012" w:rsidRDefault="007F1F5B" w:rsidP="002A534C">
      <w:pPr>
        <w:rPr>
          <w:rFonts w:ascii="Calibri" w:eastAsia="Calibri" w:hAnsi="Calibri" w:cs="Times New Roman"/>
          <w:szCs w:val="24"/>
        </w:rPr>
      </w:pPr>
      <w:r w:rsidRPr="4D879BC5">
        <w:rPr>
          <w:rFonts w:ascii="Calibri" w:eastAsia="Calibri" w:hAnsi="Calibri" w:cs="Times New Roman"/>
        </w:rPr>
        <w:t xml:space="preserve">The </w:t>
      </w:r>
      <w:r w:rsidR="002A534C" w:rsidRPr="4D879BC5">
        <w:rPr>
          <w:rFonts w:ascii="Calibri" w:eastAsia="Calibri" w:hAnsi="Calibri" w:cs="Times New Roman"/>
        </w:rPr>
        <w:t xml:space="preserve">WIPO AMC also provides ‘Good Offices’ services which provide early procedural information and assistance to parties to facilitate either a direct settlement or </w:t>
      </w:r>
      <w:r w:rsidRPr="4D879BC5">
        <w:rPr>
          <w:rFonts w:ascii="Calibri" w:eastAsia="Calibri" w:hAnsi="Calibri" w:cs="Times New Roman"/>
        </w:rPr>
        <w:t xml:space="preserve">a </w:t>
      </w:r>
      <w:r w:rsidR="002A534C" w:rsidRPr="4D879BC5">
        <w:rPr>
          <w:rFonts w:ascii="Calibri" w:eastAsia="Calibri" w:hAnsi="Calibri" w:cs="Times New Roman"/>
        </w:rPr>
        <w:t xml:space="preserve">submission </w:t>
      </w:r>
      <w:r w:rsidR="002A534C" w:rsidRPr="4D879BC5">
        <w:rPr>
          <w:rFonts w:ascii="Calibri" w:eastAsia="Calibri" w:hAnsi="Calibri" w:cs="Times New Roman"/>
        </w:rPr>
        <w:lastRenderedPageBreak/>
        <w:t>of their dispute to WIPO mediation or arbitration. Parties may contact WIPO where no dispute resolution agreement currently exists between the parties.</w:t>
      </w:r>
      <w:r w:rsidR="002A534C" w:rsidRPr="4D879BC5">
        <w:rPr>
          <w:rStyle w:val="FootnoteReference"/>
          <w:rFonts w:ascii="Calibri" w:eastAsia="Calibri" w:hAnsi="Calibri" w:cs="Times New Roman"/>
        </w:rPr>
        <w:footnoteReference w:id="175"/>
      </w:r>
      <w:r w:rsidR="002A534C" w:rsidRPr="4D879BC5">
        <w:rPr>
          <w:rFonts w:ascii="Calibri" w:eastAsia="Calibri" w:hAnsi="Calibri" w:cs="Times New Roman"/>
        </w:rPr>
        <w:t xml:space="preserve"> </w:t>
      </w:r>
    </w:p>
    <w:p w14:paraId="507AFDAE" w14:textId="77777777" w:rsidR="002A534C" w:rsidRPr="00585B6B" w:rsidRDefault="002A534C" w:rsidP="00585B6B">
      <w:pPr>
        <w:pStyle w:val="Heading3"/>
        <w:rPr>
          <w:rFonts w:ascii="Calibri" w:eastAsia="Times New Roman" w:hAnsi="Calibri" w:cs="Times New Roman"/>
          <w:color w:val="005677"/>
          <w:szCs w:val="32"/>
        </w:rPr>
      </w:pPr>
      <w:r w:rsidRPr="00585B6B">
        <w:t>Usage of WIPO AMC</w:t>
      </w:r>
    </w:p>
    <w:p w14:paraId="1962E3D7" w14:textId="3ACD57A6" w:rsidR="002A534C" w:rsidRPr="00466012" w:rsidRDefault="00242EC2" w:rsidP="002A534C">
      <w:pPr>
        <w:rPr>
          <w:rStyle w:val="FootnoteReference"/>
          <w:rFonts w:ascii="Calibri" w:eastAsia="Calibri" w:hAnsi="Calibri" w:cs="Times New Roman"/>
        </w:rPr>
      </w:pPr>
      <w:r w:rsidRPr="0C89C1B6">
        <w:rPr>
          <w:rFonts w:ascii="Calibri" w:eastAsia="Calibri" w:hAnsi="Calibri" w:cs="Times New Roman"/>
        </w:rPr>
        <w:t xml:space="preserve">The </w:t>
      </w:r>
      <w:r w:rsidR="002A534C" w:rsidRPr="0C89C1B6">
        <w:rPr>
          <w:rFonts w:ascii="Calibri" w:eastAsia="Calibri" w:hAnsi="Calibri" w:cs="Times New Roman"/>
        </w:rPr>
        <w:t>WIPO has public information on AMC usage and a breakdown for 2019</w:t>
      </w:r>
      <w:r w:rsidRPr="0C89C1B6">
        <w:rPr>
          <w:rFonts w:ascii="Calibri" w:eastAsia="Calibri" w:hAnsi="Calibri" w:cs="Times New Roman"/>
        </w:rPr>
        <w:t>, as follows:</w:t>
      </w:r>
    </w:p>
    <w:p w14:paraId="01CB6A9A" w14:textId="48D86F74" w:rsidR="002A534C" w:rsidRPr="00466012" w:rsidRDefault="002A534C" w:rsidP="004E3C05">
      <w:pPr>
        <w:pStyle w:val="ListParagraph"/>
        <w:numPr>
          <w:ilvl w:val="0"/>
          <w:numId w:val="28"/>
        </w:numPr>
        <w:rPr>
          <w:szCs w:val="24"/>
        </w:rPr>
      </w:pPr>
      <w:r w:rsidRPr="00466012">
        <w:rPr>
          <w:szCs w:val="24"/>
        </w:rPr>
        <w:t>The AMC receive 62 mediation, arbitration and expert determination cases globally</w:t>
      </w:r>
      <w:r w:rsidR="00242EC2" w:rsidRPr="00466012">
        <w:rPr>
          <w:szCs w:val="24"/>
        </w:rPr>
        <w:t>.</w:t>
      </w:r>
      <w:r w:rsidRPr="00466012">
        <w:rPr>
          <w:szCs w:val="24"/>
        </w:rPr>
        <w:t xml:space="preserve"> </w:t>
      </w:r>
    </w:p>
    <w:p w14:paraId="73C551F6" w14:textId="77777777" w:rsidR="002A534C" w:rsidRPr="00466012" w:rsidRDefault="002A534C" w:rsidP="004E3C05">
      <w:pPr>
        <w:pStyle w:val="ListParagraph"/>
        <w:numPr>
          <w:ilvl w:val="0"/>
          <w:numId w:val="28"/>
        </w:numPr>
        <w:rPr>
          <w:szCs w:val="24"/>
        </w:rPr>
      </w:pPr>
      <w:r w:rsidRPr="00466012">
        <w:rPr>
          <w:szCs w:val="24"/>
        </w:rPr>
        <w:t xml:space="preserve">Only 2% of the parties to WIPO AMC disputes were in Oceania. </w:t>
      </w:r>
    </w:p>
    <w:p w14:paraId="73E6372A" w14:textId="1AC382E4" w:rsidR="002A534C" w:rsidRPr="00466012" w:rsidRDefault="002A534C" w:rsidP="004E3C05">
      <w:pPr>
        <w:pStyle w:val="ListParagraph"/>
        <w:numPr>
          <w:ilvl w:val="0"/>
          <w:numId w:val="28"/>
        </w:numPr>
        <w:rPr>
          <w:rFonts w:eastAsiaTheme="minorEastAsia"/>
        </w:rPr>
      </w:pPr>
      <w:r>
        <w:t xml:space="preserve">ADR disputes relating to patents make up 25% of the caseload globally. </w:t>
      </w:r>
      <w:r w:rsidRPr="0C89C1B6">
        <w:rPr>
          <w:rStyle w:val="FootnoteReference"/>
          <w:rFonts w:ascii="Calibri" w:eastAsia="Calibri" w:hAnsi="Calibri" w:cs="Times New Roman"/>
        </w:rPr>
        <w:footnoteReference w:id="176"/>
      </w:r>
    </w:p>
    <w:p w14:paraId="61DF2D48" w14:textId="344DB832" w:rsidR="002A534C" w:rsidRDefault="002A534C" w:rsidP="00FD4493">
      <w:pPr>
        <w:spacing w:after="360"/>
        <w:rPr>
          <w:rFonts w:ascii="Calibri" w:eastAsia="Calibri" w:hAnsi="Calibri" w:cs="Times New Roman"/>
          <w:szCs w:val="24"/>
        </w:rPr>
      </w:pPr>
      <w:r w:rsidRPr="4D879BC5">
        <w:rPr>
          <w:rFonts w:ascii="Calibri" w:eastAsia="Calibri" w:hAnsi="Calibri" w:cs="Times New Roman"/>
        </w:rPr>
        <w:t xml:space="preserve">Note also that </w:t>
      </w:r>
      <w:r w:rsidR="00242EC2" w:rsidRPr="4D879BC5">
        <w:rPr>
          <w:rFonts w:ascii="Calibri" w:eastAsia="Calibri" w:hAnsi="Calibri" w:cs="Times New Roman"/>
        </w:rPr>
        <w:t xml:space="preserve">the </w:t>
      </w:r>
      <w:r w:rsidRPr="4D879BC5">
        <w:rPr>
          <w:rFonts w:ascii="Calibri" w:eastAsia="Calibri" w:hAnsi="Calibri" w:cs="Times New Roman"/>
        </w:rPr>
        <w:t xml:space="preserve">WIPO receive 117 </w:t>
      </w:r>
      <w:r w:rsidR="00242EC2" w:rsidRPr="4D879BC5">
        <w:rPr>
          <w:rFonts w:ascii="Calibri" w:eastAsia="Calibri" w:hAnsi="Calibri" w:cs="Times New Roman"/>
        </w:rPr>
        <w:t>‘</w:t>
      </w:r>
      <w:r w:rsidRPr="4D879BC5">
        <w:rPr>
          <w:rFonts w:ascii="Calibri" w:eastAsia="Calibri" w:hAnsi="Calibri" w:cs="Times New Roman"/>
        </w:rPr>
        <w:t>good offices</w:t>
      </w:r>
      <w:r w:rsidR="00242EC2" w:rsidRPr="4D879BC5">
        <w:rPr>
          <w:rFonts w:ascii="Calibri" w:eastAsia="Calibri" w:hAnsi="Calibri" w:cs="Times New Roman"/>
        </w:rPr>
        <w:t>’</w:t>
      </w:r>
      <w:r w:rsidRPr="4D879BC5">
        <w:rPr>
          <w:rFonts w:ascii="Calibri" w:eastAsia="Calibri" w:hAnsi="Calibri" w:cs="Times New Roman"/>
        </w:rPr>
        <w:t xml:space="preserve"> requests globally in 2019. The total usage of the AMC (both good offices requests and ADR cases) has been increasing steadily every year since 2012.</w:t>
      </w:r>
      <w:r w:rsidRPr="4D879BC5">
        <w:rPr>
          <w:rStyle w:val="FootnoteReference"/>
          <w:rFonts w:ascii="Calibri" w:eastAsia="Calibri" w:hAnsi="Calibri" w:cs="Times New Roman"/>
        </w:rPr>
        <w:footnoteReference w:id="177"/>
      </w:r>
    </w:p>
    <w:p w14:paraId="3F66CEA2" w14:textId="1447E6C5" w:rsidR="00E65EEE" w:rsidRPr="00466012" w:rsidRDefault="00E65EEE" w:rsidP="00FD4493">
      <w:pPr>
        <w:spacing w:after="360"/>
        <w:rPr>
          <w:rFonts w:ascii="Calibri" w:eastAsia="Calibri" w:hAnsi="Calibri" w:cs="Times New Roman"/>
          <w:szCs w:val="24"/>
        </w:rPr>
      </w:pPr>
      <w:r w:rsidRPr="4D879BC5">
        <w:rPr>
          <w:rFonts w:ascii="Calibri" w:eastAsia="Calibri" w:hAnsi="Calibri" w:cs="Times New Roman"/>
          <w:lang w:val="en-US"/>
        </w:rPr>
        <w:t>WIPO Arbitration and Mediation Center has administered 6 mediation and arbitration cases with Australian parties since 2014. The claimants in these cases were Australian individuals, SMEs and large companies involved in disputes with foreign parties. These disputes related to copyright (50%), trademarks (33%) and contractual terms (17%).</w:t>
      </w:r>
      <w:r>
        <w:rPr>
          <w:rStyle w:val="FootnoteReference"/>
          <w:rFonts w:ascii="Calibri" w:eastAsia="Calibri" w:hAnsi="Calibri" w:cs="Times New Roman"/>
          <w:szCs w:val="24"/>
          <w:lang w:val="en-US"/>
        </w:rPr>
        <w:footnoteReference w:id="178"/>
      </w:r>
    </w:p>
    <w:p w14:paraId="49D91A11" w14:textId="25632C06" w:rsidR="002A534C" w:rsidRPr="00585B6B" w:rsidRDefault="00180159" w:rsidP="00585B6B">
      <w:pPr>
        <w:pStyle w:val="Heading3"/>
        <w:rPr>
          <w:rFonts w:ascii="Calibri" w:eastAsia="Times New Roman" w:hAnsi="Calibri" w:cs="Times New Roman"/>
          <w:color w:val="005677"/>
          <w:szCs w:val="32"/>
        </w:rPr>
      </w:pPr>
      <w:r>
        <w:t>IP</w:t>
      </w:r>
      <w:r w:rsidR="00494CE9">
        <w:t xml:space="preserve"> </w:t>
      </w:r>
      <w:r>
        <w:t>A</w:t>
      </w:r>
      <w:r w:rsidR="00494CE9">
        <w:t>ustralia</w:t>
      </w:r>
      <w:r w:rsidR="002A534C" w:rsidRPr="00585B6B">
        <w:t xml:space="preserve"> collaboration with WIPO AMC</w:t>
      </w:r>
    </w:p>
    <w:p w14:paraId="28C9E222" w14:textId="5F2F1DC1" w:rsidR="002A534C" w:rsidRPr="00466012" w:rsidRDefault="002A534C" w:rsidP="002A534C">
      <w:pPr>
        <w:spacing w:after="180" w:line="240" w:lineRule="auto"/>
        <w:rPr>
          <w:szCs w:val="24"/>
        </w:rPr>
      </w:pPr>
      <w:r w:rsidRPr="4D879BC5">
        <w:t>In late 2016,</w:t>
      </w:r>
      <w:r w:rsidR="00494CE9">
        <w:t xml:space="preserve"> IP Australia</w:t>
      </w:r>
      <w:r w:rsidRPr="4D879BC5">
        <w:t xml:space="preserve"> partnered with the WIPO AMC to promote WIPO ADR options to resolve IP disputes, and to create an online ADR service. The online service was launched on 25 January 2017 and enables disputes to be resolved online using high-quality videoconferencing facilities and an online case management system. This service is managed by </w:t>
      </w:r>
      <w:r w:rsidR="00242EC2" w:rsidRPr="4D879BC5">
        <w:t xml:space="preserve">the </w:t>
      </w:r>
      <w:r w:rsidRPr="4D879BC5">
        <w:t>WIPO.</w:t>
      </w:r>
      <w:r w:rsidRPr="4D879BC5">
        <w:rPr>
          <w:rStyle w:val="FootnoteReference"/>
        </w:rPr>
        <w:footnoteReference w:id="179"/>
      </w:r>
      <w:r w:rsidR="00E65EEE">
        <w:t xml:space="preserve"> </w:t>
      </w:r>
    </w:p>
    <w:p w14:paraId="19E72DD4" w14:textId="77777777" w:rsidR="00545CE4" w:rsidRDefault="00545CE4" w:rsidP="00545CE4">
      <w:pPr>
        <w:rPr>
          <w:rFonts w:asciiTheme="majorHAnsi" w:eastAsiaTheme="majorEastAsia" w:hAnsiTheme="majorHAnsi" w:cstheme="majorBidi"/>
          <w:color w:val="005677" w:themeColor="text2"/>
          <w:sz w:val="48"/>
          <w:szCs w:val="32"/>
        </w:rPr>
      </w:pPr>
      <w:r>
        <w:br w:type="page"/>
      </w:r>
    </w:p>
    <w:p w14:paraId="50A23122" w14:textId="61EBC19B" w:rsidR="00545CE4" w:rsidRPr="00986A53" w:rsidRDefault="00B918C2" w:rsidP="00102432">
      <w:pPr>
        <w:pStyle w:val="Heading1"/>
      </w:pPr>
      <w:bookmarkStart w:id="385" w:name="_Toc59109354"/>
      <w:bookmarkStart w:id="386" w:name="_Toc60760648"/>
      <w:bookmarkStart w:id="387" w:name="_Toc60834834"/>
      <w:bookmarkStart w:id="388" w:name="_Toc60836784"/>
      <w:bookmarkStart w:id="389" w:name="_Toc60997772"/>
      <w:bookmarkStart w:id="390" w:name="_Toc61015586"/>
      <w:bookmarkStart w:id="391" w:name="_Toc61269618"/>
      <w:bookmarkStart w:id="392" w:name="_Toc61356726"/>
      <w:bookmarkStart w:id="393" w:name="_Toc65159336"/>
      <w:r>
        <w:lastRenderedPageBreak/>
        <w:t xml:space="preserve">Appendix </w:t>
      </w:r>
      <w:r w:rsidR="00697354" w:rsidRPr="00986A53">
        <w:t>F</w:t>
      </w:r>
      <w:r w:rsidR="00545CE4" w:rsidRPr="00986A53">
        <w:t xml:space="preserve"> – Updated P</w:t>
      </w:r>
      <w:r w:rsidR="00180159">
        <w:t xml:space="preserve">roductivity </w:t>
      </w:r>
      <w:r w:rsidR="00545CE4" w:rsidRPr="00986A53">
        <w:t>C</w:t>
      </w:r>
      <w:r w:rsidR="00180159">
        <w:t>ommission</w:t>
      </w:r>
      <w:r w:rsidR="00545CE4" w:rsidRPr="00986A53">
        <w:t xml:space="preserve"> report statistics</w:t>
      </w:r>
      <w:bookmarkEnd w:id="385"/>
      <w:bookmarkEnd w:id="386"/>
      <w:bookmarkEnd w:id="387"/>
      <w:bookmarkEnd w:id="388"/>
      <w:bookmarkEnd w:id="389"/>
      <w:bookmarkEnd w:id="390"/>
      <w:bookmarkEnd w:id="391"/>
      <w:bookmarkEnd w:id="392"/>
      <w:bookmarkEnd w:id="393"/>
    </w:p>
    <w:p w14:paraId="7943BCCA" w14:textId="507FBBA4" w:rsidR="00545CE4" w:rsidRPr="00466012" w:rsidRDefault="283C0F60" w:rsidP="00545CE4">
      <w:pPr>
        <w:rPr>
          <w:szCs w:val="24"/>
        </w:rPr>
      </w:pPr>
      <w:r w:rsidRPr="4D879BC5">
        <w:t>T</w:t>
      </w:r>
      <w:r w:rsidR="002A534C" w:rsidRPr="4D879BC5">
        <w:t xml:space="preserve">he following </w:t>
      </w:r>
      <w:r w:rsidR="00242EC2" w:rsidRPr="4D879BC5">
        <w:t xml:space="preserve">data </w:t>
      </w:r>
      <w:r w:rsidR="008A67E7" w:rsidRPr="4D879BC5">
        <w:t xml:space="preserve">are derived from </w:t>
      </w:r>
      <w:r w:rsidR="00242EC2" w:rsidRPr="4D879BC5">
        <w:t>f</w:t>
      </w:r>
      <w:r w:rsidR="008A67E7" w:rsidRPr="4D879BC5">
        <w:t>igures 18.1</w:t>
      </w:r>
      <w:r w:rsidR="00242EC2" w:rsidRPr="4D879BC5">
        <w:t xml:space="preserve"> to </w:t>
      </w:r>
      <w:r w:rsidR="008A67E7" w:rsidRPr="4D879BC5">
        <w:t xml:space="preserve">18.4 in the 2016 </w:t>
      </w:r>
      <w:r w:rsidR="005443F8" w:rsidRPr="4D879BC5">
        <w:t>Productivity Commission (</w:t>
      </w:r>
      <w:r w:rsidR="008A67E7" w:rsidRPr="4D879BC5">
        <w:t>PC</w:t>
      </w:r>
      <w:r w:rsidR="005443F8" w:rsidRPr="00466012">
        <w:rPr>
          <w:szCs w:val="24"/>
        </w:rPr>
        <w:t xml:space="preserve">) </w:t>
      </w:r>
      <w:r w:rsidR="005443F8" w:rsidRPr="4D879BC5">
        <w:rPr>
          <w:i/>
        </w:rPr>
        <w:t xml:space="preserve">Intellectual </w:t>
      </w:r>
      <w:r w:rsidR="002A1BF1">
        <w:rPr>
          <w:i/>
        </w:rPr>
        <w:t>P</w:t>
      </w:r>
      <w:r w:rsidR="002A1BF1" w:rsidRPr="4D879BC5">
        <w:rPr>
          <w:i/>
        </w:rPr>
        <w:t xml:space="preserve">roperty </w:t>
      </w:r>
      <w:r w:rsidR="002A1BF1">
        <w:rPr>
          <w:i/>
        </w:rPr>
        <w:t>A</w:t>
      </w:r>
      <w:r w:rsidR="002A1BF1" w:rsidRPr="4D879BC5">
        <w:rPr>
          <w:i/>
        </w:rPr>
        <w:t>rrangements</w:t>
      </w:r>
      <w:r w:rsidR="002A1BF1" w:rsidRPr="4D879BC5">
        <w:t xml:space="preserve"> </w:t>
      </w:r>
      <w:r w:rsidR="008A67E7" w:rsidRPr="4D879BC5">
        <w:t>report,</w:t>
      </w:r>
      <w:r w:rsidR="008A67E7" w:rsidRPr="4D879BC5">
        <w:rPr>
          <w:rStyle w:val="FootnoteReference"/>
        </w:rPr>
        <w:footnoteReference w:id="180"/>
      </w:r>
      <w:r w:rsidR="008A67E7" w:rsidRPr="4D879BC5">
        <w:t xml:space="preserve"> updated to include data from subsequent years</w:t>
      </w:r>
      <w:r w:rsidR="009F654A" w:rsidRPr="4D879BC5">
        <w:t xml:space="preserve"> from WIPO</w:t>
      </w:r>
      <w:r w:rsidR="00291213">
        <w:t>, the World Bank,</w:t>
      </w:r>
      <w:r w:rsidR="009F654A" w:rsidRPr="4D879BC5">
        <w:t xml:space="preserve"> and</w:t>
      </w:r>
      <w:r w:rsidR="00494CE9">
        <w:t xml:space="preserve"> IP Australia</w:t>
      </w:r>
      <w:r w:rsidR="008A67E7" w:rsidRPr="00466012">
        <w:rPr>
          <w:szCs w:val="24"/>
        </w:rPr>
        <w:t>.</w:t>
      </w:r>
      <w:r w:rsidR="005015ED" w:rsidRPr="00466012">
        <w:rPr>
          <w:szCs w:val="24"/>
        </w:rPr>
        <w:t xml:space="preserve"> </w:t>
      </w:r>
      <w:r w:rsidR="116A61CF" w:rsidRPr="4D879BC5">
        <w:t xml:space="preserve">It should be noted that these figures include all </w:t>
      </w:r>
      <w:r w:rsidR="74EA36F2" w:rsidRPr="4D879BC5">
        <w:t>business</w:t>
      </w:r>
      <w:r w:rsidR="00242EC2" w:rsidRPr="4D879BC5">
        <w:t>es</w:t>
      </w:r>
      <w:r w:rsidR="116A61CF" w:rsidRPr="4D879BC5">
        <w:t xml:space="preserve">, not just small to medium </w:t>
      </w:r>
      <w:r w:rsidR="005443F8" w:rsidRPr="4D879BC5">
        <w:t>enterprises (SMEs)</w:t>
      </w:r>
      <w:r w:rsidR="116A61CF" w:rsidRPr="4D879BC5">
        <w:t>. S</w:t>
      </w:r>
      <w:r w:rsidR="2FE57475" w:rsidRPr="4D879BC5">
        <w:t>eparating</w:t>
      </w:r>
      <w:r w:rsidR="116A61CF" w:rsidRPr="4D879BC5">
        <w:t xml:space="preserve"> the SME </w:t>
      </w:r>
      <w:r w:rsidR="5675DD64" w:rsidRPr="4D879BC5">
        <w:t xml:space="preserve">contribution </w:t>
      </w:r>
      <w:r w:rsidR="116A61CF" w:rsidRPr="4D879BC5">
        <w:t>f</w:t>
      </w:r>
      <w:r w:rsidR="5039F950" w:rsidRPr="4D879BC5">
        <w:t>r</w:t>
      </w:r>
      <w:r w:rsidR="69BEC160" w:rsidRPr="4D879BC5">
        <w:t>om t</w:t>
      </w:r>
      <w:r w:rsidR="116A61CF" w:rsidRPr="4D879BC5">
        <w:t>he lar</w:t>
      </w:r>
      <w:r w:rsidR="6E83A08E" w:rsidRPr="4D879BC5">
        <w:t xml:space="preserve">ge business contribution to the export of IP is work that </w:t>
      </w:r>
      <w:r w:rsidR="00242EC2" w:rsidRPr="4D879BC5">
        <w:t xml:space="preserve">would </w:t>
      </w:r>
      <w:r w:rsidR="6E83A08E" w:rsidRPr="4D879BC5">
        <w:t>be well worth doing.</w:t>
      </w:r>
      <w:r w:rsidR="1AFD26D8" w:rsidRPr="4D879BC5">
        <w:t xml:space="preserve"> The SME sector may be underperforming, or it may be </w:t>
      </w:r>
      <w:r w:rsidR="00697354" w:rsidRPr="4D879BC5">
        <w:t>over performing</w:t>
      </w:r>
      <w:r w:rsidR="1AFD26D8" w:rsidRPr="4D879BC5">
        <w:t>, but it is doubtful that the gen</w:t>
      </w:r>
      <w:r w:rsidR="2A038779" w:rsidRPr="4D879BC5">
        <w:t>e</w:t>
      </w:r>
      <w:r w:rsidR="1AFD26D8" w:rsidRPr="4D879BC5">
        <w:t>ral picture will change much.</w:t>
      </w:r>
    </w:p>
    <w:p w14:paraId="7E20C917" w14:textId="3D0C2AA4" w:rsidR="009417F8" w:rsidRPr="00B9539A" w:rsidRDefault="009417F8" w:rsidP="009417F8">
      <w:pPr>
        <w:pStyle w:val="Heading2"/>
        <w:rPr>
          <w:sz w:val="28"/>
          <w:szCs w:val="28"/>
        </w:rPr>
      </w:pPr>
      <w:r w:rsidRPr="00B9539A">
        <w:rPr>
          <w:sz w:val="28"/>
          <w:szCs w:val="28"/>
        </w:rPr>
        <w:t xml:space="preserve">PC Figure 18.1 </w:t>
      </w:r>
      <w:r w:rsidR="00362D45" w:rsidRPr="00B9539A">
        <w:rPr>
          <w:sz w:val="28"/>
          <w:szCs w:val="28"/>
        </w:rPr>
        <w:t>–</w:t>
      </w:r>
      <w:r w:rsidR="005015ED" w:rsidRPr="00B9539A">
        <w:rPr>
          <w:sz w:val="28"/>
          <w:szCs w:val="28"/>
        </w:rPr>
        <w:t xml:space="preserve"> </w:t>
      </w:r>
      <w:r w:rsidR="00F069BA" w:rsidRPr="00B9539A">
        <w:rPr>
          <w:sz w:val="28"/>
          <w:szCs w:val="28"/>
        </w:rPr>
        <w:t>Patent applications by filing route: (i) Australian applications filed abroad</w:t>
      </w:r>
    </w:p>
    <w:p w14:paraId="46920CDD" w14:textId="544548C5" w:rsidR="008A67E7" w:rsidRDefault="675DFC96" w:rsidP="00585B6B">
      <w:r>
        <w:rPr>
          <w:noProof/>
          <w:lang w:eastAsia="en-AU"/>
        </w:rPr>
        <w:drawing>
          <wp:inline distT="0" distB="0" distL="0" distR="0" wp14:anchorId="7843056A" wp14:editId="2186A68D">
            <wp:extent cx="5615188" cy="3084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2">
                      <a:extLst>
                        <a:ext uri="{53640926-AAD7-44D8-BBD7-CCE9431645EC}">
                          <a14:shadowObscured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a:blip>
                    <a:srcRect l="7268" t="5369" r="7268" b="5369"/>
                    <a:stretch>
                      <a:fillRect/>
                    </a:stretch>
                  </pic:blipFill>
                  <pic:spPr>
                    <a:xfrm>
                      <a:off x="0" y="0"/>
                      <a:ext cx="5615188" cy="3084982"/>
                    </a:xfrm>
                    <a:prstGeom prst="rect">
                      <a:avLst/>
                    </a:prstGeom>
                  </pic:spPr>
                </pic:pic>
              </a:graphicData>
            </a:graphic>
          </wp:inline>
        </w:drawing>
      </w:r>
    </w:p>
    <w:p w14:paraId="40E44086" w14:textId="77777777" w:rsidR="009417F8" w:rsidRPr="009417F8" w:rsidRDefault="009417F8" w:rsidP="009417F8">
      <w:pPr>
        <w:spacing w:after="0" w:line="240" w:lineRule="auto"/>
        <w:rPr>
          <w:rFonts w:ascii="Calibri" w:eastAsia="Times New Roman" w:hAnsi="Calibri" w:cs="Calibri"/>
          <w:i/>
          <w:iCs/>
          <w:color w:val="000000"/>
          <w:lang w:eastAsia="en-AU"/>
        </w:rPr>
      </w:pPr>
      <w:r w:rsidRPr="00585B6B">
        <w:rPr>
          <w:rFonts w:ascii="Calibri" w:eastAsia="Times New Roman" w:hAnsi="Calibri" w:cs="Calibri"/>
          <w:i/>
          <w:color w:val="000000"/>
          <w:lang w:eastAsia="en-AU"/>
        </w:rPr>
        <w:t>Source</w:t>
      </w:r>
      <w:r w:rsidRPr="00585B6B">
        <w:rPr>
          <w:rFonts w:ascii="Calibri" w:eastAsia="Times New Roman" w:hAnsi="Calibri" w:cs="Calibri"/>
          <w:color w:val="000000"/>
          <w:lang w:eastAsia="en-AU"/>
        </w:rPr>
        <w:t>: WIPO (2019)</w:t>
      </w:r>
    </w:p>
    <w:p w14:paraId="3AD95F7E" w14:textId="0105866F" w:rsidR="008A67E7" w:rsidRDefault="009417F8" w:rsidP="009417F8">
      <w:pPr>
        <w:pStyle w:val="Heading2"/>
      </w:pPr>
      <w:r w:rsidRPr="00601ABE">
        <w:rPr>
          <w:sz w:val="28"/>
          <w:szCs w:val="28"/>
        </w:rPr>
        <w:lastRenderedPageBreak/>
        <w:t xml:space="preserve">PC Figure 18.2 </w:t>
      </w:r>
      <w:r w:rsidR="00362D45" w:rsidRPr="00601ABE">
        <w:rPr>
          <w:sz w:val="28"/>
          <w:szCs w:val="28"/>
        </w:rPr>
        <w:t>–</w:t>
      </w:r>
      <w:r w:rsidR="005015ED" w:rsidRPr="00601ABE">
        <w:rPr>
          <w:sz w:val="28"/>
          <w:szCs w:val="28"/>
        </w:rPr>
        <w:t xml:space="preserve"> </w:t>
      </w:r>
      <w:r w:rsidR="00F069BA" w:rsidRPr="00601ABE">
        <w:rPr>
          <w:sz w:val="28"/>
          <w:szCs w:val="28"/>
        </w:rPr>
        <w:t>Patents granted in Australia to residents and non-residents</w:t>
      </w:r>
    </w:p>
    <w:p w14:paraId="414C5FCA" w14:textId="7CEA1975" w:rsidR="008A67E7" w:rsidRPr="00F069BA" w:rsidRDefault="34ECED29" w:rsidP="1D18D6CD">
      <w:r>
        <w:rPr>
          <w:noProof/>
          <w:lang w:eastAsia="en-AU"/>
        </w:rPr>
        <w:drawing>
          <wp:inline distT="0" distB="0" distL="0" distR="0" wp14:anchorId="4A01CDD1" wp14:editId="5437434D">
            <wp:extent cx="5624831" cy="3540760"/>
            <wp:effectExtent l="0" t="0" r="0" b="2540"/>
            <wp:docPr id="5" name="Picture 5" descr="cid:image004.png@01D7051E.F297E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3">
                      <a:extLst>
                        <a:ext uri="{28A0092B-C50C-407E-A947-70E740481C1C}">
                          <a14:useLocalDpi xmlns:a14="http://schemas.microsoft.com/office/drawing/2010/main" val="0"/>
                        </a:ext>
                      </a:extLst>
                    </a:blip>
                    <a:stretch>
                      <a:fillRect/>
                    </a:stretch>
                  </pic:blipFill>
                  <pic:spPr>
                    <a:xfrm>
                      <a:off x="0" y="0"/>
                      <a:ext cx="5624831" cy="3540760"/>
                    </a:xfrm>
                    <a:prstGeom prst="rect">
                      <a:avLst/>
                    </a:prstGeom>
                  </pic:spPr>
                </pic:pic>
              </a:graphicData>
            </a:graphic>
          </wp:inline>
        </w:drawing>
      </w:r>
    </w:p>
    <w:p w14:paraId="16690820" w14:textId="5669837F" w:rsidR="008A67E7" w:rsidRDefault="008A67E7" w:rsidP="008A67E7">
      <w:pPr>
        <w:rPr>
          <w:rFonts w:ascii="Calibri" w:eastAsia="Times New Roman" w:hAnsi="Calibri" w:cs="Calibri"/>
          <w:color w:val="000000"/>
          <w:lang w:eastAsia="en-AU"/>
        </w:rPr>
      </w:pPr>
      <w:r w:rsidRPr="00585B6B">
        <w:rPr>
          <w:rFonts w:ascii="Calibri" w:eastAsia="Times New Roman" w:hAnsi="Calibri" w:cs="Calibri"/>
          <w:i/>
          <w:color w:val="000000"/>
          <w:lang w:eastAsia="en-AU"/>
        </w:rPr>
        <w:t xml:space="preserve">Source: </w:t>
      </w:r>
      <w:r w:rsidRPr="00585B6B">
        <w:rPr>
          <w:rFonts w:ascii="Calibri" w:eastAsia="Times New Roman" w:hAnsi="Calibri" w:cs="Calibri"/>
          <w:color w:val="000000"/>
          <w:lang w:eastAsia="en-AU"/>
        </w:rPr>
        <w:t>IP Australia</w:t>
      </w:r>
    </w:p>
    <w:p w14:paraId="5B6EDF21" w14:textId="276A6570" w:rsidR="009417F8" w:rsidRPr="00601ABE" w:rsidRDefault="009417F8" w:rsidP="009417F8">
      <w:pPr>
        <w:pStyle w:val="Heading2"/>
        <w:rPr>
          <w:sz w:val="28"/>
          <w:szCs w:val="28"/>
        </w:rPr>
      </w:pPr>
      <w:r w:rsidRPr="00601ABE">
        <w:rPr>
          <w:sz w:val="28"/>
          <w:szCs w:val="28"/>
        </w:rPr>
        <w:t xml:space="preserve">PC Figure 18.3 </w:t>
      </w:r>
      <w:r w:rsidR="00E968C1" w:rsidRPr="00601ABE">
        <w:rPr>
          <w:sz w:val="28"/>
          <w:szCs w:val="28"/>
        </w:rPr>
        <w:t>–</w:t>
      </w:r>
      <w:r w:rsidRPr="00601ABE">
        <w:rPr>
          <w:sz w:val="28"/>
          <w:szCs w:val="28"/>
        </w:rPr>
        <w:t xml:space="preserve"> </w:t>
      </w:r>
      <w:r w:rsidR="00E968C1" w:rsidRPr="00601ABE">
        <w:rPr>
          <w:sz w:val="28"/>
          <w:szCs w:val="28"/>
        </w:rPr>
        <w:t>Australia’s international IP licensing payments and receipts (balance of payments, current US$ billions)</w:t>
      </w:r>
    </w:p>
    <w:p w14:paraId="1A743EB6" w14:textId="764A5D42" w:rsidR="008A67E7" w:rsidRPr="00601ABE" w:rsidRDefault="00601ABE" w:rsidP="008A67E7">
      <w:pPr>
        <w:rPr>
          <w:sz w:val="22"/>
        </w:rPr>
      </w:pPr>
      <w:r>
        <w:rPr>
          <w:noProof/>
          <w:lang w:eastAsia="en-AU"/>
        </w:rPr>
        <w:drawing>
          <wp:inline distT="0" distB="0" distL="0" distR="0" wp14:anchorId="279F12B2" wp14:editId="362E8EBE">
            <wp:extent cx="5616000" cy="337642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04"/>
                    <a:srcRect l="6254" r="6254"/>
                    <a:stretch/>
                  </pic:blipFill>
                  <pic:spPr bwMode="auto">
                    <a:xfrm>
                      <a:off x="0" y="0"/>
                      <a:ext cx="5616000" cy="3376427"/>
                    </a:xfrm>
                    <a:prstGeom prst="rect">
                      <a:avLst/>
                    </a:prstGeom>
                    <a:ln>
                      <a:noFill/>
                    </a:ln>
                    <a:extLst>
                      <a:ext uri="{53640926-AAD7-44D8-BBD7-CCE9431645EC}">
                        <a14:shadowObscured xmlns:a14="http://schemas.microsoft.com/office/drawing/2010/main"/>
                      </a:ext>
                    </a:extLst>
                  </pic:spPr>
                </pic:pic>
              </a:graphicData>
            </a:graphic>
          </wp:inline>
        </w:drawing>
      </w:r>
    </w:p>
    <w:p w14:paraId="7E6114A3" w14:textId="34FACE4A" w:rsidR="000E531B" w:rsidRDefault="009F654A">
      <w:pPr>
        <w:rPr>
          <w:rFonts w:asciiTheme="majorHAnsi" w:eastAsiaTheme="majorEastAsia" w:hAnsiTheme="majorHAnsi" w:cstheme="majorBidi"/>
        </w:rPr>
      </w:pPr>
      <w:r w:rsidRPr="0048773A">
        <w:rPr>
          <w:rFonts w:asciiTheme="majorHAnsi" w:eastAsiaTheme="majorEastAsia" w:hAnsiTheme="majorHAnsi" w:cstheme="majorBidi"/>
          <w:i/>
        </w:rPr>
        <w:t>Source:</w:t>
      </w:r>
      <w:r w:rsidRPr="0048773A">
        <w:rPr>
          <w:rFonts w:asciiTheme="majorHAnsi" w:eastAsiaTheme="majorEastAsia" w:hAnsiTheme="majorHAnsi" w:cstheme="majorBidi"/>
        </w:rPr>
        <w:t xml:space="preserve"> </w:t>
      </w:r>
      <w:r w:rsidR="00E65EEE">
        <w:rPr>
          <w:rFonts w:asciiTheme="majorHAnsi" w:eastAsiaTheme="majorEastAsia" w:hAnsiTheme="majorHAnsi" w:cstheme="majorBidi"/>
        </w:rPr>
        <w:t>World Bank (2020)</w:t>
      </w:r>
    </w:p>
    <w:p w14:paraId="791D06C4" w14:textId="23050249" w:rsidR="000E531B" w:rsidRPr="00601ABE" w:rsidRDefault="000E531B" w:rsidP="000E531B">
      <w:pPr>
        <w:pStyle w:val="Heading2"/>
        <w:rPr>
          <w:sz w:val="28"/>
          <w:szCs w:val="28"/>
        </w:rPr>
      </w:pPr>
      <w:r w:rsidRPr="00601ABE">
        <w:rPr>
          <w:sz w:val="28"/>
          <w:szCs w:val="28"/>
        </w:rPr>
        <w:lastRenderedPageBreak/>
        <w:t xml:space="preserve">PC Figure 18.4 – </w:t>
      </w:r>
      <w:r w:rsidR="00601ABE">
        <w:rPr>
          <w:sz w:val="28"/>
          <w:szCs w:val="28"/>
        </w:rPr>
        <w:t>Patent license agreements with other jurisdictions</w:t>
      </w:r>
    </w:p>
    <w:p w14:paraId="29843096" w14:textId="456D6ECC" w:rsidR="000E531B" w:rsidRPr="000E531B" w:rsidRDefault="00601ABE" w:rsidP="000E531B">
      <w:pPr>
        <w:spacing w:after="0" w:line="240" w:lineRule="auto"/>
        <w:rPr>
          <w:rFonts w:ascii="Times New Roman" w:eastAsia="Times New Roman" w:hAnsi="Times New Roman" w:cs="Times New Roman"/>
          <w:szCs w:val="24"/>
          <w:lang w:eastAsia="en-AU"/>
        </w:rPr>
      </w:pPr>
      <w:r>
        <w:rPr>
          <w:rFonts w:ascii="Times New Roman" w:eastAsia="Times New Roman" w:hAnsi="Times New Roman" w:cs="Times New Roman"/>
          <w:noProof/>
          <w:szCs w:val="24"/>
          <w:lang w:eastAsia="en-AU"/>
        </w:rPr>
        <w:drawing>
          <wp:inline distT="0" distB="0" distL="0" distR="0" wp14:anchorId="12406805" wp14:editId="3302AF1E">
            <wp:extent cx="5616000" cy="3377853"/>
            <wp:effectExtent l="0" t="0" r="0" b="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pic:nvPicPr>
                  <pic:blipFill rotWithShape="1">
                    <a:blip r:embed="rId105"/>
                    <a:srcRect l="6271" r="6271"/>
                    <a:stretch/>
                  </pic:blipFill>
                  <pic:spPr bwMode="auto">
                    <a:xfrm>
                      <a:off x="0" y="0"/>
                      <a:ext cx="5616000" cy="3377853"/>
                    </a:xfrm>
                    <a:prstGeom prst="rect">
                      <a:avLst/>
                    </a:prstGeom>
                    <a:ln>
                      <a:noFill/>
                    </a:ln>
                    <a:extLst>
                      <a:ext uri="{53640926-AAD7-44D8-BBD7-CCE9431645EC}">
                        <a14:shadowObscured xmlns:a14="http://schemas.microsoft.com/office/drawing/2010/main"/>
                      </a:ext>
                    </a:extLst>
                  </pic:spPr>
                </pic:pic>
              </a:graphicData>
            </a:graphic>
          </wp:inline>
        </w:drawing>
      </w:r>
    </w:p>
    <w:p w14:paraId="220A7401" w14:textId="18F5FBB1" w:rsidR="000E531B" w:rsidRDefault="000E531B" w:rsidP="00FD4493">
      <w:r w:rsidRPr="000E531B">
        <w:rPr>
          <w:i/>
          <w:iCs/>
          <w:lang w:eastAsia="en-AU"/>
        </w:rPr>
        <w:t>Notes:</w:t>
      </w:r>
      <w:r w:rsidRPr="000E531B">
        <w:rPr>
          <w:lang w:eastAsia="en-AU"/>
        </w:rPr>
        <w:t xml:space="preserve"> Transactions reported to IP Australia where a non-owner of the patent has been granted authoritative permission to use, but not own, the IP rights, with effective date from 04/08/2001 to 29/06/2020.</w:t>
      </w:r>
      <w:r w:rsidRPr="000E531B">
        <w:rPr>
          <w:i/>
          <w:iCs/>
          <w:lang w:eastAsia="en-AU"/>
        </w:rPr>
        <w:t xml:space="preserve"> </w:t>
      </w:r>
    </w:p>
    <w:p w14:paraId="2AB1D3EF" w14:textId="3E233ABB" w:rsidR="000E531B" w:rsidRPr="000E531B" w:rsidRDefault="000E531B" w:rsidP="00FD4493">
      <w:pPr>
        <w:rPr>
          <w:lang w:eastAsia="en-AU"/>
        </w:rPr>
      </w:pPr>
      <w:r w:rsidRPr="000E531B">
        <w:rPr>
          <w:i/>
          <w:iCs/>
          <w:lang w:eastAsia="en-AU"/>
        </w:rPr>
        <w:t>Source</w:t>
      </w:r>
      <w:r w:rsidRPr="000E531B">
        <w:rPr>
          <w:lang w:eastAsia="en-AU"/>
        </w:rPr>
        <w:t>: IPGOD (2020), patent-party</w:t>
      </w:r>
      <w:r w:rsidR="00423A09">
        <w:rPr>
          <w:lang w:eastAsia="en-AU"/>
        </w:rPr>
        <w:t xml:space="preserve"> </w:t>
      </w:r>
      <w:r w:rsidRPr="000E531B">
        <w:rPr>
          <w:lang w:eastAsia="en-AU"/>
        </w:rPr>
        <w:t>activity table.</w:t>
      </w:r>
    </w:p>
    <w:p w14:paraId="456F0A4C" w14:textId="6D61A74D" w:rsidR="00347704" w:rsidRPr="0048773A" w:rsidRDefault="00347704">
      <w:pPr>
        <w:rPr>
          <w:rFonts w:asciiTheme="majorHAnsi" w:eastAsiaTheme="majorEastAsia" w:hAnsiTheme="majorHAnsi" w:cstheme="majorBidi"/>
        </w:rPr>
      </w:pPr>
      <w:r w:rsidRPr="0048773A">
        <w:rPr>
          <w:rFonts w:asciiTheme="majorHAnsi" w:eastAsiaTheme="majorEastAsia" w:hAnsiTheme="majorHAnsi" w:cstheme="majorBidi"/>
        </w:rPr>
        <w:br w:type="page"/>
      </w:r>
    </w:p>
    <w:p w14:paraId="2F3A4B58" w14:textId="441A250D" w:rsidR="008A67E7" w:rsidRDefault="00347704" w:rsidP="00102432">
      <w:pPr>
        <w:pStyle w:val="Heading1"/>
      </w:pPr>
      <w:bookmarkStart w:id="394" w:name="_Toc60760649"/>
      <w:bookmarkStart w:id="395" w:name="_Toc60834835"/>
      <w:bookmarkStart w:id="396" w:name="_Toc60836785"/>
      <w:bookmarkStart w:id="397" w:name="_Toc60997773"/>
      <w:bookmarkStart w:id="398" w:name="_Toc61015587"/>
      <w:bookmarkStart w:id="399" w:name="_Toc61269619"/>
      <w:bookmarkStart w:id="400" w:name="_Toc61356727"/>
      <w:bookmarkStart w:id="401" w:name="_Toc65159337"/>
      <w:r w:rsidRPr="00585B6B">
        <w:lastRenderedPageBreak/>
        <w:t xml:space="preserve">Appendix </w:t>
      </w:r>
      <w:r w:rsidR="00697354" w:rsidRPr="00585B6B">
        <w:t>G</w:t>
      </w:r>
      <w:r w:rsidR="00DC31E9" w:rsidRPr="00585B6B">
        <w:t xml:space="preserve"> – IP Australia forthcoming Economic Research</w:t>
      </w:r>
      <w:bookmarkEnd w:id="394"/>
      <w:bookmarkEnd w:id="395"/>
      <w:bookmarkEnd w:id="396"/>
      <w:bookmarkEnd w:id="397"/>
      <w:bookmarkEnd w:id="398"/>
      <w:bookmarkEnd w:id="399"/>
      <w:bookmarkEnd w:id="400"/>
      <w:bookmarkEnd w:id="401"/>
    </w:p>
    <w:p w14:paraId="08A86DF8" w14:textId="7A2F5177" w:rsidR="00DC31E9" w:rsidRPr="00466012" w:rsidRDefault="00DC31E9" w:rsidP="00DC31E9">
      <w:pPr>
        <w:rPr>
          <w:szCs w:val="24"/>
        </w:rPr>
      </w:pPr>
      <w:r w:rsidRPr="4D879BC5">
        <w:t xml:space="preserve">Preliminary findings from a forthcoming economic research paper further fills out the picture of how </w:t>
      </w:r>
      <w:r w:rsidR="005443F8" w:rsidRPr="4D879BC5">
        <w:t>small to medium enterprises (</w:t>
      </w:r>
      <w:r w:rsidRPr="4D879BC5">
        <w:t>SMEs</w:t>
      </w:r>
      <w:r w:rsidR="005443F8" w:rsidRPr="00466012">
        <w:rPr>
          <w:szCs w:val="24"/>
        </w:rPr>
        <w:t>)</w:t>
      </w:r>
      <w:r w:rsidRPr="4D879BC5">
        <w:t xml:space="preserve"> engage with the patent system.</w:t>
      </w:r>
      <w:r w:rsidRPr="4D879BC5">
        <w:rPr>
          <w:rStyle w:val="FootnoteReference"/>
        </w:rPr>
        <w:footnoteReference w:id="181"/>
      </w:r>
      <w:r w:rsidRPr="4D879BC5">
        <w:t xml:space="preserve"> The research looks at SME usage of the IP system during the period between 2001</w:t>
      </w:r>
      <w:r w:rsidR="00457C65" w:rsidRPr="00466012">
        <w:rPr>
          <w:szCs w:val="24"/>
        </w:rPr>
        <w:t>–</w:t>
      </w:r>
      <w:r w:rsidRPr="4D879BC5">
        <w:t>02 and 2016</w:t>
      </w:r>
      <w:r w:rsidR="00457C65" w:rsidRPr="00466012">
        <w:rPr>
          <w:szCs w:val="24"/>
        </w:rPr>
        <w:t>–</w:t>
      </w:r>
      <w:r w:rsidRPr="4D879BC5">
        <w:t xml:space="preserve">17. Some of the findings have already been summarised in section </w:t>
      </w:r>
      <w:r w:rsidR="00291213">
        <w:t>4</w:t>
      </w:r>
      <w:r w:rsidRPr="4D879BC5">
        <w:t>(i) of this report. Other findings of the report are summarised here.</w:t>
      </w:r>
    </w:p>
    <w:p w14:paraId="16AC0EFB" w14:textId="42401F65" w:rsidR="00347704" w:rsidRPr="00466012" w:rsidRDefault="00DC31E9" w:rsidP="008A67E7">
      <w:pPr>
        <w:rPr>
          <w:szCs w:val="24"/>
        </w:rPr>
      </w:pPr>
      <w:r w:rsidRPr="00466012">
        <w:rPr>
          <w:szCs w:val="24"/>
        </w:rPr>
        <w:t>T</w:t>
      </w:r>
      <w:r w:rsidR="00347704" w:rsidRPr="00466012">
        <w:rPr>
          <w:szCs w:val="24"/>
        </w:rPr>
        <w:t xml:space="preserve">hose SMEs that did own patents (and other IP rights) </w:t>
      </w:r>
      <w:r w:rsidR="00E02F6C" w:rsidRPr="00466012">
        <w:rPr>
          <w:szCs w:val="24"/>
        </w:rPr>
        <w:t xml:space="preserve">paid </w:t>
      </w:r>
      <w:r w:rsidR="00347704" w:rsidRPr="00466012">
        <w:rPr>
          <w:szCs w:val="24"/>
        </w:rPr>
        <w:t>higher median wages th</w:t>
      </w:r>
      <w:r w:rsidR="003E60EC" w:rsidRPr="00466012">
        <w:rPr>
          <w:szCs w:val="24"/>
        </w:rPr>
        <w:t xml:space="preserve">an SMEs without any IP rights. </w:t>
      </w:r>
      <w:r w:rsidR="00347704" w:rsidRPr="00466012">
        <w:rPr>
          <w:szCs w:val="24"/>
        </w:rPr>
        <w:t xml:space="preserve">For example, SMEs that owned only patents </w:t>
      </w:r>
      <w:r w:rsidR="0013593E" w:rsidRPr="00466012">
        <w:rPr>
          <w:szCs w:val="24"/>
        </w:rPr>
        <w:t xml:space="preserve">(and no other IP rights) </w:t>
      </w:r>
      <w:r w:rsidR="00E02F6C" w:rsidRPr="00466012">
        <w:rPr>
          <w:szCs w:val="24"/>
        </w:rPr>
        <w:t xml:space="preserve">had </w:t>
      </w:r>
      <w:r w:rsidR="00347704" w:rsidRPr="00466012">
        <w:rPr>
          <w:szCs w:val="24"/>
        </w:rPr>
        <w:t>a median wage per employee of $58,494</w:t>
      </w:r>
      <w:r w:rsidR="00E02F6C" w:rsidRPr="00466012">
        <w:rPr>
          <w:szCs w:val="24"/>
        </w:rPr>
        <w:t>,</w:t>
      </w:r>
      <w:r w:rsidR="00347704" w:rsidRPr="00466012">
        <w:rPr>
          <w:szCs w:val="24"/>
        </w:rPr>
        <w:t xml:space="preserve"> compared </w:t>
      </w:r>
      <w:r w:rsidR="00E02F6C" w:rsidRPr="00466012">
        <w:rPr>
          <w:szCs w:val="24"/>
        </w:rPr>
        <w:t xml:space="preserve">with </w:t>
      </w:r>
      <w:r w:rsidR="00347704" w:rsidRPr="00466012">
        <w:rPr>
          <w:szCs w:val="24"/>
        </w:rPr>
        <w:t xml:space="preserve">a median wage per employee of only $43,327 for SMEs without any type of IP right. SMEs that owned patents, trade marks and designs </w:t>
      </w:r>
      <w:r w:rsidR="00E02F6C" w:rsidRPr="00466012">
        <w:rPr>
          <w:szCs w:val="24"/>
        </w:rPr>
        <w:t xml:space="preserve">had </w:t>
      </w:r>
      <w:r w:rsidR="00347704" w:rsidRPr="00466012">
        <w:rPr>
          <w:szCs w:val="24"/>
        </w:rPr>
        <w:t xml:space="preserve">a median wage per employee of $60,898. </w:t>
      </w:r>
    </w:p>
    <w:p w14:paraId="6DDD04A2" w14:textId="77777777" w:rsidR="00E02F6C" w:rsidRPr="00466012" w:rsidRDefault="00347704" w:rsidP="00FD4493">
      <w:pPr>
        <w:spacing w:after="60"/>
        <w:rPr>
          <w:szCs w:val="24"/>
        </w:rPr>
      </w:pPr>
      <w:r w:rsidRPr="00466012">
        <w:rPr>
          <w:szCs w:val="24"/>
        </w:rPr>
        <w:t xml:space="preserve">However, the research found no strong evidence that SMEs owning patents perform better than those without patents in terms of productivity growth. </w:t>
      </w:r>
    </w:p>
    <w:p w14:paraId="050AE8CC" w14:textId="34F586B9" w:rsidR="00F7494B" w:rsidRPr="00466012" w:rsidRDefault="00347704" w:rsidP="00E02F6C">
      <w:pPr>
        <w:pStyle w:val="ListParagraph"/>
        <w:numPr>
          <w:ilvl w:val="0"/>
          <w:numId w:val="49"/>
        </w:numPr>
        <w:rPr>
          <w:szCs w:val="24"/>
        </w:rPr>
      </w:pPr>
      <w:r w:rsidRPr="00466012">
        <w:rPr>
          <w:szCs w:val="24"/>
        </w:rPr>
        <w:t xml:space="preserve">For SMEs as a whole, no strong evidence </w:t>
      </w:r>
      <w:r w:rsidR="00E02F6C" w:rsidRPr="00466012">
        <w:rPr>
          <w:szCs w:val="24"/>
        </w:rPr>
        <w:t xml:space="preserve">was </w:t>
      </w:r>
      <w:r w:rsidRPr="00466012">
        <w:rPr>
          <w:szCs w:val="24"/>
        </w:rPr>
        <w:t xml:space="preserve">found that those filing for a patent </w:t>
      </w:r>
      <w:r w:rsidR="00E02F6C" w:rsidRPr="00466012">
        <w:rPr>
          <w:szCs w:val="24"/>
        </w:rPr>
        <w:t xml:space="preserve">were </w:t>
      </w:r>
      <w:r w:rsidRPr="00466012">
        <w:rPr>
          <w:szCs w:val="24"/>
        </w:rPr>
        <w:t xml:space="preserve">more likely to have a positive or high growth in subsequent years than those </w:t>
      </w:r>
      <w:r w:rsidR="00E02F6C" w:rsidRPr="00466012">
        <w:rPr>
          <w:szCs w:val="24"/>
        </w:rPr>
        <w:t xml:space="preserve">that did </w:t>
      </w:r>
      <w:r w:rsidRPr="00466012">
        <w:rPr>
          <w:szCs w:val="24"/>
        </w:rPr>
        <w:t xml:space="preserve">not apply for a patent. </w:t>
      </w:r>
    </w:p>
    <w:p w14:paraId="39D6F9F8" w14:textId="4FF94A8D" w:rsidR="00F7494B" w:rsidRPr="00FD4493" w:rsidRDefault="00347704" w:rsidP="00FD4493">
      <w:pPr>
        <w:pStyle w:val="ListParagraph"/>
        <w:numPr>
          <w:ilvl w:val="0"/>
          <w:numId w:val="49"/>
        </w:numPr>
        <w:spacing w:after="240"/>
        <w:rPr>
          <w:rFonts w:cs="Arial (Body CS)"/>
          <w:spacing w:val="-6"/>
          <w:szCs w:val="24"/>
        </w:rPr>
      </w:pPr>
      <w:r w:rsidRPr="00FD4493">
        <w:rPr>
          <w:rFonts w:cs="Arial (Body CS)"/>
          <w:spacing w:val="-6"/>
          <w:szCs w:val="24"/>
        </w:rPr>
        <w:t xml:space="preserve">However, medium businesses filing for a patent </w:t>
      </w:r>
      <w:r w:rsidR="00F7494B" w:rsidRPr="00FD4493">
        <w:rPr>
          <w:rFonts w:cs="Arial (Body CS)"/>
          <w:spacing w:val="-6"/>
          <w:szCs w:val="24"/>
        </w:rPr>
        <w:t xml:space="preserve">were </w:t>
      </w:r>
      <w:r w:rsidRPr="00FD4493">
        <w:rPr>
          <w:rFonts w:cs="Arial (Body CS)"/>
          <w:spacing w:val="-6"/>
          <w:szCs w:val="24"/>
        </w:rPr>
        <w:t xml:space="preserve">more likely to experience a positive and high growth than their equivalent counterparts that </w:t>
      </w:r>
      <w:r w:rsidR="00E02F6C" w:rsidRPr="00FD4493">
        <w:rPr>
          <w:rFonts w:cs="Arial (Body CS)"/>
          <w:spacing w:val="-6"/>
          <w:szCs w:val="24"/>
        </w:rPr>
        <w:t xml:space="preserve">did </w:t>
      </w:r>
      <w:r w:rsidRPr="00FD4493">
        <w:rPr>
          <w:rFonts w:cs="Arial (Body CS)"/>
          <w:spacing w:val="-6"/>
          <w:szCs w:val="24"/>
        </w:rPr>
        <w:t xml:space="preserve">not apply for a patent. </w:t>
      </w:r>
    </w:p>
    <w:p w14:paraId="3B26C5D1" w14:textId="0D544882" w:rsidR="00347704" w:rsidRPr="00466012" w:rsidRDefault="00347704" w:rsidP="00F7494B">
      <w:pPr>
        <w:rPr>
          <w:szCs w:val="24"/>
        </w:rPr>
      </w:pPr>
      <w:r w:rsidRPr="00466012">
        <w:rPr>
          <w:szCs w:val="24"/>
        </w:rPr>
        <w:t>The fact that</w:t>
      </w:r>
      <w:r w:rsidR="00F7494B" w:rsidRPr="00466012">
        <w:rPr>
          <w:szCs w:val="24"/>
        </w:rPr>
        <w:t xml:space="preserve"> this</w:t>
      </w:r>
      <w:r w:rsidRPr="00466012">
        <w:rPr>
          <w:szCs w:val="24"/>
        </w:rPr>
        <w:t xml:space="preserve"> is not the case for micro and small businesses</w:t>
      </w:r>
      <w:r w:rsidR="00F7494B" w:rsidRPr="00466012">
        <w:rPr>
          <w:szCs w:val="24"/>
        </w:rPr>
        <w:t xml:space="preserve"> </w:t>
      </w:r>
      <w:r w:rsidRPr="00466012">
        <w:rPr>
          <w:szCs w:val="24"/>
        </w:rPr>
        <w:t>may suggest that</w:t>
      </w:r>
      <w:r w:rsidR="00F7494B" w:rsidRPr="00466012">
        <w:rPr>
          <w:szCs w:val="24"/>
        </w:rPr>
        <w:t>,</w:t>
      </w:r>
      <w:r w:rsidRPr="00466012">
        <w:rPr>
          <w:szCs w:val="24"/>
        </w:rPr>
        <w:t xml:space="preserve"> once a business grows bigger, it may have more resources to innovate and </w:t>
      </w:r>
      <w:r w:rsidR="00F7494B" w:rsidRPr="00466012">
        <w:rPr>
          <w:szCs w:val="24"/>
        </w:rPr>
        <w:t xml:space="preserve">to </w:t>
      </w:r>
      <w:r w:rsidRPr="00466012">
        <w:rPr>
          <w:szCs w:val="24"/>
        </w:rPr>
        <w:t>file for patents</w:t>
      </w:r>
      <w:r w:rsidR="00F7494B" w:rsidRPr="00466012">
        <w:rPr>
          <w:szCs w:val="24"/>
        </w:rPr>
        <w:t>;</w:t>
      </w:r>
      <w:r w:rsidRPr="00466012">
        <w:rPr>
          <w:szCs w:val="24"/>
        </w:rPr>
        <w:t xml:space="preserve"> in turn</w:t>
      </w:r>
      <w:r w:rsidR="00F7494B" w:rsidRPr="00466012">
        <w:rPr>
          <w:szCs w:val="24"/>
        </w:rPr>
        <w:t>,</w:t>
      </w:r>
      <w:r w:rsidRPr="00466012">
        <w:rPr>
          <w:szCs w:val="24"/>
        </w:rPr>
        <w:t xml:space="preserve"> patents are more likely to contr</w:t>
      </w:r>
      <w:r w:rsidR="00DC31E9" w:rsidRPr="00466012">
        <w:rPr>
          <w:szCs w:val="24"/>
        </w:rPr>
        <w:t>ibute to firm’s further growth.</w:t>
      </w:r>
    </w:p>
    <w:p w14:paraId="41595844" w14:textId="0DA430DA" w:rsidR="00180FAB" w:rsidRPr="00466012" w:rsidRDefault="00347704">
      <w:pPr>
        <w:rPr>
          <w:rFonts w:asciiTheme="majorHAnsi" w:eastAsiaTheme="majorEastAsia" w:hAnsiTheme="majorHAnsi" w:cstheme="majorBidi"/>
          <w:color w:val="005677" w:themeColor="text2"/>
          <w:szCs w:val="24"/>
        </w:rPr>
      </w:pPr>
      <w:r w:rsidRPr="00466012">
        <w:rPr>
          <w:szCs w:val="24"/>
        </w:rPr>
        <w:t>The research also looked at the characteristics of businesses who patent. Patent-intensive firms</w:t>
      </w:r>
      <w:r w:rsidR="002C0F5C" w:rsidRPr="00466012">
        <w:rPr>
          <w:szCs w:val="24"/>
        </w:rPr>
        <w:t xml:space="preserve">, </w:t>
      </w:r>
      <w:r w:rsidRPr="00466012">
        <w:rPr>
          <w:szCs w:val="24"/>
        </w:rPr>
        <w:t>including SMEs</w:t>
      </w:r>
      <w:r w:rsidR="002C0F5C" w:rsidRPr="00466012">
        <w:rPr>
          <w:szCs w:val="24"/>
        </w:rPr>
        <w:t xml:space="preserve">, </w:t>
      </w:r>
      <w:r w:rsidRPr="00466012">
        <w:rPr>
          <w:szCs w:val="24"/>
        </w:rPr>
        <w:t>tend to operate in environments characterised by the presence of smaller competitors that are similar in nature. Beyond R&amp;D, patent-intensive SMEs are not more collaborative than their peers. Patent-intensive SMEs are distinguished by their use of engineering and marketing skills. Large firms draw on a broader set of skills in innovation, including scientific and research, information technology, business management and financial skills.</w:t>
      </w:r>
    </w:p>
    <w:sectPr w:rsidR="00180FAB" w:rsidRPr="00466012" w:rsidSect="00FD4493">
      <w:headerReference w:type="first" r:id="rId106"/>
      <w:pgSz w:w="11906" w:h="16838"/>
      <w:pgMar w:top="1276" w:right="1440" w:bottom="1440" w:left="1440"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59CEE" w14:textId="77777777" w:rsidR="00E6170E" w:rsidRDefault="00E6170E" w:rsidP="00B251DB">
      <w:pPr>
        <w:spacing w:after="0" w:line="240" w:lineRule="auto"/>
      </w:pPr>
      <w:r>
        <w:separator/>
      </w:r>
    </w:p>
  </w:endnote>
  <w:endnote w:type="continuationSeparator" w:id="0">
    <w:p w14:paraId="5CB923D0" w14:textId="77777777" w:rsidR="00E6170E" w:rsidRDefault="00E6170E" w:rsidP="00B251DB">
      <w:pPr>
        <w:spacing w:after="0" w:line="240" w:lineRule="auto"/>
      </w:pPr>
      <w:r>
        <w:continuationSeparator/>
      </w:r>
    </w:p>
  </w:endnote>
  <w:endnote w:type="continuationNotice" w:id="1">
    <w:p w14:paraId="1B81934D" w14:textId="77777777" w:rsidR="00E6170E" w:rsidRDefault="00E61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MS Gothic"/>
    <w:charset w:val="80"/>
    <w:family w:val="swiss"/>
    <w:pitch w:val="variable"/>
    <w:sig w:usb0="E10102FF" w:usb1="EAC7FFFF" w:usb2="08010012" w:usb3="00000000" w:csb0="0002009F" w:csb1="00000000"/>
  </w:font>
  <w:font w:name="Arial (Body C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E27CE" w14:textId="77777777" w:rsidR="000E6C85" w:rsidRDefault="000E6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3197E" w14:textId="32F6357B" w:rsidR="00D55219" w:rsidRDefault="00D55219" w:rsidP="018B3673">
    <w:pPr>
      <w:pStyle w:val="Footer"/>
      <w:jc w:val="center"/>
    </w:pPr>
  </w:p>
  <w:p w14:paraId="4C713721" w14:textId="791A23C4" w:rsidR="00D55219" w:rsidRDefault="00D55219" w:rsidP="00BD0F8A">
    <w:pPr>
      <w:pStyle w:val="Footer"/>
      <w:jc w:val="right"/>
      <w:rPr>
        <w:noProof/>
      </w:rPr>
    </w:pPr>
    <w:r>
      <w:t>Patents Accessibility Review</w:t>
    </w:r>
    <w:r>
      <w:tab/>
      <w:t>industry.gov.au</w:t>
    </w:r>
    <w:r>
      <w:tab/>
    </w:r>
    <w:sdt>
      <w:sdtPr>
        <w:id w:val="-11763947"/>
        <w:docPartObj>
          <w:docPartGallery w:val="Page Numbers (Bottom of Page)"/>
          <w:docPartUnique/>
        </w:docPartObj>
      </w:sdtPr>
      <w:sdtEndPr>
        <w:rPr>
          <w:noProof/>
        </w:rPr>
      </w:sdtEndPr>
      <w:sdtContent>
        <w:r w:rsidRPr="00585B6B">
          <w:fldChar w:fldCharType="begin"/>
        </w:r>
        <w:r>
          <w:instrText xml:space="preserve"> PAGE   \* MERGEFORMAT </w:instrText>
        </w:r>
        <w:r w:rsidRPr="00585B6B">
          <w:fldChar w:fldCharType="separate"/>
        </w:r>
        <w:r w:rsidR="000E6C85">
          <w:rPr>
            <w:noProof/>
          </w:rPr>
          <w:t>iv</w:t>
        </w:r>
        <w:r w:rsidRPr="00585B6B">
          <w:fldChar w:fldCharType="end"/>
        </w:r>
      </w:sdtContent>
    </w:sdt>
  </w:p>
  <w:p w14:paraId="2E5CD584" w14:textId="68F554C2" w:rsidR="00D55219" w:rsidRPr="00CC5F88" w:rsidRDefault="00D55219" w:rsidP="00CC5F88">
    <w:pPr>
      <w:pStyle w:val="Header"/>
      <w:jc w:val="center"/>
      <w:rPr>
        <w:b/>
        <w:color w:val="FF0000"/>
        <w:sz w:val="28"/>
        <w:szCs w:val="28"/>
      </w:rPr>
    </w:pPr>
    <w:r>
      <w:rPr>
        <w:b/>
        <w:color w:val="FF000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F0EF" w14:textId="77777777" w:rsidR="00D55219" w:rsidRDefault="00D55219">
    <w:pPr>
      <w:pStyle w:val="Footer"/>
      <w:rPr>
        <w:b/>
        <w:bCs/>
        <w:iCs/>
        <w:color w:val="005677" w:themeColor="text2"/>
        <w:sz w:val="26"/>
        <w:szCs w:val="26"/>
      </w:rPr>
    </w:pPr>
    <w:r w:rsidRPr="00806473">
      <w:rPr>
        <w:bCs/>
        <w:iCs/>
        <w:color w:val="005677" w:themeColor="text2"/>
        <w:sz w:val="26"/>
        <w:szCs w:val="26"/>
      </w:rPr>
      <w:t>Supporting economic growth and job creation for all Australians |</w:t>
    </w:r>
    <w:r w:rsidRPr="00806473">
      <w:rPr>
        <w:b/>
        <w:bCs/>
        <w:iCs/>
        <w:color w:val="005677" w:themeColor="text2"/>
        <w:sz w:val="26"/>
        <w:szCs w:val="26"/>
      </w:rPr>
      <w:t xml:space="preserve"> industry.gov.au</w:t>
    </w:r>
  </w:p>
  <w:p w14:paraId="0C75D13A" w14:textId="12430D45" w:rsidR="00D55219" w:rsidRPr="00CC5F88" w:rsidRDefault="00D55219" w:rsidP="00CC5F88">
    <w:pPr>
      <w:pStyle w:val="Header"/>
      <w:jc w:val="center"/>
      <w:rPr>
        <w:b/>
        <w:color w:val="FF0000"/>
        <w:sz w:val="28"/>
        <w:szCs w:val="28"/>
      </w:rPr>
    </w:pPr>
    <w:r>
      <w:rPr>
        <w:b/>
        <w:color w:val="FF000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E1D99" w14:textId="77777777" w:rsidR="00010BBA" w:rsidRDefault="00010BBA" w:rsidP="018B3673">
    <w:pPr>
      <w:pStyle w:val="Footer"/>
      <w:jc w:val="center"/>
    </w:pPr>
  </w:p>
  <w:p w14:paraId="143247A8" w14:textId="3E768DE1" w:rsidR="00010BBA" w:rsidRDefault="00010BBA" w:rsidP="00BD0F8A">
    <w:pPr>
      <w:pStyle w:val="Footer"/>
      <w:jc w:val="right"/>
      <w:rPr>
        <w:noProof/>
      </w:rPr>
    </w:pPr>
    <w:r>
      <w:t>Patents Accessibility Review</w:t>
    </w:r>
    <w:r>
      <w:tab/>
      <w:t>industry.gov.au</w:t>
    </w:r>
    <w:r>
      <w:tab/>
    </w:r>
    <w:sdt>
      <w:sdtPr>
        <w:id w:val="211932428"/>
        <w:docPartObj>
          <w:docPartGallery w:val="Page Numbers (Bottom of Page)"/>
          <w:docPartUnique/>
        </w:docPartObj>
      </w:sdtPr>
      <w:sdtEndPr>
        <w:rPr>
          <w:noProof/>
        </w:rPr>
      </w:sdtEndPr>
      <w:sdtContent>
        <w:r w:rsidRPr="00585B6B">
          <w:fldChar w:fldCharType="begin"/>
        </w:r>
        <w:r>
          <w:instrText xml:space="preserve"> PAGE   \* MERGEFORMAT </w:instrText>
        </w:r>
        <w:r w:rsidRPr="00585B6B">
          <w:fldChar w:fldCharType="separate"/>
        </w:r>
        <w:r w:rsidR="000E6C85">
          <w:rPr>
            <w:noProof/>
          </w:rPr>
          <w:t>101</w:t>
        </w:r>
        <w:r w:rsidRPr="00585B6B">
          <w:fldChar w:fldCharType="end"/>
        </w:r>
      </w:sdtContent>
    </w:sdt>
  </w:p>
  <w:p w14:paraId="67F3C009" w14:textId="77777777" w:rsidR="00010BBA" w:rsidRPr="00CC5F88" w:rsidRDefault="00010BBA" w:rsidP="00CC5F88">
    <w:pPr>
      <w:pStyle w:val="Header"/>
      <w:jc w:val="center"/>
      <w:rPr>
        <w:b/>
        <w:color w:val="FF0000"/>
        <w:sz w:val="28"/>
        <w:szCs w:val="28"/>
      </w:rPr>
    </w:pPr>
    <w:r>
      <w:rPr>
        <w:b/>
        <w:color w:val="FF000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E6A80" w14:textId="77777777" w:rsidR="00E6170E" w:rsidRDefault="00E6170E" w:rsidP="00B251DB">
      <w:pPr>
        <w:spacing w:after="0" w:line="240" w:lineRule="auto"/>
      </w:pPr>
      <w:r>
        <w:separator/>
      </w:r>
    </w:p>
  </w:footnote>
  <w:footnote w:type="continuationSeparator" w:id="0">
    <w:p w14:paraId="4FDE928B" w14:textId="77777777" w:rsidR="00E6170E" w:rsidRDefault="00E6170E" w:rsidP="00B251DB">
      <w:pPr>
        <w:spacing w:after="0" w:line="240" w:lineRule="auto"/>
      </w:pPr>
      <w:r>
        <w:continuationSeparator/>
      </w:r>
    </w:p>
  </w:footnote>
  <w:footnote w:type="continuationNotice" w:id="1">
    <w:p w14:paraId="6C1EE820" w14:textId="77777777" w:rsidR="00E6170E" w:rsidRDefault="00E6170E">
      <w:pPr>
        <w:spacing w:after="0" w:line="240" w:lineRule="auto"/>
      </w:pPr>
    </w:p>
  </w:footnote>
  <w:footnote w:id="2">
    <w:p w14:paraId="374EFE0F" w14:textId="14063543" w:rsidR="00D55219" w:rsidRDefault="00D55219" w:rsidP="00C114ED">
      <w:pPr>
        <w:pStyle w:val="FootnoteText"/>
      </w:pPr>
      <w:r>
        <w:rPr>
          <w:rStyle w:val="FootnoteReference"/>
        </w:rPr>
        <w:footnoteRef/>
      </w:r>
      <w:r>
        <w:t xml:space="preserve"> Department of Industry, Science, Energy and Resources (DISER) (2020) </w:t>
      </w:r>
      <w:r>
        <w:rPr>
          <w:i/>
        </w:rPr>
        <w:t>Patents Accessibility Review,</w:t>
      </w:r>
      <w:r>
        <w:t xml:space="preserve"> DISER website. </w:t>
      </w:r>
      <w:hyperlink r:id="rId1" w:history="1">
        <w:r w:rsidRPr="006E7D5F">
          <w:rPr>
            <w:rStyle w:val="Hyperlink"/>
          </w:rPr>
          <w:t>https://consult.industry.gov.au/science-commercialisation/par/</w:t>
        </w:r>
      </w:hyperlink>
      <w:r w:rsidRPr="00AE5AEE">
        <w:rPr>
          <w:rStyle w:val="Hyperlink"/>
          <w:color w:val="auto"/>
          <w:u w:val="none"/>
        </w:rPr>
        <w:t>.</w:t>
      </w:r>
    </w:p>
  </w:footnote>
  <w:footnote w:id="3">
    <w:p w14:paraId="520CA812" w14:textId="5DC88539" w:rsidR="00D55219" w:rsidRPr="00A109BA" w:rsidRDefault="00D55219" w:rsidP="00C114ED">
      <w:pPr>
        <w:pStyle w:val="FootnoteText"/>
        <w:rPr>
          <w:lang w:val="en-US"/>
        </w:rPr>
      </w:pPr>
      <w:r w:rsidRPr="008C3F6B">
        <w:rPr>
          <w:rStyle w:val="FootnoteReference"/>
        </w:rPr>
        <w:footnoteRef/>
      </w:r>
      <w:r w:rsidRPr="008C3F6B">
        <w:t xml:space="preserve"> </w:t>
      </w:r>
      <w:r w:rsidRPr="008C3F6B">
        <w:rPr>
          <w:i/>
        </w:rPr>
        <w:t>Intellectual Property Laws Amendment (Productivity Commission Response Part 2 and Other Measures) Act 2020</w:t>
      </w:r>
      <w:r w:rsidRPr="008C3F6B">
        <w:t>, s 4.</w:t>
      </w:r>
    </w:p>
  </w:footnote>
  <w:footnote w:id="4">
    <w:p w14:paraId="407F3AAE" w14:textId="05E948FD" w:rsidR="00D55219" w:rsidRPr="004D4303" w:rsidRDefault="00D55219">
      <w:pPr>
        <w:pStyle w:val="FootnoteText"/>
        <w:rPr>
          <w:i/>
        </w:rPr>
      </w:pPr>
      <w:r>
        <w:rPr>
          <w:rStyle w:val="FootnoteReference"/>
        </w:rPr>
        <w:footnoteRef/>
      </w:r>
      <w:r>
        <w:t xml:space="preserve"> Australian Bureau of Statistics, </w:t>
      </w:r>
      <w:r w:rsidRPr="00CD109C">
        <w:rPr>
          <w:i/>
        </w:rPr>
        <w:t>Small Business in Australia</w:t>
      </w:r>
      <w:r>
        <w:t xml:space="preserve">, </w:t>
      </w:r>
      <w:r w:rsidRPr="004D4303">
        <w:t>1321.0</w:t>
      </w:r>
      <w:r>
        <w:t xml:space="preserve">, Australian Government, 2001, accessed 17 February 2021. </w:t>
      </w:r>
      <w:hyperlink r:id="rId2" w:history="1">
        <w:r w:rsidRPr="00E130EE">
          <w:rPr>
            <w:rStyle w:val="Hyperlink"/>
          </w:rPr>
          <w:t>https://www.abs.gov.au/ausstats/abs@.nsf/mf/1321.0</w:t>
        </w:r>
      </w:hyperlink>
      <w:r>
        <w:t>.</w:t>
      </w:r>
    </w:p>
  </w:footnote>
  <w:footnote w:id="5">
    <w:p w14:paraId="5BD99B89" w14:textId="600E23D3" w:rsidR="00D55219" w:rsidRPr="00A11283" w:rsidRDefault="00D55219">
      <w:pPr>
        <w:pStyle w:val="FootnoteText"/>
      </w:pPr>
      <w:r w:rsidRPr="00347704">
        <w:rPr>
          <w:rStyle w:val="FootnoteReference"/>
        </w:rPr>
        <w:footnoteRef/>
      </w:r>
      <w:r w:rsidRPr="00347704">
        <w:t xml:space="preserve"> IP Australia, </w:t>
      </w:r>
      <w:r w:rsidRPr="00347704">
        <w:rPr>
          <w:i/>
        </w:rPr>
        <w:t xml:space="preserve">Australian </w:t>
      </w:r>
      <w:r>
        <w:rPr>
          <w:i/>
        </w:rPr>
        <w:t>i</w:t>
      </w:r>
      <w:r w:rsidRPr="00347704">
        <w:rPr>
          <w:i/>
        </w:rPr>
        <w:t xml:space="preserve">ntellectual </w:t>
      </w:r>
      <w:r>
        <w:rPr>
          <w:i/>
        </w:rPr>
        <w:t>p</w:t>
      </w:r>
      <w:r w:rsidRPr="00347704">
        <w:rPr>
          <w:i/>
        </w:rPr>
        <w:t xml:space="preserve">roperty </w:t>
      </w:r>
      <w:r>
        <w:rPr>
          <w:i/>
        </w:rPr>
        <w:t>r</w:t>
      </w:r>
      <w:r w:rsidRPr="00347704">
        <w:rPr>
          <w:i/>
        </w:rPr>
        <w:t>eport 2020</w:t>
      </w:r>
      <w:r>
        <w:t>,</w:t>
      </w:r>
      <w:r w:rsidRPr="00347704">
        <w:t xml:space="preserve"> </w:t>
      </w:r>
      <w:r>
        <w:t xml:space="preserve">p 8, IP Australia, Australian Government. </w:t>
      </w:r>
      <w:hyperlink r:id="rId3" w:history="1">
        <w:r w:rsidRPr="00A11283">
          <w:rPr>
            <w:rStyle w:val="Hyperlink"/>
          </w:rPr>
          <w:t>https://www.ipaustralia.gov.au/sites/default/files/reports_publications/2020_ip_report.pdf</w:t>
        </w:r>
      </w:hyperlink>
      <w:r w:rsidRPr="00A11283">
        <w:t>.</w:t>
      </w:r>
    </w:p>
  </w:footnote>
  <w:footnote w:id="6">
    <w:p w14:paraId="1AC71F3E" w14:textId="31878BCF" w:rsidR="00D55219" w:rsidRPr="00347704" w:rsidRDefault="00D55219">
      <w:pPr>
        <w:pStyle w:val="FootnoteText"/>
      </w:pPr>
      <w:r w:rsidRPr="00A11283">
        <w:rPr>
          <w:rStyle w:val="FootnoteReference"/>
        </w:rPr>
        <w:footnoteRef/>
      </w:r>
      <w:r w:rsidRPr="00A11283">
        <w:t xml:space="preserve"> WIPO (World Intellectual Property Organization) (2021) </w:t>
      </w:r>
      <w:r w:rsidRPr="00A11283">
        <w:rPr>
          <w:i/>
        </w:rPr>
        <w:t>WIPO IP Statistics Data Centre - Patents</w:t>
      </w:r>
      <w:r w:rsidRPr="00A11283">
        <w:t xml:space="preserve">, accessed on 27 January 2021. Note that 2019 is the latest full year statistics available. </w:t>
      </w:r>
      <w:r w:rsidRPr="0048773A">
        <w:rPr>
          <w:rStyle w:val="Hyperlink"/>
        </w:rPr>
        <w:t>https://www3.wipo.int/ipstats/editIpsSearchForm.htm?tab=patent</w:t>
      </w:r>
      <w:r w:rsidRPr="002554CB">
        <w:rPr>
          <w:rStyle w:val="Hyperlink"/>
          <w:color w:val="auto"/>
          <w:u w:val="none"/>
        </w:rPr>
        <w:t>.</w:t>
      </w:r>
    </w:p>
  </w:footnote>
  <w:footnote w:id="7">
    <w:p w14:paraId="799558D0" w14:textId="77777777" w:rsidR="00D55219" w:rsidRDefault="00D55219" w:rsidP="72EB7D45">
      <w:pPr>
        <w:pStyle w:val="FootnoteText"/>
      </w:pPr>
      <w:r w:rsidRPr="72EB7D45">
        <w:rPr>
          <w:rStyle w:val="FootnoteReference"/>
        </w:rPr>
        <w:footnoteRef/>
      </w:r>
      <w:r>
        <w:t xml:space="preserve"> An innovation-active business is one which has undertaken any activity during the reference period including: introduction of any type of innovation; and/or the development or introduction either still in progress or abandoned.</w:t>
      </w:r>
    </w:p>
  </w:footnote>
  <w:footnote w:id="8">
    <w:p w14:paraId="10C39F83" w14:textId="0C18E093" w:rsidR="00D55219" w:rsidRDefault="00D55219" w:rsidP="0078418A">
      <w:pPr>
        <w:pStyle w:val="FootnoteText"/>
      </w:pPr>
      <w:r>
        <w:rPr>
          <w:rStyle w:val="FootnoteReference"/>
        </w:rPr>
        <w:footnoteRef/>
      </w:r>
      <w:r>
        <w:t xml:space="preserve"> </w:t>
      </w:r>
      <w:r w:rsidRPr="00A91CAC">
        <w:t>Australian Bureau of Statistics</w:t>
      </w:r>
      <w:r>
        <w:t xml:space="preserve">, </w:t>
      </w:r>
      <w:r w:rsidRPr="00021EAA">
        <w:rPr>
          <w:i/>
        </w:rPr>
        <w:t>Characteristics of Australian Business (2018-19)</w:t>
      </w:r>
      <w:r w:rsidRPr="00A91CAC">
        <w:t>, 8167.0.001 and 8167.0.008</w:t>
      </w:r>
      <w:r w:rsidRPr="00021EAA">
        <w:t>, Australian Government, 2020, accessed 29 January 2021</w:t>
      </w:r>
      <w:r>
        <w:t xml:space="preserve"> </w:t>
      </w:r>
      <w:hyperlink r:id="rId4" w:history="1">
        <w:r w:rsidRPr="000608AF">
          <w:rPr>
            <w:rStyle w:val="Hyperlink"/>
          </w:rPr>
          <w:t>https://www.abs.gov.au/statistics/industry/technology-and-innovation/characteristics-australian-business/2018-19</w:t>
        </w:r>
      </w:hyperlink>
      <w:r w:rsidRPr="004C6A9D">
        <w:t>.</w:t>
      </w:r>
      <w:r>
        <w:t xml:space="preserve"> </w:t>
      </w:r>
      <w:r w:rsidRPr="004068D8">
        <w:t>Estimate derived from BCS data by estimating the number of SMEs that are innovation-active businesses and at the same time performed R&amp;D in the 2018-19 FY. It includes all SMEs doing R&amp;D. The calculation was performed by scaling up the percentage of innovation active SMEs that perform R&amp;D (as sampled by the BCS) to the total estimated population of employing business that the BCS is intended to represent, which is 857,000 business (782,000 are small firms 0-19 employees and 70,000 are medium size, 20-199 employees).</w:t>
      </w:r>
    </w:p>
  </w:footnote>
  <w:footnote w:id="9">
    <w:p w14:paraId="4006C1CC" w14:textId="18D5CA77" w:rsidR="00D55219" w:rsidRDefault="00D55219" w:rsidP="0C89C1B6">
      <w:pPr>
        <w:pStyle w:val="FootnoteText"/>
      </w:pPr>
      <w:r w:rsidRPr="0C89C1B6">
        <w:rPr>
          <w:rStyle w:val="FootnoteReference"/>
        </w:rPr>
        <w:footnoteRef/>
      </w:r>
      <w:r>
        <w:t xml:space="preserve"> The RDTI program requires that head entities register on behalf of their subsidiaries, which is why the number of participating SMEs exceeds the number of registrations. Note also that the RDTI uses a different definition of SME to the definition used elsewhere in this report: instead of defining SMEs by the size of their workforce, the RDTI defines SMEs as companies with less than $20 million aggregate annual turnover. </w:t>
      </w:r>
    </w:p>
  </w:footnote>
  <w:footnote w:id="10">
    <w:p w14:paraId="5AEC760C" w14:textId="2469BD03" w:rsidR="00D55219" w:rsidRPr="00112C8D" w:rsidRDefault="00D55219" w:rsidP="00112C8D">
      <w:pPr>
        <w:autoSpaceDE w:val="0"/>
        <w:autoSpaceDN w:val="0"/>
        <w:spacing w:after="0" w:line="240" w:lineRule="auto"/>
        <w:rPr>
          <w:sz w:val="20"/>
        </w:rPr>
      </w:pPr>
      <w:r w:rsidRPr="70AB8904">
        <w:rPr>
          <w:rStyle w:val="FootnoteReference"/>
        </w:rPr>
        <w:footnoteRef/>
      </w:r>
      <w:r w:rsidRPr="00347704">
        <w:t xml:space="preserve"> </w:t>
      </w:r>
      <w:r w:rsidRPr="005038DD">
        <w:rPr>
          <w:sz w:val="20"/>
        </w:rPr>
        <w:t>Department of Industry, Science, Energy and Resources (</w:t>
      </w:r>
      <w:r>
        <w:rPr>
          <w:sz w:val="20"/>
        </w:rPr>
        <w:t>DISER</w:t>
      </w:r>
      <w:r w:rsidRPr="005038DD">
        <w:rPr>
          <w:sz w:val="20"/>
        </w:rPr>
        <w:t>)</w:t>
      </w:r>
      <w:r>
        <w:rPr>
          <w:sz w:val="20"/>
        </w:rPr>
        <w:t xml:space="preserve"> (2020) </w:t>
      </w:r>
      <w:r>
        <w:rPr>
          <w:i/>
          <w:sz w:val="20"/>
        </w:rPr>
        <w:t xml:space="preserve">Innovation and Science Australia: annual report 2019–20, </w:t>
      </w:r>
      <w:r w:rsidRPr="00FD4687">
        <w:rPr>
          <w:sz w:val="20"/>
        </w:rPr>
        <w:t>p</w:t>
      </w:r>
      <w:r>
        <w:rPr>
          <w:sz w:val="20"/>
        </w:rPr>
        <w:t xml:space="preserve"> </w:t>
      </w:r>
      <w:r w:rsidRPr="00FD4687">
        <w:rPr>
          <w:sz w:val="20"/>
        </w:rPr>
        <w:t>19,</w:t>
      </w:r>
      <w:r>
        <w:rPr>
          <w:sz w:val="20"/>
        </w:rPr>
        <w:t xml:space="preserve"> DISER, Australian Government. </w:t>
      </w:r>
      <w:hyperlink r:id="rId5" w:history="1">
        <w:r w:rsidRPr="002469BE">
          <w:rPr>
            <w:rStyle w:val="Hyperlink"/>
            <w:sz w:val="20"/>
          </w:rPr>
          <w:t>https://www.industry.gov.au/sites/default/files/2020-11/innovation-and-science-australia-annual-report-2019-20.pdf</w:t>
        </w:r>
      </w:hyperlink>
      <w:r w:rsidRPr="002554CB">
        <w:rPr>
          <w:rStyle w:val="Hyperlink"/>
          <w:color w:val="auto"/>
          <w:sz w:val="20"/>
          <w:u w:val="none"/>
        </w:rPr>
        <w:t>.</w:t>
      </w:r>
    </w:p>
  </w:footnote>
  <w:footnote w:id="11">
    <w:p w14:paraId="5C9AEE0F" w14:textId="03909043" w:rsidR="00D55219" w:rsidRPr="00D307D8" w:rsidRDefault="00D55219">
      <w:pPr>
        <w:pStyle w:val="FootnoteText"/>
        <w:rPr>
          <w:lang w:val="en-US"/>
        </w:rPr>
      </w:pPr>
      <w:r>
        <w:rPr>
          <w:rStyle w:val="FootnoteReference"/>
        </w:rPr>
        <w:footnoteRef/>
      </w:r>
      <w:r>
        <w:t xml:space="preserve"> As above.</w:t>
      </w:r>
    </w:p>
  </w:footnote>
  <w:footnote w:id="12">
    <w:p w14:paraId="193ECDFC" w14:textId="4356454A" w:rsidR="00D55219" w:rsidRPr="00F4120E" w:rsidRDefault="00D55219">
      <w:pPr>
        <w:pStyle w:val="FootnoteText"/>
      </w:pPr>
      <w:r>
        <w:rPr>
          <w:rStyle w:val="FootnoteReference"/>
        </w:rPr>
        <w:footnoteRef/>
      </w:r>
      <w:r>
        <w:t xml:space="preserve"> IP Australia, </w:t>
      </w:r>
      <w:r>
        <w:rPr>
          <w:i/>
        </w:rPr>
        <w:t xml:space="preserve">Patent filings </w:t>
      </w:r>
      <w:r>
        <w:t>[data set], IP Australia, Australian Government, unpublished, accessed 4 December 2020.</w:t>
      </w:r>
    </w:p>
  </w:footnote>
  <w:footnote w:id="13">
    <w:p w14:paraId="6BEBB689" w14:textId="77777777" w:rsidR="00D55219" w:rsidRPr="00EE3365" w:rsidRDefault="00D55219" w:rsidP="008B5330">
      <w:pPr>
        <w:pStyle w:val="FootnoteText"/>
      </w:pPr>
      <w:r>
        <w:rPr>
          <w:rStyle w:val="FootnoteReference"/>
        </w:rPr>
        <w:footnoteRef/>
      </w:r>
      <w:r>
        <w:t xml:space="preserve"> </w:t>
      </w:r>
      <w:r w:rsidRPr="00EE3365">
        <w:t>Data notes:</w:t>
      </w:r>
    </w:p>
    <w:p w14:paraId="79648F73" w14:textId="2F19F7ED" w:rsidR="00D55219" w:rsidRPr="00EE3365" w:rsidRDefault="00D55219" w:rsidP="008B5330">
      <w:pPr>
        <w:pStyle w:val="FootnoteText"/>
        <w:numPr>
          <w:ilvl w:val="0"/>
          <w:numId w:val="70"/>
        </w:numPr>
      </w:pPr>
      <w:r w:rsidRPr="00F17EC9">
        <w:t xml:space="preserve">The 2010–11 </w:t>
      </w:r>
      <w:r>
        <w:t xml:space="preserve">financial year RDTI </w:t>
      </w:r>
      <w:r w:rsidRPr="00F17EC9">
        <w:t>registration data is for the R&amp;D tax concession (RDTC) program, which was replaced by the RDTI program in 2011</w:t>
      </w:r>
      <w:r w:rsidRPr="00A11283">
        <w:t>–</w:t>
      </w:r>
      <w:r w:rsidRPr="00EE3365">
        <w:t>12</w:t>
      </w:r>
      <w:r>
        <w:t xml:space="preserve"> financial year</w:t>
      </w:r>
      <w:r w:rsidRPr="00EE3365">
        <w:t xml:space="preserve">. There are some differences between the RDTI and the RDTC: </w:t>
      </w:r>
    </w:p>
    <w:p w14:paraId="21E01C53" w14:textId="77777777" w:rsidR="00D55219" w:rsidRPr="00EE3365" w:rsidRDefault="00D55219" w:rsidP="008B5330">
      <w:pPr>
        <w:pStyle w:val="FootnoteText"/>
        <w:numPr>
          <w:ilvl w:val="1"/>
          <w:numId w:val="70"/>
        </w:numPr>
      </w:pPr>
      <w:r w:rsidRPr="00EE3365">
        <w:t>For example</w:t>
      </w:r>
      <w:r w:rsidRPr="00F17EC9">
        <w:t xml:space="preserve">, from </w:t>
      </w:r>
      <w:r>
        <w:t xml:space="preserve">the financial year </w:t>
      </w:r>
      <w:r w:rsidRPr="00F17EC9">
        <w:t>2011</w:t>
      </w:r>
      <w:r w:rsidRPr="00A11283">
        <w:t>–</w:t>
      </w:r>
      <w:r w:rsidRPr="00EE3365">
        <w:t>12</w:t>
      </w:r>
      <w:r>
        <w:t xml:space="preserve"> onwards</w:t>
      </w:r>
      <w:r w:rsidRPr="00EE3365">
        <w:t>, the number of registrations includes applications by companies in both the refundable and non-refundable tax offset components.</w:t>
      </w:r>
    </w:p>
    <w:p w14:paraId="2DAB6535" w14:textId="77777777" w:rsidR="00D55219" w:rsidRPr="00EE3365" w:rsidRDefault="00D55219" w:rsidP="008B5330">
      <w:pPr>
        <w:pStyle w:val="FootnoteText"/>
        <w:numPr>
          <w:ilvl w:val="1"/>
          <w:numId w:val="70"/>
        </w:numPr>
      </w:pPr>
      <w:r w:rsidRPr="00F17EC9">
        <w:t>Companies in the refundable tax offset have below $20 million in annual aggregate turnover. Companies in the non-refundable tax offset have $20 million or abo</w:t>
      </w:r>
      <w:r w:rsidRPr="00A11283">
        <w:t>ve in annual aggregate turnover.</w:t>
      </w:r>
      <w:r w:rsidRPr="00EE3365">
        <w:t xml:space="preserve"> </w:t>
      </w:r>
    </w:p>
    <w:p w14:paraId="23567FEB" w14:textId="77777777" w:rsidR="00D55219" w:rsidRPr="00F17EC9" w:rsidRDefault="00D55219" w:rsidP="008B5330">
      <w:pPr>
        <w:pStyle w:val="FootnoteText"/>
        <w:numPr>
          <w:ilvl w:val="0"/>
          <w:numId w:val="70"/>
        </w:numPr>
      </w:pPr>
      <w:r w:rsidRPr="00EE3365">
        <w:t>Companies are required to submit an application form for every income period in which they conduct their R&amp;D activities. R&amp;D activities may therefore span multiple income perio</w:t>
      </w:r>
      <w:r w:rsidRPr="00F17EC9">
        <w:t>ds.</w:t>
      </w:r>
    </w:p>
  </w:footnote>
  <w:footnote w:id="14">
    <w:p w14:paraId="1C4C59F0" w14:textId="50FD2B2B" w:rsidR="00D55219" w:rsidRDefault="00D55219">
      <w:pPr>
        <w:pStyle w:val="FootnoteText"/>
      </w:pPr>
      <w:r>
        <w:rPr>
          <w:rStyle w:val="FootnoteReference"/>
        </w:rPr>
        <w:footnoteRef/>
      </w:r>
      <w:r>
        <w:t xml:space="preserve"> </w:t>
      </w:r>
      <w:r w:rsidRPr="00DF66BA">
        <w:t>The number of SMEs that obtained an R&amp;D tax concession is calculated as the number of SMEs (firms with less than 200 employees) that recorded a positive R&amp;D tax concession on their Business Income Tax statement in a given year. The R&amp;D tax concession was changed to the R&amp;D tax incentive in July 2011 – references to the ‘concession’ should be read as references to the ‘incentive from 2011-12 onwards.</w:t>
      </w:r>
    </w:p>
  </w:footnote>
  <w:footnote w:id="15">
    <w:p w14:paraId="1D09E910" w14:textId="2A5835BA" w:rsidR="00D55219" w:rsidRDefault="00D55219">
      <w:pPr>
        <w:pStyle w:val="FootnoteText"/>
      </w:pPr>
      <w:r>
        <w:rPr>
          <w:rStyle w:val="FootnoteReference"/>
        </w:rPr>
        <w:footnoteRef/>
      </w:r>
      <w:r>
        <w:t xml:space="preserve"> </w:t>
      </w:r>
      <w:r w:rsidRPr="00BF29EB">
        <w:t xml:space="preserve">IP Australia, </w:t>
      </w:r>
      <w:r w:rsidRPr="00BF29EB">
        <w:rPr>
          <w:i/>
        </w:rPr>
        <w:t xml:space="preserve">IPGOD </w:t>
      </w:r>
      <w:r w:rsidRPr="00BF29EB">
        <w:t>(2021), unpublished.</w:t>
      </w:r>
    </w:p>
  </w:footnote>
  <w:footnote w:id="16">
    <w:p w14:paraId="32E39DEF" w14:textId="581B10F7" w:rsidR="00D55219" w:rsidRDefault="00D55219">
      <w:pPr>
        <w:pStyle w:val="FootnoteText"/>
      </w:pPr>
      <w:r>
        <w:rPr>
          <w:rStyle w:val="FootnoteReference"/>
        </w:rPr>
        <w:footnoteRef/>
      </w:r>
      <w:r>
        <w:t xml:space="preserve"> As above.</w:t>
      </w:r>
    </w:p>
  </w:footnote>
  <w:footnote w:id="17">
    <w:p w14:paraId="2E177AAE" w14:textId="546F1E78" w:rsidR="00D55219" w:rsidRDefault="00D55219">
      <w:pPr>
        <w:pStyle w:val="FootnoteText"/>
      </w:pPr>
      <w:r>
        <w:rPr>
          <w:rStyle w:val="FootnoteReference"/>
        </w:rPr>
        <w:footnoteRef/>
      </w:r>
      <w:r>
        <w:t xml:space="preserve"> </w:t>
      </w:r>
      <w:r w:rsidRPr="006D1D67">
        <w:t xml:space="preserve">IP Australia, </w:t>
      </w:r>
      <w:r w:rsidRPr="006D1D67">
        <w:rPr>
          <w:i/>
        </w:rPr>
        <w:t>Australian small and medium enterprises (SMEs) and intellectual property rights</w:t>
      </w:r>
      <w:r w:rsidRPr="006D1D67">
        <w:t>, IP Australia Economic Research Paper, Australian Government, 2021 (forthcoming).</w:t>
      </w:r>
    </w:p>
  </w:footnote>
  <w:footnote w:id="18">
    <w:p w14:paraId="4BE4872F" w14:textId="2173FEAE" w:rsidR="00D55219" w:rsidRPr="00D2007D" w:rsidRDefault="00D55219">
      <w:pPr>
        <w:pStyle w:val="FootnoteText"/>
      </w:pPr>
      <w:r>
        <w:rPr>
          <w:rStyle w:val="FootnoteReference"/>
        </w:rPr>
        <w:footnoteRef/>
      </w:r>
      <w:r>
        <w:t xml:space="preserve"> </w:t>
      </w:r>
      <w:r w:rsidRPr="00F17EC9">
        <w:t>For definitions of business size generally see</w:t>
      </w:r>
      <w:r>
        <w:t xml:space="preserve"> Parliament of Australia, </w:t>
      </w:r>
      <w:r>
        <w:rPr>
          <w:i/>
        </w:rPr>
        <w:t xml:space="preserve">Definitions and data sources for small business in Australia: a quick guide, </w:t>
      </w:r>
      <w:r>
        <w:t>Research Paper Series 2015–16, Australian Government, 2015.</w:t>
      </w:r>
    </w:p>
    <w:p w14:paraId="282A4000" w14:textId="192303FF" w:rsidR="00D55219" w:rsidRDefault="000E6C85">
      <w:pPr>
        <w:pStyle w:val="FootnoteText"/>
      </w:pPr>
      <w:hyperlink r:id="rId6" w:history="1">
        <w:r w:rsidR="00D55219" w:rsidRPr="006E6CC0">
          <w:rPr>
            <w:rStyle w:val="Hyperlink"/>
          </w:rPr>
          <w:t>https://www.aph.gov.au/about_parliament/parliamentary_departments/parliamentary_library/pubs/rp/rp1516/quick_guides/data</w:t>
        </w:r>
      </w:hyperlink>
      <w:r w:rsidR="00D55219" w:rsidRPr="005505A9">
        <w:t>.</w:t>
      </w:r>
      <w:r w:rsidR="00D55219">
        <w:t xml:space="preserve"> </w:t>
      </w:r>
    </w:p>
    <w:p w14:paraId="77EA4402" w14:textId="24F07598" w:rsidR="00D55219" w:rsidRDefault="00D55219">
      <w:pPr>
        <w:pStyle w:val="FootnoteText"/>
      </w:pPr>
      <w:r w:rsidRPr="005505A9">
        <w:t>Following the definition given by the A</w:t>
      </w:r>
      <w:r>
        <w:t>ustralian Bureau of Statistics (ABS</w:t>
      </w:r>
      <w:r w:rsidRPr="005505A9">
        <w:t>), small and medium enterprises (SMEs) in this study refer to those employ</w:t>
      </w:r>
      <w:r>
        <w:t>ing fewer</w:t>
      </w:r>
      <w:r w:rsidRPr="005505A9">
        <w:t xml:space="preserve"> than 200 employees (full-time equivalent) in Australia. SMEs are further categorised into three groups: micro businesses (between 0 and 4 employees), small businesses (between 5 and 19 employees) and medium businesses (between 20 and 199 employees).</w:t>
      </w:r>
    </w:p>
  </w:footnote>
  <w:footnote w:id="19">
    <w:p w14:paraId="48491567" w14:textId="5CE56D9E" w:rsidR="00D55219" w:rsidRDefault="00D55219" w:rsidP="0C89C1B6">
      <w:pPr>
        <w:pStyle w:val="FootnoteText"/>
      </w:pPr>
      <w:r w:rsidRPr="0C89C1B6">
        <w:rPr>
          <w:rStyle w:val="FootnoteReference"/>
        </w:rPr>
        <w:footnoteRef/>
      </w:r>
      <w:r>
        <w:t xml:space="preserve"> (EPO) European Patent Office and the EUIPO (European Union Intellectual Property Office), </w:t>
      </w:r>
      <w:r w:rsidRPr="0C89C1B6">
        <w:rPr>
          <w:i/>
          <w:iCs/>
        </w:rPr>
        <w:t xml:space="preserve">High-growth firms and intellectual property rights: IPR profile of high-potential SMEs in Europe, </w:t>
      </w:r>
      <w:r>
        <w:t xml:space="preserve">EPO and EUIPO, European Commission, 2019. </w:t>
      </w:r>
      <w:hyperlink r:id="rId7">
        <w:r w:rsidRPr="0C89C1B6">
          <w:rPr>
            <w:rStyle w:val="Hyperlink"/>
          </w:rPr>
          <w:t>https://euipo.europa.eu/tunnelweb/secure/webdav/guest/document_library/observatory/documents/reports/2019_Highgrowth_firms_and_intellectual_property_rights/2019_Highgrowth_firms_and_intellectual_property_rights.pdf</w:t>
        </w:r>
      </w:hyperlink>
      <w:r w:rsidRPr="0C89C1B6">
        <w:rPr>
          <w:rStyle w:val="Hyperlink"/>
          <w:color w:val="auto"/>
          <w:u w:val="none"/>
        </w:rPr>
        <w:t>.</w:t>
      </w:r>
    </w:p>
  </w:footnote>
  <w:footnote w:id="20">
    <w:p w14:paraId="21AC6965" w14:textId="40E344D3" w:rsidR="00D55219" w:rsidRPr="0085216A" w:rsidRDefault="00D55219">
      <w:pPr>
        <w:pStyle w:val="FootnoteText"/>
      </w:pPr>
      <w:r w:rsidRPr="003D258D">
        <w:rPr>
          <w:rStyle w:val="FootnoteReference"/>
        </w:rPr>
        <w:footnoteRef/>
      </w:r>
      <w:r>
        <w:t xml:space="preserve"> Note</w:t>
      </w:r>
      <w:r w:rsidRPr="00EB1BF8">
        <w:t xml:space="preserve"> </w:t>
      </w:r>
      <w:r>
        <w:t xml:space="preserve">that </w:t>
      </w:r>
      <w:r w:rsidRPr="00EB1BF8">
        <w:t>the 1.2% figure was derived using the same methodology as the European research</w:t>
      </w:r>
      <w:r>
        <w:t xml:space="preserve"> above. The 1.5% figure in </w:t>
      </w:r>
      <w:r w:rsidRPr="00EB1BF8">
        <w:t>IP</w:t>
      </w:r>
      <w:r>
        <w:t xml:space="preserve"> Australia’s</w:t>
      </w:r>
      <w:r w:rsidRPr="00EB1BF8">
        <w:t xml:space="preserve"> research was derived using a slightly different methodology, which explains the slight difference between the two figures.</w:t>
      </w:r>
    </w:p>
  </w:footnote>
  <w:footnote w:id="21">
    <w:p w14:paraId="23E7E21C" w14:textId="65B7A696" w:rsidR="00D55219" w:rsidRPr="00400C61" w:rsidRDefault="00D55219">
      <w:pPr>
        <w:pStyle w:val="FootnoteText"/>
      </w:pPr>
      <w:r>
        <w:rPr>
          <w:rStyle w:val="FootnoteReference"/>
        </w:rPr>
        <w:footnoteRef/>
      </w:r>
      <w:r>
        <w:t xml:space="preserve"> IP Australia, </w:t>
      </w:r>
      <w:r>
        <w:rPr>
          <w:i/>
        </w:rPr>
        <w:t>International type search</w:t>
      </w:r>
      <w:r>
        <w:t xml:space="preserve">, IP Australia website, accessed 17 February 2021. </w:t>
      </w:r>
      <w:hyperlink r:id="rId8" w:history="1">
        <w:r w:rsidRPr="00400C61">
          <w:rPr>
            <w:rStyle w:val="Hyperlink"/>
          </w:rPr>
          <w:t>https://www.ipaustralia.gov.au/patents/applying-patent/provisional-application-what-include/international-type-search</w:t>
        </w:r>
      </w:hyperlink>
      <w:r>
        <w:t xml:space="preserve">. IP Australia, </w:t>
      </w:r>
      <w:r>
        <w:rPr>
          <w:i/>
        </w:rPr>
        <w:t>Search for a standard patent</w:t>
      </w:r>
      <w:r>
        <w:t xml:space="preserve">, IP Australia website, accessed 17 February 2021. </w:t>
      </w:r>
      <w:hyperlink r:id="rId9" w:history="1">
        <w:r w:rsidRPr="00E130EE">
          <w:rPr>
            <w:rStyle w:val="Hyperlink"/>
          </w:rPr>
          <w:t>https://www.ipaustralia.gov.au/patents/applying-patent/standard-patent-application-process/search-standard-patent</w:t>
        </w:r>
      </w:hyperlink>
      <w:r>
        <w:t>.</w:t>
      </w:r>
    </w:p>
  </w:footnote>
  <w:footnote w:id="22">
    <w:p w14:paraId="220F4907" w14:textId="1075C37F" w:rsidR="00D55219" w:rsidRDefault="00D55219">
      <w:pPr>
        <w:pStyle w:val="FootnoteText"/>
      </w:pPr>
      <w:r>
        <w:rPr>
          <w:rStyle w:val="FootnoteReference"/>
        </w:rPr>
        <w:footnoteRef/>
      </w:r>
      <w:r>
        <w:t xml:space="preserve"> See Appendix A.</w:t>
      </w:r>
    </w:p>
  </w:footnote>
  <w:footnote w:id="23">
    <w:p w14:paraId="0CA0C9AA" w14:textId="75F0752B" w:rsidR="00D55219" w:rsidRDefault="00D55219" w:rsidP="00A62F78">
      <w:pPr>
        <w:autoSpaceDE w:val="0"/>
        <w:autoSpaceDN w:val="0"/>
        <w:spacing w:after="0" w:line="240" w:lineRule="auto"/>
        <w:rPr>
          <w:sz w:val="20"/>
        </w:rPr>
      </w:pPr>
      <w:r>
        <w:rPr>
          <w:rStyle w:val="FootnoteReference"/>
        </w:rPr>
        <w:footnoteRef/>
      </w:r>
      <w:r>
        <w:t xml:space="preserve"> </w:t>
      </w:r>
      <w:r>
        <w:rPr>
          <w:sz w:val="20"/>
        </w:rPr>
        <w:t>IP Australia, ‘</w:t>
      </w:r>
      <w:r w:rsidRPr="00B41932">
        <w:rPr>
          <w:sz w:val="20"/>
        </w:rPr>
        <w:t xml:space="preserve">Expedited </w:t>
      </w:r>
      <w:r>
        <w:rPr>
          <w:sz w:val="20"/>
        </w:rPr>
        <w:t>e</w:t>
      </w:r>
      <w:r w:rsidRPr="00B41932">
        <w:rPr>
          <w:sz w:val="20"/>
        </w:rPr>
        <w:t>xamination for standard patents</w:t>
      </w:r>
      <w:r>
        <w:rPr>
          <w:sz w:val="20"/>
        </w:rPr>
        <w:t>’</w:t>
      </w:r>
      <w:r>
        <w:rPr>
          <w:i/>
          <w:sz w:val="20"/>
        </w:rPr>
        <w:t>,</w:t>
      </w:r>
      <w:r>
        <w:rPr>
          <w:sz w:val="20"/>
        </w:rPr>
        <w:t xml:space="preserve"> </w:t>
      </w:r>
      <w:r>
        <w:rPr>
          <w:i/>
          <w:sz w:val="20"/>
        </w:rPr>
        <w:t xml:space="preserve">Patents, </w:t>
      </w:r>
      <w:r>
        <w:rPr>
          <w:sz w:val="20"/>
        </w:rPr>
        <w:t xml:space="preserve">IP Australia website, 2020. </w:t>
      </w:r>
    </w:p>
    <w:p w14:paraId="1B899EFB" w14:textId="56438558" w:rsidR="00D55219" w:rsidRPr="00B41932" w:rsidRDefault="000E6C85" w:rsidP="00A62F78">
      <w:pPr>
        <w:autoSpaceDE w:val="0"/>
        <w:autoSpaceDN w:val="0"/>
        <w:spacing w:after="0" w:line="240" w:lineRule="auto"/>
        <w:rPr>
          <w:sz w:val="20"/>
        </w:rPr>
      </w:pPr>
      <w:hyperlink r:id="rId10" w:history="1">
        <w:r w:rsidR="00D55219" w:rsidRPr="00B41932">
          <w:rPr>
            <w:rStyle w:val="Hyperlink"/>
            <w:sz w:val="20"/>
          </w:rPr>
          <w:t>https://www.ipaustralia.gov.au/patents/applying-patent/standard-patent-application-process/examination-standard-patent/expedited-examination-standard-patents</w:t>
        </w:r>
      </w:hyperlink>
      <w:r w:rsidR="00D55219" w:rsidRPr="00122AE1">
        <w:rPr>
          <w:rStyle w:val="Hyperlink"/>
          <w:color w:val="auto"/>
          <w:sz w:val="20"/>
          <w:u w:val="none"/>
        </w:rPr>
        <w:t>.</w:t>
      </w:r>
    </w:p>
  </w:footnote>
  <w:footnote w:id="24">
    <w:p w14:paraId="71E9DFB5" w14:textId="025BD896" w:rsidR="00D55219" w:rsidRDefault="00D55219" w:rsidP="72EB7D45">
      <w:pPr>
        <w:pStyle w:val="FootnoteText"/>
      </w:pPr>
      <w:r w:rsidRPr="72EB7D45">
        <w:rPr>
          <w:rStyle w:val="FootnoteReference"/>
        </w:rPr>
        <w:footnoteRef/>
      </w:r>
      <w:r>
        <w:t xml:space="preserve"> A provisional application is an inexpensive way of signalling an intention to file full patent application later on. A priority date establishes the fact that the provisional patent applicant is the first person to file a new invention. While a provisional application doesn’t provide the protection of a full patent, it does give up to 12 months for the applicant to consider their options before deciding to proceed with a patent application.</w:t>
      </w:r>
    </w:p>
  </w:footnote>
  <w:footnote w:id="25">
    <w:p w14:paraId="64503FD4" w14:textId="1AB452E2" w:rsidR="00D55219" w:rsidRDefault="00D55219" w:rsidP="72EB7D45">
      <w:pPr>
        <w:pStyle w:val="FootnoteText"/>
      </w:pPr>
      <w:r w:rsidRPr="72EB7D45">
        <w:rPr>
          <w:rStyle w:val="FootnoteReference"/>
        </w:rPr>
        <w:footnoteRef/>
      </w:r>
      <w:r>
        <w:t xml:space="preserve"> IP Australia, </w:t>
      </w:r>
      <w:r w:rsidRPr="72EB7D45">
        <w:rPr>
          <w:i/>
          <w:iCs/>
        </w:rPr>
        <w:t>Applying for a patent of addition</w:t>
      </w:r>
      <w:r>
        <w:t xml:space="preserve">, IP Australia website, accessed 17 February 2021. </w:t>
      </w:r>
      <w:hyperlink r:id="rId11" w:history="1">
        <w:r w:rsidRPr="72EB7D45">
          <w:rPr>
            <w:rStyle w:val="Hyperlink"/>
          </w:rPr>
          <w:t>https://www.ipaustralia.gov.au/patents/understanding-patents/types-patents/applying-patent-addition</w:t>
        </w:r>
      </w:hyperlink>
      <w:r>
        <w:t>.</w:t>
      </w:r>
    </w:p>
  </w:footnote>
  <w:footnote w:id="26">
    <w:p w14:paraId="0FB5B6DC" w14:textId="69BAF155" w:rsidR="00D55219" w:rsidRPr="004C778E" w:rsidRDefault="00D55219" w:rsidP="00C225B7">
      <w:pPr>
        <w:pStyle w:val="FootnoteText"/>
        <w:rPr>
          <w:rFonts w:cstheme="minorHAnsi"/>
        </w:rPr>
      </w:pPr>
      <w:r w:rsidRPr="004C778E">
        <w:rPr>
          <w:rStyle w:val="FootnoteReference"/>
          <w:rFonts w:cstheme="minorHAnsi"/>
        </w:rPr>
        <w:footnoteRef/>
      </w:r>
      <w:r w:rsidRPr="004C778E">
        <w:rPr>
          <w:rFonts w:cstheme="minorHAnsi"/>
        </w:rPr>
        <w:t xml:space="preserve"> </w:t>
      </w:r>
      <w:r>
        <w:rPr>
          <w:rFonts w:cstheme="minorHAnsi"/>
        </w:rPr>
        <w:t xml:space="preserve">IP Australia, </w:t>
      </w:r>
      <w:r>
        <w:rPr>
          <w:rFonts w:cstheme="minorHAnsi"/>
          <w:i/>
        </w:rPr>
        <w:t>Portal for small and medium enterprises (SMEs)</w:t>
      </w:r>
      <w:r w:rsidRPr="00B41932">
        <w:rPr>
          <w:rFonts w:cstheme="minorHAnsi"/>
        </w:rPr>
        <w:t xml:space="preserve">, </w:t>
      </w:r>
      <w:r>
        <w:rPr>
          <w:rFonts w:cstheme="minorHAnsi"/>
        </w:rPr>
        <w:t>IP Australia</w:t>
      </w:r>
      <w:r w:rsidRPr="00B41932">
        <w:rPr>
          <w:rFonts w:cstheme="minorHAnsi"/>
        </w:rPr>
        <w:t xml:space="preserve"> website, </w:t>
      </w:r>
      <w:r>
        <w:rPr>
          <w:rFonts w:cstheme="minorHAnsi"/>
        </w:rPr>
        <w:t xml:space="preserve">n.d. </w:t>
      </w:r>
      <w:hyperlink r:id="rId12" w:history="1">
        <w:r w:rsidRPr="002469BE">
          <w:rPr>
            <w:rStyle w:val="Hyperlink"/>
            <w:rFonts w:cstheme="minorHAnsi"/>
          </w:rPr>
          <w:t>www.ipaustralia.gov.au/sme-portal</w:t>
        </w:r>
      </w:hyperlink>
      <w:r>
        <w:rPr>
          <w:rFonts w:cstheme="minorHAnsi"/>
        </w:rPr>
        <w:t>.</w:t>
      </w:r>
    </w:p>
  </w:footnote>
  <w:footnote w:id="27">
    <w:p w14:paraId="73C5E6A6" w14:textId="16D138CC" w:rsidR="00D55219" w:rsidRPr="004C778E" w:rsidRDefault="00D55219" w:rsidP="00C225B7">
      <w:pPr>
        <w:pStyle w:val="FootnoteText"/>
        <w:rPr>
          <w:rFonts w:cstheme="minorHAnsi"/>
        </w:rPr>
      </w:pPr>
      <w:r w:rsidRPr="004C778E">
        <w:rPr>
          <w:rStyle w:val="FootnoteReference"/>
          <w:rFonts w:cstheme="minorHAnsi"/>
        </w:rPr>
        <w:footnoteRef/>
      </w:r>
      <w:r w:rsidRPr="004C778E">
        <w:rPr>
          <w:rFonts w:cstheme="minorHAnsi"/>
        </w:rPr>
        <w:t xml:space="preserve"> </w:t>
      </w:r>
      <w:r w:rsidRPr="007A5D0A">
        <w:rPr>
          <w:rFonts w:cstheme="minorHAnsi"/>
        </w:rPr>
        <w:t>IP Australia</w:t>
      </w:r>
      <w:r>
        <w:rPr>
          <w:rFonts w:cstheme="minorHAnsi"/>
        </w:rPr>
        <w:t xml:space="preserve">, </w:t>
      </w:r>
      <w:r>
        <w:rPr>
          <w:rFonts w:cstheme="minorHAnsi"/>
          <w:i/>
        </w:rPr>
        <w:t xml:space="preserve">Patents case management for SMEs, </w:t>
      </w:r>
      <w:r>
        <w:rPr>
          <w:rFonts w:cstheme="minorHAnsi"/>
        </w:rPr>
        <w:t xml:space="preserve">IP Australia website, 2020. </w:t>
      </w:r>
      <w:hyperlink r:id="rId13" w:history="1">
        <w:r w:rsidRPr="004C778E">
          <w:rPr>
            <w:rStyle w:val="Hyperlink"/>
            <w:rFonts w:cstheme="minorHAnsi"/>
          </w:rPr>
          <w:t>www.ipaustralia.gov.au/patents-case-management-smes</w:t>
        </w:r>
      </w:hyperlink>
      <w:r>
        <w:rPr>
          <w:rFonts w:cstheme="minorHAnsi"/>
        </w:rPr>
        <w:t>.</w:t>
      </w:r>
    </w:p>
  </w:footnote>
  <w:footnote w:id="28">
    <w:p w14:paraId="15E1FFFF" w14:textId="5881F1ED" w:rsidR="00D55219" w:rsidRDefault="00D55219" w:rsidP="00C225B7">
      <w:pPr>
        <w:pStyle w:val="FootnoteText"/>
        <w:rPr>
          <w:rFonts w:cstheme="minorHAnsi"/>
        </w:rPr>
      </w:pPr>
      <w:r w:rsidRPr="004C778E">
        <w:rPr>
          <w:rStyle w:val="FootnoteReference"/>
          <w:rFonts w:cstheme="minorHAnsi"/>
        </w:rPr>
        <w:footnoteRef/>
      </w:r>
      <w:r w:rsidRPr="004C778E">
        <w:rPr>
          <w:rFonts w:cstheme="minorHAnsi"/>
        </w:rPr>
        <w:t xml:space="preserve"> </w:t>
      </w:r>
      <w:r w:rsidRPr="007A5D0A">
        <w:rPr>
          <w:rFonts w:cstheme="minorHAnsi"/>
        </w:rPr>
        <w:t>IP Australia</w:t>
      </w:r>
      <w:r>
        <w:rPr>
          <w:rFonts w:cstheme="minorHAnsi"/>
        </w:rPr>
        <w:t xml:space="preserve">, </w:t>
      </w:r>
      <w:r>
        <w:rPr>
          <w:rFonts w:cstheme="minorHAnsi"/>
          <w:i/>
        </w:rPr>
        <w:t xml:space="preserve">Engaging an attorney toolkit, </w:t>
      </w:r>
      <w:r>
        <w:rPr>
          <w:rFonts w:cstheme="minorHAnsi"/>
        </w:rPr>
        <w:t>IP Australia website, n.d.</w:t>
      </w:r>
    </w:p>
    <w:p w14:paraId="42A71123" w14:textId="63EC5B4C" w:rsidR="00D55219" w:rsidRPr="004C778E" w:rsidRDefault="000E6C85" w:rsidP="00C225B7">
      <w:pPr>
        <w:pStyle w:val="FootnoteText"/>
        <w:rPr>
          <w:rFonts w:cstheme="minorHAnsi"/>
        </w:rPr>
      </w:pPr>
      <w:hyperlink r:id="rId14" w:history="1">
        <w:r w:rsidR="00D55219" w:rsidRPr="004C778E">
          <w:rPr>
            <w:rStyle w:val="Hyperlink"/>
            <w:rFonts w:cstheme="minorHAnsi"/>
          </w:rPr>
          <w:t>www.ipaustralia.gov.au/patents/engaging-an-attorney-toolkit</w:t>
        </w:r>
      </w:hyperlink>
      <w:r w:rsidR="00D55219">
        <w:rPr>
          <w:rFonts w:cstheme="minorHAnsi"/>
        </w:rPr>
        <w:t>.</w:t>
      </w:r>
    </w:p>
  </w:footnote>
  <w:footnote w:id="29">
    <w:p w14:paraId="79469504" w14:textId="064380FD" w:rsidR="00D55219" w:rsidRPr="004D0E89" w:rsidRDefault="00D55219" w:rsidP="00C225B7">
      <w:pPr>
        <w:pStyle w:val="FootnoteText"/>
        <w:rPr>
          <w:rFonts w:cstheme="minorHAnsi"/>
          <w:color w:val="0070AE" w:themeColor="hyperlink"/>
          <w:u w:val="single"/>
        </w:rPr>
      </w:pPr>
      <w:r w:rsidRPr="004C778E">
        <w:rPr>
          <w:rStyle w:val="FootnoteReference"/>
          <w:rFonts w:cstheme="minorHAnsi"/>
        </w:rPr>
        <w:footnoteRef/>
      </w:r>
      <w:r w:rsidRPr="004C778E">
        <w:rPr>
          <w:rFonts w:cstheme="minorHAnsi"/>
        </w:rPr>
        <w:t xml:space="preserve"> </w:t>
      </w:r>
      <w:r>
        <w:rPr>
          <w:rFonts w:cstheme="minorHAnsi"/>
        </w:rPr>
        <w:t xml:space="preserve">IP Australia, </w:t>
      </w:r>
      <w:r>
        <w:rPr>
          <w:rFonts w:cstheme="minorHAnsi"/>
          <w:i/>
        </w:rPr>
        <w:t xml:space="preserve">IP for Digital Business, </w:t>
      </w:r>
      <w:r>
        <w:rPr>
          <w:rFonts w:cstheme="minorHAnsi"/>
        </w:rPr>
        <w:t xml:space="preserve">IP Australia website, n.d. </w:t>
      </w:r>
      <w:hyperlink r:id="rId15" w:history="1">
        <w:r w:rsidRPr="004C778E">
          <w:rPr>
            <w:rStyle w:val="Hyperlink"/>
            <w:rFonts w:cstheme="minorHAnsi"/>
          </w:rPr>
          <w:t>www.ipaustralia.gov.au/ip-for-digital-business</w:t>
        </w:r>
      </w:hyperlink>
      <w:r>
        <w:rPr>
          <w:rFonts w:cstheme="minorHAnsi"/>
        </w:rPr>
        <w:t>.</w:t>
      </w:r>
    </w:p>
  </w:footnote>
  <w:footnote w:id="30">
    <w:p w14:paraId="60CD9711" w14:textId="3F1B7E58" w:rsidR="00D55219" w:rsidRPr="003B4BED" w:rsidRDefault="00D55219" w:rsidP="00C225B7">
      <w:pPr>
        <w:pStyle w:val="FootnoteText"/>
        <w:rPr>
          <w:rFonts w:cstheme="minorHAnsi"/>
        </w:rPr>
      </w:pPr>
      <w:r w:rsidRPr="003B4BED">
        <w:rPr>
          <w:rStyle w:val="FootnoteReference"/>
          <w:rFonts w:cstheme="minorHAnsi"/>
        </w:rPr>
        <w:footnoteRef/>
      </w:r>
      <w:r w:rsidRPr="003B4BED">
        <w:rPr>
          <w:rFonts w:cstheme="minorHAnsi"/>
        </w:rPr>
        <w:t xml:space="preserve"> </w:t>
      </w:r>
      <w:r>
        <w:rPr>
          <w:rFonts w:cstheme="minorHAnsi"/>
        </w:rPr>
        <w:t xml:space="preserve">IP Australia, </w:t>
      </w:r>
      <w:r>
        <w:rPr>
          <w:rFonts w:cstheme="minorHAnsi"/>
          <w:i/>
        </w:rPr>
        <w:t xml:space="preserve">Case studies, </w:t>
      </w:r>
      <w:r>
        <w:rPr>
          <w:rFonts w:cstheme="minorHAnsi"/>
        </w:rPr>
        <w:t xml:space="preserve">IP Australia website, n.d. </w:t>
      </w:r>
      <w:hyperlink r:id="rId16" w:history="1">
        <w:r w:rsidRPr="003B4BED">
          <w:rPr>
            <w:rStyle w:val="Hyperlink"/>
            <w:rFonts w:cstheme="minorHAnsi"/>
          </w:rPr>
          <w:t>www.ipaustralia.gov.au/tools-resources/case-studies/</w:t>
        </w:r>
      </w:hyperlink>
      <w:r w:rsidRPr="00122AE1">
        <w:rPr>
          <w:rStyle w:val="Hyperlink"/>
          <w:rFonts w:cstheme="minorHAnsi"/>
          <w:color w:val="auto"/>
          <w:u w:val="none"/>
        </w:rPr>
        <w:t>.</w:t>
      </w:r>
    </w:p>
  </w:footnote>
  <w:footnote w:id="31">
    <w:p w14:paraId="0853114C" w14:textId="1CCADE32" w:rsidR="00D55219" w:rsidRPr="005F34A6" w:rsidRDefault="00D55219" w:rsidP="00C225B7">
      <w:pPr>
        <w:pStyle w:val="FootnoteText"/>
        <w:rPr>
          <w:rFonts w:cstheme="minorHAnsi"/>
        </w:rPr>
      </w:pPr>
      <w:r w:rsidRPr="00463A4B">
        <w:rPr>
          <w:rStyle w:val="FootnoteReference"/>
          <w:rFonts w:cstheme="minorHAnsi"/>
        </w:rPr>
        <w:footnoteRef/>
      </w:r>
      <w:r w:rsidRPr="00463A4B">
        <w:rPr>
          <w:rFonts w:cstheme="minorHAnsi"/>
        </w:rPr>
        <w:t xml:space="preserve"> </w:t>
      </w:r>
      <w:r>
        <w:rPr>
          <w:rFonts w:cstheme="minorHAnsi"/>
        </w:rPr>
        <w:t xml:space="preserve">IP Australia, </w:t>
      </w:r>
      <w:r>
        <w:rPr>
          <w:rFonts w:cstheme="minorHAnsi"/>
          <w:i/>
        </w:rPr>
        <w:t xml:space="preserve">IP Toolkit for Collaboration, </w:t>
      </w:r>
      <w:r>
        <w:rPr>
          <w:rFonts w:cstheme="minorHAnsi"/>
        </w:rPr>
        <w:t xml:space="preserve">IP A website, 2016 </w:t>
      </w:r>
      <w:hyperlink r:id="rId17" w:history="1">
        <w:r w:rsidRPr="00463A4B">
          <w:rPr>
            <w:rStyle w:val="Hyperlink"/>
            <w:rFonts w:cstheme="minorHAnsi"/>
          </w:rPr>
          <w:t>www.ipaustralia.gov.au/understanding-ip/commercialise-your-ip/ip-toolkit-collaboration</w:t>
        </w:r>
      </w:hyperlink>
      <w:r>
        <w:t>.</w:t>
      </w:r>
    </w:p>
  </w:footnote>
  <w:footnote w:id="32">
    <w:p w14:paraId="742EBF40" w14:textId="333363E2" w:rsidR="00D55219" w:rsidRDefault="00D55219" w:rsidP="72EB7D45">
      <w:pPr>
        <w:rPr>
          <w:rFonts w:eastAsia="Times New Roman"/>
          <w:color w:val="000000" w:themeColor="text1"/>
          <w:sz w:val="20"/>
          <w:szCs w:val="20"/>
        </w:rPr>
      </w:pPr>
      <w:r w:rsidRPr="72EB7D45">
        <w:rPr>
          <w:rStyle w:val="FootnoteReference"/>
        </w:rPr>
        <w:footnoteRef/>
      </w:r>
      <w:r>
        <w:t xml:space="preserve"> </w:t>
      </w:r>
      <w:r w:rsidRPr="72EB7D45">
        <w:rPr>
          <w:sz w:val="20"/>
          <w:szCs w:val="20"/>
        </w:rPr>
        <w:t>Australian Bureau of Statistics</w:t>
      </w:r>
      <w:r>
        <w:t xml:space="preserve"> </w:t>
      </w:r>
      <w:r w:rsidRPr="72EB7D45">
        <w:rPr>
          <w:sz w:val="20"/>
          <w:szCs w:val="20"/>
        </w:rPr>
        <w:t>(2017)</w:t>
      </w:r>
      <w:r>
        <w:t xml:space="preserve"> </w:t>
      </w:r>
      <w:r w:rsidRPr="72EB7D45">
        <w:rPr>
          <w:sz w:val="20"/>
          <w:szCs w:val="20"/>
        </w:rPr>
        <w:t xml:space="preserve">‘Table 5 - </w:t>
      </w:r>
      <w:r w:rsidRPr="72EB7D45">
        <w:rPr>
          <w:rFonts w:eastAsia="Times New Roman"/>
          <w:color w:val="000000" w:themeColor="text1"/>
          <w:sz w:val="20"/>
          <w:szCs w:val="20"/>
        </w:rPr>
        <w:t xml:space="preserve">Highest level of education completed by the Principal Manager by innovation status, by employment size, by industry’, </w:t>
      </w:r>
      <w:r w:rsidRPr="72EB7D45">
        <w:rPr>
          <w:rFonts w:eastAsia="Times New Roman"/>
          <w:i/>
          <w:iCs/>
          <w:color w:val="000000" w:themeColor="text1"/>
          <w:sz w:val="20"/>
          <w:szCs w:val="20"/>
        </w:rPr>
        <w:t>Management and Organisational Capabilities of Australian Business, 2015–16</w:t>
      </w:r>
      <w:r w:rsidRPr="72EB7D45">
        <w:rPr>
          <w:rFonts w:eastAsia="Times New Roman"/>
          <w:color w:val="000000" w:themeColor="text1"/>
          <w:sz w:val="20"/>
          <w:szCs w:val="20"/>
        </w:rPr>
        <w:t xml:space="preserve">, accessed 15 December 2020. </w:t>
      </w:r>
      <w:hyperlink r:id="rId18">
        <w:r w:rsidRPr="72EB7D45">
          <w:rPr>
            <w:rStyle w:val="Hyperlink"/>
            <w:rFonts w:eastAsia="Times New Roman"/>
            <w:sz w:val="20"/>
            <w:szCs w:val="20"/>
          </w:rPr>
          <w:t>https://www.abs.gov.au/statistics/economy/business-indicators/management-and-organisational-capabilities-australian-business/2015-16/81720do007_201516.xls</w:t>
        </w:r>
      </w:hyperlink>
      <w:r w:rsidRPr="72EB7D45">
        <w:rPr>
          <w:rStyle w:val="Hyperlink"/>
          <w:rFonts w:eastAsia="Times New Roman"/>
          <w:color w:val="auto"/>
          <w:sz w:val="20"/>
          <w:szCs w:val="20"/>
          <w:u w:val="none"/>
        </w:rPr>
        <w:t>.</w:t>
      </w:r>
    </w:p>
  </w:footnote>
  <w:footnote w:id="33">
    <w:p w14:paraId="1988FA69" w14:textId="5DE30011" w:rsidR="00D55219" w:rsidRDefault="00D55219" w:rsidP="79344E9E">
      <w:pPr>
        <w:pStyle w:val="FootnoteText"/>
      </w:pPr>
      <w:r w:rsidRPr="79344E9E">
        <w:rPr>
          <w:rStyle w:val="FootnoteReference"/>
        </w:rPr>
        <w:footnoteRef/>
      </w:r>
      <w:r>
        <w:t xml:space="preserve"> </w:t>
      </w:r>
      <w:r w:rsidRPr="005038DD">
        <w:t>Department of Industry, Science, Energy and Resources (</w:t>
      </w:r>
      <w:r>
        <w:t>DISER</w:t>
      </w:r>
      <w:r w:rsidRPr="005038DD">
        <w:t>)</w:t>
      </w:r>
      <w:r>
        <w:t>, ‘</w:t>
      </w:r>
      <w:r w:rsidRPr="007521C3">
        <w:t>Modern Manufacturing Initiative and National Manufacturing Priorities announced</w:t>
      </w:r>
      <w:r>
        <w:t xml:space="preserve">’, </w:t>
      </w:r>
      <w:r>
        <w:rPr>
          <w:i/>
        </w:rPr>
        <w:t xml:space="preserve">DISER, </w:t>
      </w:r>
      <w:r>
        <w:t xml:space="preserve">1 October 2020, accessed 4 January 2021. </w:t>
      </w:r>
    </w:p>
    <w:p w14:paraId="72B418D6" w14:textId="5E1E8E88" w:rsidR="00D55219" w:rsidRPr="007521C3" w:rsidRDefault="000E6C85" w:rsidP="79344E9E">
      <w:pPr>
        <w:pStyle w:val="FootnoteText"/>
      </w:pPr>
      <w:hyperlink r:id="rId19" w:history="1">
        <w:r w:rsidR="00D55219" w:rsidRPr="002469BE">
          <w:rPr>
            <w:rStyle w:val="Hyperlink"/>
          </w:rPr>
          <w:t>https://www.industry.gov.au/news/modern-manufacturing-initiative-and-national-manufacturing-priorities-announced</w:t>
        </w:r>
      </w:hyperlink>
      <w:r w:rsidR="00D55219" w:rsidRPr="00CD477B">
        <w:rPr>
          <w:rStyle w:val="Hyperlink"/>
          <w:color w:val="auto"/>
          <w:u w:val="none"/>
        </w:rPr>
        <w:t>.</w:t>
      </w:r>
    </w:p>
  </w:footnote>
  <w:footnote w:id="34">
    <w:p w14:paraId="18C8D312" w14:textId="63B195F0" w:rsidR="00D55219" w:rsidRDefault="00D55219" w:rsidP="72EB7D45">
      <w:pPr>
        <w:pStyle w:val="FootnoteText"/>
      </w:pPr>
      <w:r w:rsidRPr="72EB7D45">
        <w:rPr>
          <w:rStyle w:val="FootnoteReference"/>
        </w:rPr>
        <w:footnoteRef/>
      </w:r>
      <w:r>
        <w:t xml:space="preserve"> UK Government, ‘Guidance: UK PatLib Network’</w:t>
      </w:r>
      <w:r w:rsidRPr="72EB7D45">
        <w:rPr>
          <w:i/>
          <w:iCs/>
        </w:rPr>
        <w:t xml:space="preserve">, Patents, </w:t>
      </w:r>
      <w:r>
        <w:t>UK government website,</w:t>
      </w:r>
      <w:r w:rsidRPr="72EB7D45">
        <w:rPr>
          <w:i/>
          <w:iCs/>
        </w:rPr>
        <w:t xml:space="preserve"> </w:t>
      </w:r>
      <w:r>
        <w:t xml:space="preserve">2020. </w:t>
      </w:r>
      <w:hyperlink r:id="rId20">
        <w:r w:rsidRPr="72EB7D45">
          <w:rPr>
            <w:rStyle w:val="Hyperlink"/>
          </w:rPr>
          <w:t>https://www.gov.uk/government/publications/uk-patlib-network</w:t>
        </w:r>
      </w:hyperlink>
      <w:r>
        <w:t>.</w:t>
      </w:r>
    </w:p>
  </w:footnote>
  <w:footnote w:id="35">
    <w:p w14:paraId="55EE43B7" w14:textId="77777777" w:rsidR="00D55219" w:rsidRPr="000350DE" w:rsidRDefault="00D55219" w:rsidP="009E6904">
      <w:pPr>
        <w:pStyle w:val="FootnoteText"/>
      </w:pPr>
      <w:r w:rsidRPr="000350DE">
        <w:rPr>
          <w:rStyle w:val="FootnoteReference"/>
        </w:rPr>
        <w:footnoteRef/>
      </w:r>
      <w:r w:rsidRPr="000350DE">
        <w:t xml:space="preserve"> Senator the Hon Arthur Sinodinos [Former Minister of Industry, Innovation and Science], </w:t>
      </w:r>
      <w:r w:rsidRPr="00572249">
        <w:rPr>
          <w:i/>
        </w:rPr>
        <w:t>$1.4 million in incubator grants to benefit Australian start-ups</w:t>
      </w:r>
      <w:r w:rsidRPr="000350DE">
        <w:t xml:space="preserve"> [media release], Parliament of Australia, 30 May 2017.</w:t>
      </w:r>
    </w:p>
    <w:p w14:paraId="30A8A902" w14:textId="34C3E2B9" w:rsidR="00D55219" w:rsidRPr="000350DE" w:rsidRDefault="000E6C85" w:rsidP="009E6904">
      <w:pPr>
        <w:pStyle w:val="FootnoteText"/>
        <w:rPr>
          <w:rStyle w:val="Hyperlink"/>
        </w:rPr>
      </w:pPr>
      <w:hyperlink r:id="rId21" w:history="1">
        <w:r w:rsidR="00D55219" w:rsidRPr="000350DE">
          <w:rPr>
            <w:rStyle w:val="Hyperlink"/>
          </w:rPr>
          <w:t>https://parlinfo.aph.gov.au/parlInfo/search/display/display.w3p;query=Id:%22media/pressrel/5306986%22</w:t>
        </w:r>
      </w:hyperlink>
      <w:r w:rsidR="00D55219" w:rsidRPr="00CD477B">
        <w:rPr>
          <w:rStyle w:val="Hyperlink"/>
          <w:color w:val="auto"/>
          <w:u w:val="none"/>
        </w:rPr>
        <w:t>.</w:t>
      </w:r>
    </w:p>
    <w:p w14:paraId="51689049" w14:textId="77777777" w:rsidR="00D55219" w:rsidRPr="00A91ED8" w:rsidRDefault="00D55219" w:rsidP="009E6904">
      <w:pPr>
        <w:pStyle w:val="FootnoteText"/>
      </w:pPr>
      <w:r w:rsidRPr="00A91ED8">
        <w:t xml:space="preserve">DISER, ‘Incubator Support – New and Existing Incubators’, </w:t>
      </w:r>
      <w:r w:rsidRPr="00A91ED8">
        <w:rPr>
          <w:i/>
        </w:rPr>
        <w:t xml:space="preserve">Grants &amp; Programs, </w:t>
      </w:r>
      <w:r w:rsidRPr="00A91ED8">
        <w:t>business.gov.au</w:t>
      </w:r>
      <w:r w:rsidRPr="00A91ED8">
        <w:rPr>
          <w:i/>
        </w:rPr>
        <w:t xml:space="preserve">, </w:t>
      </w:r>
      <w:r w:rsidRPr="00A91ED8">
        <w:t xml:space="preserve">20 January 2021, accessed 25 January 2021. </w:t>
      </w:r>
    </w:p>
    <w:p w14:paraId="5C4C6CE9" w14:textId="6BE113DC" w:rsidR="00D55219" w:rsidRPr="000350DE" w:rsidRDefault="000E6C85" w:rsidP="009E6904">
      <w:pPr>
        <w:pStyle w:val="FootnoteText"/>
      </w:pPr>
      <w:hyperlink r:id="rId22" w:history="1">
        <w:r w:rsidR="00D55219" w:rsidRPr="00A91ED8">
          <w:rPr>
            <w:rStyle w:val="Hyperlink"/>
          </w:rPr>
          <w:t>https://www.business.gov.au/grants-and-programs/incubator-support-new-and-existing-incubators</w:t>
        </w:r>
      </w:hyperlink>
      <w:r w:rsidR="00D55219" w:rsidRPr="00CD477B">
        <w:rPr>
          <w:rStyle w:val="Hyperlink"/>
          <w:color w:val="auto"/>
          <w:u w:val="none"/>
        </w:rPr>
        <w:t>.</w:t>
      </w:r>
    </w:p>
  </w:footnote>
  <w:footnote w:id="36">
    <w:p w14:paraId="346C5888" w14:textId="371C7785" w:rsidR="00D55219" w:rsidRPr="00A91ED8" w:rsidRDefault="00D55219" w:rsidP="009E6904">
      <w:pPr>
        <w:pStyle w:val="FootnoteText"/>
      </w:pPr>
      <w:r w:rsidRPr="000350DE">
        <w:rPr>
          <w:rStyle w:val="FootnoteReference"/>
        </w:rPr>
        <w:footnoteRef/>
      </w:r>
      <w:r w:rsidRPr="000350DE">
        <w:t xml:space="preserve"> </w:t>
      </w:r>
      <w:r w:rsidRPr="00A91ED8">
        <w:t xml:space="preserve">DISER, ‘Incubator Support – Expert in Residence’, </w:t>
      </w:r>
      <w:r w:rsidRPr="00A91ED8">
        <w:rPr>
          <w:i/>
        </w:rPr>
        <w:t xml:space="preserve">Grants &amp; Programs, </w:t>
      </w:r>
      <w:r w:rsidRPr="00A91ED8">
        <w:t>business.gov.au</w:t>
      </w:r>
      <w:r w:rsidRPr="00A91ED8">
        <w:rPr>
          <w:i/>
        </w:rPr>
        <w:t xml:space="preserve">, </w:t>
      </w:r>
      <w:r w:rsidRPr="00A91ED8">
        <w:t>20 January 2021, accessed 25 January 2021.</w:t>
      </w:r>
    </w:p>
    <w:p w14:paraId="184F3780" w14:textId="2932A97B" w:rsidR="00D55219" w:rsidRDefault="000E6C85" w:rsidP="79344E9E">
      <w:pPr>
        <w:pStyle w:val="FootnoteText"/>
      </w:pPr>
      <w:hyperlink r:id="rId23" w:history="1">
        <w:r w:rsidR="00D55219" w:rsidRPr="00A91ED8">
          <w:rPr>
            <w:rStyle w:val="Hyperlink"/>
          </w:rPr>
          <w:t>https://business.gov.au/Grants-and-Programs/Incubator-Support-Expert-in-Residence</w:t>
        </w:r>
      </w:hyperlink>
      <w:r w:rsidR="00D55219" w:rsidRPr="00CD477B">
        <w:rPr>
          <w:rStyle w:val="Hyperlink"/>
          <w:color w:val="auto"/>
          <w:u w:val="none"/>
        </w:rPr>
        <w:t>.</w:t>
      </w:r>
    </w:p>
  </w:footnote>
  <w:footnote w:id="37">
    <w:p w14:paraId="35FB8DB7" w14:textId="0CBCF856" w:rsidR="00D55219" w:rsidRDefault="00D55219" w:rsidP="79344E9E">
      <w:pPr>
        <w:pStyle w:val="FootnoteText"/>
      </w:pPr>
      <w:r w:rsidRPr="79344E9E">
        <w:rPr>
          <w:rStyle w:val="FootnoteReference"/>
        </w:rPr>
        <w:footnoteRef/>
      </w:r>
      <w:r>
        <w:t xml:space="preserve"> J Hinton, </w:t>
      </w:r>
      <w:r>
        <w:rPr>
          <w:i/>
        </w:rPr>
        <w:t xml:space="preserve">Number of startup accelerator programs in Australia 2019 by state or territory, </w:t>
      </w:r>
      <w:r>
        <w:t xml:space="preserve">Statista website, 2020, accessed 5 January 2021. </w:t>
      </w:r>
    </w:p>
    <w:p w14:paraId="2E94CE36" w14:textId="4E4787D4" w:rsidR="00D55219" w:rsidRDefault="000E6C85" w:rsidP="79344E9E">
      <w:pPr>
        <w:pStyle w:val="FootnoteText"/>
      </w:pPr>
      <w:hyperlink r:id="rId24" w:history="1">
        <w:r w:rsidR="00D55219" w:rsidRPr="002469BE">
          <w:rPr>
            <w:rStyle w:val="Hyperlink"/>
          </w:rPr>
          <w:t>https://www.statista.com/statistics/1172409/australia-startup-incubator-programs-by-state/</w:t>
        </w:r>
      </w:hyperlink>
      <w:r w:rsidR="00D55219" w:rsidRPr="00CD477B">
        <w:rPr>
          <w:rStyle w:val="Hyperlink"/>
          <w:color w:val="auto"/>
          <w:u w:val="none"/>
        </w:rPr>
        <w:t>.</w:t>
      </w:r>
    </w:p>
  </w:footnote>
  <w:footnote w:id="38">
    <w:p w14:paraId="167C4B60" w14:textId="075EF44A" w:rsidR="00D55219" w:rsidRPr="005435C1" w:rsidRDefault="00D55219">
      <w:pPr>
        <w:pStyle w:val="FootnoteText"/>
      </w:pPr>
      <w:r>
        <w:rPr>
          <w:rStyle w:val="FootnoteReference"/>
        </w:rPr>
        <w:footnoteRef/>
      </w:r>
      <w:r>
        <w:t xml:space="preserve"> University of New South Wales (UNSW) Business School, </w:t>
      </w:r>
      <w:r>
        <w:rPr>
          <w:i/>
        </w:rPr>
        <w:t xml:space="preserve">The role and performance of accelerators in the Australian startup ecosystem, </w:t>
      </w:r>
      <w:r>
        <w:t xml:space="preserve">report to the Australian Government Department of Industry, Innovation and Science, UNSW, 2016, p 7. </w:t>
      </w:r>
      <w:hyperlink r:id="rId25" w:history="1">
        <w:r w:rsidRPr="002469BE">
          <w:rPr>
            <w:rStyle w:val="Hyperlink"/>
          </w:rPr>
          <w:t>http://unsworks.unsw.edu.au/fapi/datastream/unsworks:38003/bin8ca2e40f-1d69-4eb9-8d99-e332794b8f8f?view=true&amp;xy=01</w:t>
        </w:r>
      </w:hyperlink>
      <w:r w:rsidRPr="00CD477B">
        <w:rPr>
          <w:rStyle w:val="Hyperlink"/>
          <w:color w:val="auto"/>
        </w:rPr>
        <w:t>.</w:t>
      </w:r>
    </w:p>
  </w:footnote>
  <w:footnote w:id="39">
    <w:p w14:paraId="54A2A0ED" w14:textId="7201E0B0" w:rsidR="00D55219" w:rsidRDefault="00D55219">
      <w:pPr>
        <w:pStyle w:val="FootnoteText"/>
      </w:pPr>
      <w:r>
        <w:rPr>
          <w:rStyle w:val="FootnoteReference"/>
        </w:rPr>
        <w:footnoteRef/>
      </w:r>
      <w:r>
        <w:t xml:space="preserve"> </w:t>
      </w:r>
      <w:r w:rsidRPr="00D10970">
        <w:t xml:space="preserve">Cash, Senator the Hon Michaelia, Minister for Employment, Skills, Small and Family Business, </w:t>
      </w:r>
      <w:r w:rsidRPr="00D10970">
        <w:rPr>
          <w:i/>
          <w:lang w:val="en"/>
        </w:rPr>
        <w:t>Regional start-up hubs get a boost from Government</w:t>
      </w:r>
      <w:r w:rsidRPr="00D10970">
        <w:t xml:space="preserve"> [media release], Parliament of Australia, 29 May 2018.</w:t>
      </w:r>
    </w:p>
  </w:footnote>
  <w:footnote w:id="40">
    <w:p w14:paraId="73D8C6FF" w14:textId="2CFEEB1A" w:rsidR="00D55219" w:rsidRDefault="00D55219">
      <w:pPr>
        <w:pStyle w:val="FootnoteText"/>
      </w:pPr>
      <w:r w:rsidRPr="00BD6B25">
        <w:rPr>
          <w:rStyle w:val="FootnoteReference"/>
        </w:rPr>
        <w:footnoteRef/>
      </w:r>
      <w:r w:rsidRPr="00BD6B25">
        <w:t xml:space="preserve"> </w:t>
      </w:r>
      <w:r w:rsidRPr="00585B6B">
        <w:t>Flinders University</w:t>
      </w:r>
      <w:r>
        <w:t xml:space="preserve">, Response No </w:t>
      </w:r>
      <w:r w:rsidRPr="003F612E">
        <w:t>310097034</w:t>
      </w:r>
      <w:r w:rsidRPr="00585B6B">
        <w:t xml:space="preserve"> to </w:t>
      </w:r>
      <w:r>
        <w:t>DISER,</w:t>
      </w:r>
      <w:r w:rsidRPr="00585B6B">
        <w:t xml:space="preserve"> </w:t>
      </w:r>
      <w:r w:rsidRPr="003F612E">
        <w:rPr>
          <w:i/>
        </w:rPr>
        <w:t>Patents Accessibility Review</w:t>
      </w:r>
      <w:r>
        <w:t xml:space="preserve"> (2 October 2020</w:t>
      </w:r>
      <w:r w:rsidRPr="00B773E9">
        <w:t>) 4.</w:t>
      </w:r>
      <w:r>
        <w:t xml:space="preserve"> </w:t>
      </w:r>
      <w:hyperlink r:id="rId26" w:history="1">
        <w:r w:rsidRPr="00640C86">
          <w:rPr>
            <w:rStyle w:val="Hyperlink"/>
          </w:rPr>
          <w:t>https://consult.industry.gov.au/science-commercialisation/par/consultation/view_respondent?uuId=310097034</w:t>
        </w:r>
      </w:hyperlink>
      <w:r w:rsidRPr="00122AE1">
        <w:rPr>
          <w:rStyle w:val="Hyperlink"/>
          <w:color w:val="auto"/>
          <w:u w:val="none"/>
        </w:rPr>
        <w:t>.</w:t>
      </w:r>
    </w:p>
    <w:p w14:paraId="0FD7AABB" w14:textId="189366E3" w:rsidR="00D55219" w:rsidRDefault="00D55219">
      <w:pPr>
        <w:pStyle w:val="FootnoteText"/>
      </w:pPr>
    </w:p>
  </w:footnote>
  <w:footnote w:id="41">
    <w:p w14:paraId="19CBB639" w14:textId="5A12CC53" w:rsidR="00D55219" w:rsidRDefault="00D55219">
      <w:pPr>
        <w:pStyle w:val="FootnoteText"/>
      </w:pPr>
      <w:r w:rsidRPr="00140A88">
        <w:rPr>
          <w:rStyle w:val="FootnoteReference"/>
        </w:rPr>
        <w:footnoteRef/>
      </w:r>
      <w:r>
        <w:t xml:space="preserve"> A</w:t>
      </w:r>
      <w:r w:rsidRPr="00140A88">
        <w:t xml:space="preserve"> Olijnyk, </w:t>
      </w:r>
      <w:r w:rsidRPr="65D063BD">
        <w:rPr>
          <w:i/>
          <w:iCs/>
        </w:rPr>
        <w:t xml:space="preserve">Justice and </w:t>
      </w:r>
      <w:r>
        <w:rPr>
          <w:i/>
          <w:iCs/>
        </w:rPr>
        <w:t>e</w:t>
      </w:r>
      <w:r w:rsidRPr="65D063BD">
        <w:rPr>
          <w:i/>
          <w:iCs/>
        </w:rPr>
        <w:t xml:space="preserve">fficiency in </w:t>
      </w:r>
      <w:r>
        <w:rPr>
          <w:i/>
          <w:iCs/>
        </w:rPr>
        <w:t>m</w:t>
      </w:r>
      <w:r w:rsidRPr="65D063BD">
        <w:rPr>
          <w:i/>
          <w:iCs/>
        </w:rPr>
        <w:t>ega-</w:t>
      </w:r>
      <w:r>
        <w:rPr>
          <w:i/>
          <w:iCs/>
        </w:rPr>
        <w:t>l</w:t>
      </w:r>
      <w:r w:rsidRPr="65D063BD">
        <w:rPr>
          <w:i/>
          <w:iCs/>
        </w:rPr>
        <w:t>itigation</w:t>
      </w:r>
      <w:r>
        <w:t xml:space="preserve"> [doctoral thesis] </w:t>
      </w:r>
      <w:r w:rsidRPr="00140A88">
        <w:t>2014, University of Adelaide</w:t>
      </w:r>
      <w:r>
        <w:t>, 2014.</w:t>
      </w:r>
    </w:p>
    <w:p w14:paraId="59DC640F" w14:textId="7B6DE0ED" w:rsidR="00D55219" w:rsidRPr="00140A88" w:rsidRDefault="000E6C85">
      <w:pPr>
        <w:pStyle w:val="FootnoteText"/>
      </w:pPr>
      <w:hyperlink r:id="rId27">
        <w:r w:rsidR="00D55219" w:rsidRPr="65D063BD">
          <w:rPr>
            <w:rStyle w:val="Hyperlink"/>
          </w:rPr>
          <w:t>https://digital.library.adelaide.edu.au/dspace/bitstream/2440/91442/3/02whole.pdf</w:t>
        </w:r>
      </w:hyperlink>
      <w:r w:rsidR="00D55219" w:rsidRPr="00CD477B">
        <w:rPr>
          <w:rStyle w:val="Hyperlink"/>
          <w:color w:val="auto"/>
          <w:u w:val="none"/>
        </w:rPr>
        <w:t>.</w:t>
      </w:r>
    </w:p>
  </w:footnote>
  <w:footnote w:id="42">
    <w:p w14:paraId="20157505" w14:textId="00D8DB7C" w:rsidR="00D55219" w:rsidRDefault="00D55219" w:rsidP="007704B8">
      <w:pPr>
        <w:pStyle w:val="FootnoteText"/>
      </w:pPr>
      <w:r w:rsidRPr="00140A88">
        <w:rPr>
          <w:rStyle w:val="FootnoteReference"/>
        </w:rPr>
        <w:footnoteRef/>
      </w:r>
      <w:r w:rsidRPr="00140A88">
        <w:t xml:space="preserve"> Productivity Commission</w:t>
      </w:r>
      <w:r>
        <w:t xml:space="preserve"> (PC), </w:t>
      </w:r>
      <w:r w:rsidRPr="006807E9">
        <w:rPr>
          <w:i/>
        </w:rPr>
        <w:t xml:space="preserve">Intellectual </w:t>
      </w:r>
      <w:r>
        <w:rPr>
          <w:i/>
        </w:rPr>
        <w:t>p</w:t>
      </w:r>
      <w:r w:rsidRPr="006807E9">
        <w:rPr>
          <w:i/>
        </w:rPr>
        <w:t xml:space="preserve">roperty </w:t>
      </w:r>
      <w:r>
        <w:rPr>
          <w:i/>
        </w:rPr>
        <w:t>a</w:t>
      </w:r>
      <w:r w:rsidRPr="006807E9">
        <w:rPr>
          <w:i/>
        </w:rPr>
        <w:t>rrangements</w:t>
      </w:r>
      <w:r>
        <w:t xml:space="preserve">, </w:t>
      </w:r>
      <w:r w:rsidRPr="006807E9">
        <w:t>Inquiry Report</w:t>
      </w:r>
      <w:r w:rsidRPr="006807E9">
        <w:rPr>
          <w:i/>
        </w:rPr>
        <w:t xml:space="preserve"> No. 78</w:t>
      </w:r>
      <w:r w:rsidRPr="00140A88">
        <w:t xml:space="preserve">, </w:t>
      </w:r>
      <w:r>
        <w:t xml:space="preserve">p </w:t>
      </w:r>
      <w:r w:rsidRPr="00140A88">
        <w:t>580</w:t>
      </w:r>
      <w:r>
        <w:t xml:space="preserve">, PC, Australian Government, 2016. </w:t>
      </w:r>
    </w:p>
    <w:p w14:paraId="65F04C93" w14:textId="2BF79B40" w:rsidR="00D55219" w:rsidRPr="00140A88" w:rsidRDefault="000E6C85" w:rsidP="007704B8">
      <w:pPr>
        <w:pStyle w:val="FootnoteText"/>
      </w:pPr>
      <w:hyperlink r:id="rId28" w:history="1">
        <w:r w:rsidR="00D55219" w:rsidRPr="00A7546D">
          <w:rPr>
            <w:rStyle w:val="Hyperlink"/>
          </w:rPr>
          <w:t>https://www.pc.gov.au/inquiries/completed/intellectual-property/report/intellectual-property-overview.pdf</w:t>
        </w:r>
      </w:hyperlink>
      <w:r w:rsidR="00D55219" w:rsidRPr="00CD477B">
        <w:rPr>
          <w:rStyle w:val="Hyperlink"/>
          <w:color w:val="auto"/>
          <w:u w:val="none"/>
        </w:rPr>
        <w:t>.</w:t>
      </w:r>
    </w:p>
  </w:footnote>
  <w:footnote w:id="43">
    <w:p w14:paraId="13161DA5" w14:textId="78A5EF8B" w:rsidR="00D55219" w:rsidRDefault="00D55219">
      <w:pPr>
        <w:pStyle w:val="FootnoteText"/>
      </w:pPr>
      <w:r w:rsidRPr="00140A88">
        <w:rPr>
          <w:rStyle w:val="FootnoteReference"/>
        </w:rPr>
        <w:footnoteRef/>
      </w:r>
      <w:r w:rsidRPr="00140A88">
        <w:t xml:space="preserve"> </w:t>
      </w:r>
      <w:r w:rsidRPr="00140A88">
        <w:rPr>
          <w:i/>
          <w:iCs/>
        </w:rPr>
        <w:t>Australian Mud Company Pty Ltd v Coretell Pty Ltd (No 7)</w:t>
      </w:r>
      <w:r w:rsidRPr="006807E9">
        <w:rPr>
          <w:i/>
          <w:iCs/>
        </w:rPr>
        <w:t xml:space="preserve"> </w:t>
      </w:r>
      <w:hyperlink r:id="rId29" w:history="1">
        <w:r>
          <w:rPr>
            <w:rStyle w:val="Hyperlink"/>
            <w:iCs/>
            <w:color w:val="auto"/>
            <w:u w:val="none"/>
          </w:rPr>
          <w:t>[2016]</w:t>
        </w:r>
        <w:r w:rsidRPr="006807E9">
          <w:rPr>
            <w:rStyle w:val="Hyperlink"/>
            <w:iCs/>
            <w:color w:val="auto"/>
            <w:u w:val="none"/>
          </w:rPr>
          <w:t xml:space="preserve"> FCA 991</w:t>
        </w:r>
      </w:hyperlink>
      <w:r w:rsidRPr="00140A88">
        <w:rPr>
          <w:i/>
          <w:iCs/>
        </w:rPr>
        <w:t xml:space="preserve"> </w:t>
      </w:r>
      <w:r>
        <w:rPr>
          <w:iCs/>
        </w:rPr>
        <w:t>at 866</w:t>
      </w:r>
      <w:r w:rsidRPr="00140A88">
        <w:rPr>
          <w:iCs/>
        </w:rPr>
        <w:t>.</w:t>
      </w:r>
    </w:p>
  </w:footnote>
  <w:footnote w:id="44">
    <w:p w14:paraId="70459745" w14:textId="4F4743B5" w:rsidR="00D55219" w:rsidRDefault="00D55219">
      <w:pPr>
        <w:pStyle w:val="FootnoteText"/>
      </w:pPr>
      <w:r>
        <w:rPr>
          <w:rStyle w:val="FootnoteReference"/>
        </w:rPr>
        <w:footnoteRef/>
      </w:r>
      <w:r>
        <w:t xml:space="preserve"> </w:t>
      </w:r>
      <w:r w:rsidRPr="00BC5D70">
        <w:t>It is noted that the A</w:t>
      </w:r>
      <w:r>
        <w:t xml:space="preserve">ustralian </w:t>
      </w:r>
      <w:r w:rsidRPr="00BC5D70">
        <w:t>S</w:t>
      </w:r>
      <w:r>
        <w:t>mall Business and Family Enterprise Ombudsman</w:t>
      </w:r>
      <w:r w:rsidRPr="00BC5D70">
        <w:t xml:space="preserve"> is working on the issue of dispute resolution, at a reasonable cost</w:t>
      </w:r>
      <w:r>
        <w:t>. I</w:t>
      </w:r>
      <w:r w:rsidRPr="00BC5D70">
        <w:t>t will be necessary to work with this office in this matter. Although it is considered that IP disputes are very specialised and different in character to other small business disputes.</w:t>
      </w:r>
      <w:r>
        <w:t xml:space="preserve"> </w:t>
      </w:r>
      <w:r w:rsidRPr="00E64604">
        <w:t>Australian Small Business and Family Enterprise Ombudsman</w:t>
      </w:r>
      <w:r>
        <w:t xml:space="preserve">, </w:t>
      </w:r>
      <w:r w:rsidRPr="007D1DDC">
        <w:rPr>
          <w:i/>
        </w:rPr>
        <w:t>Outdated court system is failing small businesses: Ombudsman</w:t>
      </w:r>
      <w:r>
        <w:t xml:space="preserve">, </w:t>
      </w:r>
      <w:r w:rsidRPr="00A66572">
        <w:t>Australian Small Business and Family Enterprise Ombudsman</w:t>
      </w:r>
      <w:r>
        <w:t xml:space="preserve"> website, 1 December 2020. </w:t>
      </w:r>
      <w:hyperlink r:id="rId30" w:history="1">
        <w:r w:rsidRPr="003D1E0D">
          <w:rPr>
            <w:rStyle w:val="Hyperlink"/>
          </w:rPr>
          <w:t>https://www.asbfeo.gov.au/news/news-articles/outdated-court-system-failing-small-businesses-ombudsman</w:t>
        </w:r>
      </w:hyperlink>
      <w:r>
        <w:t>.</w:t>
      </w:r>
    </w:p>
  </w:footnote>
  <w:footnote w:id="45">
    <w:p w14:paraId="5CF9A1B4" w14:textId="70799FE5" w:rsidR="00D55219" w:rsidRDefault="00D55219">
      <w:pPr>
        <w:pStyle w:val="FootnoteText"/>
      </w:pPr>
      <w:r>
        <w:rPr>
          <w:rStyle w:val="FootnoteReference"/>
        </w:rPr>
        <w:footnoteRef/>
      </w:r>
      <w:r>
        <w:t xml:space="preserve"> K Weatherall and E Webster, ‘</w:t>
      </w:r>
      <w:hyperlink r:id="rId31" w:history="1">
        <w:r w:rsidRPr="00571DFD">
          <w:rPr>
            <w:rStyle w:val="Hyperlink"/>
            <w:color w:val="auto"/>
            <w:u w:val="none"/>
          </w:rPr>
          <w:t xml:space="preserve">Patent infringement in Australia: results from a survey’, </w:t>
        </w:r>
        <w:r w:rsidRPr="00571DFD">
          <w:rPr>
            <w:rStyle w:val="Hyperlink"/>
            <w:i/>
            <w:color w:val="auto"/>
            <w:u w:val="none"/>
          </w:rPr>
          <w:t>Federal Law Review</w:t>
        </w:r>
        <w:r w:rsidRPr="00571DFD">
          <w:rPr>
            <w:rStyle w:val="Hyperlink"/>
            <w:color w:val="auto"/>
            <w:u w:val="none"/>
          </w:rPr>
          <w:t>, 2010, 38(1):28-31</w:t>
        </w:r>
      </w:hyperlink>
      <w:r>
        <w:t>.</w:t>
      </w:r>
    </w:p>
  </w:footnote>
  <w:footnote w:id="46">
    <w:p w14:paraId="15BDF165" w14:textId="259011D4" w:rsidR="00D55219" w:rsidRDefault="00D55219">
      <w:pPr>
        <w:pStyle w:val="FootnoteText"/>
      </w:pPr>
      <w:r>
        <w:rPr>
          <w:rStyle w:val="FootnoteReference"/>
        </w:rPr>
        <w:footnoteRef/>
      </w:r>
      <w:r>
        <w:t xml:space="preserve"> As above, p 36.</w:t>
      </w:r>
    </w:p>
  </w:footnote>
  <w:footnote w:id="47">
    <w:p w14:paraId="2F9DFFB7" w14:textId="04FA02F8" w:rsidR="00D55219" w:rsidRDefault="00D55219">
      <w:pPr>
        <w:pStyle w:val="FootnoteText"/>
      </w:pPr>
      <w:r>
        <w:rPr>
          <w:rStyle w:val="FootnoteReference"/>
        </w:rPr>
        <w:footnoteRef/>
      </w:r>
      <w:r>
        <w:t xml:space="preserve"> As above, p 30.</w:t>
      </w:r>
    </w:p>
  </w:footnote>
  <w:footnote w:id="48">
    <w:p w14:paraId="55858F63" w14:textId="51C170E4" w:rsidR="00D55219" w:rsidRDefault="00D55219">
      <w:pPr>
        <w:pStyle w:val="FootnoteText"/>
      </w:pPr>
      <w:r>
        <w:rPr>
          <w:rStyle w:val="FootnoteReference"/>
        </w:rPr>
        <w:footnoteRef/>
      </w:r>
      <w:r>
        <w:t xml:space="preserve"> As above, p 39.</w:t>
      </w:r>
    </w:p>
  </w:footnote>
  <w:footnote w:id="49">
    <w:p w14:paraId="459E984B" w14:textId="090B1F94" w:rsidR="00D55219" w:rsidRDefault="00D55219">
      <w:pPr>
        <w:pStyle w:val="FootnoteText"/>
      </w:pPr>
      <w:r>
        <w:rPr>
          <w:rStyle w:val="FootnoteReference"/>
        </w:rPr>
        <w:footnoteRef/>
      </w:r>
      <w:r>
        <w:t xml:space="preserve"> As above, p 40.</w:t>
      </w:r>
    </w:p>
  </w:footnote>
  <w:footnote w:id="50">
    <w:p w14:paraId="6DF3204C" w14:textId="6D613F43" w:rsidR="00D55219" w:rsidRDefault="00D55219">
      <w:pPr>
        <w:pStyle w:val="FootnoteText"/>
      </w:pPr>
      <w:r>
        <w:rPr>
          <w:rStyle w:val="FootnoteReference"/>
        </w:rPr>
        <w:footnoteRef/>
      </w:r>
      <w:r>
        <w:t xml:space="preserve"> As above, p 44.</w:t>
      </w:r>
    </w:p>
  </w:footnote>
  <w:footnote w:id="51">
    <w:p w14:paraId="649E5247" w14:textId="092B83B7" w:rsidR="00D55219" w:rsidRPr="00BD6B25" w:rsidRDefault="00D55219">
      <w:pPr>
        <w:pStyle w:val="FootnoteText"/>
      </w:pPr>
      <w:r w:rsidRPr="00BD6B25">
        <w:rPr>
          <w:rStyle w:val="FootnoteReference"/>
        </w:rPr>
        <w:footnoteRef/>
      </w:r>
      <w:r w:rsidRPr="00BD6B25">
        <w:t xml:space="preserve"> </w:t>
      </w:r>
      <w:r w:rsidRPr="00140A88">
        <w:t>Productivity Commission</w:t>
      </w:r>
      <w:r>
        <w:t xml:space="preserve"> (PC), </w:t>
      </w:r>
      <w:r w:rsidRPr="006807E9">
        <w:rPr>
          <w:i/>
        </w:rPr>
        <w:t xml:space="preserve">Intellectual </w:t>
      </w:r>
      <w:r>
        <w:rPr>
          <w:i/>
        </w:rPr>
        <w:t>p</w:t>
      </w:r>
      <w:r w:rsidRPr="006807E9">
        <w:rPr>
          <w:i/>
        </w:rPr>
        <w:t xml:space="preserve">roperty </w:t>
      </w:r>
      <w:r>
        <w:rPr>
          <w:i/>
        </w:rPr>
        <w:t>a</w:t>
      </w:r>
      <w:r w:rsidRPr="006807E9">
        <w:rPr>
          <w:i/>
        </w:rPr>
        <w:t>rrangements</w:t>
      </w:r>
      <w:r>
        <w:t xml:space="preserve">, </w:t>
      </w:r>
      <w:r>
        <w:rPr>
          <w:i/>
          <w:iCs/>
        </w:rPr>
        <w:t>i</w:t>
      </w:r>
      <w:r w:rsidRPr="00CE76D6">
        <w:rPr>
          <w:i/>
          <w:iCs/>
        </w:rPr>
        <w:t xml:space="preserve">nquiry </w:t>
      </w:r>
      <w:r>
        <w:rPr>
          <w:i/>
          <w:iCs/>
        </w:rPr>
        <w:t>r</w:t>
      </w:r>
      <w:r w:rsidRPr="00CE76D6">
        <w:rPr>
          <w:i/>
          <w:iCs/>
        </w:rPr>
        <w:t>eport</w:t>
      </w:r>
      <w:r w:rsidRPr="006807E9">
        <w:rPr>
          <w:i/>
        </w:rPr>
        <w:t xml:space="preserve"> </w:t>
      </w:r>
      <w:r>
        <w:rPr>
          <w:i/>
        </w:rPr>
        <w:t>n</w:t>
      </w:r>
      <w:r w:rsidRPr="006807E9">
        <w:rPr>
          <w:i/>
        </w:rPr>
        <w:t>o. 78</w:t>
      </w:r>
      <w:r w:rsidRPr="00140A88">
        <w:t xml:space="preserve">, </w:t>
      </w:r>
      <w:r>
        <w:t xml:space="preserve">p </w:t>
      </w:r>
      <w:r w:rsidRPr="00140A88">
        <w:t>5</w:t>
      </w:r>
      <w:r>
        <w:t>79, PC, Australian Government, 2016.</w:t>
      </w:r>
    </w:p>
  </w:footnote>
  <w:footnote w:id="52">
    <w:p w14:paraId="454C61DD" w14:textId="1F62340C" w:rsidR="00D55219" w:rsidRDefault="00D55219">
      <w:pPr>
        <w:pStyle w:val="FootnoteText"/>
      </w:pPr>
      <w:r w:rsidRPr="00BD6B25">
        <w:rPr>
          <w:rStyle w:val="FootnoteReference"/>
        </w:rPr>
        <w:footnoteRef/>
      </w:r>
      <w:r w:rsidRPr="00BD6B25">
        <w:t xml:space="preserve"> </w:t>
      </w:r>
      <w:r w:rsidRPr="005038DD">
        <w:t>Department of Industry, Science, Energy and Resources (</w:t>
      </w:r>
      <w:r>
        <w:t>DISER</w:t>
      </w:r>
      <w:r w:rsidRPr="005038DD">
        <w:t>)</w:t>
      </w:r>
      <w:r>
        <w:t xml:space="preserve">, </w:t>
      </w:r>
      <w:r w:rsidRPr="65D063BD">
        <w:rPr>
          <w:i/>
          <w:iCs/>
        </w:rPr>
        <w:t xml:space="preserve">Australian Government response to the Productivity Commission Inquiry into IP Arrangements, </w:t>
      </w:r>
      <w:r>
        <w:t>DISER, Australian Government, 2017.</w:t>
      </w:r>
    </w:p>
    <w:p w14:paraId="7455BABC" w14:textId="5C65EFFB" w:rsidR="00D55219" w:rsidRDefault="000E6C85">
      <w:pPr>
        <w:pStyle w:val="FootnoteText"/>
      </w:pPr>
      <w:hyperlink r:id="rId32">
        <w:r w:rsidR="00D55219" w:rsidRPr="65D063BD">
          <w:rPr>
            <w:rStyle w:val="Hyperlink"/>
          </w:rPr>
          <w:t>https://www.industry.gov.au/data-and-publications/government-response-productivity-commission-inquiry-into-intellectual-property-arrangements</w:t>
        </w:r>
      </w:hyperlink>
      <w:r w:rsidR="00D55219">
        <w:t>.</w:t>
      </w:r>
    </w:p>
  </w:footnote>
  <w:footnote w:id="53">
    <w:p w14:paraId="53B13BDE" w14:textId="62167752" w:rsidR="00D55219" w:rsidRDefault="00D55219">
      <w:pPr>
        <w:pStyle w:val="FootnoteText"/>
      </w:pPr>
      <w:r>
        <w:rPr>
          <w:rStyle w:val="FootnoteReference"/>
        </w:rPr>
        <w:footnoteRef/>
      </w:r>
      <w:r>
        <w:t xml:space="preserve"> </w:t>
      </w:r>
      <w:r w:rsidRPr="001B166C">
        <w:rPr>
          <w:i/>
          <w:iCs/>
        </w:rPr>
        <w:t xml:space="preserve">SNF (Australia) Pty Limited v BASF Australia </w:t>
      </w:r>
      <w:r w:rsidRPr="002B4E1F">
        <w:rPr>
          <w:i/>
          <w:iCs/>
        </w:rPr>
        <w:t xml:space="preserve">Ltd </w:t>
      </w:r>
      <w:hyperlink r:id="rId33" w:history="1">
        <w:r w:rsidRPr="002B4E1F">
          <w:rPr>
            <w:rStyle w:val="Hyperlink"/>
            <w:iCs/>
            <w:color w:val="auto"/>
            <w:u w:val="none"/>
          </w:rPr>
          <w:t>[2019] FCA 425</w:t>
        </w:r>
      </w:hyperlink>
      <w:r w:rsidRPr="002B4E1F">
        <w:rPr>
          <w:iCs/>
        </w:rPr>
        <w:t xml:space="preserve"> </w:t>
      </w:r>
      <w:r>
        <w:rPr>
          <w:iCs/>
        </w:rPr>
        <w:t>at 1784</w:t>
      </w:r>
      <w:r w:rsidRPr="001B166C">
        <w:rPr>
          <w:iCs/>
        </w:rPr>
        <w:t>.</w:t>
      </w:r>
    </w:p>
  </w:footnote>
  <w:footnote w:id="54">
    <w:p w14:paraId="7167A2F4" w14:textId="104B1880" w:rsidR="00D55219" w:rsidRDefault="00D55219">
      <w:pPr>
        <w:pStyle w:val="FootnoteText"/>
      </w:pPr>
      <w:r>
        <w:rPr>
          <w:rStyle w:val="FootnoteReference"/>
        </w:rPr>
        <w:footnoteRef/>
      </w:r>
      <w:r>
        <w:t xml:space="preserve"> </w:t>
      </w:r>
      <w:r w:rsidRPr="00773F3D">
        <w:t xml:space="preserve">For the current version practice note, see </w:t>
      </w:r>
      <w:hyperlink r:id="rId34" w:history="1">
        <w:r w:rsidRPr="00773F3D">
          <w:rPr>
            <w:rStyle w:val="Hyperlink"/>
          </w:rPr>
          <w:t>https://www.fedcourt.gov.au/law-and-practice/practice-documents/practice-notes/ip-1</w:t>
        </w:r>
      </w:hyperlink>
      <w:r w:rsidRPr="00CD477B">
        <w:rPr>
          <w:rStyle w:val="Hyperlink"/>
          <w:color w:val="auto"/>
          <w:u w:val="none"/>
        </w:rPr>
        <w:t>.</w:t>
      </w:r>
      <w:r w:rsidRPr="00773F3D">
        <w:t xml:space="preserve"> For more on the practice note as introduced in 2016 see: </w:t>
      </w:r>
      <w:hyperlink r:id="rId35" w:history="1">
        <w:r w:rsidRPr="00773F3D">
          <w:rPr>
            <w:rStyle w:val="Hyperlink"/>
          </w:rPr>
          <w:t>https://www.tglaw.com.au/ip-blog/2016/11/10/federal-court-australia-national-court-framework-reforms-intellectual-property-ip-practice-note-must-read-ip-lawyers-attorneys/</w:t>
        </w:r>
      </w:hyperlink>
      <w:r w:rsidRPr="00CD477B">
        <w:rPr>
          <w:rStyle w:val="Hyperlink"/>
          <w:color w:val="auto"/>
          <w:u w:val="none"/>
        </w:rPr>
        <w:t>.</w:t>
      </w:r>
      <w:r>
        <w:t xml:space="preserve"> </w:t>
      </w:r>
    </w:p>
  </w:footnote>
  <w:footnote w:id="55">
    <w:p w14:paraId="08C9A036" w14:textId="77777777" w:rsidR="00D55219" w:rsidRDefault="00D55219" w:rsidP="00534F6C">
      <w:pPr>
        <w:pStyle w:val="FootnoteText"/>
      </w:pPr>
      <w:r>
        <w:rPr>
          <w:rStyle w:val="FootnoteReference"/>
        </w:rPr>
        <w:footnoteRef/>
      </w:r>
      <w:r>
        <w:t xml:space="preserve"> Partial year to 1 February 2021.</w:t>
      </w:r>
    </w:p>
  </w:footnote>
  <w:footnote w:id="56">
    <w:p w14:paraId="3A13E9E5" w14:textId="77777777" w:rsidR="00D55219" w:rsidRDefault="00D55219" w:rsidP="00534F6C">
      <w:pPr>
        <w:pStyle w:val="FootnoteText"/>
      </w:pPr>
      <w:r>
        <w:rPr>
          <w:rStyle w:val="FootnoteReference"/>
        </w:rPr>
        <w:footnoteRef/>
      </w:r>
      <w:r>
        <w:t xml:space="preserve"> </w:t>
      </w:r>
      <w:r w:rsidRPr="00A7404F">
        <w:t>Helmers</w:t>
      </w:r>
      <w:r>
        <w:t xml:space="preserve"> et al., </w:t>
      </w:r>
      <w:r w:rsidRPr="00683AF8">
        <w:rPr>
          <w:i/>
        </w:rPr>
        <w:t xml:space="preserve">Evaluation of the </w:t>
      </w:r>
      <w:r>
        <w:rPr>
          <w:i/>
        </w:rPr>
        <w:t>r</w:t>
      </w:r>
      <w:r w:rsidRPr="00683AF8">
        <w:rPr>
          <w:i/>
        </w:rPr>
        <w:t>eforms of the Intellectual Property Enterprise Court 2010</w:t>
      </w:r>
      <w:r>
        <w:rPr>
          <w:i/>
        </w:rPr>
        <w:t>–</w:t>
      </w:r>
      <w:r w:rsidRPr="00683AF8">
        <w:rPr>
          <w:i/>
        </w:rPr>
        <w:t>2013</w:t>
      </w:r>
      <w:r>
        <w:t>, report to the IP Office, UK Government, 2015, p 22.</w:t>
      </w:r>
    </w:p>
  </w:footnote>
  <w:footnote w:id="57">
    <w:p w14:paraId="1288837D" w14:textId="2321A3E5" w:rsidR="00D55219" w:rsidRDefault="00D55219">
      <w:pPr>
        <w:pStyle w:val="FootnoteText"/>
      </w:pPr>
      <w:r>
        <w:rPr>
          <w:rStyle w:val="FootnoteReference"/>
        </w:rPr>
        <w:footnoteRef/>
      </w:r>
      <w:r>
        <w:t xml:space="preserve"> </w:t>
      </w:r>
      <w:r w:rsidRPr="00773F3D">
        <w:rPr>
          <w:rFonts w:cstheme="minorHAnsi"/>
        </w:rPr>
        <w:t xml:space="preserve">Lee et al., ‘Patent litigation in Australia: overview’, </w:t>
      </w:r>
      <w:r w:rsidRPr="00773F3D">
        <w:rPr>
          <w:rFonts w:cstheme="minorHAnsi"/>
          <w:i/>
        </w:rPr>
        <w:t>Practical law</w:t>
      </w:r>
      <w:r w:rsidRPr="00773F3D">
        <w:rPr>
          <w:rFonts w:cstheme="minorHAnsi"/>
        </w:rPr>
        <w:t>, Thomson R</w:t>
      </w:r>
      <w:r w:rsidRPr="00773F3D">
        <w:rPr>
          <w:rFonts w:cstheme="minorHAnsi"/>
          <w:color w:val="000000"/>
        </w:rPr>
        <w:t xml:space="preserve">euter 2020, 37. </w:t>
      </w:r>
      <w:hyperlink r:id="rId36" w:history="1">
        <w:r w:rsidRPr="00773F3D">
          <w:rPr>
            <w:rStyle w:val="Hyperlink"/>
            <w:rFonts w:cstheme="minorHAnsi"/>
          </w:rPr>
          <w:t>https://uk.practicallaw.thomsonreuters.com/3-621-6969?transitionType=Default&amp;contextData=(sc.Default)&amp;firstPage=true</w:t>
        </w:r>
      </w:hyperlink>
      <w:r w:rsidRPr="00CD477B">
        <w:rPr>
          <w:rStyle w:val="Hyperlink"/>
          <w:rFonts w:cstheme="minorHAnsi"/>
          <w:color w:val="auto"/>
          <w:u w:val="none"/>
        </w:rPr>
        <w:t>.</w:t>
      </w:r>
    </w:p>
  </w:footnote>
  <w:footnote w:id="58">
    <w:p w14:paraId="0F967AEF" w14:textId="66D28159" w:rsidR="00D55219" w:rsidRPr="004B7B81" w:rsidRDefault="00D55219">
      <w:pPr>
        <w:pStyle w:val="FootnoteText"/>
      </w:pPr>
      <w:r>
        <w:rPr>
          <w:rStyle w:val="FootnoteReference"/>
        </w:rPr>
        <w:footnoteRef/>
      </w:r>
      <w:r>
        <w:t xml:space="preserve"> </w:t>
      </w:r>
      <w:r w:rsidRPr="00773F3D">
        <w:t xml:space="preserve">Owen J and Currey R, ‘Patents 2021’, </w:t>
      </w:r>
      <w:r w:rsidRPr="00773F3D">
        <w:rPr>
          <w:i/>
        </w:rPr>
        <w:t>International Comparative Legal Guides</w:t>
      </w:r>
      <w:r w:rsidRPr="00773F3D">
        <w:t xml:space="preserve"> 11</w:t>
      </w:r>
      <w:r w:rsidRPr="00773F3D">
        <w:rPr>
          <w:vertAlign w:val="superscript"/>
        </w:rPr>
        <w:t>th</w:t>
      </w:r>
      <w:r w:rsidRPr="00773F3D">
        <w:t xml:space="preserve"> ed, Global Legal Group, 1.30. </w:t>
      </w:r>
      <w:hyperlink r:id="rId37" w:history="1">
        <w:r w:rsidRPr="00773F3D">
          <w:rPr>
            <w:rStyle w:val="Hyperlink"/>
          </w:rPr>
          <w:t>https://www.twobirds.com/~/media/pdfs/brochures/intellectual-property/international-comparative-legal-guide.pdf?la=en&amp;hash=E139164B621614998BEA45048836B7AC62001B08</w:t>
        </w:r>
      </w:hyperlink>
      <w:r w:rsidRPr="00CD477B">
        <w:rPr>
          <w:rStyle w:val="Hyperlink"/>
          <w:color w:val="auto"/>
          <w:u w:val="none"/>
        </w:rPr>
        <w:t>.</w:t>
      </w:r>
      <w:r>
        <w:t xml:space="preserve"> </w:t>
      </w:r>
    </w:p>
  </w:footnote>
  <w:footnote w:id="59">
    <w:p w14:paraId="151E6801" w14:textId="77777777" w:rsidR="00D55219" w:rsidRDefault="00D55219" w:rsidP="72EB7D45">
      <w:pPr>
        <w:pStyle w:val="FootnoteText"/>
      </w:pPr>
      <w:r w:rsidRPr="72EB7D45">
        <w:rPr>
          <w:rStyle w:val="FootnoteReference"/>
        </w:rPr>
        <w:footnoteRef/>
      </w:r>
      <w:r>
        <w:t xml:space="preserve"> Productivity Commission (PC), </w:t>
      </w:r>
      <w:r w:rsidRPr="72EB7D45">
        <w:rPr>
          <w:i/>
          <w:iCs/>
        </w:rPr>
        <w:t>Intellectual Property Arrangements</w:t>
      </w:r>
      <w:r>
        <w:t>, Inquiry Report</w:t>
      </w:r>
      <w:r w:rsidRPr="72EB7D45">
        <w:rPr>
          <w:i/>
          <w:iCs/>
        </w:rPr>
        <w:t xml:space="preserve"> No. 78</w:t>
      </w:r>
      <w:r>
        <w:t xml:space="preserve">, p 561, PC, Australian Government, 2016. </w:t>
      </w:r>
    </w:p>
  </w:footnote>
  <w:footnote w:id="60">
    <w:p w14:paraId="686AEB2D" w14:textId="77777777" w:rsidR="00D55219" w:rsidRDefault="00D55219" w:rsidP="001C7940">
      <w:pPr>
        <w:pStyle w:val="FootnoteText"/>
      </w:pPr>
      <w:r>
        <w:rPr>
          <w:rStyle w:val="FootnoteReference"/>
        </w:rPr>
        <w:footnoteRef/>
      </w:r>
      <w:r>
        <w:t xml:space="preserve"> M Summerfield, ‘</w:t>
      </w:r>
      <w:r w:rsidRPr="00F01845">
        <w:t>Patent Litigation Insurance – What Is It, and Should You Have It?</w:t>
      </w:r>
      <w:r>
        <w:t xml:space="preserve">’, </w:t>
      </w:r>
      <w:r>
        <w:rPr>
          <w:i/>
        </w:rPr>
        <w:t>Patentology blog</w:t>
      </w:r>
      <w:r>
        <w:t xml:space="preserve">, 7 August 2016, accessed 15 December 2020. </w:t>
      </w:r>
    </w:p>
    <w:p w14:paraId="68CCFFA7" w14:textId="77777777" w:rsidR="00D55219" w:rsidRPr="00F01845" w:rsidRDefault="000E6C85" w:rsidP="001C7940">
      <w:pPr>
        <w:pStyle w:val="FootnoteText"/>
      </w:pPr>
      <w:hyperlink r:id="rId38" w:history="1">
        <w:r w:rsidR="00D55219" w:rsidRPr="002469BE">
          <w:rPr>
            <w:rStyle w:val="Hyperlink"/>
          </w:rPr>
          <w:t>https://blog.patentology.com.au/2016/08/patent-litigation-insurance-what-is-it.html</w:t>
        </w:r>
      </w:hyperlink>
      <w:r w:rsidR="00D55219" w:rsidRPr="00CD477B">
        <w:rPr>
          <w:rStyle w:val="Hyperlink"/>
          <w:color w:val="auto"/>
          <w:u w:val="none"/>
        </w:rPr>
        <w:t>.</w:t>
      </w:r>
      <w:r w:rsidR="00D55219" w:rsidRPr="00F01845">
        <w:t xml:space="preserve"> </w:t>
      </w:r>
    </w:p>
  </w:footnote>
  <w:footnote w:id="61">
    <w:p w14:paraId="1B788F80" w14:textId="77777777" w:rsidR="00D55219" w:rsidRPr="007A152C" w:rsidRDefault="00D55219" w:rsidP="001C7940">
      <w:pPr>
        <w:pStyle w:val="FootnoteText"/>
      </w:pPr>
      <w:r w:rsidRPr="007A152C">
        <w:rPr>
          <w:rStyle w:val="FootnoteReference"/>
        </w:rPr>
        <w:footnoteRef/>
      </w:r>
      <w:r w:rsidRPr="007A152C">
        <w:t xml:space="preserve"> </w:t>
      </w:r>
      <w:r w:rsidRPr="007A152C">
        <w:rPr>
          <w:rFonts w:cstheme="minorHAnsi"/>
        </w:rPr>
        <w:t xml:space="preserve">Lee et al., ‘Patent litigation in Australia: overview’, </w:t>
      </w:r>
      <w:r w:rsidRPr="007A152C">
        <w:rPr>
          <w:rFonts w:cstheme="minorHAnsi"/>
          <w:i/>
        </w:rPr>
        <w:t>Practical law</w:t>
      </w:r>
      <w:r w:rsidRPr="00B256BA">
        <w:rPr>
          <w:rFonts w:cstheme="minorHAnsi"/>
        </w:rPr>
        <w:t>, Thomson R</w:t>
      </w:r>
      <w:r w:rsidRPr="007A152C">
        <w:rPr>
          <w:rFonts w:cstheme="minorHAnsi"/>
          <w:color w:val="000000"/>
        </w:rPr>
        <w:t xml:space="preserve">euter 2020, 37. </w:t>
      </w:r>
      <w:hyperlink r:id="rId39" w:history="1">
        <w:r w:rsidRPr="007A152C">
          <w:rPr>
            <w:rStyle w:val="Hyperlink"/>
            <w:rFonts w:cstheme="minorHAnsi"/>
          </w:rPr>
          <w:t>https://uk.practicallaw.thomsonreuters.com/3-621-6969?transitionType=Default&amp;contextData=(sc.Default)&amp;firstPage=true</w:t>
        </w:r>
      </w:hyperlink>
      <w:r w:rsidRPr="00CD477B">
        <w:rPr>
          <w:rStyle w:val="Hyperlink"/>
          <w:rFonts w:cstheme="minorHAnsi"/>
          <w:color w:val="auto"/>
          <w:u w:val="none"/>
        </w:rPr>
        <w:t>.</w:t>
      </w:r>
    </w:p>
  </w:footnote>
  <w:footnote w:id="62">
    <w:p w14:paraId="7B25CF34" w14:textId="77777777" w:rsidR="00D55219" w:rsidRDefault="00D55219" w:rsidP="001C7940">
      <w:pPr>
        <w:pStyle w:val="FootnoteText"/>
      </w:pPr>
      <w:r w:rsidRPr="007A152C">
        <w:rPr>
          <w:rStyle w:val="FootnoteReference"/>
        </w:rPr>
        <w:footnoteRef/>
      </w:r>
      <w:r w:rsidRPr="007A152C">
        <w:t xml:space="preserve"> Owen J and Currey R, ‘Patents 2021’, </w:t>
      </w:r>
      <w:r w:rsidRPr="007A152C">
        <w:rPr>
          <w:i/>
        </w:rPr>
        <w:t>International Comparative Legal Guides</w:t>
      </w:r>
      <w:r w:rsidRPr="007A152C">
        <w:t xml:space="preserve"> 11</w:t>
      </w:r>
      <w:r w:rsidRPr="007A152C">
        <w:rPr>
          <w:vertAlign w:val="superscript"/>
        </w:rPr>
        <w:t>th</w:t>
      </w:r>
      <w:r w:rsidRPr="007A152C">
        <w:t xml:space="preserve"> ed, Global Legal Group, 1.30. </w:t>
      </w:r>
      <w:hyperlink r:id="rId40" w:history="1">
        <w:r w:rsidRPr="007A152C">
          <w:rPr>
            <w:rStyle w:val="Hyperlink"/>
          </w:rPr>
          <w:t>https://www.twobirds.com/~/media/pdfs/brochures/intellectual-property/international-comparative-legal-guide.pdf?la=en&amp;hash=E139164B621614998BEA45048836B7AC62001B08</w:t>
        </w:r>
      </w:hyperlink>
      <w:r w:rsidRPr="00CD477B">
        <w:rPr>
          <w:rStyle w:val="Hyperlink"/>
          <w:color w:val="auto"/>
          <w:u w:val="none"/>
        </w:rPr>
        <w:t>.</w:t>
      </w:r>
      <w:r>
        <w:t xml:space="preserve"> </w:t>
      </w:r>
    </w:p>
  </w:footnote>
  <w:footnote w:id="63">
    <w:p w14:paraId="748AF673" w14:textId="77777777" w:rsidR="00D55219" w:rsidRDefault="00D55219" w:rsidP="001C7940">
      <w:pPr>
        <w:pStyle w:val="FootnoteText"/>
      </w:pPr>
      <w:r>
        <w:rPr>
          <w:rStyle w:val="FootnoteReference"/>
        </w:rPr>
        <w:footnoteRef/>
      </w:r>
      <w:r>
        <w:t xml:space="preserve"> </w:t>
      </w:r>
      <w:r w:rsidRPr="00A7404F">
        <w:t>Helmers</w:t>
      </w:r>
      <w:r>
        <w:t xml:space="preserve"> et al., </w:t>
      </w:r>
      <w:r w:rsidRPr="00683AF8">
        <w:rPr>
          <w:i/>
        </w:rPr>
        <w:t>Evaluation of the Reforms of the Intellectual Property Enterprise Court 2010</w:t>
      </w:r>
      <w:r>
        <w:rPr>
          <w:i/>
        </w:rPr>
        <w:t>–</w:t>
      </w:r>
      <w:r w:rsidRPr="00683AF8">
        <w:rPr>
          <w:i/>
        </w:rPr>
        <w:t>2013</w:t>
      </w:r>
      <w:r>
        <w:t xml:space="preserve">, report to the IP Office, UK Government, 2015, p </w:t>
      </w:r>
      <w:r w:rsidRPr="00A7404F">
        <w:t>17.</w:t>
      </w:r>
      <w:r>
        <w:t xml:space="preserve"> </w:t>
      </w:r>
      <w:hyperlink r:id="rId41" w:history="1">
        <w:r w:rsidRPr="00640C86">
          <w:rPr>
            <w:rStyle w:val="Hyperlink"/>
          </w:rPr>
          <w:t>https://openaccess.city.ac.uk/id/eprint/12600/1/Evaluation_of_the_Reforms_of_the_Intellectual_Property_Enterprise_Court_2010-2013.pdf</w:t>
        </w:r>
      </w:hyperlink>
      <w:r w:rsidRPr="00122AE1">
        <w:rPr>
          <w:rStyle w:val="Hyperlink"/>
          <w:color w:val="auto"/>
          <w:u w:val="none"/>
        </w:rPr>
        <w:t>.</w:t>
      </w:r>
    </w:p>
  </w:footnote>
  <w:footnote w:id="64">
    <w:p w14:paraId="3D5E2052" w14:textId="3C4EA658" w:rsidR="00D55219" w:rsidRDefault="00D55219" w:rsidP="0B763DEE">
      <w:pPr>
        <w:pStyle w:val="FootnoteText"/>
      </w:pPr>
      <w:r w:rsidRPr="0B763DEE">
        <w:rPr>
          <w:rStyle w:val="FootnoteReference"/>
        </w:rPr>
        <w:footnoteRef/>
      </w:r>
      <w:r>
        <w:t xml:space="preserve"> See </w:t>
      </w:r>
      <w:r w:rsidRPr="00E958C0">
        <w:t>Appendix E.</w:t>
      </w:r>
    </w:p>
  </w:footnote>
  <w:footnote w:id="65">
    <w:p w14:paraId="14C7B9F3" w14:textId="67A0E2B0" w:rsidR="00D55219" w:rsidRDefault="00D55219" w:rsidP="0B763DEE">
      <w:pPr>
        <w:pStyle w:val="FootnoteText"/>
      </w:pPr>
      <w:r w:rsidRPr="0B763DEE">
        <w:rPr>
          <w:rStyle w:val="FootnoteReference"/>
        </w:rPr>
        <w:footnoteRef/>
      </w:r>
      <w:r>
        <w:t xml:space="preserve"> Israel Patent Office, </w:t>
      </w:r>
      <w:r>
        <w:rPr>
          <w:i/>
        </w:rPr>
        <w:t xml:space="preserve">WIPO Mediation for IP and Technology Disputes, </w:t>
      </w:r>
      <w:r>
        <w:t xml:space="preserve">Israel Ministry of Justice website, n.d., accessed 11 January 2021. </w:t>
      </w:r>
      <w:hyperlink r:id="rId42" w:history="1">
        <w:r w:rsidRPr="00B218FE">
          <w:rPr>
            <w:rStyle w:val="Hyperlink"/>
          </w:rPr>
          <w:t>https://www.justice.gov.il/En/Units/ILPO/Cooperation/Pages/Wipo-Mediation.aspx</w:t>
        </w:r>
      </w:hyperlink>
      <w:r w:rsidRPr="00CD477B">
        <w:rPr>
          <w:rStyle w:val="Hyperlink"/>
          <w:color w:val="auto"/>
          <w:u w:val="none"/>
        </w:rPr>
        <w:t>.</w:t>
      </w:r>
    </w:p>
  </w:footnote>
  <w:footnote w:id="66">
    <w:p w14:paraId="2E95B74B" w14:textId="71C94FF1" w:rsidR="00D55219" w:rsidRDefault="00D55219" w:rsidP="7BEE6FD1">
      <w:pPr>
        <w:pStyle w:val="FootnoteText"/>
      </w:pPr>
      <w:r w:rsidRPr="00E958C0">
        <w:rPr>
          <w:rStyle w:val="FootnoteReference"/>
        </w:rPr>
        <w:footnoteRef/>
      </w:r>
      <w:r w:rsidRPr="00E958C0">
        <w:t xml:space="preserve"> </w:t>
      </w:r>
      <w:r>
        <w:t xml:space="preserve">WIPO, </w:t>
      </w:r>
      <w:r>
        <w:rPr>
          <w:i/>
        </w:rPr>
        <w:t xml:space="preserve">WIPO Arbitration and Mediation Center, </w:t>
      </w:r>
      <w:r>
        <w:t>WIPO website, n.d., accessed 18 December 2020.</w:t>
      </w:r>
    </w:p>
    <w:p w14:paraId="6E5B34A2" w14:textId="51009083" w:rsidR="00D55219" w:rsidRPr="00E958C0" w:rsidRDefault="000E6C85" w:rsidP="7BEE6FD1">
      <w:pPr>
        <w:pStyle w:val="FootnoteText"/>
      </w:pPr>
      <w:hyperlink r:id="rId43" w:history="1">
        <w:r w:rsidR="00D55219" w:rsidRPr="00A7546D">
          <w:rPr>
            <w:rStyle w:val="Hyperlink"/>
          </w:rPr>
          <w:t>https://www.wipo.int/amc/en/center/background.html</w:t>
        </w:r>
      </w:hyperlink>
      <w:r w:rsidR="00D55219" w:rsidRPr="00CD477B">
        <w:rPr>
          <w:rStyle w:val="Hyperlink"/>
          <w:color w:val="auto"/>
          <w:u w:val="none"/>
        </w:rPr>
        <w:t>.</w:t>
      </w:r>
    </w:p>
  </w:footnote>
  <w:footnote w:id="67">
    <w:p w14:paraId="1EDE40C7" w14:textId="4AC6461C" w:rsidR="00D55219" w:rsidRPr="00EA39E5" w:rsidRDefault="00D55219">
      <w:pPr>
        <w:pStyle w:val="FootnoteText"/>
      </w:pPr>
      <w:r>
        <w:rPr>
          <w:rStyle w:val="FootnoteReference"/>
        </w:rPr>
        <w:footnoteRef/>
      </w:r>
      <w:r>
        <w:t xml:space="preserve"> Andrews, T et al, </w:t>
      </w:r>
      <w:r>
        <w:rPr>
          <w:i/>
        </w:rPr>
        <w:t>The UK’s flexible system of patent disputes</w:t>
      </w:r>
      <w:r>
        <w:t xml:space="preserve">, Managing IP website, accessed 17 February 2021. </w:t>
      </w:r>
      <w:hyperlink r:id="rId44" w:history="1">
        <w:r w:rsidRPr="00E130EE">
          <w:rPr>
            <w:rStyle w:val="Hyperlink"/>
          </w:rPr>
          <w:t>https://www.managingip.com/article/b1kbpk8yxs1192/the-uks-flexible-system-for-patent-disputes</w:t>
        </w:r>
      </w:hyperlink>
      <w:r>
        <w:t>.</w:t>
      </w:r>
    </w:p>
  </w:footnote>
  <w:footnote w:id="68">
    <w:p w14:paraId="1B37BEE8" w14:textId="30504574" w:rsidR="00D55219" w:rsidRDefault="00D55219" w:rsidP="0B763DEE">
      <w:pPr>
        <w:pStyle w:val="FootnoteText"/>
      </w:pPr>
      <w:r w:rsidRPr="00905B81">
        <w:rPr>
          <w:rStyle w:val="FootnoteReference"/>
        </w:rPr>
        <w:footnoteRef/>
      </w:r>
      <w:r w:rsidRPr="00905B81">
        <w:t xml:space="preserve"> We are aware of only two cases where reviews of UKIPO opinions were directly challenged in court: </w:t>
      </w:r>
      <w:r w:rsidRPr="00905B81">
        <w:rPr>
          <w:i/>
        </w:rPr>
        <w:t>DLP Ltd, Re UK Intellectual Property Office Decision</w:t>
      </w:r>
      <w:r w:rsidRPr="00905B81">
        <w:t xml:space="preserve"> [2007] EWHC 2669 (Pat) and </w:t>
      </w:r>
      <w:r w:rsidRPr="00905B81">
        <w:rPr>
          <w:i/>
        </w:rPr>
        <w:t>Cunningham v Nokia Corporation</w:t>
      </w:r>
      <w:r w:rsidRPr="00905B81">
        <w:t xml:space="preserve"> [2008] EWHC 1174 (Ch). In both cases the court refused to overturn the UKIPO opinion.</w:t>
      </w:r>
    </w:p>
  </w:footnote>
  <w:footnote w:id="69">
    <w:p w14:paraId="73B5A90A" w14:textId="483E8EAD" w:rsidR="00D55219" w:rsidRPr="00EA39E5" w:rsidRDefault="00D55219">
      <w:pPr>
        <w:pStyle w:val="FootnoteText"/>
      </w:pPr>
      <w:r>
        <w:rPr>
          <w:rStyle w:val="FootnoteReference"/>
        </w:rPr>
        <w:footnoteRef/>
      </w:r>
      <w:r>
        <w:t xml:space="preserve"> Mewburn Ellis. </w:t>
      </w:r>
      <w:r w:rsidRPr="004C6A9D">
        <w:rPr>
          <w:i/>
        </w:rPr>
        <w:t>Validity &amp; infringement opinions from UKIPO</w:t>
      </w:r>
      <w:r>
        <w:t xml:space="preserve">, Mewburn Ellis website, accessed 17 February 2021. </w:t>
      </w:r>
      <w:hyperlink r:id="rId45" w:history="1">
        <w:r w:rsidRPr="00E130EE">
          <w:rPr>
            <w:rStyle w:val="Hyperlink"/>
          </w:rPr>
          <w:t>https://www.mewburn.com/law-practice-library/validity-infringement-opinions-from-the-ukipo</w:t>
        </w:r>
      </w:hyperlink>
      <w:r>
        <w:t xml:space="preserve">. Boult Wade Tennant, </w:t>
      </w:r>
      <w:r>
        <w:rPr>
          <w:i/>
        </w:rPr>
        <w:t>Insights: UKIPO opinions service</w:t>
      </w:r>
      <w:r>
        <w:t xml:space="preserve">, Boult Wade Tennant website, accessed 17 February 2021. </w:t>
      </w:r>
      <w:hyperlink r:id="rId46" w:history="1">
        <w:r w:rsidRPr="00E130EE">
          <w:rPr>
            <w:rStyle w:val="Hyperlink"/>
          </w:rPr>
          <w:t>https://www.boult.com/bulletins/ukipo-opinions-service/</w:t>
        </w:r>
      </w:hyperlink>
      <w:r>
        <w:t xml:space="preserve">. David Pearce, </w:t>
      </w:r>
      <w:r w:rsidRPr="004C6A9D">
        <w:rPr>
          <w:i/>
        </w:rPr>
        <w:t>UK Patent Office Opinions – A good way to get bad patents revoked?</w:t>
      </w:r>
      <w:r>
        <w:t xml:space="preserve">, Barker Brettell website, accessed 17 February 2021, </w:t>
      </w:r>
      <w:hyperlink r:id="rId47" w:history="1">
        <w:r w:rsidRPr="00E130EE">
          <w:rPr>
            <w:rStyle w:val="Hyperlink"/>
          </w:rPr>
          <w:t>https://www.barkerbrettell.co.uk/uk-patent-office-questions/</w:t>
        </w:r>
      </w:hyperlink>
      <w:r>
        <w:t>.</w:t>
      </w:r>
    </w:p>
  </w:footnote>
  <w:footnote w:id="70">
    <w:p w14:paraId="77BDF468" w14:textId="4D1BD60B" w:rsidR="00D55219" w:rsidRDefault="00D55219">
      <w:pPr>
        <w:pStyle w:val="FootnoteText"/>
      </w:pPr>
      <w:r>
        <w:rPr>
          <w:rStyle w:val="FootnoteReference"/>
        </w:rPr>
        <w:footnoteRef/>
      </w:r>
      <w:r>
        <w:t xml:space="preserve"> Noting that sections 201 and 201A of the </w:t>
      </w:r>
      <w:r w:rsidRPr="004C6A9D">
        <w:rPr>
          <w:i/>
        </w:rPr>
        <w:t>Patents Act 1990</w:t>
      </w:r>
      <w:r>
        <w:rPr>
          <w:i/>
        </w:rPr>
        <w:t xml:space="preserve"> </w:t>
      </w:r>
      <w:r>
        <w:t xml:space="preserve">broadly limit the giving of advice about infringement and invalidity to patent attorneys and lawyers. </w:t>
      </w:r>
    </w:p>
  </w:footnote>
  <w:footnote w:id="71">
    <w:p w14:paraId="172EDD6B" w14:textId="47E86DA7" w:rsidR="00D55219" w:rsidRPr="007C3ACD" w:rsidRDefault="00D55219">
      <w:pPr>
        <w:pStyle w:val="FootnoteText"/>
        <w:rPr>
          <w:i/>
        </w:rPr>
      </w:pPr>
      <w:r>
        <w:rPr>
          <w:rStyle w:val="FootnoteReference"/>
        </w:rPr>
        <w:footnoteRef/>
      </w:r>
      <w:r>
        <w:t xml:space="preserve"> IP Australia, ‘Alternative dispute resolution’, </w:t>
      </w:r>
      <w:r>
        <w:rPr>
          <w:i/>
        </w:rPr>
        <w:t xml:space="preserve">IP infringement, </w:t>
      </w:r>
      <w:r>
        <w:t>IP Australia website, 2019, accessed 8 January 2021.</w:t>
      </w:r>
    </w:p>
    <w:p w14:paraId="541B4650" w14:textId="61575139" w:rsidR="00D55219" w:rsidRDefault="000E6C85">
      <w:pPr>
        <w:pStyle w:val="FootnoteText"/>
      </w:pPr>
      <w:hyperlink r:id="rId48" w:history="1">
        <w:r w:rsidR="00D55219" w:rsidRPr="00640C86">
          <w:rPr>
            <w:rStyle w:val="Hyperlink"/>
          </w:rPr>
          <w:t>https://www.ipaustralia.gov.au/ip-infringement/enforcing-your-ip/resolution-methods</w:t>
        </w:r>
      </w:hyperlink>
      <w:r w:rsidR="00D55219" w:rsidRPr="00CD477B">
        <w:rPr>
          <w:rStyle w:val="Hyperlink"/>
          <w:color w:val="auto"/>
          <w:u w:val="none"/>
        </w:rPr>
        <w:t>.</w:t>
      </w:r>
    </w:p>
  </w:footnote>
  <w:footnote w:id="72">
    <w:p w14:paraId="41388CC6" w14:textId="5CA9F3F7" w:rsidR="00D55219" w:rsidRPr="00773F3D" w:rsidRDefault="00D55219">
      <w:pPr>
        <w:pStyle w:val="FootnoteText"/>
      </w:pPr>
      <w:r w:rsidRPr="00773F3D">
        <w:rPr>
          <w:rStyle w:val="FootnoteReference"/>
        </w:rPr>
        <w:footnoteRef/>
      </w:r>
      <w:r w:rsidRPr="00773F3D">
        <w:t xml:space="preserve"> </w:t>
      </w:r>
      <w:r w:rsidRPr="00773F3D">
        <w:rPr>
          <w:i/>
        </w:rPr>
        <w:t xml:space="preserve">Comandate Marine Corp v Pan Australia Shipping Pty Ltd </w:t>
      </w:r>
      <w:r w:rsidRPr="00773F3D">
        <w:t xml:space="preserve">[2006] FCAFC 192, [200]; </w:t>
      </w:r>
      <w:r w:rsidRPr="00773F3D">
        <w:rPr>
          <w:i/>
        </w:rPr>
        <w:t>Larkden Pty Limited v Lloyd Energy Systems Pty Limited</w:t>
      </w:r>
      <w:r w:rsidRPr="00773F3D">
        <w:t xml:space="preserve"> [2011] NSWSC 268, [63] – [64].</w:t>
      </w:r>
    </w:p>
  </w:footnote>
  <w:footnote w:id="73">
    <w:p w14:paraId="6C4ECAE7" w14:textId="30863A59" w:rsidR="00D55219" w:rsidRPr="00F75FA5" w:rsidRDefault="00D55219">
      <w:pPr>
        <w:pStyle w:val="FootnoteText"/>
        <w:rPr>
          <w:highlight w:val="cyan"/>
        </w:rPr>
      </w:pPr>
      <w:r w:rsidRPr="00773F3D">
        <w:rPr>
          <w:rStyle w:val="FootnoteReference"/>
        </w:rPr>
        <w:footnoteRef/>
      </w:r>
      <w:r w:rsidRPr="00773F3D">
        <w:t xml:space="preserve"> For example, the patentee may allege infringement and the other party alleges that the patent is invalid (and so cannot be infringed). If the arbitrator finds that the patent is invalid, the arbitral award would not purport to bind the Commissioner or a court to revoke the patent. It would not require the patentee to surrender the patent. It would also not prohibit the other party from later challenging the validity of the patent in proceedings before the Commissioner or a court. Rather the consequence would be that no compensation would be awarded to the patentee and they would be prohibited from bringing future patent infringement proceedings against the other party for the relevant conduct. </w:t>
      </w:r>
    </w:p>
  </w:footnote>
  <w:footnote w:id="74">
    <w:p w14:paraId="5A1DEB99" w14:textId="1D2AD9C9" w:rsidR="00D55219" w:rsidRDefault="00D55219">
      <w:pPr>
        <w:pStyle w:val="FootnoteText"/>
      </w:pPr>
      <w:r w:rsidRPr="00773F3D">
        <w:rPr>
          <w:rStyle w:val="FootnoteReference"/>
        </w:rPr>
        <w:footnoteRef/>
      </w:r>
      <w:r w:rsidRPr="00773F3D">
        <w:t xml:space="preserve"> In 1982 the US made a similar amendment to their patent law to confirm that patent disputes were arbitrable. See 35 U.S. Code § 294.</w:t>
      </w:r>
    </w:p>
  </w:footnote>
  <w:footnote w:id="75">
    <w:p w14:paraId="709FDE10" w14:textId="09B9BBF1" w:rsidR="00D55219" w:rsidRDefault="00D55219">
      <w:pPr>
        <w:pStyle w:val="FootnoteText"/>
      </w:pPr>
      <w:r>
        <w:rPr>
          <w:rStyle w:val="FootnoteReference"/>
        </w:rPr>
        <w:footnoteRef/>
      </w:r>
      <w:r>
        <w:t xml:space="preserve"> </w:t>
      </w:r>
      <w:r>
        <w:rPr>
          <w:rFonts w:ascii="Calibri" w:eastAsia="Calibri" w:hAnsi="Calibri" w:cs="Calibri"/>
        </w:rPr>
        <w:t xml:space="preserve">It is noted that the Australian Small Business and Family Enterprise Ombudsman is working on the issue of dispute resolution, at a reasonable cost, it will be necessary to work with this office in this matter. Although it is considered that IP disputes are very specialised and different in character to other small business disputes. </w:t>
      </w:r>
      <w:hyperlink r:id="rId49" w:history="1">
        <w:r w:rsidRPr="00E130EE">
          <w:rPr>
            <w:rStyle w:val="Hyperlink"/>
            <w:rFonts w:ascii="Calibri" w:eastAsia="Calibri" w:hAnsi="Calibri" w:cs="Calibri"/>
          </w:rPr>
          <w:t>https://www.asbfeo.gov.au/news/news-articles/outdated-court-system-failing-small-businesses-ombudsman</w:t>
        </w:r>
      </w:hyperlink>
      <w:r>
        <w:rPr>
          <w:rFonts w:ascii="Calibri" w:eastAsia="Calibri" w:hAnsi="Calibri" w:cs="Calibri"/>
        </w:rPr>
        <w:t>.</w:t>
      </w:r>
    </w:p>
  </w:footnote>
  <w:footnote w:id="76">
    <w:p w14:paraId="5DE23AA1" w14:textId="34A30188" w:rsidR="00D55219" w:rsidRDefault="00D55219" w:rsidP="00034A4E">
      <w:pPr>
        <w:pStyle w:val="FootnoteText"/>
      </w:pPr>
      <w:r w:rsidRPr="00034A4E">
        <w:rPr>
          <w:rStyle w:val="FootnoteReference"/>
        </w:rPr>
        <w:footnoteRef/>
      </w:r>
      <w:r>
        <w:t xml:space="preserve"> WIPO, ‘Arbitration’, </w:t>
      </w:r>
      <w:r>
        <w:rPr>
          <w:i/>
        </w:rPr>
        <w:t>IP Services</w:t>
      </w:r>
      <w:r>
        <w:t>, WIPO website, n.d., accessed 8 January 2021.</w:t>
      </w:r>
    </w:p>
    <w:p w14:paraId="630420FA" w14:textId="38C0EEB9" w:rsidR="00D55219" w:rsidRPr="00B90069" w:rsidRDefault="000E6C85" w:rsidP="00034A4E">
      <w:pPr>
        <w:pStyle w:val="FootnoteText"/>
      </w:pPr>
      <w:hyperlink r:id="rId50" w:history="1">
        <w:r w:rsidR="00D55219" w:rsidRPr="00640C86">
          <w:rPr>
            <w:rStyle w:val="Hyperlink"/>
          </w:rPr>
          <w:t>https://www.wipo.int/amc/en/arbitration/what-is-arb.html</w:t>
        </w:r>
      </w:hyperlink>
      <w:r w:rsidR="00D55219" w:rsidRPr="00CD477B">
        <w:rPr>
          <w:rStyle w:val="Hyperlink"/>
          <w:color w:val="auto"/>
          <w:u w:val="none"/>
        </w:rPr>
        <w:t>.</w:t>
      </w:r>
    </w:p>
  </w:footnote>
  <w:footnote w:id="77">
    <w:p w14:paraId="79DF23CC" w14:textId="3BB73DD0" w:rsidR="00D55219" w:rsidRDefault="00D55219" w:rsidP="72EB7D45">
      <w:pPr>
        <w:pStyle w:val="FootnoteText"/>
        <w:rPr>
          <w:lang w:val="en-US"/>
        </w:rPr>
      </w:pPr>
      <w:r w:rsidRPr="72EB7D45">
        <w:rPr>
          <w:rStyle w:val="FootnoteReference"/>
        </w:rPr>
        <w:footnoteRef/>
      </w:r>
      <w:r w:rsidRPr="72EB7D45">
        <w:rPr>
          <w:lang w:val="en-US"/>
        </w:rPr>
        <w:t xml:space="preserve"> </w:t>
      </w:r>
      <w:r>
        <w:t xml:space="preserve">DISER, </w:t>
      </w:r>
      <w:r w:rsidRPr="72EB7D45">
        <w:rPr>
          <w:i/>
          <w:iCs/>
        </w:rPr>
        <w:t>Research and Development Tax Incentive: offset your R&amp;D costs to help innovate and grow your business</w:t>
      </w:r>
      <w:r>
        <w:t xml:space="preserve">, DISER website, 2020, accessed 8 January 2021. </w:t>
      </w:r>
      <w:hyperlink r:id="rId51">
        <w:r w:rsidRPr="72EB7D45">
          <w:rPr>
            <w:rStyle w:val="Hyperlink"/>
          </w:rPr>
          <w:t>https://business.gov.au/Grants-and-Programs/Research-and-Development-Tax-Incentive</w:t>
        </w:r>
      </w:hyperlink>
      <w:r w:rsidRPr="72EB7D45">
        <w:rPr>
          <w:rStyle w:val="Hyperlink"/>
          <w:color w:val="auto"/>
          <w:u w:val="none"/>
        </w:rPr>
        <w:t>.</w:t>
      </w:r>
    </w:p>
  </w:footnote>
  <w:footnote w:id="78">
    <w:p w14:paraId="57094043" w14:textId="77777777" w:rsidR="00D55219" w:rsidRPr="00E61E94" w:rsidRDefault="00D55219" w:rsidP="00C64F45">
      <w:pPr>
        <w:pStyle w:val="FootnoteText"/>
        <w:rPr>
          <w:color w:val="0070AE" w:themeColor="hyperlink"/>
          <w:u w:val="single"/>
        </w:rPr>
      </w:pPr>
      <w:r>
        <w:rPr>
          <w:rStyle w:val="FootnoteReference"/>
        </w:rPr>
        <w:footnoteRef/>
      </w:r>
      <w:r>
        <w:t xml:space="preserve"> DISER, </w:t>
      </w:r>
      <w:r>
        <w:rPr>
          <w:i/>
        </w:rPr>
        <w:t xml:space="preserve">Accelerating Commercialisation: Expert advice and funding on how to take your innovation to market, </w:t>
      </w:r>
      <w:r>
        <w:t xml:space="preserve">DISER website, 2020, accessed 15 December 2020. </w:t>
      </w:r>
      <w:hyperlink r:id="rId52" w:history="1">
        <w:r w:rsidRPr="00640C86">
          <w:rPr>
            <w:rStyle w:val="Hyperlink"/>
          </w:rPr>
          <w:t>https://www.business.gov.au/grants-and-programs/accelerating-commercialisation</w:t>
        </w:r>
      </w:hyperlink>
      <w:r>
        <w:t>.</w:t>
      </w:r>
    </w:p>
  </w:footnote>
  <w:footnote w:id="79">
    <w:p w14:paraId="18F32C93" w14:textId="77777777" w:rsidR="00D55219" w:rsidRPr="00E61E94" w:rsidRDefault="00D55219" w:rsidP="00C64F45">
      <w:pPr>
        <w:pStyle w:val="FootnoteText"/>
        <w:rPr>
          <w:color w:val="0070AE" w:themeColor="hyperlink"/>
          <w:u w:val="single"/>
        </w:rPr>
      </w:pPr>
      <w:r>
        <w:rPr>
          <w:rStyle w:val="FootnoteReference"/>
        </w:rPr>
        <w:footnoteRef/>
      </w:r>
      <w:r>
        <w:t xml:space="preserve"> For further details on the terms and conditions, see DISER, </w:t>
      </w:r>
      <w:r w:rsidRPr="007414DD">
        <w:rPr>
          <w:i/>
        </w:rPr>
        <w:t>Accelerating Commercialisation Grant Opportunit</w:t>
      </w:r>
      <w:r>
        <w:rPr>
          <w:i/>
        </w:rPr>
        <w:t>y Guidelines</w:t>
      </w:r>
      <w:r>
        <w:t xml:space="preserve">, DISER, 2020, accessed 15 December 2020. </w:t>
      </w:r>
    </w:p>
  </w:footnote>
  <w:footnote w:id="80">
    <w:p w14:paraId="4401BBE6" w14:textId="77777777" w:rsidR="00D55219" w:rsidRPr="00E61E94" w:rsidRDefault="00D55219" w:rsidP="00C64F45">
      <w:pPr>
        <w:pStyle w:val="FootnoteText"/>
        <w:rPr>
          <w:color w:val="0070AE" w:themeColor="hyperlink"/>
          <w:u w:val="single"/>
        </w:rPr>
      </w:pPr>
      <w:r>
        <w:rPr>
          <w:rStyle w:val="FootnoteReference"/>
        </w:rPr>
        <w:footnoteRef/>
      </w:r>
      <w:r>
        <w:t xml:space="preserve"> Austrade Trade and Investment Commission (Austrade), </w:t>
      </w:r>
      <w:r>
        <w:rPr>
          <w:i/>
        </w:rPr>
        <w:t xml:space="preserve">Export Market Development Grants, </w:t>
      </w:r>
      <w:r>
        <w:t xml:space="preserve">Austrade website, 2021, accessed 8 January 2021. </w:t>
      </w:r>
      <w:hyperlink r:id="rId53" w:history="1">
        <w:r w:rsidRPr="00640C86">
          <w:rPr>
            <w:rStyle w:val="Hyperlink"/>
          </w:rPr>
          <w:t>https://www.austrade.gov.au/Australian/Export/Export-Grants</w:t>
        </w:r>
      </w:hyperlink>
      <w:r>
        <w:t>.</w:t>
      </w:r>
    </w:p>
  </w:footnote>
  <w:footnote w:id="81">
    <w:p w14:paraId="327DF736" w14:textId="65119F63" w:rsidR="00D55219" w:rsidRPr="002E503A" w:rsidRDefault="00D55219" w:rsidP="00C64F45">
      <w:pPr>
        <w:pStyle w:val="FootnoteText"/>
        <w:rPr>
          <w:color w:val="0070AE" w:themeColor="hyperlink"/>
          <w:u w:val="single"/>
        </w:rPr>
      </w:pPr>
      <w:r w:rsidRPr="00A7404F">
        <w:rPr>
          <w:rStyle w:val="FootnoteReference"/>
        </w:rPr>
        <w:footnoteRef/>
      </w:r>
      <w:r w:rsidRPr="00A7404F">
        <w:t xml:space="preserve"> Claims can be made for countries other than Australia, North Korea and New Zealand. </w:t>
      </w:r>
      <w:r>
        <w:t xml:space="preserve">See Austrade, ‘Steps to follow’, </w:t>
      </w:r>
      <w:r>
        <w:rPr>
          <w:i/>
        </w:rPr>
        <w:t xml:space="preserve">Export Market Development Grants, </w:t>
      </w:r>
      <w:r>
        <w:t xml:space="preserve">Austrade website, 2021, accessed 8 January 2021. </w:t>
      </w:r>
      <w:hyperlink r:id="rId54" w:history="1">
        <w:r w:rsidRPr="00640C86">
          <w:rPr>
            <w:rStyle w:val="Hyperlink"/>
          </w:rPr>
          <w:t>https://www.austrade.gov.au/Australian/Export/Export-Grants/Apply/steps-to-follow</w:t>
        </w:r>
      </w:hyperlink>
      <w:r>
        <w:t>.</w:t>
      </w:r>
    </w:p>
  </w:footnote>
  <w:footnote w:id="82">
    <w:p w14:paraId="25819395" w14:textId="77777777" w:rsidR="00D55219" w:rsidRDefault="00D55219" w:rsidP="00C64F45">
      <w:pPr>
        <w:pStyle w:val="FootnoteText"/>
      </w:pPr>
      <w:r w:rsidRPr="00A7404F">
        <w:rPr>
          <w:rStyle w:val="FootnoteReference"/>
        </w:rPr>
        <w:footnoteRef/>
      </w:r>
      <w:r w:rsidRPr="00A7404F">
        <w:t xml:space="preserve"> For further details on the terms and conditions, </w:t>
      </w:r>
      <w:r>
        <w:t xml:space="preserve">see Austrade, </w:t>
      </w:r>
      <w:r w:rsidRPr="00491C5B">
        <w:rPr>
          <w:i/>
        </w:rPr>
        <w:t>Export Market Development Grants – A Guide to Applying</w:t>
      </w:r>
      <w:r>
        <w:t xml:space="preserve">, Austrade website, August 2020, accessed 8 January 2021. </w:t>
      </w:r>
    </w:p>
    <w:p w14:paraId="7707811C" w14:textId="77777777" w:rsidR="00D55219" w:rsidRPr="002E503A" w:rsidRDefault="000E6C85" w:rsidP="00C64F45">
      <w:pPr>
        <w:pStyle w:val="FootnoteText"/>
        <w:rPr>
          <w:color w:val="0070AE" w:themeColor="hyperlink"/>
          <w:u w:val="single"/>
        </w:rPr>
      </w:pPr>
      <w:hyperlink r:id="rId55" w:history="1">
        <w:r w:rsidR="00D55219" w:rsidRPr="00640C86">
          <w:rPr>
            <w:rStyle w:val="Hyperlink"/>
          </w:rPr>
          <w:t>https://www.austrade.gov.au/ArticleDocuments/1433/EMDG-A-Guide-Applying.pdf.aspx</w:t>
        </w:r>
      </w:hyperlink>
      <w:r w:rsidR="00D55219">
        <w:t>.</w:t>
      </w:r>
    </w:p>
  </w:footnote>
  <w:footnote w:id="83">
    <w:p w14:paraId="75F10209" w14:textId="77777777" w:rsidR="00D55219" w:rsidRPr="002E503A" w:rsidRDefault="00D55219" w:rsidP="00C64F45">
      <w:pPr>
        <w:pStyle w:val="FootnoteText"/>
        <w:rPr>
          <w:color w:val="0070AE" w:themeColor="hyperlink"/>
          <w:u w:val="single"/>
        </w:rPr>
      </w:pPr>
      <w:r w:rsidRPr="00A7404F">
        <w:rPr>
          <w:rStyle w:val="FootnoteReference"/>
        </w:rPr>
        <w:footnoteRef/>
      </w:r>
      <w:r w:rsidRPr="00A7404F">
        <w:t xml:space="preserve"> The </w:t>
      </w:r>
      <w:r>
        <w:t xml:space="preserve">draft </w:t>
      </w:r>
      <w:r w:rsidRPr="000477D0">
        <w:t>Export Market Development Grants</w:t>
      </w:r>
      <w:r>
        <w:t xml:space="preserve"> (EMDG)</w:t>
      </w:r>
      <w:r w:rsidRPr="000477D0">
        <w:t xml:space="preserve"> Rules 2020</w:t>
      </w:r>
      <w:r w:rsidRPr="00A7404F">
        <w:t xml:space="preserve"> do not include IP insurance, but retain registration, grant and extensions as eligible expenditure</w:t>
      </w:r>
      <w:r>
        <w:t xml:space="preserve">. See Austrade, </w:t>
      </w:r>
      <w:r w:rsidRPr="00A611E7">
        <w:rPr>
          <w:i/>
        </w:rPr>
        <w:t>Exposure Draft E</w:t>
      </w:r>
      <w:r>
        <w:rPr>
          <w:i/>
        </w:rPr>
        <w:t xml:space="preserve">xport Market Development Grants </w:t>
      </w:r>
      <w:r w:rsidRPr="00A611E7">
        <w:rPr>
          <w:i/>
        </w:rPr>
        <w:t>Rules 2020</w:t>
      </w:r>
      <w:r>
        <w:t xml:space="preserve">, Austrade website, n.d., accessed 8 January 2021. </w:t>
      </w:r>
      <w:hyperlink r:id="rId56" w:history="1">
        <w:r w:rsidRPr="00640C86">
          <w:rPr>
            <w:rStyle w:val="Hyperlink"/>
          </w:rPr>
          <w:t>https://www.austrade.gov.au/ArticleDocuments/10477/EMDG-rules-2020-exposure-draft.pdf.aspx</w:t>
        </w:r>
      </w:hyperlink>
      <w:r>
        <w:t>.</w:t>
      </w:r>
    </w:p>
  </w:footnote>
  <w:footnote w:id="84">
    <w:p w14:paraId="51F076C8" w14:textId="12235322" w:rsidR="00D55219" w:rsidRDefault="00D55219">
      <w:pPr>
        <w:pStyle w:val="FootnoteText"/>
      </w:pPr>
      <w:r w:rsidRPr="006711B9">
        <w:rPr>
          <w:rStyle w:val="FootnoteReference"/>
        </w:rPr>
        <w:footnoteRef/>
      </w:r>
      <w:r>
        <w:t xml:space="preserve"> UK Government, ‘Guidance: Use the Patent Box to reduce your Corporation Tax on profits’, </w:t>
      </w:r>
      <w:r>
        <w:rPr>
          <w:i/>
        </w:rPr>
        <w:t xml:space="preserve">Corporation Tax, </w:t>
      </w:r>
      <w:r>
        <w:t xml:space="preserve">gov.uk, 7 May 2020, accessed 8 January 2021. </w:t>
      </w:r>
    </w:p>
    <w:p w14:paraId="1675B5ED" w14:textId="76F69562" w:rsidR="00D55219" w:rsidRPr="0039794E" w:rsidRDefault="000E6C85">
      <w:pPr>
        <w:pStyle w:val="FootnoteText"/>
        <w:rPr>
          <w:color w:val="0070AE" w:themeColor="hyperlink"/>
          <w:u w:val="single"/>
        </w:rPr>
      </w:pPr>
      <w:hyperlink r:id="rId57" w:anchor=":~:text=The%20Patent%20Box%20is%20designed,Corporation%20Tax%20which%20is%2010%25" w:history="1">
        <w:r w:rsidR="00D55219" w:rsidRPr="00640C86">
          <w:rPr>
            <w:rStyle w:val="Hyperlink"/>
          </w:rPr>
          <w:t>https://www.gov.uk/guidance/corporation-tax-the-patent-box#:~:text=The%20Patent%20Box%20is%20designed,Corporation%20Tax%20which%20is%2010%25</w:t>
        </w:r>
      </w:hyperlink>
      <w:r w:rsidR="00D55219">
        <w:t>.</w:t>
      </w:r>
    </w:p>
  </w:footnote>
  <w:footnote w:id="85">
    <w:p w14:paraId="3EA273E4" w14:textId="2F6E94DB" w:rsidR="00D55219" w:rsidRDefault="00D55219" w:rsidP="3F7EED85">
      <w:pPr>
        <w:pStyle w:val="FootnoteText"/>
      </w:pPr>
      <w:r w:rsidRPr="006711B9">
        <w:rPr>
          <w:rStyle w:val="FootnoteReference"/>
        </w:rPr>
        <w:footnoteRef/>
      </w:r>
      <w:r w:rsidRPr="006711B9">
        <w:t xml:space="preserve"> </w:t>
      </w:r>
      <w:r>
        <w:t xml:space="preserve">KPMG, ‘Enhanced patent box regime’, </w:t>
      </w:r>
      <w:r>
        <w:rPr>
          <w:i/>
        </w:rPr>
        <w:t xml:space="preserve">France: Corporate tax measures enacted for 2019, </w:t>
      </w:r>
      <w:r>
        <w:t xml:space="preserve">KPMG website, 28 February 2019, accessed 8 January 2021. </w:t>
      </w:r>
    </w:p>
    <w:p w14:paraId="36D47CF9" w14:textId="685280B7" w:rsidR="00D55219" w:rsidRPr="0039794E" w:rsidRDefault="000E6C85" w:rsidP="3F7EED85">
      <w:pPr>
        <w:pStyle w:val="FootnoteText"/>
        <w:rPr>
          <w:color w:val="0070AE" w:themeColor="hyperlink"/>
          <w:u w:val="single"/>
        </w:rPr>
      </w:pPr>
      <w:hyperlink r:id="rId58" w:anchor=":~:text=The%20new%20French%20patent%20box,for%20small%20and%20medium%20size" w:history="1">
        <w:r w:rsidR="00D55219" w:rsidRPr="00640C86">
          <w:rPr>
            <w:rStyle w:val="Hyperlink"/>
          </w:rPr>
          <w:t>https://home.kpmg/xx/en/home/insights/2019/02/tnf-france-corporate-tax-measures-enacted-for-2019.html#:~:text=The%20new%20French%20patent%20box,for%20small%20and%20medium%20size</w:t>
        </w:r>
      </w:hyperlink>
      <w:r w:rsidR="00D55219">
        <w:t>.</w:t>
      </w:r>
    </w:p>
  </w:footnote>
  <w:footnote w:id="86">
    <w:p w14:paraId="41C16921" w14:textId="170855EA" w:rsidR="00D55219" w:rsidRDefault="00D55219" w:rsidP="204EBA16">
      <w:pPr>
        <w:pStyle w:val="FootnoteText"/>
      </w:pPr>
      <w:r w:rsidRPr="006711B9">
        <w:rPr>
          <w:rStyle w:val="FootnoteReference"/>
        </w:rPr>
        <w:footnoteRef/>
      </w:r>
      <w:r w:rsidRPr="006711B9">
        <w:t xml:space="preserve"> For comparison, the standard corporate tax rate in the UK is 23% and the standard corporate tax rate in France is 33%.</w:t>
      </w:r>
    </w:p>
  </w:footnote>
  <w:footnote w:id="87">
    <w:p w14:paraId="5044824F" w14:textId="3AC2FF94" w:rsidR="00D55219" w:rsidRDefault="00D55219" w:rsidP="79344E9E">
      <w:pPr>
        <w:pStyle w:val="FootnoteText"/>
      </w:pPr>
      <w:r w:rsidRPr="79344E9E">
        <w:rPr>
          <w:rStyle w:val="FootnoteReference"/>
        </w:rPr>
        <w:footnoteRef/>
      </w:r>
      <w:r>
        <w:t xml:space="preserve"> M Mazzucato, </w:t>
      </w:r>
      <w:r w:rsidRPr="00E4757B">
        <w:rPr>
          <w:i/>
        </w:rPr>
        <w:t xml:space="preserve">The </w:t>
      </w:r>
      <w:r>
        <w:rPr>
          <w:i/>
        </w:rPr>
        <w:t>e</w:t>
      </w:r>
      <w:r w:rsidRPr="00E4757B">
        <w:rPr>
          <w:i/>
        </w:rPr>
        <w:t xml:space="preserve">ntrepreneurial </w:t>
      </w:r>
      <w:r>
        <w:rPr>
          <w:i/>
        </w:rPr>
        <w:t>s</w:t>
      </w:r>
      <w:r w:rsidRPr="00E4757B">
        <w:rPr>
          <w:i/>
        </w:rPr>
        <w:t>tate</w:t>
      </w:r>
      <w:r>
        <w:rPr>
          <w:i/>
        </w:rPr>
        <w:t>: debunking public vs. private sector myths</w:t>
      </w:r>
      <w:r>
        <w:t>, US edn, Public Affairs, 2018, p 68.</w:t>
      </w:r>
    </w:p>
  </w:footnote>
  <w:footnote w:id="88">
    <w:p w14:paraId="3B7F1800" w14:textId="1939359C" w:rsidR="00D55219" w:rsidRPr="009F438F" w:rsidRDefault="00D55219">
      <w:pPr>
        <w:pStyle w:val="FootnoteText"/>
      </w:pPr>
      <w:r w:rsidRPr="003B528E">
        <w:rPr>
          <w:rStyle w:val="FootnoteReference"/>
        </w:rPr>
        <w:footnoteRef/>
      </w:r>
      <w:r>
        <w:t xml:space="preserve"> </w:t>
      </w:r>
      <w:r w:rsidRPr="009F438F">
        <w:rPr>
          <w:i/>
        </w:rPr>
        <w:t>Australian Business Growth Fund (Coronavirus Economic Response Package) Act 2020</w:t>
      </w:r>
      <w:r>
        <w:t>.</w:t>
      </w:r>
    </w:p>
  </w:footnote>
  <w:footnote w:id="89">
    <w:p w14:paraId="02E43950" w14:textId="435F2C02" w:rsidR="00D55219" w:rsidRPr="00557E95" w:rsidRDefault="00D55219">
      <w:pPr>
        <w:pStyle w:val="FootnoteText"/>
        <w:rPr>
          <w:color w:val="0070AE" w:themeColor="hyperlink"/>
          <w:u w:val="single"/>
        </w:rPr>
      </w:pPr>
      <w:r w:rsidRPr="003B528E">
        <w:rPr>
          <w:rStyle w:val="FootnoteReference"/>
        </w:rPr>
        <w:footnoteRef/>
      </w:r>
      <w:r>
        <w:t xml:space="preserve"> The Hon Josh Frydenberg MP [Treasurer], </w:t>
      </w:r>
      <w:r w:rsidRPr="00B06964">
        <w:rPr>
          <w:i/>
        </w:rPr>
        <w:t>Launch of the Australian Business Growth Fund</w:t>
      </w:r>
      <w:r>
        <w:t xml:space="preserve"> [media release]</w:t>
      </w:r>
      <w:r w:rsidRPr="003B528E">
        <w:t>,</w:t>
      </w:r>
      <w:r>
        <w:t xml:space="preserve"> Australian Government,</w:t>
      </w:r>
      <w:r w:rsidRPr="003B528E">
        <w:t xml:space="preserve"> 16 October 2020</w:t>
      </w:r>
      <w:r>
        <w:t xml:space="preserve">, accessed 15 December 2020. </w:t>
      </w:r>
      <w:hyperlink r:id="rId59" w:history="1">
        <w:r w:rsidRPr="00640C86">
          <w:rPr>
            <w:rStyle w:val="Hyperlink"/>
          </w:rPr>
          <w:t>https://ministers.treasury.gov.au/ministers/josh-frydenberg-2018/media-releases/launch-australian-business-growth-fund</w:t>
        </w:r>
      </w:hyperlink>
      <w:r>
        <w:t>.</w:t>
      </w:r>
    </w:p>
  </w:footnote>
  <w:footnote w:id="90">
    <w:p w14:paraId="61303457" w14:textId="7735A606" w:rsidR="00D55219" w:rsidRDefault="00D55219" w:rsidP="77064C93">
      <w:pPr>
        <w:pStyle w:val="FootnoteText"/>
      </w:pPr>
      <w:r w:rsidRPr="77064C93">
        <w:rPr>
          <w:rStyle w:val="FootnoteReference"/>
        </w:rPr>
        <w:footnoteRef/>
      </w:r>
      <w:r>
        <w:t xml:space="preserve"> European Commission,</w:t>
      </w:r>
      <w:r w:rsidRPr="00B06964">
        <w:t xml:space="preserve"> </w:t>
      </w:r>
      <w:r w:rsidRPr="00B06964">
        <w:rPr>
          <w:i/>
        </w:rPr>
        <w:t>Putting intellectual property at the service of SMEs to foster innovation and growth</w:t>
      </w:r>
      <w:r>
        <w:rPr>
          <w:i/>
        </w:rPr>
        <w:t xml:space="preserve"> </w:t>
      </w:r>
      <w:r>
        <w:t xml:space="preserve">[Commission Staff Working Document], SWD(2016)373/F1, </w:t>
      </w:r>
      <w:r w:rsidRPr="00261382">
        <w:t>23</w:t>
      </w:r>
      <w:r>
        <w:t xml:space="preserve"> November </w:t>
      </w:r>
      <w:r w:rsidRPr="00261382">
        <w:t>2016</w:t>
      </w:r>
      <w:r>
        <w:t xml:space="preserve">, pp 7–8. </w:t>
      </w:r>
    </w:p>
    <w:p w14:paraId="3ED8E520" w14:textId="1F7C47D0" w:rsidR="00D55219" w:rsidRPr="00557E95" w:rsidRDefault="000E6C85" w:rsidP="00765E6E">
      <w:pPr>
        <w:pStyle w:val="FootnoteText"/>
        <w:spacing w:before="0"/>
        <w:rPr>
          <w:color w:val="0070AE" w:themeColor="hyperlink"/>
          <w:u w:val="single"/>
        </w:rPr>
      </w:pPr>
      <w:hyperlink r:id="rId60">
        <w:r w:rsidR="00D55219" w:rsidRPr="1FAE7D99">
          <w:rPr>
            <w:rStyle w:val="Hyperlink"/>
          </w:rPr>
          <w:t>https://eur-lex.europa.eu/legal-content/en/TXT/?uri=CELEX:52016SC0373</w:t>
        </w:r>
      </w:hyperlink>
      <w:r w:rsidR="00D55219">
        <w:t>.</w:t>
      </w:r>
    </w:p>
  </w:footnote>
  <w:footnote w:id="91">
    <w:p w14:paraId="42B8D489" w14:textId="11B6F6C7" w:rsidR="00D55219" w:rsidRDefault="00D55219">
      <w:pPr>
        <w:pStyle w:val="FootnoteText"/>
      </w:pPr>
      <w:r>
        <w:rPr>
          <w:rStyle w:val="FootnoteReference"/>
        </w:rPr>
        <w:footnoteRef/>
      </w:r>
      <w:r>
        <w:t xml:space="preserve"> IP Australia, ‘IP Insurance’, </w:t>
      </w:r>
      <w:r>
        <w:rPr>
          <w:i/>
        </w:rPr>
        <w:t xml:space="preserve">IP infringement, </w:t>
      </w:r>
      <w:r>
        <w:t xml:space="preserve">IP Australia website, 2018, accessed 15 December 2020. </w:t>
      </w:r>
    </w:p>
    <w:p w14:paraId="64A4566A" w14:textId="15ACBDE4" w:rsidR="00D55219" w:rsidRPr="00557E95" w:rsidRDefault="000E6C85" w:rsidP="00765E6E">
      <w:pPr>
        <w:pStyle w:val="FootnoteText"/>
        <w:spacing w:before="0"/>
        <w:rPr>
          <w:color w:val="0070AE" w:themeColor="hyperlink"/>
          <w:u w:val="single"/>
        </w:rPr>
      </w:pPr>
      <w:hyperlink r:id="rId61" w:history="1">
        <w:r w:rsidR="00D55219" w:rsidRPr="00640C86">
          <w:rPr>
            <w:rStyle w:val="Hyperlink"/>
          </w:rPr>
          <w:t>https://www.ipaustralia.gov.au/ip-infringement/more-about-ip-infringement/ip-insurance</w:t>
        </w:r>
      </w:hyperlink>
      <w:r w:rsidR="00D55219">
        <w:t>.</w:t>
      </w:r>
    </w:p>
  </w:footnote>
  <w:footnote w:id="92">
    <w:p w14:paraId="01B71F9E" w14:textId="1995E53D" w:rsidR="00D55219" w:rsidRDefault="00D55219" w:rsidP="4D879BC5">
      <w:pPr>
        <w:pStyle w:val="FootnoteText"/>
      </w:pPr>
      <w:r w:rsidRPr="0C89C1B6">
        <w:rPr>
          <w:rStyle w:val="FootnoteReference"/>
        </w:rPr>
        <w:footnoteRef/>
      </w:r>
      <w:r>
        <w:t xml:space="preserve"> UK Government, ‘Guidance: Intellectual property insurance’, </w:t>
      </w:r>
      <w:r w:rsidRPr="74A8E8D3">
        <w:rPr>
          <w:i/>
          <w:iCs/>
        </w:rPr>
        <w:t xml:space="preserve">Copyrights, </w:t>
      </w:r>
      <w:r>
        <w:t xml:space="preserve">gov.uk, 21 February 2020, accessed 8 January 2021. </w:t>
      </w:r>
      <w:hyperlink r:id="rId62">
        <w:r w:rsidRPr="0C89C1B6">
          <w:rPr>
            <w:rStyle w:val="Hyperlink"/>
          </w:rPr>
          <w:t>https://www.gov.uk/guidance/intellectual-property-insurance</w:t>
        </w:r>
      </w:hyperlink>
      <w:r>
        <w:t xml:space="preserve">; Spruson and Ferguson Patent and Trade Mark Attorneys, </w:t>
      </w:r>
      <w:r w:rsidRPr="74A8E8D3">
        <w:rPr>
          <w:i/>
          <w:iCs/>
        </w:rPr>
        <w:t xml:space="preserve">Biotechnology intellectual property manual, </w:t>
      </w:r>
      <w:r>
        <w:t>report to Biotechnology Australia, Australian Government, Spruson and Ferguson, 2001.</w:t>
      </w:r>
    </w:p>
    <w:p w14:paraId="591898C2" w14:textId="7B3A5B82" w:rsidR="00D55219" w:rsidRDefault="000E6C85" w:rsidP="0C89C1B6">
      <w:pPr>
        <w:pStyle w:val="FootnoteText"/>
        <w:rPr>
          <w:color w:val="0070AE" w:themeColor="accent2" w:themeTint="BF"/>
          <w:u w:val="single"/>
        </w:rPr>
      </w:pPr>
      <w:hyperlink r:id="rId63">
        <w:r w:rsidR="00D55219" w:rsidRPr="4D879BC5">
          <w:rPr>
            <w:rStyle w:val="Hyperlink"/>
          </w:rPr>
          <w:t>http://www.bioin.or.kr/fileDown.do?seq=3621&amp;bid=system</w:t>
        </w:r>
      </w:hyperlink>
      <w:r w:rsidR="00D55219">
        <w:t>.</w:t>
      </w:r>
    </w:p>
  </w:footnote>
  <w:footnote w:id="93">
    <w:p w14:paraId="4A6E258E" w14:textId="5F452CDA" w:rsidR="00D55219" w:rsidRPr="00557E95" w:rsidRDefault="00D55219">
      <w:pPr>
        <w:pStyle w:val="FootnoteText"/>
        <w:rPr>
          <w:color w:val="0070AE" w:themeColor="hyperlink"/>
          <w:u w:val="single"/>
        </w:rPr>
      </w:pPr>
      <w:r w:rsidRPr="00A924B8">
        <w:rPr>
          <w:rStyle w:val="FootnoteReference"/>
        </w:rPr>
        <w:footnoteRef/>
      </w:r>
      <w:r w:rsidRPr="00A924B8">
        <w:t xml:space="preserve"> CPR Insurance Services, </w:t>
      </w:r>
      <w:r w:rsidRPr="00A924B8">
        <w:rPr>
          <w:i/>
        </w:rPr>
        <w:t xml:space="preserve">Patent Insurance, </w:t>
      </w:r>
      <w:r w:rsidRPr="00A924B8">
        <w:t xml:space="preserve">CPR Insurance Services website, n.d., accessed 8 January 2021. </w:t>
      </w:r>
      <w:hyperlink r:id="rId64" w:history="1">
        <w:r w:rsidRPr="00A924B8">
          <w:rPr>
            <w:rStyle w:val="Hyperlink"/>
          </w:rPr>
          <w:t>http://www.professionalrisk.com.au/pages/types-of-cover/patent-insurance.php</w:t>
        </w:r>
      </w:hyperlink>
      <w:r>
        <w:t>.</w:t>
      </w:r>
    </w:p>
  </w:footnote>
  <w:footnote w:id="94">
    <w:p w14:paraId="1330B054" w14:textId="179E8FCF" w:rsidR="00D55219" w:rsidRDefault="00D55219" w:rsidP="79344E9E">
      <w:pPr>
        <w:pStyle w:val="FootnoteText"/>
      </w:pPr>
      <w:r w:rsidRPr="00A924B8">
        <w:rPr>
          <w:rStyle w:val="FootnoteReference"/>
        </w:rPr>
        <w:footnoteRef/>
      </w:r>
      <w:r w:rsidRPr="00A924B8">
        <w:t xml:space="preserve"> As above.</w:t>
      </w:r>
    </w:p>
  </w:footnote>
  <w:footnote w:id="95">
    <w:p w14:paraId="2A516589" w14:textId="658A8C9F" w:rsidR="00D55219" w:rsidRPr="00A924B8" w:rsidRDefault="00D55219" w:rsidP="006268F9">
      <w:pPr>
        <w:autoSpaceDE w:val="0"/>
        <w:autoSpaceDN w:val="0"/>
        <w:spacing w:after="0" w:line="240" w:lineRule="auto"/>
      </w:pPr>
      <w:r>
        <w:rPr>
          <w:rStyle w:val="FootnoteReference"/>
        </w:rPr>
        <w:footnoteRef/>
      </w:r>
      <w:r w:rsidRPr="00A924B8">
        <w:rPr>
          <w:sz w:val="20"/>
          <w:szCs w:val="20"/>
        </w:rPr>
        <w:t xml:space="preserve"> IP</w:t>
      </w:r>
      <w:r>
        <w:rPr>
          <w:sz w:val="20"/>
          <w:szCs w:val="20"/>
        </w:rPr>
        <w:t xml:space="preserve"> </w:t>
      </w:r>
      <w:r w:rsidRPr="00A924B8">
        <w:rPr>
          <w:sz w:val="20"/>
          <w:szCs w:val="20"/>
        </w:rPr>
        <w:t>A</w:t>
      </w:r>
      <w:r>
        <w:rPr>
          <w:sz w:val="20"/>
          <w:szCs w:val="20"/>
        </w:rPr>
        <w:t>ustralia</w:t>
      </w:r>
      <w:r w:rsidRPr="00A924B8">
        <w:rPr>
          <w:sz w:val="20"/>
          <w:szCs w:val="20"/>
        </w:rPr>
        <w:t xml:space="preserve">, ‘Auditing your IP’, </w:t>
      </w:r>
      <w:r w:rsidRPr="00A924B8">
        <w:rPr>
          <w:i/>
          <w:sz w:val="20"/>
          <w:szCs w:val="20"/>
        </w:rPr>
        <w:t xml:space="preserve">Understanding IP, </w:t>
      </w:r>
      <w:r w:rsidRPr="00A924B8">
        <w:rPr>
          <w:sz w:val="20"/>
          <w:szCs w:val="20"/>
        </w:rPr>
        <w:t>IP</w:t>
      </w:r>
      <w:r>
        <w:rPr>
          <w:sz w:val="20"/>
          <w:szCs w:val="20"/>
        </w:rPr>
        <w:t xml:space="preserve"> </w:t>
      </w:r>
      <w:r w:rsidRPr="00A924B8">
        <w:rPr>
          <w:sz w:val="20"/>
          <w:szCs w:val="20"/>
        </w:rPr>
        <w:t>A</w:t>
      </w:r>
      <w:r>
        <w:rPr>
          <w:sz w:val="20"/>
          <w:szCs w:val="20"/>
        </w:rPr>
        <w:t>ustralia</w:t>
      </w:r>
      <w:r w:rsidRPr="00A924B8">
        <w:rPr>
          <w:sz w:val="20"/>
          <w:szCs w:val="20"/>
        </w:rPr>
        <w:t xml:space="preserve"> website, </w:t>
      </w:r>
      <w:r>
        <w:rPr>
          <w:sz w:val="20"/>
          <w:szCs w:val="20"/>
        </w:rPr>
        <w:t xml:space="preserve">2016, </w:t>
      </w:r>
      <w:r w:rsidRPr="00A924B8">
        <w:rPr>
          <w:sz w:val="20"/>
          <w:szCs w:val="20"/>
        </w:rPr>
        <w:t xml:space="preserve">accessed 8 January 2021. </w:t>
      </w:r>
      <w:hyperlink r:id="rId65" w:history="1">
        <w:r w:rsidRPr="00A924B8">
          <w:rPr>
            <w:rStyle w:val="Hyperlink"/>
            <w:rFonts w:cstheme="minorHAnsi"/>
            <w:sz w:val="20"/>
            <w:szCs w:val="20"/>
          </w:rPr>
          <w:t>https://www.ipaustralia.gov.au/understanding-ip/getting-started-ip/auditing-your-ip</w:t>
        </w:r>
      </w:hyperlink>
      <w:r w:rsidRPr="001F5E63">
        <w:rPr>
          <w:rStyle w:val="Hyperlink"/>
          <w:rFonts w:cstheme="minorHAnsi"/>
          <w:color w:val="auto"/>
          <w:sz w:val="20"/>
          <w:szCs w:val="20"/>
          <w:u w:val="none"/>
        </w:rPr>
        <w:t>.</w:t>
      </w:r>
    </w:p>
  </w:footnote>
  <w:footnote w:id="96">
    <w:p w14:paraId="61FC2092" w14:textId="556D0662" w:rsidR="00D55219" w:rsidRDefault="00D55219" w:rsidP="7A33F704">
      <w:pPr>
        <w:pStyle w:val="FootnoteText"/>
      </w:pPr>
      <w:r w:rsidRPr="7A33F704">
        <w:rPr>
          <w:rStyle w:val="FootnoteReference"/>
        </w:rPr>
        <w:footnoteRef/>
      </w:r>
      <w:r>
        <w:t xml:space="preserve"> Matthew 7:7, </w:t>
      </w:r>
      <w:r w:rsidRPr="000901E1">
        <w:t>Holy Bible</w:t>
      </w:r>
      <w:r>
        <w:t>: English Standard Version.</w:t>
      </w:r>
    </w:p>
  </w:footnote>
  <w:footnote w:id="97">
    <w:p w14:paraId="5BE86DBF" w14:textId="42E190EE" w:rsidR="00D55219" w:rsidRPr="00A25A03" w:rsidRDefault="00D55219">
      <w:pPr>
        <w:pStyle w:val="FootnoteText"/>
      </w:pPr>
      <w:r>
        <w:rPr>
          <w:rStyle w:val="FootnoteReference"/>
        </w:rPr>
        <w:footnoteRef/>
      </w:r>
      <w:r>
        <w:t xml:space="preserve"> </w:t>
      </w:r>
      <w:r>
        <w:rPr>
          <w:i/>
        </w:rPr>
        <w:t>Patents Act 1990</w:t>
      </w:r>
      <w:r>
        <w:t>, s 120(1).</w:t>
      </w:r>
    </w:p>
  </w:footnote>
  <w:footnote w:id="98">
    <w:p w14:paraId="22B02667" w14:textId="1167428D" w:rsidR="00D55219" w:rsidRPr="00A25A03" w:rsidRDefault="00D55219">
      <w:pPr>
        <w:pStyle w:val="FootnoteText"/>
      </w:pPr>
      <w:r>
        <w:rPr>
          <w:rStyle w:val="FootnoteReference"/>
        </w:rPr>
        <w:footnoteRef/>
      </w:r>
      <w:r>
        <w:t xml:space="preserve"> </w:t>
      </w:r>
      <w:r>
        <w:rPr>
          <w:i/>
        </w:rPr>
        <w:t>Patents Act 1990</w:t>
      </w:r>
      <w:r>
        <w:t xml:space="preserve">, ss 120, 154 – 155 and Sch 1. </w:t>
      </w:r>
    </w:p>
  </w:footnote>
  <w:footnote w:id="99">
    <w:p w14:paraId="6DDDE888" w14:textId="6EE49696" w:rsidR="00D55219" w:rsidRPr="005C4AAA" w:rsidRDefault="00D55219">
      <w:pPr>
        <w:pStyle w:val="FootnoteText"/>
      </w:pPr>
      <w:r>
        <w:rPr>
          <w:rStyle w:val="FootnoteReference"/>
        </w:rPr>
        <w:footnoteRef/>
      </w:r>
      <w:r>
        <w:t xml:space="preserve"> IP Australia, ‘Going to court’, </w:t>
      </w:r>
      <w:r>
        <w:rPr>
          <w:i/>
        </w:rPr>
        <w:t xml:space="preserve">IP Infringement, </w:t>
      </w:r>
      <w:r>
        <w:t xml:space="preserve">IP Australia website, 2016, accessed 8 January 2021. </w:t>
      </w:r>
      <w:hyperlink r:id="rId66" w:history="1">
        <w:r w:rsidRPr="00AA08A0">
          <w:rPr>
            <w:rStyle w:val="Hyperlink"/>
          </w:rPr>
          <w:t>https://www.ipaustralia.gov.au/ip-infringement/enforcing-your-ip/going-to-court/court-proceedings</w:t>
        </w:r>
      </w:hyperlink>
      <w:r w:rsidRPr="005C4AAA">
        <w:rPr>
          <w:rStyle w:val="Hyperlink"/>
          <w:color w:val="auto"/>
          <w:u w:val="none"/>
        </w:rPr>
        <w:t>.</w:t>
      </w:r>
    </w:p>
  </w:footnote>
  <w:footnote w:id="100">
    <w:p w14:paraId="5A447FA3" w14:textId="3E812C65" w:rsidR="00D55219" w:rsidRDefault="00D55219">
      <w:pPr>
        <w:pStyle w:val="FootnoteText"/>
      </w:pPr>
      <w:r>
        <w:rPr>
          <w:rStyle w:val="FootnoteReference"/>
        </w:rPr>
        <w:footnoteRef/>
      </w:r>
      <w:r>
        <w:t xml:space="preserve"> </w:t>
      </w:r>
      <w:r w:rsidRPr="00086E0F">
        <w:t xml:space="preserve">While the FCC does not have jurisdiction to hear patent matters, the FCA in theory (at request of a party, or on own initiative) can transfer civil proceedings and the necessary jurisdiction to the FCC. See </w:t>
      </w:r>
      <w:r w:rsidRPr="00086E0F">
        <w:rPr>
          <w:i/>
        </w:rPr>
        <w:t>Federal Court of Australia Act 1976</w:t>
      </w:r>
      <w:r>
        <w:t>,</w:t>
      </w:r>
      <w:r w:rsidRPr="00086E0F">
        <w:t xml:space="preserve"> s</w:t>
      </w:r>
      <w:r>
        <w:t xml:space="preserve"> </w:t>
      </w:r>
      <w:r w:rsidRPr="00086E0F">
        <w:t>32AB</w:t>
      </w:r>
      <w:r>
        <w:t xml:space="preserve"> </w:t>
      </w:r>
      <w:r w:rsidRPr="00086E0F">
        <w:t>(8A).</w:t>
      </w:r>
    </w:p>
  </w:footnote>
  <w:footnote w:id="101">
    <w:p w14:paraId="1AADE59A" w14:textId="56B22A4A" w:rsidR="00D55219" w:rsidRPr="00986A53" w:rsidRDefault="00D55219">
      <w:pPr>
        <w:pStyle w:val="FootnoteText"/>
        <w:rPr>
          <w:i/>
        </w:rPr>
      </w:pPr>
      <w:r>
        <w:rPr>
          <w:rStyle w:val="FootnoteReference"/>
        </w:rPr>
        <w:footnoteRef/>
      </w:r>
      <w:r>
        <w:t xml:space="preserve"> </w:t>
      </w:r>
      <w:r>
        <w:rPr>
          <w:i/>
        </w:rPr>
        <w:t>Federal Court Rules 2011</w:t>
      </w:r>
      <w:r w:rsidRPr="00986A53">
        <w:t>, r 28.01</w:t>
      </w:r>
      <w:r w:rsidRPr="00986A53">
        <w:rPr>
          <w:i/>
        </w:rPr>
        <w:t>.</w:t>
      </w:r>
    </w:p>
  </w:footnote>
  <w:footnote w:id="102">
    <w:p w14:paraId="142743D1" w14:textId="4429A85B" w:rsidR="00D55219" w:rsidRDefault="00D55219" w:rsidP="00585B6B">
      <w:pPr>
        <w:autoSpaceDE w:val="0"/>
        <w:autoSpaceDN w:val="0"/>
        <w:spacing w:after="0" w:line="240" w:lineRule="auto"/>
        <w:rPr>
          <w:sz w:val="20"/>
          <w:szCs w:val="20"/>
        </w:rPr>
      </w:pPr>
      <w:r w:rsidRPr="00585B6B">
        <w:rPr>
          <w:rStyle w:val="FootnoteReference"/>
        </w:rPr>
        <w:footnoteRef/>
      </w:r>
      <w:r>
        <w:t xml:space="preserve"> </w:t>
      </w:r>
      <w:r w:rsidRPr="00C51339">
        <w:rPr>
          <w:sz w:val="20"/>
          <w:szCs w:val="20"/>
        </w:rPr>
        <w:t xml:space="preserve">Federal Court of Australia, </w:t>
      </w:r>
      <w:r w:rsidRPr="00C51339">
        <w:rPr>
          <w:i/>
          <w:sz w:val="20"/>
          <w:szCs w:val="20"/>
        </w:rPr>
        <w:t>Annual Report 2018</w:t>
      </w:r>
      <w:r>
        <w:rPr>
          <w:i/>
          <w:sz w:val="20"/>
          <w:szCs w:val="20"/>
        </w:rPr>
        <w:t>–</w:t>
      </w:r>
      <w:r w:rsidRPr="00C51339">
        <w:rPr>
          <w:i/>
          <w:sz w:val="20"/>
          <w:szCs w:val="20"/>
        </w:rPr>
        <w:t xml:space="preserve">19 </w:t>
      </w:r>
      <w:r>
        <w:rPr>
          <w:sz w:val="20"/>
          <w:szCs w:val="20"/>
        </w:rPr>
        <w:t xml:space="preserve">(Report, 6 September 2019) p 34. </w:t>
      </w:r>
    </w:p>
    <w:p w14:paraId="18454E2B" w14:textId="016E7BB2" w:rsidR="00D55219" w:rsidRPr="00C51339" w:rsidRDefault="000E6C85" w:rsidP="00585B6B">
      <w:pPr>
        <w:autoSpaceDE w:val="0"/>
        <w:autoSpaceDN w:val="0"/>
        <w:spacing w:after="0" w:line="240" w:lineRule="auto"/>
        <w:rPr>
          <w:sz w:val="20"/>
          <w:szCs w:val="20"/>
        </w:rPr>
      </w:pPr>
      <w:hyperlink r:id="rId67" w:history="1">
        <w:r w:rsidR="00D55219" w:rsidRPr="00640C86">
          <w:rPr>
            <w:rStyle w:val="Hyperlink"/>
            <w:sz w:val="20"/>
            <w:szCs w:val="20"/>
          </w:rPr>
          <w:t>https://www.fedcourt.gov.au/__data/assets/pdf_file/0005/59639/AR2018-19.pdf</w:t>
        </w:r>
      </w:hyperlink>
      <w:r w:rsidR="00D55219" w:rsidRPr="004164F5">
        <w:rPr>
          <w:rStyle w:val="Hyperlink"/>
          <w:color w:val="auto"/>
          <w:sz w:val="20"/>
          <w:szCs w:val="20"/>
          <w:u w:val="none"/>
        </w:rPr>
        <w:t>.</w:t>
      </w:r>
    </w:p>
  </w:footnote>
  <w:footnote w:id="103">
    <w:p w14:paraId="6C68E944" w14:textId="74A69B21" w:rsidR="00D55219" w:rsidRPr="002B236B" w:rsidRDefault="00D55219">
      <w:pPr>
        <w:pStyle w:val="FootnoteText"/>
      </w:pPr>
      <w:r w:rsidRPr="00986A53">
        <w:rPr>
          <w:rStyle w:val="FootnoteReference"/>
        </w:rPr>
        <w:footnoteRef/>
      </w:r>
      <w:r w:rsidRPr="00986A53">
        <w:t xml:space="preserve"> </w:t>
      </w:r>
      <w:r w:rsidRPr="00986A53">
        <w:rPr>
          <w:i/>
        </w:rPr>
        <w:t>Patents Act 1990</w:t>
      </w:r>
      <w:r w:rsidRPr="00986A53">
        <w:t>, s 158(1).</w:t>
      </w:r>
    </w:p>
  </w:footnote>
  <w:footnote w:id="104">
    <w:p w14:paraId="5698A869" w14:textId="689A3112" w:rsidR="00D55219" w:rsidRDefault="00D55219">
      <w:pPr>
        <w:pStyle w:val="FootnoteText"/>
      </w:pPr>
      <w:r>
        <w:rPr>
          <w:rStyle w:val="FootnoteReference"/>
        </w:rPr>
        <w:footnoteRef/>
      </w:r>
      <w:r>
        <w:t xml:space="preserve"> </w:t>
      </w:r>
      <w:r>
        <w:rPr>
          <w:i/>
        </w:rPr>
        <w:t>Patents Act 1990</w:t>
      </w:r>
      <w:r>
        <w:t>, s 158(3).</w:t>
      </w:r>
    </w:p>
  </w:footnote>
  <w:footnote w:id="105">
    <w:p w14:paraId="6D494B68" w14:textId="07C2DD59" w:rsidR="00D55219" w:rsidRPr="002A534C" w:rsidRDefault="00D55219">
      <w:pPr>
        <w:pStyle w:val="FootnoteText"/>
      </w:pPr>
      <w:r>
        <w:rPr>
          <w:rStyle w:val="FootnoteReference"/>
        </w:rPr>
        <w:footnoteRef/>
      </w:r>
      <w:r>
        <w:t xml:space="preserve"> </w:t>
      </w:r>
      <w:r>
        <w:rPr>
          <w:i/>
        </w:rPr>
        <w:t>Patents Act 1990</w:t>
      </w:r>
      <w:r>
        <w:t>, s 122(1).</w:t>
      </w:r>
    </w:p>
  </w:footnote>
  <w:footnote w:id="106">
    <w:p w14:paraId="284DCA50" w14:textId="5FBDC8C1" w:rsidR="00D55219" w:rsidRDefault="00D55219">
      <w:pPr>
        <w:pStyle w:val="FootnoteText"/>
      </w:pPr>
      <w:r>
        <w:rPr>
          <w:rStyle w:val="FootnoteReference"/>
        </w:rPr>
        <w:footnoteRef/>
      </w:r>
      <w:r>
        <w:t xml:space="preserve"> </w:t>
      </w:r>
      <w:r w:rsidRPr="002A534C">
        <w:rPr>
          <w:i/>
        </w:rPr>
        <w:t>Patents Act 1990</w:t>
      </w:r>
      <w:r>
        <w:t>, s 122(1A).</w:t>
      </w:r>
    </w:p>
  </w:footnote>
  <w:footnote w:id="107">
    <w:p w14:paraId="6198469D" w14:textId="225F05A2" w:rsidR="00D55219" w:rsidRPr="00A25A03" w:rsidRDefault="00D55219">
      <w:pPr>
        <w:pStyle w:val="FootnoteText"/>
      </w:pPr>
      <w:r>
        <w:rPr>
          <w:rStyle w:val="FootnoteReference"/>
        </w:rPr>
        <w:footnoteRef/>
      </w:r>
      <w:r>
        <w:t xml:space="preserve"> </w:t>
      </w:r>
      <w:r>
        <w:rPr>
          <w:i/>
        </w:rPr>
        <w:t>Patents Act 1990</w:t>
      </w:r>
      <w:r>
        <w:t xml:space="preserve">, Ch 5. See also IPA, ‘Opposing a patent’, </w:t>
      </w:r>
      <w:r>
        <w:rPr>
          <w:i/>
        </w:rPr>
        <w:t xml:space="preserve">Patents, </w:t>
      </w:r>
      <w:r>
        <w:t xml:space="preserve">IPA website, 2016, accessed 8 January 2021. </w:t>
      </w:r>
      <w:hyperlink r:id="rId68" w:history="1">
        <w:r w:rsidRPr="00337B15">
          <w:rPr>
            <w:rStyle w:val="Hyperlink"/>
          </w:rPr>
          <w:t>https://www.ipaustralia.gov.au/patents/managing-your-patent/enforcing-your-patent/opposing-a-patent</w:t>
        </w:r>
      </w:hyperlink>
      <w:r w:rsidRPr="005C4AAA">
        <w:rPr>
          <w:rStyle w:val="Hyperlink"/>
          <w:color w:val="auto"/>
          <w:u w:val="none"/>
        </w:rPr>
        <w:t>.</w:t>
      </w:r>
      <w:r>
        <w:t xml:space="preserve"> IPA, ‘The Opposition Process’, </w:t>
      </w:r>
      <w:r>
        <w:rPr>
          <w:i/>
        </w:rPr>
        <w:t xml:space="preserve">Patents, </w:t>
      </w:r>
      <w:r>
        <w:t xml:space="preserve">IPA website, 2016, accessed 8 January 2021. </w:t>
      </w:r>
      <w:hyperlink r:id="rId69" w:anchor=":~:text=Opposition%20to%20the%20grant%20of,statement%20of%20grounds%20and%20particulars" w:history="1">
        <w:r w:rsidRPr="00640C86">
          <w:rPr>
            <w:rStyle w:val="Hyperlink"/>
          </w:rPr>
          <w:t>https://www.ipaustralia.gov.au/patents/managing-your-patent/enforcing-your-patent/opposition-process#:~:text=Opposition%20to%20the%20grant%20of,statement%20of%20grounds%20and%20particulars</w:t>
        </w:r>
      </w:hyperlink>
      <w:r w:rsidRPr="005D54BD">
        <w:rPr>
          <w:rStyle w:val="Hyperlink"/>
          <w:color w:val="auto"/>
          <w:u w:val="none"/>
        </w:rPr>
        <w:t>.</w:t>
      </w:r>
    </w:p>
  </w:footnote>
  <w:footnote w:id="108">
    <w:p w14:paraId="4F336853" w14:textId="46EE9EBA" w:rsidR="00D55219" w:rsidRPr="00017584" w:rsidRDefault="00D55219">
      <w:pPr>
        <w:pStyle w:val="FootnoteText"/>
      </w:pPr>
      <w:r w:rsidRPr="00986A53">
        <w:rPr>
          <w:rStyle w:val="FootnoteReference"/>
        </w:rPr>
        <w:footnoteRef/>
      </w:r>
      <w:r w:rsidRPr="00986A53">
        <w:t xml:space="preserve"> See </w:t>
      </w:r>
      <w:r w:rsidRPr="00986A53">
        <w:rPr>
          <w:i/>
        </w:rPr>
        <w:t>Intellectual Property Laws Amendment (Raising the Bar) Act 2012</w:t>
      </w:r>
      <w:r w:rsidRPr="00986A53">
        <w:t>, sch 3</w:t>
      </w:r>
      <w:r>
        <w:t>;</w:t>
      </w:r>
      <w:r w:rsidRPr="00986A53">
        <w:t xml:space="preserve"> </w:t>
      </w:r>
      <w:r w:rsidRPr="00585B6B">
        <w:rPr>
          <w:i/>
        </w:rPr>
        <w:t>Intellectual Property Legislation Amendment (Raising the Bar) Regulation 2013 (No. 1)</w:t>
      </w:r>
      <w:r w:rsidRPr="00986A53">
        <w:t>, sch 3.</w:t>
      </w:r>
    </w:p>
  </w:footnote>
  <w:footnote w:id="109">
    <w:p w14:paraId="79FDC595" w14:textId="4C0E4DBD" w:rsidR="00D55219" w:rsidRDefault="00D55219">
      <w:pPr>
        <w:pStyle w:val="FootnoteText"/>
      </w:pPr>
      <w:r>
        <w:rPr>
          <w:rStyle w:val="FootnoteReference"/>
        </w:rPr>
        <w:footnoteRef/>
      </w:r>
      <w:r>
        <w:t xml:space="preserve"> </w:t>
      </w:r>
      <w:r>
        <w:rPr>
          <w:rFonts w:cstheme="minorHAnsi"/>
        </w:rPr>
        <w:t xml:space="preserve">IP Australia, </w:t>
      </w:r>
      <w:r>
        <w:rPr>
          <w:rFonts w:cstheme="minorHAnsi"/>
          <w:i/>
        </w:rPr>
        <w:t xml:space="preserve">Re-examination, </w:t>
      </w:r>
      <w:r>
        <w:rPr>
          <w:rFonts w:cstheme="minorHAnsi"/>
        </w:rPr>
        <w:t xml:space="preserve">IP Australia website, 2016. </w:t>
      </w:r>
      <w:hyperlink r:id="rId70" w:history="1">
        <w:r w:rsidRPr="00543392">
          <w:rPr>
            <w:rStyle w:val="Hyperlink"/>
          </w:rPr>
          <w:t>https://www.ipaustralia.gov.au/patents/managing-your-patent/enforcing-your-patent/re-examination</w:t>
        </w:r>
      </w:hyperlink>
      <w:r>
        <w:t xml:space="preserve">. </w:t>
      </w:r>
    </w:p>
  </w:footnote>
  <w:footnote w:id="110">
    <w:p w14:paraId="6557ADE7" w14:textId="3267DB97" w:rsidR="00D55219" w:rsidRDefault="00D55219" w:rsidP="004D3EAE">
      <w:pPr>
        <w:pStyle w:val="FootnoteText"/>
      </w:pPr>
      <w:r>
        <w:rPr>
          <w:rStyle w:val="FootnoteReference"/>
        </w:rPr>
        <w:footnoteRef/>
      </w:r>
      <w:r>
        <w:t xml:space="preserve"> Note that this excludes some less commonly used or subsidiary aspects of the system including:</w:t>
      </w:r>
      <w:r w:rsidRPr="001669FD">
        <w:t xml:space="preserve"> </w:t>
      </w:r>
      <w:r>
        <w:t xml:space="preserve">state and territory supreme court concurrent jurisdiction for revocation and infringement actions; procedural oppositions (eg opposing an extension of time); review of some procedural aspects of matters before IP Australia by the Administrative Appeals Tribunal (before going to the Federal Court); and entitlement disputes. </w:t>
      </w:r>
    </w:p>
  </w:footnote>
  <w:footnote w:id="111">
    <w:p w14:paraId="6F0F47C1" w14:textId="3E8561A3" w:rsidR="00D55219" w:rsidRDefault="00D55219" w:rsidP="002A534C">
      <w:pPr>
        <w:pStyle w:val="FootnoteText"/>
      </w:pPr>
      <w:r>
        <w:rPr>
          <w:rStyle w:val="FootnoteReference"/>
        </w:rPr>
        <w:footnoteRef/>
      </w:r>
      <w:r>
        <w:t xml:space="preserve"> The UK Judicial Office, </w:t>
      </w:r>
      <w:r>
        <w:rPr>
          <w:i/>
        </w:rPr>
        <w:t xml:space="preserve">Intellectual Property Enterprise Court, </w:t>
      </w:r>
      <w:r>
        <w:t xml:space="preserve">UK Judicial Office website, 2021, accessed 8 January 2021. </w:t>
      </w:r>
      <w:hyperlink r:id="rId71" w:history="1">
        <w:r w:rsidRPr="00640C86">
          <w:rPr>
            <w:rStyle w:val="Hyperlink"/>
          </w:rPr>
          <w:t>https://www.judiciary.uk/you-and-the-judiciary/going-to-court/high-court/courts-of-the-chancery-division/intellectual-property-enterprise-court/</w:t>
        </w:r>
      </w:hyperlink>
      <w:r>
        <w:t xml:space="preserve">. </w:t>
      </w:r>
    </w:p>
    <w:p w14:paraId="7911B57C" w14:textId="3079A88F" w:rsidR="00D55219" w:rsidRDefault="00D55219" w:rsidP="002A534C">
      <w:pPr>
        <w:pStyle w:val="FootnoteText"/>
      </w:pPr>
      <w:r>
        <w:t xml:space="preserve">See also HM Courts &amp; Tribunal Service, </w:t>
      </w:r>
      <w:r>
        <w:rPr>
          <w:i/>
        </w:rPr>
        <w:t>The Intellectual Property Enterprise Court guide</w:t>
      </w:r>
      <w:r>
        <w:t xml:space="preserve">, UK Government, 2019, accessed 8 January 2021. </w:t>
      </w:r>
      <w:hyperlink r:id="rId72" w:history="1">
        <w:r w:rsidRPr="00640C86">
          <w:rPr>
            <w:rStyle w:val="Hyperlink"/>
          </w:rPr>
          <w:t>https://assets.publishing.service.gov.uk/government/uploads/system/uploads/attachment_data/file/823201/intellectual-property-enterprise-guide.pdf</w:t>
        </w:r>
      </w:hyperlink>
      <w:r w:rsidRPr="005D54BD">
        <w:rPr>
          <w:rStyle w:val="Hyperlink"/>
          <w:color w:val="auto"/>
          <w:u w:val="none"/>
        </w:rPr>
        <w:t>.</w:t>
      </w:r>
    </w:p>
  </w:footnote>
  <w:footnote w:id="112">
    <w:p w14:paraId="209F5E42" w14:textId="47518F85" w:rsidR="00D55219" w:rsidRDefault="00D55219" w:rsidP="0C89C1B6">
      <w:pPr>
        <w:pStyle w:val="FootnoteText"/>
      </w:pPr>
      <w:r w:rsidRPr="0C89C1B6">
        <w:rPr>
          <w:rStyle w:val="FootnoteReference"/>
        </w:rPr>
        <w:footnoteRef/>
      </w:r>
      <w:r>
        <w:t xml:space="preserve"> The Hon Justice Birss, ‘To boldly reform IP dispute resolution’, </w:t>
      </w:r>
      <w:r w:rsidRPr="0C89C1B6">
        <w:rPr>
          <w:i/>
          <w:iCs/>
        </w:rPr>
        <w:t>Australian Intellectual Property Journal</w:t>
      </w:r>
      <w:r>
        <w:t xml:space="preserve">, 2016, 27(1):6. </w:t>
      </w:r>
    </w:p>
  </w:footnote>
  <w:footnote w:id="113">
    <w:p w14:paraId="51A02DB9" w14:textId="1EFBAF52" w:rsidR="00D55219" w:rsidRDefault="00D55219" w:rsidP="002A534C">
      <w:pPr>
        <w:pStyle w:val="FootnoteText"/>
      </w:pPr>
      <w:r>
        <w:rPr>
          <w:rStyle w:val="FootnoteReference"/>
        </w:rPr>
        <w:footnoteRef/>
      </w:r>
      <w:r>
        <w:t xml:space="preserve"> HM Courts &amp; Tribunal Service, </w:t>
      </w:r>
      <w:r>
        <w:rPr>
          <w:i/>
        </w:rPr>
        <w:t>The Intellectual Property Enterprise Court guide</w:t>
      </w:r>
      <w:r>
        <w:t>, UK Government, 2019, accessed 8 January 2021, p 4.</w:t>
      </w:r>
    </w:p>
  </w:footnote>
  <w:footnote w:id="114">
    <w:p w14:paraId="0906E2AF" w14:textId="556DE5FE" w:rsidR="00D55219" w:rsidRDefault="00D55219" w:rsidP="002A534C">
      <w:pPr>
        <w:pStyle w:val="FootnoteText"/>
      </w:pPr>
      <w:r>
        <w:rPr>
          <w:rStyle w:val="FootnoteReference"/>
        </w:rPr>
        <w:footnoteRef/>
      </w:r>
      <w:r>
        <w:t xml:space="preserve"> As above, p 11. </w:t>
      </w:r>
    </w:p>
  </w:footnote>
  <w:footnote w:id="115">
    <w:p w14:paraId="68330A32" w14:textId="601B8E7D" w:rsidR="00D55219" w:rsidRDefault="00D55219" w:rsidP="002A534C">
      <w:pPr>
        <w:pStyle w:val="FootnoteText"/>
      </w:pPr>
      <w:r>
        <w:rPr>
          <w:rStyle w:val="FootnoteReference"/>
        </w:rPr>
        <w:footnoteRef/>
      </w:r>
      <w:r>
        <w:t xml:space="preserve"> As above, p 3. </w:t>
      </w:r>
    </w:p>
  </w:footnote>
  <w:footnote w:id="116">
    <w:p w14:paraId="091B09F7" w14:textId="2C1F7FC5" w:rsidR="00D55219" w:rsidRDefault="00D55219" w:rsidP="002A534C">
      <w:pPr>
        <w:pStyle w:val="FootnoteText"/>
      </w:pPr>
      <w:r>
        <w:rPr>
          <w:rStyle w:val="FootnoteReference"/>
        </w:rPr>
        <w:footnoteRef/>
      </w:r>
      <w:r>
        <w:t xml:space="preserve"> As above, p 9. </w:t>
      </w:r>
    </w:p>
  </w:footnote>
  <w:footnote w:id="117">
    <w:p w14:paraId="6D5A0E7C" w14:textId="4B4E8D45" w:rsidR="00D55219" w:rsidRDefault="00D55219" w:rsidP="002A534C">
      <w:pPr>
        <w:pStyle w:val="FootnoteText"/>
      </w:pPr>
      <w:r>
        <w:rPr>
          <w:rStyle w:val="FootnoteReference"/>
        </w:rPr>
        <w:footnoteRef/>
      </w:r>
      <w:r>
        <w:t xml:space="preserve"> HM Courts &amp; Tribunal Service, </w:t>
      </w:r>
      <w:r>
        <w:rPr>
          <w:i/>
        </w:rPr>
        <w:t>The Intellectual Property Enterprise Court Guide</w:t>
      </w:r>
      <w:r>
        <w:t>, UK Government, 2019, accessed 8 January 2021, p 8.</w:t>
      </w:r>
    </w:p>
  </w:footnote>
  <w:footnote w:id="118">
    <w:p w14:paraId="32EAAF5F" w14:textId="3FD8E8DE" w:rsidR="00D55219" w:rsidRPr="00D21754" w:rsidRDefault="00D55219" w:rsidP="002A534C">
      <w:pPr>
        <w:pStyle w:val="FootnoteText"/>
        <w:rPr>
          <w:rFonts w:cs="Arial (Body CS)"/>
        </w:rPr>
      </w:pPr>
      <w:r w:rsidRPr="00D21754">
        <w:rPr>
          <w:rStyle w:val="FootnoteReference"/>
          <w:rFonts w:cs="Arial (Body CS)"/>
        </w:rPr>
        <w:footnoteRef/>
      </w:r>
      <w:r w:rsidRPr="00D21754">
        <w:rPr>
          <w:rFonts w:cs="Arial (Body CS)"/>
        </w:rPr>
        <w:t xml:space="preserve"> The Hon Justice Birss, ‘To boldly reform IP dispute resolution’, </w:t>
      </w:r>
      <w:r w:rsidRPr="00D21754">
        <w:rPr>
          <w:rFonts w:cs="Arial (Body CS)"/>
          <w:i/>
        </w:rPr>
        <w:t>Australian Intellectual Property Journal</w:t>
      </w:r>
      <w:r w:rsidRPr="00D21754">
        <w:rPr>
          <w:rFonts w:cs="Arial (Body CS)"/>
        </w:rPr>
        <w:t>, 2016, 27(1):9.</w:t>
      </w:r>
    </w:p>
  </w:footnote>
  <w:footnote w:id="119">
    <w:p w14:paraId="7056A0F5" w14:textId="07CA657B" w:rsidR="00D55219" w:rsidRDefault="00D55219" w:rsidP="002A534C">
      <w:pPr>
        <w:pStyle w:val="FootnoteText"/>
      </w:pPr>
      <w:r>
        <w:rPr>
          <w:rStyle w:val="FootnoteReference"/>
        </w:rPr>
        <w:footnoteRef/>
      </w:r>
      <w:r>
        <w:t xml:space="preserve"> HM Courts &amp; Tribunal Service, </w:t>
      </w:r>
      <w:r>
        <w:rPr>
          <w:i/>
        </w:rPr>
        <w:t>The Intellectual Property Enterprise Court Guide</w:t>
      </w:r>
      <w:r>
        <w:t>, UK Government, 2019, accessed 8 January 2021, pp 15–17.</w:t>
      </w:r>
    </w:p>
  </w:footnote>
  <w:footnote w:id="120">
    <w:p w14:paraId="4669C1DA" w14:textId="594E6700" w:rsidR="00D55219" w:rsidRDefault="00D55219" w:rsidP="002A534C">
      <w:pPr>
        <w:pStyle w:val="FootnoteText"/>
      </w:pPr>
      <w:r>
        <w:rPr>
          <w:rStyle w:val="FootnoteReference"/>
        </w:rPr>
        <w:footnoteRef/>
      </w:r>
      <w:r>
        <w:t xml:space="preserve"> The Hon Justice Birss, ‘To boldly reform IP dispute resolution’, </w:t>
      </w:r>
      <w:r w:rsidRPr="003F070D">
        <w:rPr>
          <w:i/>
        </w:rPr>
        <w:t>Australian Intellectual Property Journal</w:t>
      </w:r>
      <w:r>
        <w:t>, 2016, 27(1):9–10.</w:t>
      </w:r>
    </w:p>
  </w:footnote>
  <w:footnote w:id="121">
    <w:p w14:paraId="623EA2EF" w14:textId="338BCE7C" w:rsidR="00D55219" w:rsidRDefault="00D55219" w:rsidP="002A534C">
      <w:pPr>
        <w:pStyle w:val="FootnoteText"/>
      </w:pPr>
      <w:r>
        <w:rPr>
          <w:rStyle w:val="FootnoteReference"/>
        </w:rPr>
        <w:footnoteRef/>
      </w:r>
      <w:r>
        <w:t xml:space="preserve"> HM Courts &amp; Tribunal Service, </w:t>
      </w:r>
      <w:r>
        <w:rPr>
          <w:i/>
        </w:rPr>
        <w:t>The Intellectual Property Enterprise Court Guide</w:t>
      </w:r>
      <w:r>
        <w:t xml:space="preserve">, UK Government, 2019, accessed 8 January 2021, p 16; The Hon Justice Birss, ‘To boldly reform IP dispute resolution’, </w:t>
      </w:r>
      <w:r w:rsidRPr="003F070D">
        <w:rPr>
          <w:i/>
        </w:rPr>
        <w:t>Australian Intellectual Property Journal</w:t>
      </w:r>
      <w:r>
        <w:t xml:space="preserve">, 2016, 27(1):10. </w:t>
      </w:r>
    </w:p>
  </w:footnote>
  <w:footnote w:id="122">
    <w:p w14:paraId="17FD8364" w14:textId="3AB72F05" w:rsidR="00D55219" w:rsidRDefault="00D55219" w:rsidP="002A534C">
      <w:pPr>
        <w:pStyle w:val="FootnoteText"/>
      </w:pPr>
      <w:r>
        <w:rPr>
          <w:rStyle w:val="FootnoteReference"/>
        </w:rPr>
        <w:footnoteRef/>
      </w:r>
      <w:r>
        <w:t xml:space="preserve"> HM Courts &amp; Tribunal Service, </w:t>
      </w:r>
      <w:r>
        <w:rPr>
          <w:i/>
        </w:rPr>
        <w:t>The Intellectual Property Enterprise Court Guide</w:t>
      </w:r>
      <w:r>
        <w:t xml:space="preserve">, UK Government, 2019, accessed 8 January 2021, p 8. </w:t>
      </w:r>
    </w:p>
  </w:footnote>
  <w:footnote w:id="123">
    <w:p w14:paraId="68A96607" w14:textId="555FEB1F" w:rsidR="00D55219" w:rsidRDefault="00D55219" w:rsidP="002A534C">
      <w:pPr>
        <w:pStyle w:val="FootnoteText"/>
      </w:pPr>
      <w:r>
        <w:rPr>
          <w:rStyle w:val="FootnoteReference"/>
        </w:rPr>
        <w:footnoteRef/>
      </w:r>
      <w:r>
        <w:t xml:space="preserve"> HM Courts and Tribunals Service, </w:t>
      </w:r>
      <w:r>
        <w:rPr>
          <w:i/>
        </w:rPr>
        <w:t xml:space="preserve">Civil and Family Court fees, </w:t>
      </w:r>
      <w:r>
        <w:t xml:space="preserve">UK Government, 2020, accessed 8 January 2021. </w:t>
      </w:r>
      <w:hyperlink r:id="rId73" w:history="1">
        <w:r w:rsidRPr="00640C86">
          <w:rPr>
            <w:rStyle w:val="Hyperlink"/>
          </w:rPr>
          <w:t>https://assets.publishing.service.gov.uk/government/uploads/system/uploads/attachment_data/file/904862/ex50-eng.pdf</w:t>
        </w:r>
      </w:hyperlink>
      <w:r>
        <w:rPr>
          <w:rStyle w:val="Hyperlink"/>
          <w:color w:val="auto"/>
          <w:u w:val="none"/>
        </w:rPr>
        <w:t>.</w:t>
      </w:r>
    </w:p>
  </w:footnote>
  <w:footnote w:id="124">
    <w:p w14:paraId="50FC3035" w14:textId="38D05708" w:rsidR="00D55219" w:rsidRDefault="00D55219" w:rsidP="002A534C">
      <w:pPr>
        <w:pStyle w:val="FootnoteText"/>
      </w:pPr>
      <w:r>
        <w:rPr>
          <w:rStyle w:val="FootnoteReference"/>
        </w:rPr>
        <w:footnoteRef/>
      </w:r>
      <w:r>
        <w:t xml:space="preserve"> The Hon Justice Birss, ‘To boldly reform IP dispute resolution’, </w:t>
      </w:r>
      <w:r w:rsidRPr="003F070D">
        <w:rPr>
          <w:i/>
        </w:rPr>
        <w:t>Australian Intellectual Property Journal</w:t>
      </w:r>
      <w:r>
        <w:t>, 2016, 27(1):13.</w:t>
      </w:r>
    </w:p>
  </w:footnote>
  <w:footnote w:id="125">
    <w:p w14:paraId="75D24F78" w14:textId="3D061031" w:rsidR="00D55219" w:rsidRDefault="00D55219" w:rsidP="002A534C">
      <w:pPr>
        <w:pStyle w:val="FootnoteText"/>
      </w:pPr>
      <w:r>
        <w:rPr>
          <w:rStyle w:val="FootnoteReference"/>
        </w:rPr>
        <w:footnoteRef/>
      </w:r>
      <w:r>
        <w:t xml:space="preserve"> </w:t>
      </w:r>
      <w:r w:rsidRPr="00A7404F">
        <w:t>Helmers</w:t>
      </w:r>
      <w:r>
        <w:t xml:space="preserve"> et al., </w:t>
      </w:r>
      <w:r w:rsidRPr="00683AF8">
        <w:rPr>
          <w:i/>
        </w:rPr>
        <w:t xml:space="preserve">Evaluation of the </w:t>
      </w:r>
      <w:r>
        <w:rPr>
          <w:i/>
        </w:rPr>
        <w:t>r</w:t>
      </w:r>
      <w:r w:rsidRPr="00683AF8">
        <w:rPr>
          <w:i/>
        </w:rPr>
        <w:t>eforms of the Intellectual Property Enterprise Court 2010</w:t>
      </w:r>
      <w:r>
        <w:rPr>
          <w:i/>
        </w:rPr>
        <w:t>–</w:t>
      </w:r>
      <w:r w:rsidRPr="00683AF8">
        <w:rPr>
          <w:i/>
        </w:rPr>
        <w:t>2013</w:t>
      </w:r>
      <w:r>
        <w:t xml:space="preserve">, report to the IP Office, UK Government, 2015, p 8. </w:t>
      </w:r>
    </w:p>
    <w:p w14:paraId="06A30B00" w14:textId="21B06B49" w:rsidR="00D55219" w:rsidRDefault="000E6C85" w:rsidP="002A534C">
      <w:pPr>
        <w:pStyle w:val="FootnoteText"/>
      </w:pPr>
      <w:hyperlink r:id="rId74" w:history="1">
        <w:r w:rsidR="00D55219" w:rsidRPr="00640C86">
          <w:rPr>
            <w:rStyle w:val="Hyperlink"/>
          </w:rPr>
          <w:t>https://assets.publishing.service.gov.uk/government/uploads/system/uploads/attachment_data/file/447710/Evaluation_of_the_Reforms_of_the_Intellectual_Property_Enterprise_Court_2010-2013.pdf</w:t>
        </w:r>
      </w:hyperlink>
      <w:r w:rsidR="00D55219" w:rsidRPr="005C4AAA">
        <w:rPr>
          <w:rStyle w:val="Hyperlink"/>
          <w:color w:val="auto"/>
          <w:u w:val="none"/>
        </w:rPr>
        <w:t>.</w:t>
      </w:r>
    </w:p>
  </w:footnote>
  <w:footnote w:id="126">
    <w:p w14:paraId="06A407D8" w14:textId="649C5D09" w:rsidR="00D55219" w:rsidRPr="009A3B5D" w:rsidRDefault="00D55219" w:rsidP="002A534C">
      <w:pPr>
        <w:pStyle w:val="FootnoteText"/>
      </w:pPr>
      <w:r>
        <w:rPr>
          <w:rStyle w:val="FootnoteReference"/>
        </w:rPr>
        <w:footnoteRef/>
      </w:r>
      <w:r>
        <w:t xml:space="preserve"> Clarke Willmott, ‘T</w:t>
      </w:r>
      <w:r w:rsidRPr="003F070D">
        <w:t>op 10 tips to reduce the cost of IP Litigation</w:t>
      </w:r>
      <w:r>
        <w:t xml:space="preserve">’, </w:t>
      </w:r>
      <w:r>
        <w:rPr>
          <w:i/>
        </w:rPr>
        <w:t>Clarke Willmott</w:t>
      </w:r>
      <w:r>
        <w:t xml:space="preserve">, 27 January 2014, accessed 8 January 2021. </w:t>
      </w:r>
      <w:hyperlink r:id="rId75" w:history="1">
        <w:r w:rsidRPr="00640C86">
          <w:rPr>
            <w:rStyle w:val="Hyperlink"/>
          </w:rPr>
          <w:t>https://www.clarkewillmott.com/news/top-10-tips-to-reduce-the-cost-of-ip-litigation/</w:t>
        </w:r>
      </w:hyperlink>
      <w:r w:rsidRPr="005C4AAA">
        <w:rPr>
          <w:rStyle w:val="Hyperlink"/>
          <w:color w:val="auto"/>
          <w:u w:val="none"/>
        </w:rPr>
        <w:t>.</w:t>
      </w:r>
    </w:p>
  </w:footnote>
  <w:footnote w:id="127">
    <w:p w14:paraId="25B7E685" w14:textId="6D03D317" w:rsidR="00D55219" w:rsidRDefault="00D55219" w:rsidP="0C89C1B6">
      <w:pPr>
        <w:pStyle w:val="FootnoteText"/>
      </w:pPr>
      <w:r w:rsidRPr="0C89C1B6">
        <w:rPr>
          <w:rStyle w:val="FootnoteReference"/>
        </w:rPr>
        <w:footnoteRef/>
      </w:r>
      <w:r>
        <w:t xml:space="preserve"> HM Courts &amp; Tribunal Service, </w:t>
      </w:r>
      <w:r w:rsidRPr="0C89C1B6">
        <w:rPr>
          <w:i/>
          <w:iCs/>
        </w:rPr>
        <w:t>The Intellectual Property Enterprise Court guide</w:t>
      </w:r>
      <w:r>
        <w:t>, UK Government, 2019, accessed 8 January 2021, p 4.</w:t>
      </w:r>
    </w:p>
  </w:footnote>
  <w:footnote w:id="128">
    <w:p w14:paraId="375619F7" w14:textId="2B3A552D" w:rsidR="00D55219" w:rsidRDefault="00D55219" w:rsidP="002A534C">
      <w:pPr>
        <w:pStyle w:val="FootnoteText"/>
      </w:pPr>
      <w:r>
        <w:rPr>
          <w:rStyle w:val="FootnoteReference"/>
        </w:rPr>
        <w:footnoteRef/>
      </w:r>
      <w:r>
        <w:t xml:space="preserve"> The Hon Justice Birss, ‘To boldly reform IP dispute resolution’, </w:t>
      </w:r>
      <w:r w:rsidRPr="003F070D">
        <w:rPr>
          <w:i/>
        </w:rPr>
        <w:t>Australian Intellectual Property Journal</w:t>
      </w:r>
      <w:r>
        <w:t>, 2016, 27(1):14.</w:t>
      </w:r>
    </w:p>
  </w:footnote>
  <w:footnote w:id="129">
    <w:p w14:paraId="7D2EDD70" w14:textId="77AB122C" w:rsidR="00D55219" w:rsidRPr="00E07419" w:rsidRDefault="00D55219" w:rsidP="002A534C">
      <w:pPr>
        <w:pStyle w:val="FootnoteText"/>
      </w:pPr>
      <w:r>
        <w:rPr>
          <w:rStyle w:val="FootnoteReference"/>
        </w:rPr>
        <w:footnoteRef/>
      </w:r>
      <w:r>
        <w:t xml:space="preserve"> </w:t>
      </w:r>
      <w:r w:rsidRPr="00A7404F">
        <w:t>Helmers</w:t>
      </w:r>
      <w:r>
        <w:t xml:space="preserve"> et al., </w:t>
      </w:r>
      <w:r w:rsidRPr="00683AF8">
        <w:rPr>
          <w:i/>
        </w:rPr>
        <w:t>Evaluation of the Reforms of the Intellectual Property Enterprise Court 2010</w:t>
      </w:r>
      <w:r>
        <w:rPr>
          <w:i/>
        </w:rPr>
        <w:t>–</w:t>
      </w:r>
      <w:r w:rsidRPr="00683AF8">
        <w:rPr>
          <w:i/>
        </w:rPr>
        <w:t>2013</w:t>
      </w:r>
      <w:r>
        <w:t>, report to the IP Office, UK Government, 2015.</w:t>
      </w:r>
    </w:p>
  </w:footnote>
  <w:footnote w:id="130">
    <w:p w14:paraId="2F565E09" w14:textId="26F2A6DD" w:rsidR="00D55219" w:rsidRDefault="00D55219" w:rsidP="0C89C1B6">
      <w:pPr>
        <w:pStyle w:val="FootnoteText"/>
      </w:pPr>
      <w:r w:rsidRPr="0C89C1B6">
        <w:rPr>
          <w:rStyle w:val="FootnoteReference"/>
        </w:rPr>
        <w:footnoteRef/>
      </w:r>
      <w:r>
        <w:t xml:space="preserve"> As above, p 12.</w:t>
      </w:r>
    </w:p>
  </w:footnote>
  <w:footnote w:id="131">
    <w:p w14:paraId="24242657" w14:textId="152174FC" w:rsidR="00D55219" w:rsidRDefault="00D55219" w:rsidP="002A534C">
      <w:pPr>
        <w:pStyle w:val="FootnoteText"/>
      </w:pPr>
      <w:r>
        <w:rPr>
          <w:rStyle w:val="FootnoteReference"/>
        </w:rPr>
        <w:footnoteRef/>
      </w:r>
      <w:r>
        <w:t xml:space="preserve"> </w:t>
      </w:r>
      <w:r w:rsidRPr="00A7404F">
        <w:t>Helmers</w:t>
      </w:r>
      <w:r>
        <w:t xml:space="preserve"> et al., </w:t>
      </w:r>
      <w:r w:rsidRPr="00683AF8">
        <w:rPr>
          <w:i/>
        </w:rPr>
        <w:t xml:space="preserve">Evaluation of the </w:t>
      </w:r>
      <w:r>
        <w:rPr>
          <w:i/>
        </w:rPr>
        <w:t>r</w:t>
      </w:r>
      <w:r w:rsidRPr="00683AF8">
        <w:rPr>
          <w:i/>
        </w:rPr>
        <w:t>eforms of the Intellectual Property Enterprise Court 2010</w:t>
      </w:r>
      <w:r>
        <w:rPr>
          <w:i/>
        </w:rPr>
        <w:t>–</w:t>
      </w:r>
      <w:r w:rsidRPr="00683AF8">
        <w:rPr>
          <w:i/>
        </w:rPr>
        <w:t>2013</w:t>
      </w:r>
      <w:r>
        <w:t>, report to the IP Office, UK Government, 2015, p 22.</w:t>
      </w:r>
    </w:p>
  </w:footnote>
  <w:footnote w:id="132">
    <w:p w14:paraId="19DFAF46" w14:textId="3F91B686" w:rsidR="00D55219" w:rsidRDefault="00D55219" w:rsidP="002A534C">
      <w:pPr>
        <w:pStyle w:val="FootnoteText"/>
      </w:pPr>
      <w:r>
        <w:rPr>
          <w:rStyle w:val="FootnoteReference"/>
        </w:rPr>
        <w:footnoteRef/>
      </w:r>
      <w:r>
        <w:t xml:space="preserve"> As above, pp 34–35.</w:t>
      </w:r>
    </w:p>
  </w:footnote>
  <w:footnote w:id="133">
    <w:p w14:paraId="3553D7D6" w14:textId="128D4FC1" w:rsidR="00D55219" w:rsidRDefault="00D55219" w:rsidP="002A534C">
      <w:pPr>
        <w:pStyle w:val="FootnoteText"/>
      </w:pPr>
      <w:r>
        <w:rPr>
          <w:rStyle w:val="FootnoteReference"/>
        </w:rPr>
        <w:footnoteRef/>
      </w:r>
      <w:r>
        <w:t xml:space="preserve"> As above, p 17. </w:t>
      </w:r>
    </w:p>
  </w:footnote>
  <w:footnote w:id="134">
    <w:p w14:paraId="41ED85A6" w14:textId="1CB6A95A" w:rsidR="00D55219" w:rsidRPr="007F1863" w:rsidRDefault="00D55219" w:rsidP="007F1863">
      <w:pPr>
        <w:pStyle w:val="FootnoteText"/>
      </w:pPr>
      <w:r>
        <w:rPr>
          <w:rStyle w:val="FootnoteReference"/>
        </w:rPr>
        <w:footnoteRef/>
      </w:r>
      <w:r>
        <w:t xml:space="preserve"> </w:t>
      </w:r>
      <w:r w:rsidRPr="007F1863">
        <w:t xml:space="preserve">Schönbohm et al., </w:t>
      </w:r>
      <w:r w:rsidRPr="007F1863">
        <w:rPr>
          <w:i/>
        </w:rPr>
        <w:t xml:space="preserve">Germany: </w:t>
      </w:r>
      <w:r>
        <w:rPr>
          <w:i/>
        </w:rPr>
        <w:t>p</w:t>
      </w:r>
      <w:r w:rsidRPr="007F1863">
        <w:rPr>
          <w:i/>
        </w:rPr>
        <w:t>atent</w:t>
      </w:r>
      <w:r>
        <w:rPr>
          <w:i/>
        </w:rPr>
        <w:t xml:space="preserve"> l</w:t>
      </w:r>
      <w:r w:rsidRPr="007F1863">
        <w:rPr>
          <w:i/>
        </w:rPr>
        <w:t xml:space="preserve">itigation, </w:t>
      </w:r>
      <w:r>
        <w:t>t</w:t>
      </w:r>
      <w:r w:rsidRPr="007F1863">
        <w:t>he Legal 500</w:t>
      </w:r>
      <w:r w:rsidRPr="007F1863">
        <w:rPr>
          <w:i/>
        </w:rPr>
        <w:t>,</w:t>
      </w:r>
      <w:r>
        <w:t xml:space="preserve"> n.d.,</w:t>
      </w:r>
      <w:r w:rsidRPr="007F1863">
        <w:rPr>
          <w:i/>
        </w:rPr>
        <w:t xml:space="preserve"> </w:t>
      </w:r>
      <w:r w:rsidRPr="007F1863">
        <w:t>8 January 2021.</w:t>
      </w:r>
    </w:p>
    <w:p w14:paraId="07976DD4" w14:textId="129268AB" w:rsidR="00D55219" w:rsidRPr="006F7EDE" w:rsidRDefault="000E6C85" w:rsidP="002A534C">
      <w:pPr>
        <w:pStyle w:val="FootnoteText"/>
        <w:rPr>
          <w:color w:val="0070AE" w:themeColor="hyperlink"/>
          <w:u w:val="single"/>
        </w:rPr>
      </w:pPr>
      <w:hyperlink r:id="rId76" w:history="1">
        <w:r w:rsidR="00D55219" w:rsidRPr="007F1863">
          <w:rPr>
            <w:rStyle w:val="Hyperlink"/>
          </w:rPr>
          <w:t>https://www.legal500.com/guides/chapter/germany-patent-litigation/?export-pdf</w:t>
        </w:r>
      </w:hyperlink>
      <w:r w:rsidR="00D55219">
        <w:t>.</w:t>
      </w:r>
    </w:p>
  </w:footnote>
  <w:footnote w:id="135">
    <w:p w14:paraId="7CCFCDB2" w14:textId="268B9878" w:rsidR="00D55219" w:rsidRDefault="00D55219" w:rsidP="002A534C">
      <w:pPr>
        <w:pStyle w:val="FootnoteText"/>
      </w:pPr>
      <w:r>
        <w:rPr>
          <w:rStyle w:val="FootnoteReference"/>
        </w:rPr>
        <w:footnoteRef/>
      </w:r>
      <w:r>
        <w:t xml:space="preserve"> Kellenter et al., </w:t>
      </w:r>
      <w:r>
        <w:rPr>
          <w:i/>
        </w:rPr>
        <w:t>Patent litigation in Germany: overview</w:t>
      </w:r>
      <w:r>
        <w:t xml:space="preserve">, Thomson Reuters website, 2020, accessed 8 January 2021. </w:t>
      </w:r>
      <w:hyperlink r:id="rId77" w:history="1">
        <w:r w:rsidRPr="006C6C79">
          <w:rPr>
            <w:rStyle w:val="Hyperlink"/>
          </w:rPr>
          <w:t>https://uk.practicallaw.thomsonreuters.com/5-622-3450?transitionType=Default&amp;contextData=(sc.Default)&amp;firstPage=true</w:t>
        </w:r>
      </w:hyperlink>
      <w:r>
        <w:t>.</w:t>
      </w:r>
    </w:p>
  </w:footnote>
  <w:footnote w:id="136">
    <w:p w14:paraId="1760A525" w14:textId="2D871BD2" w:rsidR="00D55219" w:rsidRDefault="00D55219" w:rsidP="002A534C">
      <w:pPr>
        <w:pStyle w:val="FootnoteText"/>
      </w:pPr>
      <w:r>
        <w:rPr>
          <w:rStyle w:val="FootnoteReference"/>
        </w:rPr>
        <w:footnoteRef/>
      </w:r>
      <w:r>
        <w:t xml:space="preserve"> D Young &amp; Co, </w:t>
      </w:r>
      <w:r>
        <w:rPr>
          <w:i/>
        </w:rPr>
        <w:t>Guide to patent litigation in Germany</w:t>
      </w:r>
      <w:r>
        <w:t>, D Young &amp; Co website, n.d., accessed 8 January 2021.</w:t>
      </w:r>
    </w:p>
    <w:p w14:paraId="1D174BD7" w14:textId="546504F7" w:rsidR="00D55219" w:rsidRPr="009859AC" w:rsidRDefault="000E6C85" w:rsidP="00D21754">
      <w:pPr>
        <w:pStyle w:val="FootnoteText"/>
        <w:spacing w:before="0"/>
        <w:rPr>
          <w:color w:val="0070AE" w:themeColor="hyperlink"/>
          <w:u w:val="single"/>
        </w:rPr>
      </w:pPr>
      <w:hyperlink r:id="rId78" w:history="1">
        <w:r w:rsidR="00D55219" w:rsidRPr="006C6C79">
          <w:rPr>
            <w:rStyle w:val="Hyperlink"/>
          </w:rPr>
          <w:t>https://www.dyoung.com/en/knowledgebank/faqs-and-guides/faq-patent-litigation-germany</w:t>
        </w:r>
      </w:hyperlink>
      <w:r w:rsidR="00D55219" w:rsidRPr="005C4AAA">
        <w:rPr>
          <w:rStyle w:val="Hyperlink"/>
          <w:color w:val="auto"/>
          <w:u w:val="none"/>
        </w:rPr>
        <w:t>.</w:t>
      </w:r>
    </w:p>
  </w:footnote>
  <w:footnote w:id="137">
    <w:p w14:paraId="77FEA1C9" w14:textId="383E8746" w:rsidR="00D55219" w:rsidRDefault="00D55219" w:rsidP="002A534C">
      <w:pPr>
        <w:pStyle w:val="FootnoteText"/>
      </w:pPr>
      <w:r>
        <w:rPr>
          <w:rStyle w:val="FootnoteReference"/>
        </w:rPr>
        <w:footnoteRef/>
      </w:r>
      <w:r>
        <w:t xml:space="preserve"> As above. </w:t>
      </w:r>
      <w:r w:rsidRPr="007F1863">
        <w:t xml:space="preserve">Note that other sources give slightly different ranges, but </w:t>
      </w:r>
      <w:r>
        <w:t xml:space="preserve">there </w:t>
      </w:r>
      <w:r w:rsidRPr="007F1863">
        <w:t>are consistent report</w:t>
      </w:r>
      <w:r>
        <w:t>s</w:t>
      </w:r>
      <w:r w:rsidRPr="007F1863">
        <w:t xml:space="preserve"> that invalidity cases generally take longer than infringement cases.</w:t>
      </w:r>
    </w:p>
  </w:footnote>
  <w:footnote w:id="138">
    <w:p w14:paraId="23AD95BB" w14:textId="2F7AB642" w:rsidR="00D55219" w:rsidRPr="007F1863" w:rsidRDefault="00D55219" w:rsidP="007F1863">
      <w:pPr>
        <w:pStyle w:val="FootnoteText"/>
      </w:pPr>
      <w:r>
        <w:rPr>
          <w:rStyle w:val="FootnoteReference"/>
        </w:rPr>
        <w:footnoteRef/>
      </w:r>
      <w:r>
        <w:t xml:space="preserve"> </w:t>
      </w:r>
      <w:r w:rsidRPr="007F1863">
        <w:t xml:space="preserve">Schönbohm et al., </w:t>
      </w:r>
      <w:r w:rsidRPr="007F1863">
        <w:rPr>
          <w:i/>
        </w:rPr>
        <w:t xml:space="preserve">Germany: </w:t>
      </w:r>
      <w:r>
        <w:rPr>
          <w:i/>
        </w:rPr>
        <w:t>p</w:t>
      </w:r>
      <w:r w:rsidRPr="007F1863">
        <w:rPr>
          <w:i/>
        </w:rPr>
        <w:t xml:space="preserve">atent </w:t>
      </w:r>
      <w:r>
        <w:rPr>
          <w:i/>
        </w:rPr>
        <w:t>l</w:t>
      </w:r>
      <w:r w:rsidRPr="007F1863">
        <w:rPr>
          <w:i/>
        </w:rPr>
        <w:t xml:space="preserve">itigation, </w:t>
      </w:r>
      <w:r>
        <w:t>t</w:t>
      </w:r>
      <w:r w:rsidRPr="007F1863">
        <w:t>he Legal 500</w:t>
      </w:r>
      <w:r w:rsidRPr="007F1863">
        <w:rPr>
          <w:i/>
        </w:rPr>
        <w:t>,</w:t>
      </w:r>
      <w:r>
        <w:t xml:space="preserve"> n.d.,</w:t>
      </w:r>
      <w:r w:rsidRPr="007F1863">
        <w:rPr>
          <w:i/>
        </w:rPr>
        <w:t xml:space="preserve"> </w:t>
      </w:r>
      <w:r w:rsidRPr="007F1863">
        <w:t>8 January 2021.</w:t>
      </w:r>
    </w:p>
    <w:p w14:paraId="7E91A343" w14:textId="08B386F4" w:rsidR="00D55219" w:rsidRDefault="000E6C85" w:rsidP="00D21754">
      <w:pPr>
        <w:pStyle w:val="FootnoteText"/>
        <w:spacing w:before="0"/>
      </w:pPr>
      <w:hyperlink r:id="rId79" w:history="1">
        <w:r w:rsidR="00D55219" w:rsidRPr="007F1863">
          <w:rPr>
            <w:rStyle w:val="Hyperlink"/>
          </w:rPr>
          <w:t>https://www.legal500.com/guides/chapter/germany-patent-litigation/?export-pdf</w:t>
        </w:r>
      </w:hyperlink>
      <w:r w:rsidR="00D55219" w:rsidRPr="005C4AAA">
        <w:rPr>
          <w:rStyle w:val="Hyperlink"/>
          <w:color w:val="auto"/>
          <w:u w:val="none"/>
        </w:rPr>
        <w:t>.</w:t>
      </w:r>
    </w:p>
  </w:footnote>
  <w:footnote w:id="139">
    <w:p w14:paraId="1979A0A0" w14:textId="14C0597E" w:rsidR="00D55219" w:rsidRDefault="00D55219" w:rsidP="0C89C1B6">
      <w:pPr>
        <w:pStyle w:val="FootnoteText"/>
      </w:pPr>
      <w:r w:rsidRPr="0C89C1B6">
        <w:rPr>
          <w:rStyle w:val="FootnoteReference"/>
        </w:rPr>
        <w:footnoteRef/>
      </w:r>
      <w:r>
        <w:t xml:space="preserve"> Kellenter et al., </w:t>
      </w:r>
      <w:r w:rsidRPr="0C89C1B6">
        <w:rPr>
          <w:i/>
          <w:iCs/>
        </w:rPr>
        <w:t>Patent litigation in Germany: overview</w:t>
      </w:r>
      <w:r>
        <w:t xml:space="preserve">, Thomson Reuters website, 2020, accessed 8 January 2021. </w:t>
      </w:r>
      <w:hyperlink r:id="rId80">
        <w:r w:rsidRPr="0C89C1B6">
          <w:rPr>
            <w:rStyle w:val="Hyperlink"/>
          </w:rPr>
          <w:t>https://uk.practicallaw.thomsonreuters.com/5-622-3450?transitionType=Default&amp;contextData=(sc.Default)&amp;firstPage=true</w:t>
        </w:r>
      </w:hyperlink>
      <w:r w:rsidRPr="005C4AAA">
        <w:rPr>
          <w:rStyle w:val="Hyperlink"/>
          <w:color w:val="auto"/>
          <w:u w:val="none"/>
        </w:rPr>
        <w:t>.</w:t>
      </w:r>
    </w:p>
  </w:footnote>
  <w:footnote w:id="140">
    <w:p w14:paraId="5FE30C4B" w14:textId="0A73EB8D" w:rsidR="00D55219" w:rsidRDefault="00D55219" w:rsidP="002A534C">
      <w:pPr>
        <w:pStyle w:val="FootnoteText"/>
      </w:pPr>
      <w:r>
        <w:rPr>
          <w:rStyle w:val="FootnoteReference"/>
        </w:rPr>
        <w:footnoteRef/>
      </w:r>
      <w:r>
        <w:t xml:space="preserve"> Kellenter et al., </w:t>
      </w:r>
      <w:r>
        <w:rPr>
          <w:i/>
        </w:rPr>
        <w:t>Patent litigation in Germany: overview</w:t>
      </w:r>
      <w:r>
        <w:t xml:space="preserve">, Thomson Reuters website, 2020, accessed 8 January 2021. </w:t>
      </w:r>
      <w:hyperlink r:id="rId81" w:history="1">
        <w:r w:rsidRPr="006C6C79">
          <w:rPr>
            <w:rStyle w:val="Hyperlink"/>
          </w:rPr>
          <w:t>https://uk.practicallaw.thomsonreuters.com/5-622-3450?transitionType=Default&amp;contextData=(sc.Default)&amp;firstPage=true</w:t>
        </w:r>
      </w:hyperlink>
      <w:r w:rsidRPr="005C4AAA">
        <w:rPr>
          <w:rStyle w:val="Hyperlink"/>
          <w:color w:val="auto"/>
          <w:u w:val="none"/>
        </w:rPr>
        <w:t>.</w:t>
      </w:r>
    </w:p>
  </w:footnote>
  <w:footnote w:id="141">
    <w:p w14:paraId="19FE2755" w14:textId="7F107943" w:rsidR="00D55219" w:rsidRDefault="00D55219" w:rsidP="00D6249C">
      <w:pPr>
        <w:pStyle w:val="FootnoteText"/>
      </w:pPr>
      <w:r>
        <w:rPr>
          <w:rStyle w:val="FootnoteReference"/>
        </w:rPr>
        <w:footnoteRef/>
      </w:r>
      <w:r>
        <w:t xml:space="preserve"> D Young &amp; Co, </w:t>
      </w:r>
      <w:r>
        <w:rPr>
          <w:i/>
        </w:rPr>
        <w:t>Guide to patent litigation in Germany</w:t>
      </w:r>
      <w:r>
        <w:t>, D Young &amp; Co website, n.d., accessed 8 January 2021.</w:t>
      </w:r>
    </w:p>
    <w:p w14:paraId="245B8D89" w14:textId="093F4C4C" w:rsidR="00D55219" w:rsidRDefault="000E6C85" w:rsidP="00D21754">
      <w:pPr>
        <w:pStyle w:val="FootnoteText"/>
        <w:spacing w:before="0"/>
      </w:pPr>
      <w:hyperlink r:id="rId82">
        <w:r w:rsidR="00D55219" w:rsidRPr="705AC04F">
          <w:rPr>
            <w:rStyle w:val="Hyperlink"/>
          </w:rPr>
          <w:t>https://www.dyoung.com/en/knowledgebank/faqs-and-guides/faq-patent-litigation-germany</w:t>
        </w:r>
      </w:hyperlink>
      <w:r w:rsidR="00D55219" w:rsidRPr="005C4AAA">
        <w:rPr>
          <w:rStyle w:val="Hyperlink"/>
          <w:color w:val="auto"/>
          <w:u w:val="none"/>
        </w:rPr>
        <w:t>.</w:t>
      </w:r>
    </w:p>
  </w:footnote>
  <w:footnote w:id="142">
    <w:p w14:paraId="34255E55" w14:textId="12518878" w:rsidR="00D55219" w:rsidRPr="007F1863" w:rsidRDefault="00D55219" w:rsidP="00D6249C">
      <w:pPr>
        <w:pStyle w:val="FootnoteText"/>
      </w:pPr>
      <w:r>
        <w:rPr>
          <w:rStyle w:val="FootnoteReference"/>
        </w:rPr>
        <w:footnoteRef/>
      </w:r>
      <w:r>
        <w:t xml:space="preserve"> </w:t>
      </w:r>
      <w:r w:rsidRPr="007F1863">
        <w:t xml:space="preserve">Schönbohm et al., </w:t>
      </w:r>
      <w:r w:rsidRPr="007F1863">
        <w:rPr>
          <w:i/>
        </w:rPr>
        <w:t xml:space="preserve">Germany: </w:t>
      </w:r>
      <w:r>
        <w:rPr>
          <w:i/>
        </w:rPr>
        <w:t>p</w:t>
      </w:r>
      <w:r w:rsidRPr="007F1863">
        <w:rPr>
          <w:i/>
        </w:rPr>
        <w:t xml:space="preserve">atent </w:t>
      </w:r>
      <w:r>
        <w:rPr>
          <w:i/>
        </w:rPr>
        <w:t>l</w:t>
      </w:r>
      <w:r w:rsidRPr="007F1863">
        <w:rPr>
          <w:i/>
        </w:rPr>
        <w:t xml:space="preserve">itigation, </w:t>
      </w:r>
      <w:r>
        <w:t>t</w:t>
      </w:r>
      <w:r w:rsidRPr="007F1863">
        <w:t>he Legal 500</w:t>
      </w:r>
      <w:r w:rsidRPr="007F1863">
        <w:rPr>
          <w:i/>
        </w:rPr>
        <w:t>,</w:t>
      </w:r>
      <w:r>
        <w:t xml:space="preserve"> </w:t>
      </w:r>
      <w:r w:rsidRPr="00353F70">
        <w:t>n.d.,</w:t>
      </w:r>
      <w:r w:rsidRPr="00353F70">
        <w:rPr>
          <w:i/>
        </w:rPr>
        <w:t xml:space="preserve"> </w:t>
      </w:r>
      <w:r w:rsidRPr="00353F70">
        <w:t>8 January 2021</w:t>
      </w:r>
      <w:r w:rsidRPr="007F1863">
        <w:t>.</w:t>
      </w:r>
    </w:p>
    <w:p w14:paraId="67519703" w14:textId="7CEEDB40" w:rsidR="00D55219" w:rsidRDefault="000E6C85" w:rsidP="002A534C">
      <w:pPr>
        <w:pStyle w:val="FootnoteText"/>
      </w:pPr>
      <w:hyperlink r:id="rId83">
        <w:r w:rsidR="00D55219" w:rsidRPr="705AC04F">
          <w:rPr>
            <w:rStyle w:val="Hyperlink"/>
          </w:rPr>
          <w:t>https://www.legal500.com/guides/chapter/germany-patent-litigation/?export-pdf</w:t>
        </w:r>
      </w:hyperlink>
      <w:r w:rsidR="00D55219" w:rsidRPr="005C4AAA">
        <w:rPr>
          <w:rStyle w:val="Hyperlink"/>
          <w:color w:val="auto"/>
          <w:u w:val="none"/>
        </w:rPr>
        <w:t>.</w:t>
      </w:r>
      <w:r w:rsidR="00D55219">
        <w:t xml:space="preserve"> </w:t>
      </w:r>
    </w:p>
  </w:footnote>
  <w:footnote w:id="143">
    <w:p w14:paraId="45A31515" w14:textId="11A01C6D" w:rsidR="00D55219" w:rsidRDefault="00D55219" w:rsidP="00D6249C">
      <w:pPr>
        <w:pStyle w:val="FootnoteText"/>
      </w:pPr>
      <w:r>
        <w:rPr>
          <w:rStyle w:val="FootnoteReference"/>
        </w:rPr>
        <w:footnoteRef/>
      </w:r>
      <w:r>
        <w:t xml:space="preserve"> D Young &amp; Co, </w:t>
      </w:r>
      <w:r>
        <w:rPr>
          <w:i/>
        </w:rPr>
        <w:t>Guide to patent litigation in Germany</w:t>
      </w:r>
      <w:r>
        <w:t>, D Young &amp; Co website, n.d., accessed 8 January 2021.</w:t>
      </w:r>
    </w:p>
    <w:p w14:paraId="401B2A8D" w14:textId="4617E573" w:rsidR="00D55219" w:rsidRDefault="000E6C85" w:rsidP="00D6249C">
      <w:pPr>
        <w:pStyle w:val="FootnoteText"/>
      </w:pPr>
      <w:hyperlink r:id="rId84">
        <w:r w:rsidR="00D55219" w:rsidRPr="705AC04F">
          <w:rPr>
            <w:rStyle w:val="Hyperlink"/>
          </w:rPr>
          <w:t>https://www.dyoung.com/en/knowledgebank/faqs-and-guides/faq-patent-litigation-germany</w:t>
        </w:r>
      </w:hyperlink>
      <w:r w:rsidR="00D55219" w:rsidRPr="005C4AAA">
        <w:rPr>
          <w:rStyle w:val="Hyperlink"/>
          <w:color w:val="auto"/>
          <w:u w:val="none"/>
        </w:rPr>
        <w:t>.</w:t>
      </w:r>
    </w:p>
  </w:footnote>
  <w:footnote w:id="144">
    <w:p w14:paraId="0028CA36" w14:textId="33DB057F" w:rsidR="00D55219" w:rsidRPr="007F1863" w:rsidRDefault="00D55219" w:rsidP="00D6249C">
      <w:pPr>
        <w:pStyle w:val="FootnoteText"/>
      </w:pPr>
      <w:r>
        <w:rPr>
          <w:rStyle w:val="FootnoteReference"/>
        </w:rPr>
        <w:footnoteRef/>
      </w:r>
      <w:r>
        <w:t xml:space="preserve"> </w:t>
      </w:r>
      <w:r w:rsidRPr="007F1863">
        <w:t xml:space="preserve">Schönbohm et al., </w:t>
      </w:r>
      <w:r w:rsidRPr="007F1863">
        <w:rPr>
          <w:i/>
        </w:rPr>
        <w:t xml:space="preserve">Germany: </w:t>
      </w:r>
      <w:r>
        <w:rPr>
          <w:i/>
        </w:rPr>
        <w:t>p</w:t>
      </w:r>
      <w:r w:rsidRPr="007F1863">
        <w:rPr>
          <w:i/>
        </w:rPr>
        <w:t xml:space="preserve">atent </w:t>
      </w:r>
      <w:r>
        <w:rPr>
          <w:i/>
        </w:rPr>
        <w:t>l</w:t>
      </w:r>
      <w:r w:rsidRPr="007F1863">
        <w:rPr>
          <w:i/>
        </w:rPr>
        <w:t xml:space="preserve">itigation, </w:t>
      </w:r>
      <w:r>
        <w:t>t</w:t>
      </w:r>
      <w:r w:rsidRPr="007F1863">
        <w:t>he Legal 500</w:t>
      </w:r>
      <w:r w:rsidRPr="007F1863">
        <w:rPr>
          <w:i/>
        </w:rPr>
        <w:t>,</w:t>
      </w:r>
      <w:r>
        <w:t xml:space="preserve"> n.d.,</w:t>
      </w:r>
      <w:r w:rsidRPr="007F1863">
        <w:rPr>
          <w:i/>
        </w:rPr>
        <w:t xml:space="preserve"> </w:t>
      </w:r>
      <w:r w:rsidRPr="007F1863">
        <w:t>8 January 2021.</w:t>
      </w:r>
    </w:p>
    <w:p w14:paraId="6D3C429B" w14:textId="243EC996" w:rsidR="00D55219" w:rsidRDefault="000E6C85" w:rsidP="00D6249C">
      <w:pPr>
        <w:pStyle w:val="FootnoteText"/>
      </w:pPr>
      <w:hyperlink r:id="rId85">
        <w:r w:rsidR="00D55219" w:rsidRPr="705AC04F">
          <w:rPr>
            <w:rStyle w:val="Hyperlink"/>
          </w:rPr>
          <w:t>https://www.legal500.com/guides/chapter/germany-patent-litigation/?export-pdf</w:t>
        </w:r>
      </w:hyperlink>
      <w:r w:rsidR="00D55219">
        <w:t xml:space="preserve">. </w:t>
      </w:r>
    </w:p>
  </w:footnote>
  <w:footnote w:id="145">
    <w:p w14:paraId="164A1426" w14:textId="0D1D5F79" w:rsidR="00D55219" w:rsidRDefault="00D55219" w:rsidP="00D6249C">
      <w:pPr>
        <w:pStyle w:val="FootnoteText"/>
      </w:pPr>
      <w:r>
        <w:rPr>
          <w:rStyle w:val="FootnoteReference"/>
        </w:rPr>
        <w:footnoteRef/>
      </w:r>
      <w:r>
        <w:t xml:space="preserve"> D Young &amp; Co, </w:t>
      </w:r>
      <w:r>
        <w:rPr>
          <w:i/>
        </w:rPr>
        <w:t>Guide to patent litigation in Germany</w:t>
      </w:r>
      <w:r>
        <w:t>, D Young &amp; Co website, n.d., accessed 8 January 2021.</w:t>
      </w:r>
    </w:p>
    <w:p w14:paraId="3BD416EA" w14:textId="7C6ABB0F" w:rsidR="00D55219" w:rsidRDefault="000E6C85" w:rsidP="00D6249C">
      <w:pPr>
        <w:pStyle w:val="FootnoteText"/>
      </w:pPr>
      <w:hyperlink r:id="rId86">
        <w:r w:rsidR="00D55219" w:rsidRPr="705AC04F">
          <w:rPr>
            <w:rStyle w:val="Hyperlink"/>
          </w:rPr>
          <w:t>https://www.dyoung.com/en/knowledgebank/faqs-and-guides/faq-patent-litigation-germany</w:t>
        </w:r>
      </w:hyperlink>
      <w:r w:rsidR="00D55219" w:rsidRPr="005C4AAA">
        <w:rPr>
          <w:rStyle w:val="Hyperlink"/>
          <w:color w:val="auto"/>
          <w:u w:val="none"/>
        </w:rPr>
        <w:t>.</w:t>
      </w:r>
    </w:p>
  </w:footnote>
  <w:footnote w:id="146">
    <w:p w14:paraId="2F5ECC02" w14:textId="62FC64B2" w:rsidR="00D55219" w:rsidRDefault="00D55219" w:rsidP="00D6249C">
      <w:pPr>
        <w:pStyle w:val="FootnoteText"/>
      </w:pPr>
      <w:r>
        <w:rPr>
          <w:rStyle w:val="FootnoteReference"/>
        </w:rPr>
        <w:footnoteRef/>
      </w:r>
      <w:r>
        <w:t xml:space="preserve"> D Young &amp; Co, </w:t>
      </w:r>
      <w:r>
        <w:rPr>
          <w:i/>
        </w:rPr>
        <w:t>Guide to patent litigation in Germany</w:t>
      </w:r>
      <w:r>
        <w:t>, D Young &amp; Co website, n.d., accessed 8 January 2021.</w:t>
      </w:r>
    </w:p>
    <w:p w14:paraId="527FEA58" w14:textId="5980191F" w:rsidR="00D55219" w:rsidRDefault="000E6C85" w:rsidP="00D6249C">
      <w:pPr>
        <w:pStyle w:val="FootnoteText"/>
      </w:pPr>
      <w:hyperlink r:id="rId87">
        <w:r w:rsidR="00D55219" w:rsidRPr="705AC04F">
          <w:rPr>
            <w:rStyle w:val="Hyperlink"/>
          </w:rPr>
          <w:t>https://www.dyoung.com/en/knowledgebank/faqs-and-guides/faq-patent-litigation-germany</w:t>
        </w:r>
      </w:hyperlink>
      <w:r w:rsidR="00D55219" w:rsidRPr="005C4AAA">
        <w:rPr>
          <w:rStyle w:val="Hyperlink"/>
          <w:color w:val="auto"/>
          <w:u w:val="none"/>
        </w:rPr>
        <w:t>.</w:t>
      </w:r>
    </w:p>
  </w:footnote>
  <w:footnote w:id="147">
    <w:p w14:paraId="104E1BEC" w14:textId="71FE432E" w:rsidR="00D55219" w:rsidRDefault="00D55219" w:rsidP="002A534C">
      <w:pPr>
        <w:pStyle w:val="FootnoteText"/>
      </w:pPr>
      <w:r>
        <w:rPr>
          <w:rStyle w:val="FootnoteReference"/>
        </w:rPr>
        <w:footnoteRef/>
      </w:r>
      <w:r>
        <w:t xml:space="preserve"> Kellenter et al., </w:t>
      </w:r>
      <w:r>
        <w:rPr>
          <w:i/>
        </w:rPr>
        <w:t>Patent litigation in Germany: overview</w:t>
      </w:r>
      <w:r>
        <w:t xml:space="preserve">, Thomson Reuters website, 2020, accessed 8 January 2021. </w:t>
      </w:r>
      <w:hyperlink r:id="rId88" w:history="1">
        <w:r w:rsidRPr="006C6C79">
          <w:rPr>
            <w:rStyle w:val="Hyperlink"/>
          </w:rPr>
          <w:t>https://uk.practicallaw.thomsonreuters.com/5-622-3450?transitionType=Default&amp;contextData=(sc.Default)&amp;firstPage=true</w:t>
        </w:r>
      </w:hyperlink>
      <w:r w:rsidRPr="005C4AAA">
        <w:rPr>
          <w:rStyle w:val="Hyperlink"/>
          <w:color w:val="auto"/>
          <w:u w:val="none"/>
        </w:rPr>
        <w:t>.</w:t>
      </w:r>
    </w:p>
  </w:footnote>
  <w:footnote w:id="148">
    <w:p w14:paraId="1F91DA11" w14:textId="0BFF6B6F" w:rsidR="00D55219" w:rsidRDefault="00D55219" w:rsidP="002A534C">
      <w:pPr>
        <w:pStyle w:val="FootnoteText"/>
      </w:pPr>
      <w:r>
        <w:rPr>
          <w:rStyle w:val="FootnoteReference"/>
        </w:rPr>
        <w:footnoteRef/>
      </w:r>
      <w:r>
        <w:t xml:space="preserve"> UK Government, ‘</w:t>
      </w:r>
      <w:r w:rsidRPr="005F7663">
        <w:t xml:space="preserve">Guidance: </w:t>
      </w:r>
      <w:r w:rsidRPr="0006177E">
        <w:t>Opinions: resolving patent disputes</w:t>
      </w:r>
      <w:r>
        <w:t>’</w:t>
      </w:r>
      <w:r>
        <w:rPr>
          <w:i/>
        </w:rPr>
        <w:t xml:space="preserve">, Patents, </w:t>
      </w:r>
      <w:r>
        <w:t>UK government website,</w:t>
      </w:r>
      <w:r>
        <w:rPr>
          <w:i/>
        </w:rPr>
        <w:t xml:space="preserve"> </w:t>
      </w:r>
      <w:r>
        <w:t xml:space="preserve">2014, accessed 11 January 2021. </w:t>
      </w:r>
      <w:hyperlink r:id="rId89" w:history="1">
        <w:r w:rsidRPr="001411EC">
          <w:rPr>
            <w:rStyle w:val="Hyperlink"/>
          </w:rPr>
          <w:t>www.gov.uk/guidance/opinions-resolving-patent-disputes</w:t>
        </w:r>
      </w:hyperlink>
      <w:r w:rsidRPr="005C4AAA">
        <w:rPr>
          <w:rStyle w:val="Hyperlink"/>
          <w:color w:val="auto"/>
          <w:u w:val="none"/>
        </w:rPr>
        <w:t>.</w:t>
      </w:r>
      <w:r>
        <w:t xml:space="preserve"> </w:t>
      </w:r>
    </w:p>
  </w:footnote>
  <w:footnote w:id="149">
    <w:p w14:paraId="396793E5" w14:textId="54ABD50F" w:rsidR="00D55219" w:rsidRDefault="00D55219" w:rsidP="002A534C">
      <w:pPr>
        <w:pStyle w:val="FootnoteText"/>
      </w:pPr>
      <w:r>
        <w:rPr>
          <w:rStyle w:val="FootnoteReference"/>
        </w:rPr>
        <w:footnoteRef/>
      </w:r>
      <w:r>
        <w:t xml:space="preserve"> Explanatory Notes, </w:t>
      </w:r>
      <w:r w:rsidRPr="0022519E">
        <w:rPr>
          <w:i/>
        </w:rPr>
        <w:t xml:space="preserve">Patents Act 2004 </w:t>
      </w:r>
      <w:r w:rsidRPr="0006177E">
        <w:t>(UK),</w:t>
      </w:r>
      <w:r w:rsidRPr="0022519E">
        <w:rPr>
          <w:i/>
        </w:rPr>
        <w:t xml:space="preserve"> </w:t>
      </w:r>
      <w:r>
        <w:t xml:space="preserve">[73]. </w:t>
      </w:r>
    </w:p>
    <w:p w14:paraId="6FD979B8" w14:textId="3122C248" w:rsidR="00D55219" w:rsidRDefault="000E6C85" w:rsidP="002A534C">
      <w:pPr>
        <w:pStyle w:val="FootnoteText"/>
      </w:pPr>
      <w:hyperlink r:id="rId90" w:history="1">
        <w:r w:rsidR="00D55219" w:rsidRPr="006E7D5F">
          <w:rPr>
            <w:rStyle w:val="Hyperlink"/>
          </w:rPr>
          <w:t>https://www.legislation.gov.uk/ukpga/2004/16/pdfs/ukpgaen_20040016_en.pdf</w:t>
        </w:r>
      </w:hyperlink>
      <w:r w:rsidR="00D55219" w:rsidRPr="005C4AAA">
        <w:rPr>
          <w:rStyle w:val="Hyperlink"/>
          <w:color w:val="auto"/>
          <w:u w:val="none"/>
        </w:rPr>
        <w:t>.</w:t>
      </w:r>
    </w:p>
  </w:footnote>
  <w:footnote w:id="150">
    <w:p w14:paraId="55A18A3D" w14:textId="694C5A34" w:rsidR="00D55219" w:rsidRPr="00065683" w:rsidRDefault="00D55219" w:rsidP="002A534C">
      <w:pPr>
        <w:pStyle w:val="FootnoteText"/>
      </w:pPr>
      <w:r>
        <w:rPr>
          <w:rStyle w:val="FootnoteReference"/>
        </w:rPr>
        <w:footnoteRef/>
      </w:r>
      <w:r>
        <w:t xml:space="preserve"> </w:t>
      </w:r>
      <w:r>
        <w:rPr>
          <w:i/>
        </w:rPr>
        <w:t xml:space="preserve">Patents Act 1977 </w:t>
      </w:r>
      <w:r>
        <w:t xml:space="preserve">(UK), s 74A – 74B; </w:t>
      </w:r>
      <w:r>
        <w:rPr>
          <w:i/>
        </w:rPr>
        <w:t xml:space="preserve">Patent Rules 2007 </w:t>
      </w:r>
      <w:r>
        <w:t>(UK), pt 8.</w:t>
      </w:r>
    </w:p>
  </w:footnote>
  <w:footnote w:id="151">
    <w:p w14:paraId="31411C07" w14:textId="77777777" w:rsidR="00D55219" w:rsidRPr="00DC6831" w:rsidRDefault="00D55219" w:rsidP="002A534C">
      <w:pPr>
        <w:pStyle w:val="FootnoteText"/>
      </w:pPr>
      <w:r>
        <w:rPr>
          <w:rStyle w:val="FootnoteReference"/>
        </w:rPr>
        <w:footnoteRef/>
      </w:r>
      <w:r>
        <w:t xml:space="preserve"> </w:t>
      </w:r>
      <w:r>
        <w:rPr>
          <w:i/>
        </w:rPr>
        <w:t xml:space="preserve">Patent Rules 2007 </w:t>
      </w:r>
      <w:r>
        <w:t>(UK), r 93(3).</w:t>
      </w:r>
    </w:p>
  </w:footnote>
  <w:footnote w:id="152">
    <w:p w14:paraId="29DD1887" w14:textId="653742AD" w:rsidR="00D55219" w:rsidRDefault="00D55219" w:rsidP="002A534C">
      <w:pPr>
        <w:pStyle w:val="FootnoteText"/>
      </w:pPr>
      <w:r>
        <w:rPr>
          <w:rStyle w:val="FootnoteReference"/>
        </w:rPr>
        <w:footnoteRef/>
      </w:r>
      <w:r>
        <w:t xml:space="preserve"> </w:t>
      </w:r>
      <w:r>
        <w:rPr>
          <w:i/>
        </w:rPr>
        <w:t xml:space="preserve">Patents Act 1977 </w:t>
      </w:r>
      <w:r>
        <w:t>(UK), s 74A(4).</w:t>
      </w:r>
    </w:p>
  </w:footnote>
  <w:footnote w:id="153">
    <w:p w14:paraId="2202C0AC" w14:textId="26DC7CA0" w:rsidR="00D55219" w:rsidRDefault="00D55219" w:rsidP="002A534C">
      <w:pPr>
        <w:pStyle w:val="FootnoteText"/>
      </w:pPr>
      <w:r>
        <w:rPr>
          <w:rStyle w:val="FootnoteReference"/>
        </w:rPr>
        <w:footnoteRef/>
      </w:r>
      <w:r>
        <w:t xml:space="preserve"> </w:t>
      </w:r>
      <w:r>
        <w:rPr>
          <w:i/>
        </w:rPr>
        <w:t xml:space="preserve">Patents Act 1977 </w:t>
      </w:r>
      <w:r>
        <w:t>(UK), s 74A(5).</w:t>
      </w:r>
    </w:p>
  </w:footnote>
  <w:footnote w:id="154">
    <w:p w14:paraId="7115F5A7" w14:textId="56DFB43B" w:rsidR="00D55219" w:rsidRDefault="00D55219" w:rsidP="002A534C">
      <w:pPr>
        <w:pStyle w:val="FootnoteText"/>
      </w:pPr>
      <w:r>
        <w:rPr>
          <w:rStyle w:val="FootnoteReference"/>
        </w:rPr>
        <w:footnoteRef/>
      </w:r>
      <w:r>
        <w:t xml:space="preserve"> </w:t>
      </w:r>
      <w:r w:rsidRPr="00585B6B">
        <w:rPr>
          <w:i/>
        </w:rPr>
        <w:t>Patents Act 1977</w:t>
      </w:r>
      <w:r>
        <w:t xml:space="preserve"> (UK), s 73 (1A</w:t>
      </w:r>
      <w:r w:rsidRPr="00D62A1D">
        <w:t>)</w:t>
      </w:r>
      <w:r>
        <w:t xml:space="preserve"> – (1C)</w:t>
      </w:r>
      <w:r w:rsidRPr="00D62A1D">
        <w:t>.</w:t>
      </w:r>
      <w:r>
        <w:t xml:space="preserve"> </w:t>
      </w:r>
      <w:r w:rsidRPr="000C6F65">
        <w:t>Note that the UK does not appear to have a direct equivalent to Australia’s third</w:t>
      </w:r>
      <w:r>
        <w:t>-</w:t>
      </w:r>
      <w:r w:rsidRPr="000C6F65">
        <w:t>party re-examination provisions (re-examination in the UK appears to be equivalent to further examination reports</w:t>
      </w:r>
      <w:r>
        <w:t xml:space="preserve"> in Australia. See Intellectual Property Office, </w:t>
      </w:r>
      <w:r>
        <w:rPr>
          <w:i/>
        </w:rPr>
        <w:t xml:space="preserve">Statutory guidance: Timeliness target for re-examination of patent applications, </w:t>
      </w:r>
      <w:r>
        <w:t xml:space="preserve">UK Government website, 2016, accessed 11 January 2021. </w:t>
      </w:r>
      <w:hyperlink r:id="rId91" w:history="1">
        <w:r w:rsidRPr="006E7D5F">
          <w:rPr>
            <w:rStyle w:val="Hyperlink"/>
          </w:rPr>
          <w:t>https://www.gov.uk/government/publications/timeliness-target-for-re-examination-of-patent-applications/timeliness-target-for-re-examination-of-patent-applications</w:t>
        </w:r>
      </w:hyperlink>
      <w:r w:rsidRPr="005C4AAA">
        <w:rPr>
          <w:rStyle w:val="Hyperlink"/>
          <w:color w:val="auto"/>
          <w:u w:val="none"/>
        </w:rPr>
        <w:t>.</w:t>
      </w:r>
    </w:p>
    <w:p w14:paraId="5EA640DA" w14:textId="44576EDB" w:rsidR="00D55219" w:rsidRDefault="00D55219" w:rsidP="002A534C">
      <w:pPr>
        <w:pStyle w:val="FootnoteText"/>
      </w:pPr>
      <w:r w:rsidRPr="000C6F65">
        <w:t xml:space="preserve">Third parties may request revocation of a granted patent, but it will be conducted as a contested hearing with detailed procedural rules to hear both parties (analogous to Australia’s opposition process): </w:t>
      </w:r>
      <w:r w:rsidRPr="000C6F65">
        <w:rPr>
          <w:i/>
        </w:rPr>
        <w:t>Patent Rule</w:t>
      </w:r>
      <w:r>
        <w:rPr>
          <w:i/>
        </w:rPr>
        <w:t>s</w:t>
      </w:r>
      <w:r w:rsidRPr="000C6F65">
        <w:rPr>
          <w:i/>
        </w:rPr>
        <w:t xml:space="preserve"> 2007</w:t>
      </w:r>
      <w:r>
        <w:t xml:space="preserve"> (UK), pt 7 and sch 3, p</w:t>
      </w:r>
      <w:r w:rsidRPr="000C6F65">
        <w:t>t 2.</w:t>
      </w:r>
      <w:r>
        <w:t xml:space="preserve"> By contrast, a third party’s involvement in re-examination in Australia is limited to making the initial request and providing supporting reasons and evidence for that request. </w:t>
      </w:r>
    </w:p>
  </w:footnote>
  <w:footnote w:id="155">
    <w:p w14:paraId="2B12D825" w14:textId="113939AD" w:rsidR="00D55219" w:rsidRDefault="00D55219" w:rsidP="002A534C">
      <w:pPr>
        <w:pStyle w:val="FootnoteText"/>
      </w:pPr>
      <w:r>
        <w:rPr>
          <w:rStyle w:val="FootnoteReference"/>
        </w:rPr>
        <w:footnoteRef/>
      </w:r>
      <w:r>
        <w:t xml:space="preserve"> UK Government, ‘</w:t>
      </w:r>
      <w:r w:rsidRPr="005F7663">
        <w:t xml:space="preserve">Guidance: </w:t>
      </w:r>
      <w:r w:rsidRPr="0006177E">
        <w:t>Opinions: resolving patent disputes</w:t>
      </w:r>
      <w:r>
        <w:t>’</w:t>
      </w:r>
      <w:r>
        <w:rPr>
          <w:i/>
        </w:rPr>
        <w:t xml:space="preserve">, Patents, </w:t>
      </w:r>
      <w:r>
        <w:t>UK government website,</w:t>
      </w:r>
      <w:r>
        <w:rPr>
          <w:i/>
        </w:rPr>
        <w:t xml:space="preserve"> </w:t>
      </w:r>
      <w:r>
        <w:t xml:space="preserve">2014, accessed 11 January 2021. </w:t>
      </w:r>
      <w:hyperlink r:id="rId92" w:history="1">
        <w:r w:rsidRPr="001411EC">
          <w:rPr>
            <w:rStyle w:val="Hyperlink"/>
          </w:rPr>
          <w:t>www.gov.uk/guidance/opinions-resolving-patent-disputes</w:t>
        </w:r>
      </w:hyperlink>
      <w:r w:rsidRPr="005C4AAA">
        <w:rPr>
          <w:rStyle w:val="Hyperlink"/>
          <w:color w:val="auto"/>
          <w:u w:val="none"/>
        </w:rPr>
        <w:t>.</w:t>
      </w:r>
    </w:p>
  </w:footnote>
  <w:footnote w:id="156">
    <w:p w14:paraId="0CFABAF7" w14:textId="1431A5AE" w:rsidR="00D55219" w:rsidRDefault="00D55219" w:rsidP="002A534C">
      <w:pPr>
        <w:pStyle w:val="FootnoteText"/>
      </w:pPr>
      <w:r>
        <w:rPr>
          <w:rStyle w:val="FootnoteReference"/>
        </w:rPr>
        <w:footnoteRef/>
      </w:r>
      <w:r>
        <w:t xml:space="preserve"> Clarke Willmott, ‘T</w:t>
      </w:r>
      <w:r w:rsidRPr="003F070D">
        <w:t>op 10 tips to reduce the cost of IP Litigation</w:t>
      </w:r>
      <w:r>
        <w:t xml:space="preserve">’, </w:t>
      </w:r>
      <w:r>
        <w:rPr>
          <w:i/>
        </w:rPr>
        <w:t>Clarke Willmott</w:t>
      </w:r>
      <w:r>
        <w:t xml:space="preserve">, 27 January 2014, accessed 8 January 2021. </w:t>
      </w:r>
      <w:hyperlink r:id="rId93" w:history="1">
        <w:r w:rsidRPr="00640C86">
          <w:rPr>
            <w:rStyle w:val="Hyperlink"/>
          </w:rPr>
          <w:t>https://www.clarkewillmott.com/news/top-10-tips-to-reduce-the-cost-of-ip-litigation/</w:t>
        </w:r>
      </w:hyperlink>
      <w:r w:rsidRPr="005D54BD">
        <w:rPr>
          <w:rStyle w:val="Hyperlink"/>
          <w:color w:val="auto"/>
          <w:u w:val="none"/>
        </w:rPr>
        <w:t>.</w:t>
      </w:r>
    </w:p>
  </w:footnote>
  <w:footnote w:id="157">
    <w:p w14:paraId="09E36010" w14:textId="73DD8484" w:rsidR="00D55219" w:rsidRDefault="00D55219" w:rsidP="002A534C">
      <w:pPr>
        <w:pStyle w:val="FootnoteText"/>
      </w:pPr>
      <w:r>
        <w:rPr>
          <w:rStyle w:val="FootnoteReference"/>
        </w:rPr>
        <w:footnoteRef/>
      </w:r>
      <w:r>
        <w:t xml:space="preserve"> UK Government, ‘</w:t>
      </w:r>
      <w:r w:rsidRPr="005F7663">
        <w:t xml:space="preserve">Guidance: </w:t>
      </w:r>
      <w:r>
        <w:t>Requests for o</w:t>
      </w:r>
      <w:r w:rsidRPr="0006177E">
        <w:t>pinions:</w:t>
      </w:r>
      <w:r>
        <w:t xml:space="preserve"> 2020’</w:t>
      </w:r>
      <w:r>
        <w:rPr>
          <w:i/>
        </w:rPr>
        <w:t xml:space="preserve">, Patents, </w:t>
      </w:r>
      <w:r>
        <w:t>UK government website,</w:t>
      </w:r>
      <w:r>
        <w:rPr>
          <w:i/>
        </w:rPr>
        <w:t xml:space="preserve"> </w:t>
      </w:r>
      <w:r>
        <w:t xml:space="preserve">2020, accessed </w:t>
      </w:r>
      <w:r w:rsidRPr="008809A1">
        <w:t>11 November 2020</w:t>
      </w:r>
      <w:r>
        <w:t xml:space="preserve">. </w:t>
      </w:r>
      <w:hyperlink r:id="rId94" w:history="1">
        <w:r w:rsidRPr="006E7D5F">
          <w:rPr>
            <w:rStyle w:val="Hyperlink"/>
          </w:rPr>
          <w:t>https://www.gov.uk/guidance/requests-for-opinions-2020</w:t>
        </w:r>
      </w:hyperlink>
      <w:r w:rsidRPr="005D54BD">
        <w:rPr>
          <w:rStyle w:val="Hyperlink"/>
          <w:color w:val="auto"/>
          <w:u w:val="none"/>
        </w:rPr>
        <w:t>.</w:t>
      </w:r>
    </w:p>
    <w:p w14:paraId="72E9007B" w14:textId="53AECC39" w:rsidR="00D55219" w:rsidRDefault="00D55219" w:rsidP="002A534C">
      <w:pPr>
        <w:pStyle w:val="FootnoteText"/>
      </w:pPr>
      <w:r>
        <w:t>UK Government, ‘</w:t>
      </w:r>
      <w:r w:rsidRPr="005F7663">
        <w:t xml:space="preserve">Guidance: </w:t>
      </w:r>
      <w:r>
        <w:t>Requests for o</w:t>
      </w:r>
      <w:r w:rsidRPr="0006177E">
        <w:t>pinions:</w:t>
      </w:r>
      <w:r>
        <w:t xml:space="preserve"> 2019’</w:t>
      </w:r>
      <w:r>
        <w:rPr>
          <w:i/>
        </w:rPr>
        <w:t xml:space="preserve">, Patents, </w:t>
      </w:r>
      <w:r>
        <w:t>UK government website,</w:t>
      </w:r>
      <w:r>
        <w:rPr>
          <w:i/>
        </w:rPr>
        <w:t xml:space="preserve"> </w:t>
      </w:r>
      <w:r>
        <w:t xml:space="preserve">2019, accessed </w:t>
      </w:r>
      <w:r w:rsidRPr="008809A1">
        <w:t>11 November 2020</w:t>
      </w:r>
      <w:r>
        <w:t xml:space="preserve">. </w:t>
      </w:r>
      <w:hyperlink r:id="rId95" w:history="1">
        <w:r w:rsidRPr="001411EC">
          <w:rPr>
            <w:rStyle w:val="Hyperlink"/>
          </w:rPr>
          <w:t>https://www.gov.uk/guidance/requests-for-opinions-2019</w:t>
        </w:r>
      </w:hyperlink>
      <w:r w:rsidRPr="005D54BD">
        <w:rPr>
          <w:rStyle w:val="Hyperlink"/>
          <w:color w:val="auto"/>
          <w:u w:val="none"/>
        </w:rPr>
        <w:t>.</w:t>
      </w:r>
    </w:p>
    <w:p w14:paraId="6FC45123" w14:textId="0FE80905" w:rsidR="00D55219" w:rsidRDefault="00D55219" w:rsidP="002A534C">
      <w:pPr>
        <w:pStyle w:val="FootnoteText"/>
      </w:pPr>
      <w:r>
        <w:t>UK Government, ‘</w:t>
      </w:r>
      <w:r w:rsidRPr="005F7663">
        <w:t xml:space="preserve">Guidance: </w:t>
      </w:r>
      <w:r>
        <w:t>Requests for o</w:t>
      </w:r>
      <w:r w:rsidRPr="0006177E">
        <w:t>pinions:</w:t>
      </w:r>
      <w:r>
        <w:t xml:space="preserve"> 2018’</w:t>
      </w:r>
      <w:r>
        <w:rPr>
          <w:i/>
        </w:rPr>
        <w:t xml:space="preserve">, Patents, </w:t>
      </w:r>
      <w:r>
        <w:t>UK government website,</w:t>
      </w:r>
      <w:r>
        <w:rPr>
          <w:i/>
        </w:rPr>
        <w:t xml:space="preserve"> </w:t>
      </w:r>
      <w:r>
        <w:t xml:space="preserve">2018, accessed </w:t>
      </w:r>
      <w:r w:rsidRPr="008809A1">
        <w:t>11 November 2020</w:t>
      </w:r>
      <w:r>
        <w:t xml:space="preserve">. </w:t>
      </w:r>
      <w:hyperlink r:id="rId96" w:history="1">
        <w:r w:rsidRPr="001411EC">
          <w:rPr>
            <w:rStyle w:val="Hyperlink"/>
          </w:rPr>
          <w:t>https://www.gov.uk/guidance/requests-for-opinions-2018</w:t>
        </w:r>
      </w:hyperlink>
      <w:r w:rsidRPr="005D54BD">
        <w:rPr>
          <w:rStyle w:val="Hyperlink"/>
          <w:color w:val="auto"/>
          <w:u w:val="none"/>
        </w:rPr>
        <w:t>.</w:t>
      </w:r>
    </w:p>
    <w:p w14:paraId="59699FA1" w14:textId="5413F763" w:rsidR="00D55219" w:rsidRDefault="00D55219" w:rsidP="002A534C">
      <w:pPr>
        <w:pStyle w:val="FootnoteText"/>
      </w:pPr>
      <w:r>
        <w:t>UK Government, ‘</w:t>
      </w:r>
      <w:r w:rsidRPr="005F7663">
        <w:t xml:space="preserve">Guidance: </w:t>
      </w:r>
      <w:r>
        <w:t>Requests for o</w:t>
      </w:r>
      <w:r w:rsidRPr="0006177E">
        <w:t>pinions:</w:t>
      </w:r>
      <w:r>
        <w:t xml:space="preserve"> 2017’</w:t>
      </w:r>
      <w:r>
        <w:rPr>
          <w:i/>
        </w:rPr>
        <w:t xml:space="preserve">, Patents, </w:t>
      </w:r>
      <w:r>
        <w:t>UK government website,</w:t>
      </w:r>
      <w:r>
        <w:rPr>
          <w:i/>
        </w:rPr>
        <w:t xml:space="preserve"> </w:t>
      </w:r>
      <w:r>
        <w:t xml:space="preserve">2017, accessed </w:t>
      </w:r>
      <w:r w:rsidRPr="008809A1">
        <w:t>11 November 2020</w:t>
      </w:r>
      <w:r>
        <w:t xml:space="preserve">. </w:t>
      </w:r>
      <w:hyperlink r:id="rId97" w:history="1">
        <w:r w:rsidRPr="001411EC">
          <w:rPr>
            <w:rStyle w:val="Hyperlink"/>
          </w:rPr>
          <w:t>https://www.gov.uk/guidance/requests-for-opinions-2017</w:t>
        </w:r>
      </w:hyperlink>
      <w:r w:rsidRPr="005D54BD">
        <w:rPr>
          <w:rStyle w:val="Hyperlink"/>
          <w:color w:val="auto"/>
          <w:u w:val="none"/>
        </w:rPr>
        <w:t>.</w:t>
      </w:r>
      <w:r>
        <w:t xml:space="preserve"> </w:t>
      </w:r>
    </w:p>
  </w:footnote>
  <w:footnote w:id="158">
    <w:p w14:paraId="441DBD54" w14:textId="77777777" w:rsidR="00D55219" w:rsidRDefault="00D55219" w:rsidP="002A534C">
      <w:pPr>
        <w:pStyle w:val="FootnoteText"/>
      </w:pPr>
      <w:r>
        <w:rPr>
          <w:rStyle w:val="FootnoteReference"/>
        </w:rPr>
        <w:footnoteRef/>
      </w:r>
      <w:r>
        <w:t xml:space="preserve"> Partial year, accessed 11 November 2020. </w:t>
      </w:r>
    </w:p>
  </w:footnote>
  <w:footnote w:id="159">
    <w:p w14:paraId="43F51130" w14:textId="1BF59572" w:rsidR="00D55219" w:rsidRDefault="00D55219" w:rsidP="002A534C">
      <w:pPr>
        <w:pStyle w:val="FootnoteText"/>
      </w:pPr>
      <w:r>
        <w:rPr>
          <w:rStyle w:val="FootnoteReference"/>
        </w:rPr>
        <w:footnoteRef/>
      </w:r>
      <w:r>
        <w:t xml:space="preserve"> UK Government, ‘</w:t>
      </w:r>
      <w:r w:rsidRPr="005F7663">
        <w:t xml:space="preserve">Guidance: </w:t>
      </w:r>
      <w:r w:rsidRPr="002520CA">
        <w:t>Applications for reviews on patent opinions</w:t>
      </w:r>
      <w:r>
        <w:t>’</w:t>
      </w:r>
      <w:r>
        <w:rPr>
          <w:i/>
        </w:rPr>
        <w:t xml:space="preserve">, Patents, </w:t>
      </w:r>
      <w:r>
        <w:t>UK government website,</w:t>
      </w:r>
      <w:r>
        <w:rPr>
          <w:i/>
        </w:rPr>
        <w:t xml:space="preserve"> </w:t>
      </w:r>
      <w:r>
        <w:t xml:space="preserve">2020, accessed </w:t>
      </w:r>
      <w:r w:rsidRPr="008809A1">
        <w:t>11 November 2020</w:t>
      </w:r>
      <w:r>
        <w:t xml:space="preserve">. </w:t>
      </w:r>
      <w:hyperlink r:id="rId98" w:history="1">
        <w:r w:rsidRPr="001411EC">
          <w:rPr>
            <w:rStyle w:val="Hyperlink"/>
          </w:rPr>
          <w:t>https://www.gov.uk/government/publications/applications-for-reviews-on-patent-opinions/applications-for-reviews-on-patent-opinions</w:t>
        </w:r>
      </w:hyperlink>
      <w:r w:rsidRPr="005D54BD">
        <w:rPr>
          <w:rStyle w:val="Hyperlink"/>
          <w:color w:val="auto"/>
          <w:u w:val="none"/>
        </w:rPr>
        <w:t>.</w:t>
      </w:r>
      <w:r>
        <w:t xml:space="preserve"> </w:t>
      </w:r>
    </w:p>
  </w:footnote>
  <w:footnote w:id="160">
    <w:p w14:paraId="13EF4EAE" w14:textId="225F9A14" w:rsidR="00D55219" w:rsidRDefault="00D55219">
      <w:pPr>
        <w:pStyle w:val="FootnoteText"/>
      </w:pPr>
      <w:r>
        <w:rPr>
          <w:rStyle w:val="FootnoteReference"/>
        </w:rPr>
        <w:footnoteRef/>
      </w:r>
      <w:r>
        <w:t xml:space="preserve"> </w:t>
      </w:r>
      <w:r w:rsidRPr="00986A53">
        <w:t xml:space="preserve">See </w:t>
      </w:r>
      <w:r w:rsidRPr="00585B6B">
        <w:rPr>
          <w:i/>
        </w:rPr>
        <w:t>DLP Ltd, Re UK Intellectual Property Office Decision</w:t>
      </w:r>
      <w:r w:rsidRPr="00986A53">
        <w:t xml:space="preserve"> [2007] EWHC 2669 (Pat) and </w:t>
      </w:r>
      <w:r w:rsidRPr="00585B6B">
        <w:rPr>
          <w:i/>
        </w:rPr>
        <w:t>Cunningham v Nokia Corporation</w:t>
      </w:r>
      <w:r w:rsidRPr="00986A53">
        <w:t xml:space="preserve"> [2008] EWHC 1174 (Ch).</w:t>
      </w:r>
    </w:p>
  </w:footnote>
  <w:footnote w:id="161">
    <w:p w14:paraId="2BA137D4" w14:textId="3A6BFCB9" w:rsidR="00D55219" w:rsidRDefault="00D55219" w:rsidP="002A534C">
      <w:pPr>
        <w:pStyle w:val="FootnoteText"/>
      </w:pPr>
      <w:r>
        <w:rPr>
          <w:rStyle w:val="FootnoteReference"/>
        </w:rPr>
        <w:footnoteRef/>
      </w:r>
      <w:r>
        <w:t xml:space="preserve"> WIPO, ‘</w:t>
      </w:r>
      <w:r w:rsidRPr="002520CA">
        <w:t>Alternative Dispute Resolution</w:t>
      </w:r>
      <w:r>
        <w:t>’</w:t>
      </w:r>
      <w:r>
        <w:rPr>
          <w:i/>
        </w:rPr>
        <w:t xml:space="preserve">, IP Services, </w:t>
      </w:r>
      <w:r>
        <w:t xml:space="preserve">WIPO website, n.d., accessed 18 December 2020. </w:t>
      </w:r>
      <w:hyperlink r:id="rId99" w:history="1">
        <w:r w:rsidRPr="00C60210">
          <w:rPr>
            <w:rStyle w:val="Hyperlink"/>
          </w:rPr>
          <w:t>https://www.wipo.int/amc/en/center/index.html</w:t>
        </w:r>
      </w:hyperlink>
      <w:r w:rsidRPr="005D54BD">
        <w:rPr>
          <w:rStyle w:val="Hyperlink"/>
          <w:color w:val="auto"/>
          <w:u w:val="none"/>
        </w:rPr>
        <w:t>.</w:t>
      </w:r>
      <w:r>
        <w:t xml:space="preserve"> </w:t>
      </w:r>
    </w:p>
  </w:footnote>
  <w:footnote w:id="162">
    <w:p w14:paraId="3B9EF9A5" w14:textId="77777777" w:rsidR="00D55219" w:rsidRDefault="00D55219" w:rsidP="002520CA">
      <w:pPr>
        <w:pStyle w:val="FootnoteText"/>
      </w:pPr>
      <w:r>
        <w:rPr>
          <w:rStyle w:val="FootnoteReference"/>
        </w:rPr>
        <w:footnoteRef/>
      </w:r>
      <w:r>
        <w:t xml:space="preserve"> WIPO, </w:t>
      </w:r>
      <w:r>
        <w:rPr>
          <w:i/>
        </w:rPr>
        <w:t xml:space="preserve">WIPO Arbitration and Mediation Center, </w:t>
      </w:r>
      <w:r>
        <w:t>WIPO website, n.d., accessed 18 December 2020.</w:t>
      </w:r>
    </w:p>
    <w:p w14:paraId="62E78E3D" w14:textId="40A03B62" w:rsidR="00D55219" w:rsidRPr="002520CA" w:rsidRDefault="000E6C85" w:rsidP="006E1022">
      <w:pPr>
        <w:pStyle w:val="FootnoteText"/>
        <w:spacing w:before="0"/>
        <w:rPr>
          <w:color w:val="0070AE" w:themeColor="hyperlink"/>
          <w:u w:val="single"/>
        </w:rPr>
      </w:pPr>
      <w:hyperlink r:id="rId100" w:history="1">
        <w:r w:rsidR="00D55219" w:rsidRPr="00A7546D">
          <w:rPr>
            <w:rStyle w:val="Hyperlink"/>
          </w:rPr>
          <w:t>https://www.wipo.int/amc/en/center/background.html</w:t>
        </w:r>
      </w:hyperlink>
      <w:r w:rsidR="00D55219" w:rsidRPr="005D54BD">
        <w:rPr>
          <w:rStyle w:val="Hyperlink"/>
          <w:color w:val="auto"/>
          <w:u w:val="none"/>
        </w:rPr>
        <w:t>.</w:t>
      </w:r>
    </w:p>
  </w:footnote>
  <w:footnote w:id="163">
    <w:p w14:paraId="6848AC46" w14:textId="5E12EDE0" w:rsidR="00D55219" w:rsidRDefault="00D55219" w:rsidP="002A534C">
      <w:pPr>
        <w:pStyle w:val="FootnoteText"/>
      </w:pPr>
      <w:r>
        <w:rPr>
          <w:rStyle w:val="FootnoteReference"/>
        </w:rPr>
        <w:footnoteRef/>
      </w:r>
      <w:r>
        <w:t xml:space="preserve"> WIPO, ‘What is mediation’</w:t>
      </w:r>
      <w:r>
        <w:rPr>
          <w:i/>
        </w:rPr>
        <w:t xml:space="preserve">, Alternative Dispute Resolution, </w:t>
      </w:r>
      <w:r>
        <w:t xml:space="preserve">WIPO website, n.d., accessed 18 December 2020. </w:t>
      </w:r>
      <w:hyperlink r:id="rId101" w:history="1">
        <w:r w:rsidRPr="00C60210">
          <w:rPr>
            <w:rStyle w:val="Hyperlink"/>
          </w:rPr>
          <w:t>https://www.wipo.int/amc/en/mediation/what-mediation.html</w:t>
        </w:r>
      </w:hyperlink>
      <w:r w:rsidRPr="005D54BD">
        <w:rPr>
          <w:rStyle w:val="Hyperlink"/>
          <w:color w:val="auto"/>
          <w:u w:val="none"/>
        </w:rPr>
        <w:t>.</w:t>
      </w:r>
      <w:r>
        <w:t xml:space="preserve"> </w:t>
      </w:r>
    </w:p>
  </w:footnote>
  <w:footnote w:id="164">
    <w:p w14:paraId="4E71C19A" w14:textId="3EBF3138" w:rsidR="00D55219" w:rsidRDefault="00D55219" w:rsidP="0C89C1B6">
      <w:pPr>
        <w:pStyle w:val="FootnoteText"/>
      </w:pPr>
      <w:r w:rsidRPr="0C89C1B6">
        <w:rPr>
          <w:rStyle w:val="FootnoteReference"/>
        </w:rPr>
        <w:footnoteRef/>
      </w:r>
      <w:r>
        <w:t xml:space="preserve"> WIPO, ‘Principal Steps in Mediation’</w:t>
      </w:r>
      <w:r w:rsidRPr="0C89C1B6">
        <w:rPr>
          <w:i/>
          <w:iCs/>
        </w:rPr>
        <w:t xml:space="preserve">, Alternative Dispute Resolution, </w:t>
      </w:r>
      <w:r>
        <w:t xml:space="preserve">WIPO website, n.d., accessed 18 December 2020. </w:t>
      </w:r>
      <w:hyperlink r:id="rId102">
        <w:r w:rsidRPr="0C89C1B6">
          <w:rPr>
            <w:rStyle w:val="Hyperlink"/>
          </w:rPr>
          <w:t>https://www.wipo.int/amc/en/mediation/principal-steps.html</w:t>
        </w:r>
      </w:hyperlink>
      <w:r w:rsidRPr="0C89C1B6">
        <w:rPr>
          <w:rStyle w:val="Hyperlink"/>
          <w:color w:val="auto"/>
          <w:u w:val="none"/>
        </w:rPr>
        <w:t>.</w:t>
      </w:r>
      <w:r>
        <w:t xml:space="preserve"> </w:t>
      </w:r>
    </w:p>
  </w:footnote>
  <w:footnote w:id="165">
    <w:p w14:paraId="24375F1E" w14:textId="0EE9AADB" w:rsidR="00D55219" w:rsidRDefault="00D55219" w:rsidP="0C89C1B6">
      <w:pPr>
        <w:pStyle w:val="FootnoteText"/>
      </w:pPr>
      <w:r w:rsidRPr="0C89C1B6">
        <w:rPr>
          <w:rStyle w:val="FootnoteReference"/>
        </w:rPr>
        <w:footnoteRef/>
      </w:r>
      <w:r>
        <w:t xml:space="preserve"> WIPO, ‘WIPO mediation: schedule of fees and costs’</w:t>
      </w:r>
      <w:r w:rsidRPr="0C89C1B6">
        <w:rPr>
          <w:i/>
          <w:iCs/>
        </w:rPr>
        <w:t xml:space="preserve">, Alternative dispute resolution, </w:t>
      </w:r>
      <w:r>
        <w:t xml:space="preserve">WIPO website, n.d., accessed 18 December 2020. </w:t>
      </w:r>
      <w:hyperlink r:id="rId103">
        <w:r w:rsidRPr="0C89C1B6">
          <w:rPr>
            <w:rStyle w:val="Hyperlink"/>
          </w:rPr>
          <w:t>https://www.wipo.int/amc/en/mediation/fees/index.html</w:t>
        </w:r>
      </w:hyperlink>
      <w:r w:rsidRPr="0C89C1B6">
        <w:rPr>
          <w:rStyle w:val="Hyperlink"/>
          <w:color w:val="auto"/>
          <w:u w:val="none"/>
        </w:rPr>
        <w:t>.</w:t>
      </w:r>
      <w:r>
        <w:t xml:space="preserve"> </w:t>
      </w:r>
    </w:p>
  </w:footnote>
  <w:footnote w:id="166">
    <w:p w14:paraId="3BCDA14C" w14:textId="6FAB04F2" w:rsidR="00D55219" w:rsidRDefault="00D55219" w:rsidP="002A534C">
      <w:pPr>
        <w:pStyle w:val="FootnoteText"/>
      </w:pPr>
      <w:r>
        <w:rPr>
          <w:rStyle w:val="FootnoteReference"/>
        </w:rPr>
        <w:footnoteRef/>
      </w:r>
      <w:r>
        <w:t xml:space="preserve"> WIPO, ‘What is arbitration?’</w:t>
      </w:r>
      <w:r>
        <w:rPr>
          <w:i/>
        </w:rPr>
        <w:t xml:space="preserve">, Alternative dispute resolution, </w:t>
      </w:r>
      <w:r>
        <w:t xml:space="preserve">WIPO website, n.d., accessed 18 December 2020. </w:t>
      </w:r>
      <w:hyperlink r:id="rId104" w:history="1">
        <w:r w:rsidRPr="00C60210">
          <w:rPr>
            <w:rStyle w:val="Hyperlink"/>
          </w:rPr>
          <w:t>https://www.wipo.int/amc/en/arbitration/what-is-arb.html</w:t>
        </w:r>
      </w:hyperlink>
      <w:r w:rsidRPr="005D54BD">
        <w:rPr>
          <w:rStyle w:val="Hyperlink"/>
          <w:color w:val="auto"/>
          <w:u w:val="none"/>
        </w:rPr>
        <w:t>.</w:t>
      </w:r>
      <w:r>
        <w:t xml:space="preserve"> </w:t>
      </w:r>
    </w:p>
  </w:footnote>
  <w:footnote w:id="167">
    <w:p w14:paraId="69D7AD49" w14:textId="47CFFAEC" w:rsidR="00D55219" w:rsidRDefault="00D55219" w:rsidP="0C89C1B6">
      <w:pPr>
        <w:pStyle w:val="FootnoteText"/>
      </w:pPr>
      <w:r w:rsidRPr="0C89C1B6">
        <w:rPr>
          <w:rStyle w:val="FootnoteReference"/>
        </w:rPr>
        <w:footnoteRef/>
      </w:r>
      <w:r>
        <w:t xml:space="preserve"> WIPO, ‘Principal Steps in WIPO arbitration and expedited arbitration’</w:t>
      </w:r>
      <w:r w:rsidRPr="0C89C1B6">
        <w:rPr>
          <w:i/>
          <w:iCs/>
        </w:rPr>
        <w:t xml:space="preserve">, Alternative dispute resolution, </w:t>
      </w:r>
      <w:r>
        <w:t xml:space="preserve">WIPO website, n.d., accessed 18 December 2020. </w:t>
      </w:r>
      <w:hyperlink r:id="rId105">
        <w:r w:rsidRPr="0C89C1B6">
          <w:rPr>
            <w:rStyle w:val="Hyperlink"/>
          </w:rPr>
          <w:t>https://www.wipo.int/amc/en/arbitration/expedited-rules/principal-steps.html</w:t>
        </w:r>
      </w:hyperlink>
      <w:r w:rsidRPr="0C89C1B6">
        <w:rPr>
          <w:rStyle w:val="Hyperlink"/>
          <w:color w:val="auto"/>
          <w:u w:val="none"/>
        </w:rPr>
        <w:t>.</w:t>
      </w:r>
      <w:r>
        <w:t xml:space="preserve"> </w:t>
      </w:r>
    </w:p>
  </w:footnote>
  <w:footnote w:id="168">
    <w:p w14:paraId="73C847F1" w14:textId="0D480DA7" w:rsidR="00D55219" w:rsidRDefault="00D55219" w:rsidP="0C89C1B6">
      <w:pPr>
        <w:pStyle w:val="FootnoteText"/>
      </w:pPr>
      <w:r w:rsidRPr="0C89C1B6">
        <w:rPr>
          <w:rStyle w:val="FootnoteReference"/>
        </w:rPr>
        <w:footnoteRef/>
      </w:r>
      <w:r>
        <w:t xml:space="preserve"> WIPO, ‘WIPO arbitration / WIPO expedited arbitration: schedule of fees and costs’</w:t>
      </w:r>
      <w:r w:rsidRPr="0C89C1B6">
        <w:rPr>
          <w:i/>
          <w:iCs/>
        </w:rPr>
        <w:t xml:space="preserve">, Alternative dispute resolution, </w:t>
      </w:r>
      <w:r>
        <w:t xml:space="preserve">WIPO website, n.d., accessed 18 December 2020. </w:t>
      </w:r>
      <w:hyperlink r:id="rId106">
        <w:r w:rsidRPr="0C89C1B6">
          <w:rPr>
            <w:rStyle w:val="Hyperlink"/>
          </w:rPr>
          <w:t>https://www.wipo.int/amc/en/arbitration/fees/</w:t>
        </w:r>
      </w:hyperlink>
      <w:r w:rsidRPr="0C89C1B6">
        <w:rPr>
          <w:rStyle w:val="Hyperlink"/>
          <w:color w:val="auto"/>
          <w:u w:val="none"/>
        </w:rPr>
        <w:t>.</w:t>
      </w:r>
      <w:r>
        <w:t xml:space="preserve"> </w:t>
      </w:r>
    </w:p>
  </w:footnote>
  <w:footnote w:id="169">
    <w:p w14:paraId="67575E4E" w14:textId="7618A413" w:rsidR="00D55219" w:rsidRDefault="00D55219" w:rsidP="0C89C1B6">
      <w:pPr>
        <w:pStyle w:val="FootnoteText"/>
      </w:pPr>
      <w:r w:rsidRPr="0C89C1B6">
        <w:rPr>
          <w:rStyle w:val="FootnoteReference"/>
        </w:rPr>
        <w:footnoteRef/>
      </w:r>
      <w:r>
        <w:t xml:space="preserve"> WIPO, ‘Principal steps in WIPO arbitration and expedited arbitration’</w:t>
      </w:r>
      <w:r w:rsidRPr="0C89C1B6">
        <w:rPr>
          <w:i/>
          <w:iCs/>
        </w:rPr>
        <w:t xml:space="preserve">, Alternative dispute resolution, </w:t>
      </w:r>
      <w:r>
        <w:t xml:space="preserve">WIPO website, n.d., accessed 18 December 2020. </w:t>
      </w:r>
      <w:hyperlink r:id="rId107">
        <w:r w:rsidRPr="0C89C1B6">
          <w:rPr>
            <w:rStyle w:val="Hyperlink"/>
          </w:rPr>
          <w:t>https://www.wipo.int/amc/en/arbitration/expedited-rules/principal-steps.html</w:t>
        </w:r>
      </w:hyperlink>
      <w:r w:rsidRPr="0C89C1B6">
        <w:rPr>
          <w:rStyle w:val="Hyperlink"/>
          <w:color w:val="auto"/>
          <w:u w:val="none"/>
        </w:rPr>
        <w:t>.</w:t>
      </w:r>
      <w:r>
        <w:t xml:space="preserve"> </w:t>
      </w:r>
    </w:p>
  </w:footnote>
  <w:footnote w:id="170">
    <w:p w14:paraId="58C9487D" w14:textId="33CC1AA4" w:rsidR="00D55219" w:rsidRDefault="00D55219" w:rsidP="0C89C1B6">
      <w:pPr>
        <w:pStyle w:val="FootnoteText"/>
      </w:pPr>
      <w:r w:rsidRPr="0C89C1B6">
        <w:rPr>
          <w:rStyle w:val="FootnoteReference"/>
        </w:rPr>
        <w:footnoteRef/>
      </w:r>
      <w:r>
        <w:t xml:space="preserve"> WIPO, ‘WIPO arbitration/WIPO expedited arbitration: schedule of fees and costs’</w:t>
      </w:r>
      <w:r w:rsidRPr="0C89C1B6">
        <w:rPr>
          <w:i/>
          <w:iCs/>
        </w:rPr>
        <w:t xml:space="preserve">, Alternative dispute resolution, </w:t>
      </w:r>
      <w:r>
        <w:t xml:space="preserve">WIPO website, n.d., accessed 18 December 2020. </w:t>
      </w:r>
      <w:hyperlink r:id="rId108">
        <w:r w:rsidRPr="0C89C1B6">
          <w:rPr>
            <w:rStyle w:val="Hyperlink"/>
          </w:rPr>
          <w:t>https://www.wipo.int/amc/en/arbitration/fees/</w:t>
        </w:r>
      </w:hyperlink>
      <w:r w:rsidRPr="0C89C1B6">
        <w:rPr>
          <w:rStyle w:val="Hyperlink"/>
          <w:color w:val="auto"/>
          <w:u w:val="none"/>
        </w:rPr>
        <w:t>.</w:t>
      </w:r>
      <w:r>
        <w:t xml:space="preserve"> </w:t>
      </w:r>
    </w:p>
  </w:footnote>
  <w:footnote w:id="171">
    <w:p w14:paraId="0A258EDF" w14:textId="0E7A62B8" w:rsidR="00D55219" w:rsidRDefault="00D55219" w:rsidP="002A534C">
      <w:pPr>
        <w:pStyle w:val="FootnoteText"/>
      </w:pPr>
      <w:r>
        <w:rPr>
          <w:rStyle w:val="FootnoteReference"/>
        </w:rPr>
        <w:footnoteRef/>
      </w:r>
      <w:r>
        <w:t xml:space="preserve"> WIPO, ‘What is expert determination?’,</w:t>
      </w:r>
      <w:r>
        <w:rPr>
          <w:i/>
        </w:rPr>
        <w:t xml:space="preserve"> Alternative dispute resolution, </w:t>
      </w:r>
      <w:r>
        <w:t xml:space="preserve">WIPO website, n.d., accessed 18 December 2020. </w:t>
      </w:r>
      <w:hyperlink r:id="rId109" w:history="1">
        <w:r w:rsidRPr="00C60210">
          <w:rPr>
            <w:rStyle w:val="Hyperlink"/>
          </w:rPr>
          <w:t>https://www.wipo.int/amc/en/expert-determination/what-is-exp.html</w:t>
        </w:r>
      </w:hyperlink>
      <w:r w:rsidRPr="005C4AAA">
        <w:rPr>
          <w:rStyle w:val="Hyperlink"/>
          <w:color w:val="auto"/>
          <w:u w:val="none"/>
        </w:rPr>
        <w:t>.</w:t>
      </w:r>
      <w:r>
        <w:t xml:space="preserve"> </w:t>
      </w:r>
    </w:p>
  </w:footnote>
  <w:footnote w:id="172">
    <w:p w14:paraId="2406F1E5" w14:textId="4F1A76C6" w:rsidR="00D55219" w:rsidRDefault="00D55219" w:rsidP="0C89C1B6">
      <w:pPr>
        <w:pStyle w:val="FootnoteText"/>
      </w:pPr>
      <w:r w:rsidRPr="0C89C1B6">
        <w:rPr>
          <w:rStyle w:val="FootnoteReference"/>
        </w:rPr>
        <w:footnoteRef/>
      </w:r>
      <w:r>
        <w:t xml:space="preserve"> WIPO, ‘Principal steps in WIPO expert determination’</w:t>
      </w:r>
      <w:r w:rsidRPr="0C89C1B6">
        <w:rPr>
          <w:i/>
          <w:iCs/>
        </w:rPr>
        <w:t xml:space="preserve">, Alternative dispute resolution, </w:t>
      </w:r>
      <w:r>
        <w:t xml:space="preserve">WIPO website, n.d., accessed 18 December 2020. </w:t>
      </w:r>
      <w:hyperlink r:id="rId110">
        <w:r w:rsidRPr="0C89C1B6">
          <w:rPr>
            <w:rStyle w:val="Hyperlink"/>
          </w:rPr>
          <w:t>https://www.wipo.int/amc/en/expert-determination/principal-steps.html</w:t>
        </w:r>
      </w:hyperlink>
      <w:r w:rsidRPr="0C89C1B6">
        <w:rPr>
          <w:rStyle w:val="Hyperlink"/>
          <w:color w:val="auto"/>
          <w:u w:val="none"/>
        </w:rPr>
        <w:t>.</w:t>
      </w:r>
      <w:r>
        <w:t xml:space="preserve"> </w:t>
      </w:r>
    </w:p>
  </w:footnote>
  <w:footnote w:id="173">
    <w:p w14:paraId="75735EEB" w14:textId="4F06476F" w:rsidR="00D55219" w:rsidRDefault="00D55219" w:rsidP="002A534C">
      <w:pPr>
        <w:pStyle w:val="FootnoteText"/>
      </w:pPr>
      <w:r>
        <w:rPr>
          <w:rStyle w:val="FootnoteReference"/>
        </w:rPr>
        <w:footnoteRef/>
      </w:r>
      <w:r>
        <w:t xml:space="preserve"> WIPO, ‘WIPO expert determination: Schedule of fees and costs’</w:t>
      </w:r>
      <w:r>
        <w:rPr>
          <w:i/>
        </w:rPr>
        <w:t xml:space="preserve">, Alternative dispute resolution, </w:t>
      </w:r>
      <w:r>
        <w:t xml:space="preserve">WIPO website, n.d., accessed 18 December 2020. </w:t>
      </w:r>
      <w:hyperlink r:id="rId111" w:history="1">
        <w:r w:rsidRPr="00C60210">
          <w:rPr>
            <w:rStyle w:val="Hyperlink"/>
          </w:rPr>
          <w:t>https://www.wipo.int/amc/en/expert-determination/fees/index.html</w:t>
        </w:r>
      </w:hyperlink>
      <w:r w:rsidRPr="005D54BD">
        <w:rPr>
          <w:rStyle w:val="Hyperlink"/>
          <w:color w:val="auto"/>
          <w:u w:val="none"/>
        </w:rPr>
        <w:t>.</w:t>
      </w:r>
      <w:r>
        <w:t xml:space="preserve"> </w:t>
      </w:r>
    </w:p>
  </w:footnote>
  <w:footnote w:id="174">
    <w:p w14:paraId="1EF7A189" w14:textId="77777777" w:rsidR="00D55219" w:rsidRDefault="00D55219" w:rsidP="002520CA">
      <w:pPr>
        <w:pStyle w:val="FootnoteText"/>
      </w:pPr>
      <w:r>
        <w:rPr>
          <w:rStyle w:val="FootnoteReference"/>
        </w:rPr>
        <w:footnoteRef/>
      </w:r>
      <w:r>
        <w:t xml:space="preserve"> WIPO, </w:t>
      </w:r>
      <w:r>
        <w:rPr>
          <w:i/>
        </w:rPr>
        <w:t xml:space="preserve">WIPO Arbitration and Mediation Center, </w:t>
      </w:r>
      <w:r>
        <w:t>WIPO website, n.d., accessed 18 December 2020.</w:t>
      </w:r>
    </w:p>
    <w:p w14:paraId="660D49B7" w14:textId="49910C24" w:rsidR="00D55219" w:rsidRDefault="000E6C85" w:rsidP="002520CA">
      <w:pPr>
        <w:pStyle w:val="FootnoteText"/>
      </w:pPr>
      <w:hyperlink r:id="rId112" w:history="1">
        <w:r w:rsidR="00D55219" w:rsidRPr="00A7546D">
          <w:rPr>
            <w:rStyle w:val="Hyperlink"/>
          </w:rPr>
          <w:t>https://www.wipo.int/amc/en/center/background.html</w:t>
        </w:r>
      </w:hyperlink>
      <w:r w:rsidR="00D55219" w:rsidRPr="005D54BD">
        <w:rPr>
          <w:rStyle w:val="Hyperlink"/>
          <w:color w:val="auto"/>
          <w:u w:val="none"/>
        </w:rPr>
        <w:t>.</w:t>
      </w:r>
    </w:p>
  </w:footnote>
  <w:footnote w:id="175">
    <w:p w14:paraId="26D1E47F" w14:textId="62BDF8E1" w:rsidR="00D55219" w:rsidRDefault="00D55219" w:rsidP="002A534C">
      <w:pPr>
        <w:pStyle w:val="FootnoteText"/>
      </w:pPr>
      <w:r>
        <w:rPr>
          <w:rStyle w:val="FootnoteReference"/>
        </w:rPr>
        <w:footnoteRef/>
      </w:r>
      <w:r>
        <w:t xml:space="preserve"> WIPO, ‘WIPO Good Offices’</w:t>
      </w:r>
      <w:r>
        <w:rPr>
          <w:i/>
        </w:rPr>
        <w:t xml:space="preserve">, Alternative dispute resolution, </w:t>
      </w:r>
      <w:r>
        <w:t xml:space="preserve">WIPO website, n.d., accessed 18 December 2020. </w:t>
      </w:r>
      <w:hyperlink r:id="rId113" w:history="1">
        <w:r w:rsidRPr="00C60210">
          <w:rPr>
            <w:rStyle w:val="Hyperlink"/>
          </w:rPr>
          <w:t>https://www.wipo.int/amc/en/goodoffices/</w:t>
        </w:r>
      </w:hyperlink>
      <w:r w:rsidRPr="005D54BD">
        <w:rPr>
          <w:rStyle w:val="Hyperlink"/>
          <w:color w:val="auto"/>
          <w:u w:val="none"/>
        </w:rPr>
        <w:t>.</w:t>
      </w:r>
      <w:r>
        <w:t xml:space="preserve"> </w:t>
      </w:r>
    </w:p>
  </w:footnote>
  <w:footnote w:id="176">
    <w:p w14:paraId="37401F3E" w14:textId="23B11BCC" w:rsidR="00D55219" w:rsidRDefault="00D55219" w:rsidP="0C89C1B6">
      <w:pPr>
        <w:pStyle w:val="FootnoteText"/>
      </w:pPr>
      <w:r w:rsidRPr="0C89C1B6">
        <w:rPr>
          <w:rStyle w:val="FootnoteReference"/>
        </w:rPr>
        <w:footnoteRef/>
      </w:r>
      <w:r>
        <w:t xml:space="preserve"> WIPO, ‘2019 Review: WIPO Arbitration and Mediation Center’</w:t>
      </w:r>
      <w:r w:rsidRPr="0C89C1B6">
        <w:rPr>
          <w:i/>
          <w:iCs/>
        </w:rPr>
        <w:t xml:space="preserve">, Alternative dispute resolution, </w:t>
      </w:r>
      <w:r>
        <w:t xml:space="preserve">WIPO website, 2020, accessed 18 December 2020. </w:t>
      </w:r>
      <w:hyperlink r:id="rId114">
        <w:r w:rsidRPr="0C89C1B6">
          <w:rPr>
            <w:rStyle w:val="Hyperlink"/>
          </w:rPr>
          <w:t>https://www.wipo.int/amc/en/new/2019review.html</w:t>
        </w:r>
      </w:hyperlink>
      <w:r w:rsidRPr="0C89C1B6">
        <w:rPr>
          <w:rStyle w:val="Hyperlink"/>
        </w:rPr>
        <w:t>.</w:t>
      </w:r>
    </w:p>
    <w:p w14:paraId="24FC540A" w14:textId="214756FD" w:rsidR="00D55219" w:rsidRDefault="00D55219" w:rsidP="0C89C1B6">
      <w:pPr>
        <w:pStyle w:val="FootnoteText"/>
      </w:pPr>
      <w:r>
        <w:t xml:space="preserve">As above, Annex 7. </w:t>
      </w:r>
      <w:hyperlink r:id="rId115">
        <w:r w:rsidRPr="0C89C1B6">
          <w:rPr>
            <w:rStyle w:val="Hyperlink"/>
          </w:rPr>
          <w:t>https://www.wipo.int/export/sites/www/amc/en/docs/pr2020annex7.pdf</w:t>
        </w:r>
      </w:hyperlink>
      <w:r w:rsidRPr="0C89C1B6">
        <w:rPr>
          <w:rStyle w:val="Hyperlink"/>
          <w:color w:val="auto"/>
          <w:u w:val="none"/>
        </w:rPr>
        <w:t>.</w:t>
      </w:r>
      <w:r>
        <w:t xml:space="preserve"> </w:t>
      </w:r>
    </w:p>
  </w:footnote>
  <w:footnote w:id="177">
    <w:p w14:paraId="3FDD8855" w14:textId="5DBD9FAC" w:rsidR="00D55219" w:rsidRDefault="00D55219" w:rsidP="002A534C">
      <w:pPr>
        <w:pStyle w:val="FootnoteText"/>
      </w:pPr>
      <w:r>
        <w:rPr>
          <w:rStyle w:val="FootnoteReference"/>
        </w:rPr>
        <w:footnoteRef/>
      </w:r>
      <w:r>
        <w:t xml:space="preserve"> WIPO, ‘WIPO caseload summary: WIPO mediation, arbitration, expert determination cases </w:t>
      </w:r>
      <w:r w:rsidRPr="009F654A">
        <w:t xml:space="preserve">and </w:t>
      </w:r>
      <w:r w:rsidRPr="00353F70">
        <w:t>good offices</w:t>
      </w:r>
      <w:r>
        <w:t xml:space="preserve"> requests’</w:t>
      </w:r>
      <w:r>
        <w:rPr>
          <w:i/>
        </w:rPr>
        <w:t xml:space="preserve">, Alternative dispute resolution, </w:t>
      </w:r>
      <w:r>
        <w:t xml:space="preserve">WIPO website, n.d., accessed 18 December 2020. </w:t>
      </w:r>
      <w:hyperlink r:id="rId116" w:history="1">
        <w:r w:rsidRPr="00C60210">
          <w:rPr>
            <w:rStyle w:val="Hyperlink"/>
          </w:rPr>
          <w:t>https://www.wipo.int/amc/en/center/caseload.html</w:t>
        </w:r>
      </w:hyperlink>
      <w:r w:rsidRPr="005D54BD">
        <w:rPr>
          <w:rStyle w:val="Hyperlink"/>
          <w:color w:val="auto"/>
          <w:u w:val="none"/>
        </w:rPr>
        <w:t>.</w:t>
      </w:r>
      <w:r>
        <w:t xml:space="preserve"> </w:t>
      </w:r>
    </w:p>
  </w:footnote>
  <w:footnote w:id="178">
    <w:p w14:paraId="256CCFBC" w14:textId="1D730E57" w:rsidR="00D55219" w:rsidRDefault="00D55219">
      <w:pPr>
        <w:pStyle w:val="FootnoteText"/>
      </w:pPr>
      <w:r>
        <w:rPr>
          <w:rStyle w:val="FootnoteReference"/>
        </w:rPr>
        <w:footnoteRef/>
      </w:r>
      <w:r>
        <w:t xml:space="preserve"> Unpublished internal data.</w:t>
      </w:r>
    </w:p>
  </w:footnote>
  <w:footnote w:id="179">
    <w:p w14:paraId="30C3F6A0" w14:textId="6F4C0024" w:rsidR="00D55219" w:rsidRDefault="00D55219" w:rsidP="002A534C">
      <w:pPr>
        <w:pStyle w:val="FootnoteText"/>
      </w:pPr>
      <w:r>
        <w:rPr>
          <w:rStyle w:val="FootnoteReference"/>
        </w:rPr>
        <w:footnoteRef/>
      </w:r>
      <w:r>
        <w:t xml:space="preserve"> IP A, ‘International alternative dispute resolution’, </w:t>
      </w:r>
      <w:r>
        <w:rPr>
          <w:i/>
        </w:rPr>
        <w:t xml:space="preserve">IP infringement, </w:t>
      </w:r>
      <w:r>
        <w:t xml:space="preserve">IP Australia website, 2016, accessed 18 December 2020. </w:t>
      </w:r>
      <w:hyperlink r:id="rId117" w:history="1">
        <w:r w:rsidRPr="00C60210">
          <w:rPr>
            <w:rStyle w:val="Hyperlink"/>
          </w:rPr>
          <w:t>https://www.ipaustralia.gov.au/ip-infringement/enforcing-your-ip/international-alternative-dispute-resolution</w:t>
        </w:r>
      </w:hyperlink>
      <w:r w:rsidRPr="005D54BD">
        <w:rPr>
          <w:rStyle w:val="Hyperlink"/>
          <w:color w:val="auto"/>
          <w:u w:val="none"/>
        </w:rPr>
        <w:t>.</w:t>
      </w:r>
      <w:r>
        <w:t xml:space="preserve"> </w:t>
      </w:r>
    </w:p>
  </w:footnote>
  <w:footnote w:id="180">
    <w:p w14:paraId="79C6301F" w14:textId="64D7A307" w:rsidR="00D55219" w:rsidRDefault="00D55219" w:rsidP="00977C10">
      <w:pPr>
        <w:pStyle w:val="FootnoteText"/>
      </w:pPr>
      <w:r>
        <w:rPr>
          <w:rStyle w:val="FootnoteReference"/>
        </w:rPr>
        <w:footnoteRef/>
      </w:r>
      <w:r>
        <w:t xml:space="preserve"> </w:t>
      </w:r>
      <w:r w:rsidRPr="00140A88">
        <w:t>Productivity Commission</w:t>
      </w:r>
      <w:r>
        <w:t xml:space="preserve"> (PC), </w:t>
      </w:r>
      <w:r w:rsidRPr="006807E9">
        <w:rPr>
          <w:i/>
        </w:rPr>
        <w:t>Intellectual Property Arrangements</w:t>
      </w:r>
      <w:r>
        <w:t xml:space="preserve">, </w:t>
      </w:r>
      <w:r w:rsidRPr="006807E9">
        <w:t>Inquiry Report</w:t>
      </w:r>
      <w:r w:rsidRPr="006807E9">
        <w:rPr>
          <w:i/>
        </w:rPr>
        <w:t xml:space="preserve"> No. 78</w:t>
      </w:r>
      <w:r w:rsidRPr="00140A88">
        <w:t xml:space="preserve">, </w:t>
      </w:r>
      <w:r>
        <w:t xml:space="preserve">pp 529 – 532, PC, Australian Government, 2016. </w:t>
      </w:r>
    </w:p>
    <w:p w14:paraId="2825C3D6" w14:textId="21255FCF" w:rsidR="00D55219" w:rsidRDefault="000E6C85" w:rsidP="00977C10">
      <w:pPr>
        <w:pStyle w:val="FootnoteText"/>
      </w:pPr>
      <w:hyperlink r:id="rId118" w:history="1">
        <w:r w:rsidR="00D55219" w:rsidRPr="00A7546D">
          <w:rPr>
            <w:rStyle w:val="Hyperlink"/>
          </w:rPr>
          <w:t>https://www.pc.gov.au/inquiries/completed/intellectual-property/report/intellectual-property-overview.pdf</w:t>
        </w:r>
      </w:hyperlink>
      <w:r w:rsidR="00D55219" w:rsidRPr="005D54BD">
        <w:rPr>
          <w:rStyle w:val="Hyperlink"/>
          <w:color w:val="auto"/>
          <w:u w:val="none"/>
        </w:rPr>
        <w:t>.</w:t>
      </w:r>
    </w:p>
  </w:footnote>
  <w:footnote w:id="181">
    <w:p w14:paraId="408F670F" w14:textId="77219215" w:rsidR="00D55219" w:rsidRDefault="00D55219" w:rsidP="00DC31E9">
      <w:pPr>
        <w:pStyle w:val="FootnoteText"/>
      </w:pPr>
      <w:r>
        <w:rPr>
          <w:rStyle w:val="FootnoteReference"/>
        </w:rPr>
        <w:footnoteRef/>
      </w:r>
      <w:r>
        <w:t xml:space="preserve"> </w:t>
      </w:r>
      <w:r w:rsidRPr="006D1D67">
        <w:t>IP Australia, Australian small and medium enterprises (SMEs) and intellectual property rights, IP Australia Economic Research Paper, Australian Government, 2021 (forthcoming).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AC190" w14:textId="77777777" w:rsidR="000E6C85" w:rsidRDefault="000E6C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9D6" w14:textId="3160C86A" w:rsidR="00D55219" w:rsidRPr="00CC5F88" w:rsidRDefault="00D55219" w:rsidP="00CC5F88">
    <w:pPr>
      <w:pStyle w:val="Header"/>
      <w:jc w:val="center"/>
      <w:rPr>
        <w:b/>
        <w:color w:val="FF0000"/>
        <w:sz w:val="28"/>
        <w:szCs w:val="28"/>
      </w:rPr>
    </w:pPr>
    <w:r>
      <w:rPr>
        <w:b/>
        <w:color w:val="FF0000"/>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3FE6" w14:textId="3E2DF064" w:rsidR="00D55219" w:rsidRPr="00CC5F88" w:rsidRDefault="00D55219" w:rsidP="00CC5F88">
    <w:pPr>
      <w:pStyle w:val="Header"/>
      <w:jc w:val="center"/>
      <w:rPr>
        <w:b/>
        <w:color w:val="FF0000"/>
        <w:sz w:val="28"/>
        <w:szCs w:val="28"/>
      </w:rPr>
    </w:pPr>
    <w:r>
      <w:rPr>
        <w:b/>
        <w:color w:val="FF0000"/>
        <w:sz w:val="28"/>
        <w:szCs w:val="28"/>
      </w:rPr>
      <w:t xml:space="preserve"> </w:t>
    </w:r>
  </w:p>
  <w:p w14:paraId="107C257C" w14:textId="77777777" w:rsidR="00D55219" w:rsidRDefault="00D55219">
    <w:pPr>
      <w:pStyle w:val="Header"/>
    </w:pPr>
    <w:r w:rsidRPr="00180BF8">
      <w:rPr>
        <w:noProof/>
        <w:lang w:eastAsia="en-AU"/>
      </w:rPr>
      <w:drawing>
        <wp:inline distT="0" distB="0" distL="0" distR="0" wp14:anchorId="39DDD75F" wp14:editId="0E9C38FF">
          <wp:extent cx="2682000" cy="694800"/>
          <wp:effectExtent l="0" t="0" r="4445" b="0"/>
          <wp:docPr id="3" name="Picture 3"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2000" cy="694800"/>
                  </a:xfrm>
                  <a:prstGeom prst="rect">
                    <a:avLst/>
                  </a:prstGeom>
                  <a:ln>
                    <a:noFill/>
                  </a:ln>
                  <a:extLst>
                    <a:ext uri="{53640926-AAD7-44d8-BBD7-CCE9431645EC}">
                      <a14:shadowObscured xmlns:w16cex="http://schemas.microsoft.com/office/word/2018/wordml/cex" xmlns:w16="http://schemas.microsoft.com/office/word/2018/wordm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FCC28" w14:textId="77777777" w:rsidR="00010BBA" w:rsidRPr="00CC5F88" w:rsidRDefault="00010BBA" w:rsidP="00CC5F88">
    <w:pPr>
      <w:pStyle w:val="Header"/>
      <w:jc w:val="center"/>
      <w:rPr>
        <w:b/>
        <w:color w:val="FF0000"/>
        <w:sz w:val="28"/>
        <w:szCs w:val="28"/>
      </w:rPr>
    </w:pPr>
    <w:r>
      <w:rPr>
        <w:b/>
        <w:color w:val="FF0000"/>
        <w:sz w:val="28"/>
        <w:szCs w:val="28"/>
      </w:rPr>
      <w:t xml:space="preserve"> </w:t>
    </w:r>
  </w:p>
  <w:p w14:paraId="5FA81856" w14:textId="77777777" w:rsidR="00010BBA" w:rsidRDefault="00010BBA">
    <w:pPr>
      <w:pStyle w:val="Header"/>
    </w:pPr>
    <w:r w:rsidRPr="00180BF8">
      <w:rPr>
        <w:noProof/>
        <w:lang w:eastAsia="en-AU"/>
      </w:rPr>
      <w:drawing>
        <wp:inline distT="0" distB="0" distL="0" distR="0" wp14:anchorId="4EBA742E" wp14:editId="6207F9DA">
          <wp:extent cx="2682000" cy="694800"/>
          <wp:effectExtent l="0" t="0" r="4445" b="0"/>
          <wp:docPr id="2" name="Picture 2"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2000" cy="694800"/>
                  </a:xfrm>
                  <a:prstGeom prst="rect">
                    <a:avLst/>
                  </a:prstGeom>
                  <a:ln>
                    <a:noFill/>
                  </a:ln>
                  <a:extLst>
                    <a:ext uri="{53640926-AAD7-44d8-BBD7-CCE9431645EC}">
                      <a14:shadowObscured xmlns:w16cex="http://schemas.microsoft.com/office/word/2018/wordml/cex" xmlns:w16="http://schemas.microsoft.com/office/word/2018/wordm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3778A" w14:textId="77777777" w:rsidR="00D55219" w:rsidRPr="00CC5F88" w:rsidRDefault="00D55219" w:rsidP="00CC5F88">
    <w:pPr>
      <w:pStyle w:val="Header"/>
      <w:jc w:val="center"/>
      <w:rPr>
        <w:b/>
        <w:color w:val="FF0000"/>
        <w:sz w:val="28"/>
        <w:szCs w:val="28"/>
      </w:rPr>
    </w:pPr>
    <w:r>
      <w:rPr>
        <w:b/>
        <w:color w:val="FF0000"/>
        <w:sz w:val="28"/>
        <w:szCs w:val="28"/>
      </w:rPr>
      <w:t xml:space="preserve"> </w:t>
    </w:r>
  </w:p>
  <w:p w14:paraId="0C6D94D2" w14:textId="77777777" w:rsidR="00D55219" w:rsidRDefault="00D55219">
    <w:pPr>
      <w:pStyle w:val="Header"/>
    </w:pPr>
    <w:r w:rsidRPr="00180BF8">
      <w:rPr>
        <w:noProof/>
        <w:lang w:eastAsia="en-AU"/>
      </w:rPr>
      <w:drawing>
        <wp:inline distT="0" distB="0" distL="0" distR="0" wp14:anchorId="62F2EBCB" wp14:editId="1C4CAABB">
          <wp:extent cx="2682000" cy="694800"/>
          <wp:effectExtent l="0" t="0" r="4445" b="0"/>
          <wp:docPr id="22" name="Picture 22"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2000" cy="694800"/>
                  </a:xfrm>
                  <a:prstGeom prst="rect">
                    <a:avLst/>
                  </a:prstGeom>
                  <a:ln>
                    <a:noFill/>
                  </a:ln>
                  <a:extLst>
                    <a:ext uri="{53640926-AAD7-44d8-BBD7-CCE9431645EC}">
                      <a14:shadowObscured xmlns:w16cex="http://schemas.microsoft.com/office/word/2018/wordml/cex" xmlns:w16="http://schemas.microsoft.com/office/word/2018/wordm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CF4"/>
    <w:multiLevelType w:val="multilevel"/>
    <w:tmpl w:val="3A9000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87D29"/>
    <w:multiLevelType w:val="hybridMultilevel"/>
    <w:tmpl w:val="9ECEB32A"/>
    <w:lvl w:ilvl="0" w:tplc="F914376E">
      <w:start w:val="1"/>
      <w:numFmt w:val="bullet"/>
      <w:lvlText w:val=""/>
      <w:lvlJc w:val="left"/>
      <w:pPr>
        <w:ind w:left="720" w:hanging="360"/>
      </w:pPr>
      <w:rPr>
        <w:rFonts w:ascii="Symbol" w:hAnsi="Symbol" w:hint="default"/>
      </w:rPr>
    </w:lvl>
    <w:lvl w:ilvl="1" w:tplc="059A453C">
      <w:start w:val="1"/>
      <w:numFmt w:val="bullet"/>
      <w:lvlText w:val="o"/>
      <w:lvlJc w:val="left"/>
      <w:pPr>
        <w:ind w:left="1440" w:hanging="360"/>
      </w:pPr>
      <w:rPr>
        <w:rFonts w:ascii="Courier New" w:hAnsi="Courier New" w:hint="default"/>
      </w:rPr>
    </w:lvl>
    <w:lvl w:ilvl="2" w:tplc="8E748AF2">
      <w:start w:val="1"/>
      <w:numFmt w:val="bullet"/>
      <w:lvlText w:val=""/>
      <w:lvlJc w:val="left"/>
      <w:pPr>
        <w:ind w:left="2160" w:hanging="360"/>
      </w:pPr>
      <w:rPr>
        <w:rFonts w:ascii="Wingdings" w:hAnsi="Wingdings" w:hint="default"/>
      </w:rPr>
    </w:lvl>
    <w:lvl w:ilvl="3" w:tplc="F20AEDC4">
      <w:start w:val="1"/>
      <w:numFmt w:val="bullet"/>
      <w:lvlText w:val=""/>
      <w:lvlJc w:val="left"/>
      <w:pPr>
        <w:ind w:left="2880" w:hanging="360"/>
      </w:pPr>
      <w:rPr>
        <w:rFonts w:ascii="Symbol" w:hAnsi="Symbol" w:hint="default"/>
      </w:rPr>
    </w:lvl>
    <w:lvl w:ilvl="4" w:tplc="25102F78">
      <w:start w:val="1"/>
      <w:numFmt w:val="bullet"/>
      <w:lvlText w:val="o"/>
      <w:lvlJc w:val="left"/>
      <w:pPr>
        <w:ind w:left="3600" w:hanging="360"/>
      </w:pPr>
      <w:rPr>
        <w:rFonts w:ascii="Courier New" w:hAnsi="Courier New" w:hint="default"/>
      </w:rPr>
    </w:lvl>
    <w:lvl w:ilvl="5" w:tplc="566A9AA6">
      <w:start w:val="1"/>
      <w:numFmt w:val="bullet"/>
      <w:lvlText w:val=""/>
      <w:lvlJc w:val="left"/>
      <w:pPr>
        <w:ind w:left="4320" w:hanging="360"/>
      </w:pPr>
      <w:rPr>
        <w:rFonts w:ascii="Wingdings" w:hAnsi="Wingdings" w:hint="default"/>
      </w:rPr>
    </w:lvl>
    <w:lvl w:ilvl="6" w:tplc="4D703A48">
      <w:start w:val="1"/>
      <w:numFmt w:val="bullet"/>
      <w:lvlText w:val=""/>
      <w:lvlJc w:val="left"/>
      <w:pPr>
        <w:ind w:left="5040" w:hanging="360"/>
      </w:pPr>
      <w:rPr>
        <w:rFonts w:ascii="Symbol" w:hAnsi="Symbol" w:hint="default"/>
      </w:rPr>
    </w:lvl>
    <w:lvl w:ilvl="7" w:tplc="2CEA5B6E">
      <w:start w:val="1"/>
      <w:numFmt w:val="bullet"/>
      <w:lvlText w:val="o"/>
      <w:lvlJc w:val="left"/>
      <w:pPr>
        <w:ind w:left="5760" w:hanging="360"/>
      </w:pPr>
      <w:rPr>
        <w:rFonts w:ascii="Courier New" w:hAnsi="Courier New" w:hint="default"/>
      </w:rPr>
    </w:lvl>
    <w:lvl w:ilvl="8" w:tplc="01DEE1D6">
      <w:start w:val="1"/>
      <w:numFmt w:val="bullet"/>
      <w:lvlText w:val=""/>
      <w:lvlJc w:val="left"/>
      <w:pPr>
        <w:ind w:left="6480" w:hanging="360"/>
      </w:pPr>
      <w:rPr>
        <w:rFonts w:ascii="Wingdings" w:hAnsi="Wingdings" w:hint="default"/>
      </w:rPr>
    </w:lvl>
  </w:abstractNum>
  <w:abstractNum w:abstractNumId="2" w15:restartNumberingAfterBreak="0">
    <w:nsid w:val="01A55339"/>
    <w:multiLevelType w:val="hybridMultilevel"/>
    <w:tmpl w:val="0420A950"/>
    <w:lvl w:ilvl="0" w:tplc="3A4E4F24">
      <w:start w:val="4"/>
      <w:numFmt w:val="decimal"/>
      <w:lvlText w:val="%1."/>
      <w:lvlJc w:val="left"/>
      <w:pPr>
        <w:tabs>
          <w:tab w:val="num" w:pos="1014"/>
        </w:tabs>
        <w:ind w:left="1014" w:hanging="360"/>
      </w:pPr>
    </w:lvl>
    <w:lvl w:ilvl="1" w:tplc="697055EE" w:tentative="1">
      <w:start w:val="1"/>
      <w:numFmt w:val="decimal"/>
      <w:lvlText w:val="%2."/>
      <w:lvlJc w:val="left"/>
      <w:pPr>
        <w:tabs>
          <w:tab w:val="num" w:pos="1734"/>
        </w:tabs>
        <w:ind w:left="1734" w:hanging="360"/>
      </w:pPr>
    </w:lvl>
    <w:lvl w:ilvl="2" w:tplc="03B6A18C" w:tentative="1">
      <w:start w:val="1"/>
      <w:numFmt w:val="decimal"/>
      <w:lvlText w:val="%3."/>
      <w:lvlJc w:val="left"/>
      <w:pPr>
        <w:tabs>
          <w:tab w:val="num" w:pos="2454"/>
        </w:tabs>
        <w:ind w:left="2454" w:hanging="360"/>
      </w:pPr>
    </w:lvl>
    <w:lvl w:ilvl="3" w:tplc="1A5E070A" w:tentative="1">
      <w:start w:val="1"/>
      <w:numFmt w:val="decimal"/>
      <w:lvlText w:val="%4."/>
      <w:lvlJc w:val="left"/>
      <w:pPr>
        <w:tabs>
          <w:tab w:val="num" w:pos="3174"/>
        </w:tabs>
        <w:ind w:left="3174" w:hanging="360"/>
      </w:pPr>
    </w:lvl>
    <w:lvl w:ilvl="4" w:tplc="42FAFA76" w:tentative="1">
      <w:start w:val="1"/>
      <w:numFmt w:val="decimal"/>
      <w:lvlText w:val="%5."/>
      <w:lvlJc w:val="left"/>
      <w:pPr>
        <w:tabs>
          <w:tab w:val="num" w:pos="3894"/>
        </w:tabs>
        <w:ind w:left="3894" w:hanging="360"/>
      </w:pPr>
    </w:lvl>
    <w:lvl w:ilvl="5" w:tplc="0D1C6C9E" w:tentative="1">
      <w:start w:val="1"/>
      <w:numFmt w:val="decimal"/>
      <w:lvlText w:val="%6."/>
      <w:lvlJc w:val="left"/>
      <w:pPr>
        <w:tabs>
          <w:tab w:val="num" w:pos="4614"/>
        </w:tabs>
        <w:ind w:left="4614" w:hanging="360"/>
      </w:pPr>
    </w:lvl>
    <w:lvl w:ilvl="6" w:tplc="4D0E9BBE" w:tentative="1">
      <w:start w:val="1"/>
      <w:numFmt w:val="decimal"/>
      <w:lvlText w:val="%7."/>
      <w:lvlJc w:val="left"/>
      <w:pPr>
        <w:tabs>
          <w:tab w:val="num" w:pos="5334"/>
        </w:tabs>
        <w:ind w:left="5334" w:hanging="360"/>
      </w:pPr>
    </w:lvl>
    <w:lvl w:ilvl="7" w:tplc="50F08878" w:tentative="1">
      <w:start w:val="1"/>
      <w:numFmt w:val="decimal"/>
      <w:lvlText w:val="%8."/>
      <w:lvlJc w:val="left"/>
      <w:pPr>
        <w:tabs>
          <w:tab w:val="num" w:pos="6054"/>
        </w:tabs>
        <w:ind w:left="6054" w:hanging="360"/>
      </w:pPr>
    </w:lvl>
    <w:lvl w:ilvl="8" w:tplc="D2F0EFE4" w:tentative="1">
      <w:start w:val="1"/>
      <w:numFmt w:val="decimal"/>
      <w:lvlText w:val="%9."/>
      <w:lvlJc w:val="left"/>
      <w:pPr>
        <w:tabs>
          <w:tab w:val="num" w:pos="6774"/>
        </w:tabs>
        <w:ind w:left="6774" w:hanging="360"/>
      </w:pPr>
    </w:lvl>
  </w:abstractNum>
  <w:abstractNum w:abstractNumId="3" w15:restartNumberingAfterBreak="0">
    <w:nsid w:val="04A54A79"/>
    <w:multiLevelType w:val="hybridMultilevel"/>
    <w:tmpl w:val="A64C5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36A79"/>
    <w:multiLevelType w:val="hybridMultilevel"/>
    <w:tmpl w:val="FD9E1B48"/>
    <w:lvl w:ilvl="0" w:tplc="E50CA1A2">
      <w:start w:val="1"/>
      <w:numFmt w:val="bullet"/>
      <w:lvlText w:val=""/>
      <w:lvlJc w:val="left"/>
      <w:pPr>
        <w:ind w:left="720" w:hanging="360"/>
      </w:pPr>
      <w:rPr>
        <w:rFonts w:ascii="Symbol" w:hAnsi="Symbol" w:hint="default"/>
      </w:rPr>
    </w:lvl>
    <w:lvl w:ilvl="1" w:tplc="4D12387E">
      <w:start w:val="1"/>
      <w:numFmt w:val="bullet"/>
      <w:lvlText w:val="o"/>
      <w:lvlJc w:val="left"/>
      <w:pPr>
        <w:ind w:left="1440" w:hanging="360"/>
      </w:pPr>
      <w:rPr>
        <w:rFonts w:ascii="Courier New" w:hAnsi="Courier New" w:hint="default"/>
      </w:rPr>
    </w:lvl>
    <w:lvl w:ilvl="2" w:tplc="867E2C9A">
      <w:start w:val="1"/>
      <w:numFmt w:val="bullet"/>
      <w:lvlText w:val=""/>
      <w:lvlJc w:val="left"/>
      <w:pPr>
        <w:ind w:left="2160" w:hanging="360"/>
      </w:pPr>
      <w:rPr>
        <w:rFonts w:ascii="Wingdings" w:hAnsi="Wingdings" w:hint="default"/>
      </w:rPr>
    </w:lvl>
    <w:lvl w:ilvl="3" w:tplc="8312CC8E">
      <w:start w:val="1"/>
      <w:numFmt w:val="bullet"/>
      <w:lvlText w:val=""/>
      <w:lvlJc w:val="left"/>
      <w:pPr>
        <w:ind w:left="2880" w:hanging="360"/>
      </w:pPr>
      <w:rPr>
        <w:rFonts w:ascii="Symbol" w:hAnsi="Symbol" w:hint="default"/>
      </w:rPr>
    </w:lvl>
    <w:lvl w:ilvl="4" w:tplc="F09C555A">
      <w:start w:val="1"/>
      <w:numFmt w:val="bullet"/>
      <w:lvlText w:val="o"/>
      <w:lvlJc w:val="left"/>
      <w:pPr>
        <w:ind w:left="3600" w:hanging="360"/>
      </w:pPr>
      <w:rPr>
        <w:rFonts w:ascii="Courier New" w:hAnsi="Courier New" w:hint="default"/>
      </w:rPr>
    </w:lvl>
    <w:lvl w:ilvl="5" w:tplc="CBEA6AAC">
      <w:start w:val="1"/>
      <w:numFmt w:val="bullet"/>
      <w:lvlText w:val=""/>
      <w:lvlJc w:val="left"/>
      <w:pPr>
        <w:ind w:left="4320" w:hanging="360"/>
      </w:pPr>
      <w:rPr>
        <w:rFonts w:ascii="Wingdings" w:hAnsi="Wingdings" w:hint="default"/>
      </w:rPr>
    </w:lvl>
    <w:lvl w:ilvl="6" w:tplc="CD50F56E">
      <w:start w:val="1"/>
      <w:numFmt w:val="bullet"/>
      <w:lvlText w:val=""/>
      <w:lvlJc w:val="left"/>
      <w:pPr>
        <w:ind w:left="5040" w:hanging="360"/>
      </w:pPr>
      <w:rPr>
        <w:rFonts w:ascii="Symbol" w:hAnsi="Symbol" w:hint="default"/>
      </w:rPr>
    </w:lvl>
    <w:lvl w:ilvl="7" w:tplc="1B62EEC6">
      <w:start w:val="1"/>
      <w:numFmt w:val="bullet"/>
      <w:lvlText w:val="o"/>
      <w:lvlJc w:val="left"/>
      <w:pPr>
        <w:ind w:left="5760" w:hanging="360"/>
      </w:pPr>
      <w:rPr>
        <w:rFonts w:ascii="Courier New" w:hAnsi="Courier New" w:hint="default"/>
      </w:rPr>
    </w:lvl>
    <w:lvl w:ilvl="8" w:tplc="ABC06062">
      <w:start w:val="1"/>
      <w:numFmt w:val="bullet"/>
      <w:lvlText w:val=""/>
      <w:lvlJc w:val="left"/>
      <w:pPr>
        <w:ind w:left="6480" w:hanging="360"/>
      </w:pPr>
      <w:rPr>
        <w:rFonts w:ascii="Wingdings" w:hAnsi="Wingdings" w:hint="default"/>
      </w:rPr>
    </w:lvl>
  </w:abstractNum>
  <w:abstractNum w:abstractNumId="5" w15:restartNumberingAfterBreak="0">
    <w:nsid w:val="0D6332B6"/>
    <w:multiLevelType w:val="hybridMultilevel"/>
    <w:tmpl w:val="632E7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2E74B8"/>
    <w:multiLevelType w:val="hybridMultilevel"/>
    <w:tmpl w:val="28523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F541E"/>
    <w:multiLevelType w:val="hybridMultilevel"/>
    <w:tmpl w:val="800E3DF8"/>
    <w:lvl w:ilvl="0" w:tplc="225CA6E8">
      <w:start w:val="1"/>
      <w:numFmt w:val="bullet"/>
      <w:lvlText w:val=""/>
      <w:lvlJc w:val="left"/>
      <w:pPr>
        <w:tabs>
          <w:tab w:val="num" w:pos="720"/>
        </w:tabs>
        <w:ind w:left="720" w:hanging="360"/>
      </w:pPr>
      <w:rPr>
        <w:rFonts w:ascii="Symbol" w:hAnsi="Symbol" w:hint="default"/>
        <w:sz w:val="20"/>
      </w:rPr>
    </w:lvl>
    <w:lvl w:ilvl="1" w:tplc="9E64E0E0" w:tentative="1">
      <w:start w:val="1"/>
      <w:numFmt w:val="bullet"/>
      <w:lvlText w:val=""/>
      <w:lvlJc w:val="left"/>
      <w:pPr>
        <w:tabs>
          <w:tab w:val="num" w:pos="1440"/>
        </w:tabs>
        <w:ind w:left="1440" w:hanging="360"/>
      </w:pPr>
      <w:rPr>
        <w:rFonts w:ascii="Symbol" w:hAnsi="Symbol" w:hint="default"/>
        <w:sz w:val="20"/>
      </w:rPr>
    </w:lvl>
    <w:lvl w:ilvl="2" w:tplc="91028302" w:tentative="1">
      <w:start w:val="1"/>
      <w:numFmt w:val="bullet"/>
      <w:lvlText w:val=""/>
      <w:lvlJc w:val="left"/>
      <w:pPr>
        <w:tabs>
          <w:tab w:val="num" w:pos="2160"/>
        </w:tabs>
        <w:ind w:left="2160" w:hanging="360"/>
      </w:pPr>
      <w:rPr>
        <w:rFonts w:ascii="Symbol" w:hAnsi="Symbol" w:hint="default"/>
        <w:sz w:val="20"/>
      </w:rPr>
    </w:lvl>
    <w:lvl w:ilvl="3" w:tplc="499651B2" w:tentative="1">
      <w:start w:val="1"/>
      <w:numFmt w:val="bullet"/>
      <w:lvlText w:val=""/>
      <w:lvlJc w:val="left"/>
      <w:pPr>
        <w:tabs>
          <w:tab w:val="num" w:pos="2880"/>
        </w:tabs>
        <w:ind w:left="2880" w:hanging="360"/>
      </w:pPr>
      <w:rPr>
        <w:rFonts w:ascii="Symbol" w:hAnsi="Symbol" w:hint="default"/>
        <w:sz w:val="20"/>
      </w:rPr>
    </w:lvl>
    <w:lvl w:ilvl="4" w:tplc="A3DCDD26" w:tentative="1">
      <w:start w:val="1"/>
      <w:numFmt w:val="bullet"/>
      <w:lvlText w:val=""/>
      <w:lvlJc w:val="left"/>
      <w:pPr>
        <w:tabs>
          <w:tab w:val="num" w:pos="3600"/>
        </w:tabs>
        <w:ind w:left="3600" w:hanging="360"/>
      </w:pPr>
      <w:rPr>
        <w:rFonts w:ascii="Symbol" w:hAnsi="Symbol" w:hint="default"/>
        <w:sz w:val="20"/>
      </w:rPr>
    </w:lvl>
    <w:lvl w:ilvl="5" w:tplc="8AD0B850" w:tentative="1">
      <w:start w:val="1"/>
      <w:numFmt w:val="bullet"/>
      <w:lvlText w:val=""/>
      <w:lvlJc w:val="left"/>
      <w:pPr>
        <w:tabs>
          <w:tab w:val="num" w:pos="4320"/>
        </w:tabs>
        <w:ind w:left="4320" w:hanging="360"/>
      </w:pPr>
      <w:rPr>
        <w:rFonts w:ascii="Symbol" w:hAnsi="Symbol" w:hint="default"/>
        <w:sz w:val="20"/>
      </w:rPr>
    </w:lvl>
    <w:lvl w:ilvl="6" w:tplc="6EE2749E" w:tentative="1">
      <w:start w:val="1"/>
      <w:numFmt w:val="bullet"/>
      <w:lvlText w:val=""/>
      <w:lvlJc w:val="left"/>
      <w:pPr>
        <w:tabs>
          <w:tab w:val="num" w:pos="5040"/>
        </w:tabs>
        <w:ind w:left="5040" w:hanging="360"/>
      </w:pPr>
      <w:rPr>
        <w:rFonts w:ascii="Symbol" w:hAnsi="Symbol" w:hint="default"/>
        <w:sz w:val="20"/>
      </w:rPr>
    </w:lvl>
    <w:lvl w:ilvl="7" w:tplc="40404B08" w:tentative="1">
      <w:start w:val="1"/>
      <w:numFmt w:val="bullet"/>
      <w:lvlText w:val=""/>
      <w:lvlJc w:val="left"/>
      <w:pPr>
        <w:tabs>
          <w:tab w:val="num" w:pos="5760"/>
        </w:tabs>
        <w:ind w:left="5760" w:hanging="360"/>
      </w:pPr>
      <w:rPr>
        <w:rFonts w:ascii="Symbol" w:hAnsi="Symbol" w:hint="default"/>
        <w:sz w:val="20"/>
      </w:rPr>
    </w:lvl>
    <w:lvl w:ilvl="8" w:tplc="CC16F00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6C080D"/>
    <w:multiLevelType w:val="hybridMultilevel"/>
    <w:tmpl w:val="FF305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FA6A85"/>
    <w:multiLevelType w:val="hybridMultilevel"/>
    <w:tmpl w:val="7B2493A0"/>
    <w:lvl w:ilvl="0" w:tplc="FA844568">
      <w:start w:val="1"/>
      <w:numFmt w:val="lowerLetter"/>
      <w:lvlText w:val="(%1)"/>
      <w:lvlJc w:val="left"/>
      <w:pPr>
        <w:ind w:left="1996" w:hanging="360"/>
      </w:pPr>
      <w:rPr>
        <w:rFonts w:hint="default"/>
      </w:rPr>
    </w:lvl>
    <w:lvl w:ilvl="1" w:tplc="0C090019">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0" w15:restartNumberingAfterBreak="0">
    <w:nsid w:val="125A3FB8"/>
    <w:multiLevelType w:val="hybridMultilevel"/>
    <w:tmpl w:val="72187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265876"/>
    <w:multiLevelType w:val="hybridMultilevel"/>
    <w:tmpl w:val="5EF8D32A"/>
    <w:lvl w:ilvl="0" w:tplc="9C4A6C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6D5318"/>
    <w:multiLevelType w:val="hybridMultilevel"/>
    <w:tmpl w:val="A1F2592A"/>
    <w:lvl w:ilvl="0" w:tplc="4ED259E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7B505E"/>
    <w:multiLevelType w:val="hybridMultilevel"/>
    <w:tmpl w:val="E7F42E64"/>
    <w:lvl w:ilvl="0" w:tplc="A5B49592">
      <w:start w:val="1"/>
      <w:numFmt w:val="bullet"/>
      <w:lvlText w:val=""/>
      <w:lvlJc w:val="left"/>
      <w:pPr>
        <w:tabs>
          <w:tab w:val="num" w:pos="720"/>
        </w:tabs>
        <w:ind w:left="720" w:hanging="360"/>
      </w:pPr>
      <w:rPr>
        <w:rFonts w:ascii="Symbol" w:hAnsi="Symbol" w:hint="default"/>
        <w:sz w:val="20"/>
      </w:rPr>
    </w:lvl>
    <w:lvl w:ilvl="1" w:tplc="781C4F84" w:tentative="1">
      <w:start w:val="1"/>
      <w:numFmt w:val="bullet"/>
      <w:lvlText w:val="o"/>
      <w:lvlJc w:val="left"/>
      <w:pPr>
        <w:tabs>
          <w:tab w:val="num" w:pos="1440"/>
        </w:tabs>
        <w:ind w:left="1440" w:hanging="360"/>
      </w:pPr>
      <w:rPr>
        <w:rFonts w:ascii="Courier New" w:hAnsi="Courier New" w:hint="default"/>
        <w:sz w:val="20"/>
      </w:rPr>
    </w:lvl>
    <w:lvl w:ilvl="2" w:tplc="07CA1AE8" w:tentative="1">
      <w:start w:val="1"/>
      <w:numFmt w:val="bullet"/>
      <w:lvlText w:val=""/>
      <w:lvlJc w:val="left"/>
      <w:pPr>
        <w:tabs>
          <w:tab w:val="num" w:pos="2160"/>
        </w:tabs>
        <w:ind w:left="2160" w:hanging="360"/>
      </w:pPr>
      <w:rPr>
        <w:rFonts w:ascii="Wingdings" w:hAnsi="Wingdings" w:hint="default"/>
        <w:sz w:val="20"/>
      </w:rPr>
    </w:lvl>
    <w:lvl w:ilvl="3" w:tplc="9E825930" w:tentative="1">
      <w:start w:val="1"/>
      <w:numFmt w:val="bullet"/>
      <w:lvlText w:val=""/>
      <w:lvlJc w:val="left"/>
      <w:pPr>
        <w:tabs>
          <w:tab w:val="num" w:pos="2880"/>
        </w:tabs>
        <w:ind w:left="2880" w:hanging="360"/>
      </w:pPr>
      <w:rPr>
        <w:rFonts w:ascii="Wingdings" w:hAnsi="Wingdings" w:hint="default"/>
        <w:sz w:val="20"/>
      </w:rPr>
    </w:lvl>
    <w:lvl w:ilvl="4" w:tplc="DADCDFC4" w:tentative="1">
      <w:start w:val="1"/>
      <w:numFmt w:val="bullet"/>
      <w:lvlText w:val=""/>
      <w:lvlJc w:val="left"/>
      <w:pPr>
        <w:tabs>
          <w:tab w:val="num" w:pos="3600"/>
        </w:tabs>
        <w:ind w:left="3600" w:hanging="360"/>
      </w:pPr>
      <w:rPr>
        <w:rFonts w:ascii="Wingdings" w:hAnsi="Wingdings" w:hint="default"/>
        <w:sz w:val="20"/>
      </w:rPr>
    </w:lvl>
    <w:lvl w:ilvl="5" w:tplc="F0A0D376" w:tentative="1">
      <w:start w:val="1"/>
      <w:numFmt w:val="bullet"/>
      <w:lvlText w:val=""/>
      <w:lvlJc w:val="left"/>
      <w:pPr>
        <w:tabs>
          <w:tab w:val="num" w:pos="4320"/>
        </w:tabs>
        <w:ind w:left="4320" w:hanging="360"/>
      </w:pPr>
      <w:rPr>
        <w:rFonts w:ascii="Wingdings" w:hAnsi="Wingdings" w:hint="default"/>
        <w:sz w:val="20"/>
      </w:rPr>
    </w:lvl>
    <w:lvl w:ilvl="6" w:tplc="E3B64FEC" w:tentative="1">
      <w:start w:val="1"/>
      <w:numFmt w:val="bullet"/>
      <w:lvlText w:val=""/>
      <w:lvlJc w:val="left"/>
      <w:pPr>
        <w:tabs>
          <w:tab w:val="num" w:pos="5040"/>
        </w:tabs>
        <w:ind w:left="5040" w:hanging="360"/>
      </w:pPr>
      <w:rPr>
        <w:rFonts w:ascii="Wingdings" w:hAnsi="Wingdings" w:hint="default"/>
        <w:sz w:val="20"/>
      </w:rPr>
    </w:lvl>
    <w:lvl w:ilvl="7" w:tplc="6388AFAE" w:tentative="1">
      <w:start w:val="1"/>
      <w:numFmt w:val="bullet"/>
      <w:lvlText w:val=""/>
      <w:lvlJc w:val="left"/>
      <w:pPr>
        <w:tabs>
          <w:tab w:val="num" w:pos="5760"/>
        </w:tabs>
        <w:ind w:left="5760" w:hanging="360"/>
      </w:pPr>
      <w:rPr>
        <w:rFonts w:ascii="Wingdings" w:hAnsi="Wingdings" w:hint="default"/>
        <w:sz w:val="20"/>
      </w:rPr>
    </w:lvl>
    <w:lvl w:ilvl="8" w:tplc="3EF46EB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5166F4"/>
    <w:multiLevelType w:val="hybridMultilevel"/>
    <w:tmpl w:val="DB88B312"/>
    <w:lvl w:ilvl="0" w:tplc="FA844568">
      <w:start w:val="1"/>
      <w:numFmt w:val="lowerLetter"/>
      <w:lvlText w:val="(%1)"/>
      <w:lvlJc w:val="left"/>
      <w:pPr>
        <w:ind w:left="720" w:hanging="360"/>
      </w:pPr>
      <w:rPr>
        <w:rFonts w:hint="default"/>
      </w:rPr>
    </w:lvl>
    <w:lvl w:ilvl="1" w:tplc="FA8445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D476DB"/>
    <w:multiLevelType w:val="hybridMultilevel"/>
    <w:tmpl w:val="F5F2D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BB53837"/>
    <w:multiLevelType w:val="hybridMultilevel"/>
    <w:tmpl w:val="B93A9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5D6B67"/>
    <w:multiLevelType w:val="hybridMultilevel"/>
    <w:tmpl w:val="5BCC220C"/>
    <w:lvl w:ilvl="0" w:tplc="C6ECCF4E">
      <w:start w:val="3"/>
      <w:numFmt w:val="decimal"/>
      <w:lvlText w:val="%1."/>
      <w:lvlJc w:val="left"/>
      <w:pPr>
        <w:tabs>
          <w:tab w:val="num" w:pos="720"/>
        </w:tabs>
        <w:ind w:left="720" w:hanging="360"/>
      </w:pPr>
    </w:lvl>
    <w:lvl w:ilvl="1" w:tplc="5A08598C" w:tentative="1">
      <w:start w:val="1"/>
      <w:numFmt w:val="decimal"/>
      <w:lvlText w:val="%2."/>
      <w:lvlJc w:val="left"/>
      <w:pPr>
        <w:tabs>
          <w:tab w:val="num" w:pos="1440"/>
        </w:tabs>
        <w:ind w:left="1440" w:hanging="360"/>
      </w:pPr>
    </w:lvl>
    <w:lvl w:ilvl="2" w:tplc="A6B26350" w:tentative="1">
      <w:start w:val="1"/>
      <w:numFmt w:val="decimal"/>
      <w:lvlText w:val="%3."/>
      <w:lvlJc w:val="left"/>
      <w:pPr>
        <w:tabs>
          <w:tab w:val="num" w:pos="2160"/>
        </w:tabs>
        <w:ind w:left="2160" w:hanging="360"/>
      </w:pPr>
    </w:lvl>
    <w:lvl w:ilvl="3" w:tplc="7B20E87C" w:tentative="1">
      <w:start w:val="1"/>
      <w:numFmt w:val="decimal"/>
      <w:lvlText w:val="%4."/>
      <w:lvlJc w:val="left"/>
      <w:pPr>
        <w:tabs>
          <w:tab w:val="num" w:pos="2880"/>
        </w:tabs>
        <w:ind w:left="2880" w:hanging="360"/>
      </w:pPr>
    </w:lvl>
    <w:lvl w:ilvl="4" w:tplc="68FE64EC" w:tentative="1">
      <w:start w:val="1"/>
      <w:numFmt w:val="decimal"/>
      <w:lvlText w:val="%5."/>
      <w:lvlJc w:val="left"/>
      <w:pPr>
        <w:tabs>
          <w:tab w:val="num" w:pos="3600"/>
        </w:tabs>
        <w:ind w:left="3600" w:hanging="360"/>
      </w:pPr>
    </w:lvl>
    <w:lvl w:ilvl="5" w:tplc="08CCED36" w:tentative="1">
      <w:start w:val="1"/>
      <w:numFmt w:val="decimal"/>
      <w:lvlText w:val="%6."/>
      <w:lvlJc w:val="left"/>
      <w:pPr>
        <w:tabs>
          <w:tab w:val="num" w:pos="4320"/>
        </w:tabs>
        <w:ind w:left="4320" w:hanging="360"/>
      </w:pPr>
    </w:lvl>
    <w:lvl w:ilvl="6" w:tplc="D174C98A" w:tentative="1">
      <w:start w:val="1"/>
      <w:numFmt w:val="decimal"/>
      <w:lvlText w:val="%7."/>
      <w:lvlJc w:val="left"/>
      <w:pPr>
        <w:tabs>
          <w:tab w:val="num" w:pos="5040"/>
        </w:tabs>
        <w:ind w:left="5040" w:hanging="360"/>
      </w:pPr>
    </w:lvl>
    <w:lvl w:ilvl="7" w:tplc="54E65B12" w:tentative="1">
      <w:start w:val="1"/>
      <w:numFmt w:val="decimal"/>
      <w:lvlText w:val="%8."/>
      <w:lvlJc w:val="left"/>
      <w:pPr>
        <w:tabs>
          <w:tab w:val="num" w:pos="5760"/>
        </w:tabs>
        <w:ind w:left="5760" w:hanging="360"/>
      </w:pPr>
    </w:lvl>
    <w:lvl w:ilvl="8" w:tplc="13A02908" w:tentative="1">
      <w:start w:val="1"/>
      <w:numFmt w:val="decimal"/>
      <w:lvlText w:val="%9."/>
      <w:lvlJc w:val="left"/>
      <w:pPr>
        <w:tabs>
          <w:tab w:val="num" w:pos="6480"/>
        </w:tabs>
        <w:ind w:left="6480" w:hanging="360"/>
      </w:pPr>
    </w:lvl>
  </w:abstractNum>
  <w:abstractNum w:abstractNumId="18" w15:restartNumberingAfterBreak="0">
    <w:nsid w:val="22704CD3"/>
    <w:multiLevelType w:val="hybridMultilevel"/>
    <w:tmpl w:val="161EF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C2E86"/>
    <w:multiLevelType w:val="hybridMultilevel"/>
    <w:tmpl w:val="26B2FA12"/>
    <w:lvl w:ilvl="0" w:tplc="E634EE5E">
      <w:start w:val="5"/>
      <w:numFmt w:val="decimal"/>
      <w:lvlText w:val="%1."/>
      <w:lvlJc w:val="left"/>
      <w:pPr>
        <w:tabs>
          <w:tab w:val="num" w:pos="1014"/>
        </w:tabs>
        <w:ind w:left="1014" w:hanging="360"/>
      </w:pPr>
    </w:lvl>
    <w:lvl w:ilvl="1" w:tplc="4FEA4E8E" w:tentative="1">
      <w:start w:val="1"/>
      <w:numFmt w:val="decimal"/>
      <w:lvlText w:val="%2."/>
      <w:lvlJc w:val="left"/>
      <w:pPr>
        <w:tabs>
          <w:tab w:val="num" w:pos="1734"/>
        </w:tabs>
        <w:ind w:left="1734" w:hanging="360"/>
      </w:pPr>
    </w:lvl>
    <w:lvl w:ilvl="2" w:tplc="0C7E77D4" w:tentative="1">
      <w:start w:val="1"/>
      <w:numFmt w:val="decimal"/>
      <w:lvlText w:val="%3."/>
      <w:lvlJc w:val="left"/>
      <w:pPr>
        <w:tabs>
          <w:tab w:val="num" w:pos="2454"/>
        </w:tabs>
        <w:ind w:left="2454" w:hanging="360"/>
      </w:pPr>
    </w:lvl>
    <w:lvl w:ilvl="3" w:tplc="A4586F68" w:tentative="1">
      <w:start w:val="1"/>
      <w:numFmt w:val="decimal"/>
      <w:lvlText w:val="%4."/>
      <w:lvlJc w:val="left"/>
      <w:pPr>
        <w:tabs>
          <w:tab w:val="num" w:pos="3174"/>
        </w:tabs>
        <w:ind w:left="3174" w:hanging="360"/>
      </w:pPr>
    </w:lvl>
    <w:lvl w:ilvl="4" w:tplc="811A530C" w:tentative="1">
      <w:start w:val="1"/>
      <w:numFmt w:val="decimal"/>
      <w:lvlText w:val="%5."/>
      <w:lvlJc w:val="left"/>
      <w:pPr>
        <w:tabs>
          <w:tab w:val="num" w:pos="3894"/>
        </w:tabs>
        <w:ind w:left="3894" w:hanging="360"/>
      </w:pPr>
    </w:lvl>
    <w:lvl w:ilvl="5" w:tplc="4EF6BD0C" w:tentative="1">
      <w:start w:val="1"/>
      <w:numFmt w:val="decimal"/>
      <w:lvlText w:val="%6."/>
      <w:lvlJc w:val="left"/>
      <w:pPr>
        <w:tabs>
          <w:tab w:val="num" w:pos="4614"/>
        </w:tabs>
        <w:ind w:left="4614" w:hanging="360"/>
      </w:pPr>
    </w:lvl>
    <w:lvl w:ilvl="6" w:tplc="EB246BE6" w:tentative="1">
      <w:start w:val="1"/>
      <w:numFmt w:val="decimal"/>
      <w:lvlText w:val="%7."/>
      <w:lvlJc w:val="left"/>
      <w:pPr>
        <w:tabs>
          <w:tab w:val="num" w:pos="5334"/>
        </w:tabs>
        <w:ind w:left="5334" w:hanging="360"/>
      </w:pPr>
    </w:lvl>
    <w:lvl w:ilvl="7" w:tplc="E06ABCF8" w:tentative="1">
      <w:start w:val="1"/>
      <w:numFmt w:val="decimal"/>
      <w:lvlText w:val="%8."/>
      <w:lvlJc w:val="left"/>
      <w:pPr>
        <w:tabs>
          <w:tab w:val="num" w:pos="6054"/>
        </w:tabs>
        <w:ind w:left="6054" w:hanging="360"/>
      </w:pPr>
    </w:lvl>
    <w:lvl w:ilvl="8" w:tplc="F37A32C2" w:tentative="1">
      <w:start w:val="1"/>
      <w:numFmt w:val="decimal"/>
      <w:lvlText w:val="%9."/>
      <w:lvlJc w:val="left"/>
      <w:pPr>
        <w:tabs>
          <w:tab w:val="num" w:pos="6774"/>
        </w:tabs>
        <w:ind w:left="6774" w:hanging="360"/>
      </w:pPr>
    </w:lvl>
  </w:abstractNum>
  <w:abstractNum w:abstractNumId="20" w15:restartNumberingAfterBreak="0">
    <w:nsid w:val="24102E5E"/>
    <w:multiLevelType w:val="hybridMultilevel"/>
    <w:tmpl w:val="F684DD76"/>
    <w:lvl w:ilvl="0" w:tplc="7D025978">
      <w:start w:val="6"/>
      <w:numFmt w:val="decimal"/>
      <w:lvlText w:val="%1."/>
      <w:lvlJc w:val="left"/>
      <w:pPr>
        <w:tabs>
          <w:tab w:val="num" w:pos="1014"/>
        </w:tabs>
        <w:ind w:left="1014" w:hanging="360"/>
      </w:pPr>
    </w:lvl>
    <w:lvl w:ilvl="1" w:tplc="D3063876" w:tentative="1">
      <w:start w:val="1"/>
      <w:numFmt w:val="decimal"/>
      <w:lvlText w:val="%2."/>
      <w:lvlJc w:val="left"/>
      <w:pPr>
        <w:tabs>
          <w:tab w:val="num" w:pos="1734"/>
        </w:tabs>
        <w:ind w:left="1734" w:hanging="360"/>
      </w:pPr>
    </w:lvl>
    <w:lvl w:ilvl="2" w:tplc="804A119E" w:tentative="1">
      <w:start w:val="1"/>
      <w:numFmt w:val="decimal"/>
      <w:lvlText w:val="%3."/>
      <w:lvlJc w:val="left"/>
      <w:pPr>
        <w:tabs>
          <w:tab w:val="num" w:pos="2454"/>
        </w:tabs>
        <w:ind w:left="2454" w:hanging="360"/>
      </w:pPr>
    </w:lvl>
    <w:lvl w:ilvl="3" w:tplc="4D4602FA" w:tentative="1">
      <w:start w:val="1"/>
      <w:numFmt w:val="decimal"/>
      <w:lvlText w:val="%4."/>
      <w:lvlJc w:val="left"/>
      <w:pPr>
        <w:tabs>
          <w:tab w:val="num" w:pos="3174"/>
        </w:tabs>
        <w:ind w:left="3174" w:hanging="360"/>
      </w:pPr>
    </w:lvl>
    <w:lvl w:ilvl="4" w:tplc="8F3EC586" w:tentative="1">
      <w:start w:val="1"/>
      <w:numFmt w:val="decimal"/>
      <w:lvlText w:val="%5."/>
      <w:lvlJc w:val="left"/>
      <w:pPr>
        <w:tabs>
          <w:tab w:val="num" w:pos="3894"/>
        </w:tabs>
        <w:ind w:left="3894" w:hanging="360"/>
      </w:pPr>
    </w:lvl>
    <w:lvl w:ilvl="5" w:tplc="2B14FBDC" w:tentative="1">
      <w:start w:val="1"/>
      <w:numFmt w:val="decimal"/>
      <w:lvlText w:val="%6."/>
      <w:lvlJc w:val="left"/>
      <w:pPr>
        <w:tabs>
          <w:tab w:val="num" w:pos="4614"/>
        </w:tabs>
        <w:ind w:left="4614" w:hanging="360"/>
      </w:pPr>
    </w:lvl>
    <w:lvl w:ilvl="6" w:tplc="D97282E8" w:tentative="1">
      <w:start w:val="1"/>
      <w:numFmt w:val="decimal"/>
      <w:lvlText w:val="%7."/>
      <w:lvlJc w:val="left"/>
      <w:pPr>
        <w:tabs>
          <w:tab w:val="num" w:pos="5334"/>
        </w:tabs>
        <w:ind w:left="5334" w:hanging="360"/>
      </w:pPr>
    </w:lvl>
    <w:lvl w:ilvl="7" w:tplc="69F44990" w:tentative="1">
      <w:start w:val="1"/>
      <w:numFmt w:val="decimal"/>
      <w:lvlText w:val="%8."/>
      <w:lvlJc w:val="left"/>
      <w:pPr>
        <w:tabs>
          <w:tab w:val="num" w:pos="6054"/>
        </w:tabs>
        <w:ind w:left="6054" w:hanging="360"/>
      </w:pPr>
    </w:lvl>
    <w:lvl w:ilvl="8" w:tplc="90CEA178" w:tentative="1">
      <w:start w:val="1"/>
      <w:numFmt w:val="decimal"/>
      <w:lvlText w:val="%9."/>
      <w:lvlJc w:val="left"/>
      <w:pPr>
        <w:tabs>
          <w:tab w:val="num" w:pos="6774"/>
        </w:tabs>
        <w:ind w:left="6774" w:hanging="360"/>
      </w:pPr>
    </w:lvl>
  </w:abstractNum>
  <w:abstractNum w:abstractNumId="21" w15:restartNumberingAfterBreak="0">
    <w:nsid w:val="287E354C"/>
    <w:multiLevelType w:val="hybridMultilevel"/>
    <w:tmpl w:val="3DFEA486"/>
    <w:lvl w:ilvl="0" w:tplc="C1CAD4BE">
      <w:start w:val="1"/>
      <w:numFmt w:val="decimal"/>
      <w:lvlText w:val="(%1)"/>
      <w:lvlJc w:val="left"/>
      <w:pPr>
        <w:ind w:left="1185" w:hanging="360"/>
      </w:pPr>
      <w:rPr>
        <w:rFonts w:hint="default"/>
      </w:rPr>
    </w:lvl>
    <w:lvl w:ilvl="1" w:tplc="1DC8D47A">
      <w:start w:val="1"/>
      <w:numFmt w:val="lowerLetter"/>
      <w:lvlText w:val="(%2)"/>
      <w:lvlJc w:val="left"/>
      <w:pPr>
        <w:ind w:left="1965" w:hanging="420"/>
      </w:pPr>
      <w:rPr>
        <w:rFonts w:hint="default"/>
      </w:r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22" w15:restartNumberingAfterBreak="0">
    <w:nsid w:val="2948696F"/>
    <w:multiLevelType w:val="hybridMultilevel"/>
    <w:tmpl w:val="41084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8758B3"/>
    <w:multiLevelType w:val="hybridMultilevel"/>
    <w:tmpl w:val="453677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9A1430B"/>
    <w:multiLevelType w:val="hybridMultilevel"/>
    <w:tmpl w:val="57386280"/>
    <w:lvl w:ilvl="0" w:tplc="BD1A33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A774DCF"/>
    <w:multiLevelType w:val="hybridMultilevel"/>
    <w:tmpl w:val="AA0874A6"/>
    <w:lvl w:ilvl="0" w:tplc="5F128CB8">
      <w:start w:val="1"/>
      <w:numFmt w:val="decimal"/>
      <w:lvlText w:val="%1."/>
      <w:lvlJc w:val="left"/>
      <w:pPr>
        <w:ind w:left="720" w:hanging="360"/>
      </w:pPr>
    </w:lvl>
    <w:lvl w:ilvl="1" w:tplc="E0384A40">
      <w:start w:val="1"/>
      <w:numFmt w:val="lowerLetter"/>
      <w:lvlText w:val="%2."/>
      <w:lvlJc w:val="left"/>
      <w:pPr>
        <w:ind w:left="1440" w:hanging="360"/>
      </w:pPr>
    </w:lvl>
    <w:lvl w:ilvl="2" w:tplc="D130AF68">
      <w:start w:val="1"/>
      <w:numFmt w:val="lowerRoman"/>
      <w:lvlText w:val="%3."/>
      <w:lvlJc w:val="right"/>
      <w:pPr>
        <w:ind w:left="2160" w:hanging="180"/>
      </w:pPr>
    </w:lvl>
    <w:lvl w:ilvl="3" w:tplc="9AF2D270">
      <w:start w:val="1"/>
      <w:numFmt w:val="decimal"/>
      <w:lvlText w:val="%4."/>
      <w:lvlJc w:val="left"/>
      <w:pPr>
        <w:ind w:left="2880" w:hanging="360"/>
      </w:pPr>
    </w:lvl>
    <w:lvl w:ilvl="4" w:tplc="9DB2278A">
      <w:start w:val="1"/>
      <w:numFmt w:val="lowerLetter"/>
      <w:lvlText w:val="%5."/>
      <w:lvlJc w:val="left"/>
      <w:pPr>
        <w:ind w:left="3600" w:hanging="360"/>
      </w:pPr>
    </w:lvl>
    <w:lvl w:ilvl="5" w:tplc="678A81F4">
      <w:start w:val="1"/>
      <w:numFmt w:val="lowerRoman"/>
      <w:lvlText w:val="%6."/>
      <w:lvlJc w:val="right"/>
      <w:pPr>
        <w:ind w:left="4320" w:hanging="180"/>
      </w:pPr>
    </w:lvl>
    <w:lvl w:ilvl="6" w:tplc="073A9F4C">
      <w:start w:val="1"/>
      <w:numFmt w:val="decimal"/>
      <w:lvlText w:val="%7."/>
      <w:lvlJc w:val="left"/>
      <w:pPr>
        <w:ind w:left="5040" w:hanging="360"/>
      </w:pPr>
    </w:lvl>
    <w:lvl w:ilvl="7" w:tplc="BE6493D6">
      <w:start w:val="1"/>
      <w:numFmt w:val="lowerLetter"/>
      <w:lvlText w:val="%8."/>
      <w:lvlJc w:val="left"/>
      <w:pPr>
        <w:ind w:left="5760" w:hanging="360"/>
      </w:pPr>
    </w:lvl>
    <w:lvl w:ilvl="8" w:tplc="E38E4D70">
      <w:start w:val="1"/>
      <w:numFmt w:val="lowerRoman"/>
      <w:lvlText w:val="%9."/>
      <w:lvlJc w:val="right"/>
      <w:pPr>
        <w:ind w:left="6480" w:hanging="180"/>
      </w:pPr>
    </w:lvl>
  </w:abstractNum>
  <w:abstractNum w:abstractNumId="26" w15:restartNumberingAfterBreak="0">
    <w:nsid w:val="2A9C6F1B"/>
    <w:multiLevelType w:val="hybridMultilevel"/>
    <w:tmpl w:val="7C9CF91E"/>
    <w:lvl w:ilvl="0" w:tplc="FA84456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AEE2BD4"/>
    <w:multiLevelType w:val="hybridMultilevel"/>
    <w:tmpl w:val="4604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B814063"/>
    <w:multiLevelType w:val="hybridMultilevel"/>
    <w:tmpl w:val="C21EB2FE"/>
    <w:lvl w:ilvl="0" w:tplc="28326496">
      <w:start w:val="1"/>
      <w:numFmt w:val="decimal"/>
      <w:pStyle w:val="ListNumber"/>
      <w:lvlText w:val="%1."/>
      <w:lvlJc w:val="left"/>
      <w:pPr>
        <w:tabs>
          <w:tab w:val="num" w:pos="720"/>
        </w:tabs>
        <w:ind w:left="720" w:hanging="720"/>
      </w:pPr>
    </w:lvl>
    <w:lvl w:ilvl="1" w:tplc="34D05C02">
      <w:start w:val="1"/>
      <w:numFmt w:val="decimal"/>
      <w:lvlText w:val="%2."/>
      <w:lvlJc w:val="left"/>
      <w:pPr>
        <w:tabs>
          <w:tab w:val="num" w:pos="1440"/>
        </w:tabs>
        <w:ind w:left="1440" w:hanging="720"/>
      </w:pPr>
    </w:lvl>
    <w:lvl w:ilvl="2" w:tplc="3CDAF144">
      <w:start w:val="1"/>
      <w:numFmt w:val="decimal"/>
      <w:lvlText w:val="%3."/>
      <w:lvlJc w:val="left"/>
      <w:pPr>
        <w:tabs>
          <w:tab w:val="num" w:pos="2160"/>
        </w:tabs>
        <w:ind w:left="2160" w:hanging="720"/>
      </w:pPr>
    </w:lvl>
    <w:lvl w:ilvl="3" w:tplc="45C8781A">
      <w:start w:val="1"/>
      <w:numFmt w:val="decimal"/>
      <w:lvlText w:val="%4."/>
      <w:lvlJc w:val="left"/>
      <w:pPr>
        <w:tabs>
          <w:tab w:val="num" w:pos="2880"/>
        </w:tabs>
        <w:ind w:left="2880" w:hanging="720"/>
      </w:pPr>
    </w:lvl>
    <w:lvl w:ilvl="4" w:tplc="EB4C571A">
      <w:start w:val="1"/>
      <w:numFmt w:val="decimal"/>
      <w:lvlText w:val="%5."/>
      <w:lvlJc w:val="left"/>
      <w:pPr>
        <w:tabs>
          <w:tab w:val="num" w:pos="3600"/>
        </w:tabs>
        <w:ind w:left="3600" w:hanging="720"/>
      </w:pPr>
    </w:lvl>
    <w:lvl w:ilvl="5" w:tplc="0FAEECD6">
      <w:start w:val="1"/>
      <w:numFmt w:val="decimal"/>
      <w:lvlText w:val="%6."/>
      <w:lvlJc w:val="left"/>
      <w:pPr>
        <w:tabs>
          <w:tab w:val="num" w:pos="4320"/>
        </w:tabs>
        <w:ind w:left="4320" w:hanging="720"/>
      </w:pPr>
    </w:lvl>
    <w:lvl w:ilvl="6" w:tplc="81B46C5A">
      <w:start w:val="1"/>
      <w:numFmt w:val="decimal"/>
      <w:lvlText w:val="%7."/>
      <w:lvlJc w:val="left"/>
      <w:pPr>
        <w:tabs>
          <w:tab w:val="num" w:pos="5040"/>
        </w:tabs>
        <w:ind w:left="5040" w:hanging="720"/>
      </w:pPr>
    </w:lvl>
    <w:lvl w:ilvl="7" w:tplc="5BE6DEDE">
      <w:start w:val="1"/>
      <w:numFmt w:val="decimal"/>
      <w:lvlText w:val="%8."/>
      <w:lvlJc w:val="left"/>
      <w:pPr>
        <w:tabs>
          <w:tab w:val="num" w:pos="5760"/>
        </w:tabs>
        <w:ind w:left="5760" w:hanging="720"/>
      </w:pPr>
    </w:lvl>
    <w:lvl w:ilvl="8" w:tplc="7C50AC10">
      <w:start w:val="1"/>
      <w:numFmt w:val="decimal"/>
      <w:lvlText w:val="%9."/>
      <w:lvlJc w:val="left"/>
      <w:pPr>
        <w:tabs>
          <w:tab w:val="num" w:pos="6480"/>
        </w:tabs>
        <w:ind w:left="6480" w:hanging="720"/>
      </w:pPr>
    </w:lvl>
  </w:abstractNum>
  <w:abstractNum w:abstractNumId="29" w15:restartNumberingAfterBreak="0">
    <w:nsid w:val="329F3167"/>
    <w:multiLevelType w:val="hybridMultilevel"/>
    <w:tmpl w:val="F470353A"/>
    <w:lvl w:ilvl="0" w:tplc="F4B8DD4A">
      <w:start w:val="1"/>
      <w:numFmt w:val="bullet"/>
      <w:lvlText w:val=""/>
      <w:lvlJc w:val="left"/>
      <w:pPr>
        <w:tabs>
          <w:tab w:val="num" w:pos="720"/>
        </w:tabs>
        <w:ind w:left="720" w:hanging="360"/>
      </w:pPr>
      <w:rPr>
        <w:rFonts w:ascii="Symbol" w:hAnsi="Symbol" w:hint="default"/>
        <w:sz w:val="20"/>
      </w:rPr>
    </w:lvl>
    <w:lvl w:ilvl="1" w:tplc="E45889AE" w:tentative="1">
      <w:start w:val="1"/>
      <w:numFmt w:val="bullet"/>
      <w:lvlText w:val="o"/>
      <w:lvlJc w:val="left"/>
      <w:pPr>
        <w:tabs>
          <w:tab w:val="num" w:pos="1440"/>
        </w:tabs>
        <w:ind w:left="1440" w:hanging="360"/>
      </w:pPr>
      <w:rPr>
        <w:rFonts w:ascii="Courier New" w:hAnsi="Courier New" w:hint="default"/>
        <w:sz w:val="20"/>
      </w:rPr>
    </w:lvl>
    <w:lvl w:ilvl="2" w:tplc="3B84A30E" w:tentative="1">
      <w:start w:val="1"/>
      <w:numFmt w:val="bullet"/>
      <w:lvlText w:val=""/>
      <w:lvlJc w:val="left"/>
      <w:pPr>
        <w:tabs>
          <w:tab w:val="num" w:pos="2160"/>
        </w:tabs>
        <w:ind w:left="2160" w:hanging="360"/>
      </w:pPr>
      <w:rPr>
        <w:rFonts w:ascii="Wingdings" w:hAnsi="Wingdings" w:hint="default"/>
        <w:sz w:val="20"/>
      </w:rPr>
    </w:lvl>
    <w:lvl w:ilvl="3" w:tplc="E9144858" w:tentative="1">
      <w:start w:val="1"/>
      <w:numFmt w:val="bullet"/>
      <w:lvlText w:val=""/>
      <w:lvlJc w:val="left"/>
      <w:pPr>
        <w:tabs>
          <w:tab w:val="num" w:pos="2880"/>
        </w:tabs>
        <w:ind w:left="2880" w:hanging="360"/>
      </w:pPr>
      <w:rPr>
        <w:rFonts w:ascii="Wingdings" w:hAnsi="Wingdings" w:hint="default"/>
        <w:sz w:val="20"/>
      </w:rPr>
    </w:lvl>
    <w:lvl w:ilvl="4" w:tplc="C6D8EC04" w:tentative="1">
      <w:start w:val="1"/>
      <w:numFmt w:val="bullet"/>
      <w:lvlText w:val=""/>
      <w:lvlJc w:val="left"/>
      <w:pPr>
        <w:tabs>
          <w:tab w:val="num" w:pos="3600"/>
        </w:tabs>
        <w:ind w:left="3600" w:hanging="360"/>
      </w:pPr>
      <w:rPr>
        <w:rFonts w:ascii="Wingdings" w:hAnsi="Wingdings" w:hint="default"/>
        <w:sz w:val="20"/>
      </w:rPr>
    </w:lvl>
    <w:lvl w:ilvl="5" w:tplc="F978F3E6" w:tentative="1">
      <w:start w:val="1"/>
      <w:numFmt w:val="bullet"/>
      <w:lvlText w:val=""/>
      <w:lvlJc w:val="left"/>
      <w:pPr>
        <w:tabs>
          <w:tab w:val="num" w:pos="4320"/>
        </w:tabs>
        <w:ind w:left="4320" w:hanging="360"/>
      </w:pPr>
      <w:rPr>
        <w:rFonts w:ascii="Wingdings" w:hAnsi="Wingdings" w:hint="default"/>
        <w:sz w:val="20"/>
      </w:rPr>
    </w:lvl>
    <w:lvl w:ilvl="6" w:tplc="6F44F8A6" w:tentative="1">
      <w:start w:val="1"/>
      <w:numFmt w:val="bullet"/>
      <w:lvlText w:val=""/>
      <w:lvlJc w:val="left"/>
      <w:pPr>
        <w:tabs>
          <w:tab w:val="num" w:pos="5040"/>
        </w:tabs>
        <w:ind w:left="5040" w:hanging="360"/>
      </w:pPr>
      <w:rPr>
        <w:rFonts w:ascii="Wingdings" w:hAnsi="Wingdings" w:hint="default"/>
        <w:sz w:val="20"/>
      </w:rPr>
    </w:lvl>
    <w:lvl w:ilvl="7" w:tplc="88D8434E" w:tentative="1">
      <w:start w:val="1"/>
      <w:numFmt w:val="bullet"/>
      <w:lvlText w:val=""/>
      <w:lvlJc w:val="left"/>
      <w:pPr>
        <w:tabs>
          <w:tab w:val="num" w:pos="5760"/>
        </w:tabs>
        <w:ind w:left="5760" w:hanging="360"/>
      </w:pPr>
      <w:rPr>
        <w:rFonts w:ascii="Wingdings" w:hAnsi="Wingdings" w:hint="default"/>
        <w:sz w:val="20"/>
      </w:rPr>
    </w:lvl>
    <w:lvl w:ilvl="8" w:tplc="78E0B4F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4A6DF3"/>
    <w:multiLevelType w:val="hybridMultilevel"/>
    <w:tmpl w:val="B7C6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956620"/>
    <w:multiLevelType w:val="hybridMultilevel"/>
    <w:tmpl w:val="120EE3EA"/>
    <w:lvl w:ilvl="0" w:tplc="BD1A33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8BE1800"/>
    <w:multiLevelType w:val="hybridMultilevel"/>
    <w:tmpl w:val="E37A53D6"/>
    <w:lvl w:ilvl="0" w:tplc="914C8BE0">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D77B97"/>
    <w:multiLevelType w:val="hybridMultilevel"/>
    <w:tmpl w:val="6C22A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AFF02E5"/>
    <w:multiLevelType w:val="multilevel"/>
    <w:tmpl w:val="49CC67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AC64DE"/>
    <w:multiLevelType w:val="hybridMultilevel"/>
    <w:tmpl w:val="C7D27020"/>
    <w:lvl w:ilvl="0" w:tplc="6D8E48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B34DD3"/>
    <w:multiLevelType w:val="hybridMultilevel"/>
    <w:tmpl w:val="A3E4EED4"/>
    <w:lvl w:ilvl="0" w:tplc="E5E88A7C">
      <w:start w:val="1"/>
      <w:numFmt w:val="decimal"/>
      <w:lvlText w:val="%1."/>
      <w:lvlJc w:val="left"/>
      <w:pPr>
        <w:ind w:left="720" w:hanging="360"/>
      </w:pPr>
    </w:lvl>
    <w:lvl w:ilvl="1" w:tplc="2278CEA2">
      <w:start w:val="1"/>
      <w:numFmt w:val="lowerLetter"/>
      <w:lvlText w:val="%2."/>
      <w:lvlJc w:val="left"/>
      <w:pPr>
        <w:ind w:left="1440" w:hanging="360"/>
      </w:pPr>
    </w:lvl>
    <w:lvl w:ilvl="2" w:tplc="D48474C4">
      <w:start w:val="1"/>
      <w:numFmt w:val="lowerRoman"/>
      <w:lvlText w:val="%3."/>
      <w:lvlJc w:val="right"/>
      <w:pPr>
        <w:ind w:left="2160" w:hanging="180"/>
      </w:pPr>
    </w:lvl>
    <w:lvl w:ilvl="3" w:tplc="22DEED98">
      <w:start w:val="1"/>
      <w:numFmt w:val="decimal"/>
      <w:lvlText w:val="%4."/>
      <w:lvlJc w:val="left"/>
      <w:pPr>
        <w:ind w:left="2880" w:hanging="360"/>
      </w:pPr>
    </w:lvl>
    <w:lvl w:ilvl="4" w:tplc="821E470C">
      <w:start w:val="1"/>
      <w:numFmt w:val="lowerLetter"/>
      <w:lvlText w:val="%5."/>
      <w:lvlJc w:val="left"/>
      <w:pPr>
        <w:ind w:left="3600" w:hanging="360"/>
      </w:pPr>
    </w:lvl>
    <w:lvl w:ilvl="5" w:tplc="21C62BAA">
      <w:start w:val="1"/>
      <w:numFmt w:val="lowerRoman"/>
      <w:lvlText w:val="%6."/>
      <w:lvlJc w:val="right"/>
      <w:pPr>
        <w:ind w:left="4320" w:hanging="180"/>
      </w:pPr>
    </w:lvl>
    <w:lvl w:ilvl="6" w:tplc="8DF44534">
      <w:start w:val="1"/>
      <w:numFmt w:val="decimal"/>
      <w:lvlText w:val="%7."/>
      <w:lvlJc w:val="left"/>
      <w:pPr>
        <w:ind w:left="5040" w:hanging="360"/>
      </w:pPr>
    </w:lvl>
    <w:lvl w:ilvl="7" w:tplc="3B32522E">
      <w:start w:val="1"/>
      <w:numFmt w:val="lowerLetter"/>
      <w:lvlText w:val="%8."/>
      <w:lvlJc w:val="left"/>
      <w:pPr>
        <w:ind w:left="5760" w:hanging="360"/>
      </w:pPr>
    </w:lvl>
    <w:lvl w:ilvl="8" w:tplc="3412047E">
      <w:start w:val="1"/>
      <w:numFmt w:val="lowerRoman"/>
      <w:lvlText w:val="%9."/>
      <w:lvlJc w:val="right"/>
      <w:pPr>
        <w:ind w:left="6480" w:hanging="180"/>
      </w:pPr>
    </w:lvl>
  </w:abstractNum>
  <w:abstractNum w:abstractNumId="37" w15:restartNumberingAfterBreak="0">
    <w:nsid w:val="3FCF2AC9"/>
    <w:multiLevelType w:val="hybridMultilevel"/>
    <w:tmpl w:val="1398F36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3E3259B"/>
    <w:multiLevelType w:val="hybridMultilevel"/>
    <w:tmpl w:val="A6BAB2A0"/>
    <w:lvl w:ilvl="0" w:tplc="FF7CFF38">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5BA2D0B"/>
    <w:multiLevelType w:val="hybridMultilevel"/>
    <w:tmpl w:val="E446F4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6AF70AB"/>
    <w:multiLevelType w:val="hybridMultilevel"/>
    <w:tmpl w:val="519882E2"/>
    <w:lvl w:ilvl="0" w:tplc="F6549F7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871626"/>
    <w:multiLevelType w:val="hybridMultilevel"/>
    <w:tmpl w:val="B1221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D876D8F"/>
    <w:multiLevelType w:val="hybridMultilevel"/>
    <w:tmpl w:val="3EF6BB06"/>
    <w:lvl w:ilvl="0" w:tplc="1444F442">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0464144"/>
    <w:multiLevelType w:val="hybridMultilevel"/>
    <w:tmpl w:val="07A24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1CE0005"/>
    <w:multiLevelType w:val="hybridMultilevel"/>
    <w:tmpl w:val="B9406A4A"/>
    <w:lvl w:ilvl="0" w:tplc="FB3A9522">
      <w:start w:val="1"/>
      <w:numFmt w:val="bullet"/>
      <w:lvlText w:val=""/>
      <w:lvlJc w:val="left"/>
      <w:pPr>
        <w:ind w:left="720" w:hanging="360"/>
      </w:pPr>
      <w:rPr>
        <w:rFonts w:ascii="Symbol" w:hAnsi="Symbol" w:hint="default"/>
      </w:rPr>
    </w:lvl>
    <w:lvl w:ilvl="1" w:tplc="C18E0382">
      <w:start w:val="1"/>
      <w:numFmt w:val="bullet"/>
      <w:lvlText w:val="o"/>
      <w:lvlJc w:val="left"/>
      <w:pPr>
        <w:ind w:left="1440" w:hanging="360"/>
      </w:pPr>
      <w:rPr>
        <w:rFonts w:ascii="Courier New" w:hAnsi="Courier New" w:hint="default"/>
      </w:rPr>
    </w:lvl>
    <w:lvl w:ilvl="2" w:tplc="C9DCBB20">
      <w:start w:val="1"/>
      <w:numFmt w:val="bullet"/>
      <w:lvlText w:val=""/>
      <w:lvlJc w:val="left"/>
      <w:pPr>
        <w:ind w:left="2160" w:hanging="360"/>
      </w:pPr>
      <w:rPr>
        <w:rFonts w:ascii="Wingdings" w:hAnsi="Wingdings" w:hint="default"/>
      </w:rPr>
    </w:lvl>
    <w:lvl w:ilvl="3" w:tplc="51161CCA">
      <w:start w:val="1"/>
      <w:numFmt w:val="bullet"/>
      <w:lvlText w:val=""/>
      <w:lvlJc w:val="left"/>
      <w:pPr>
        <w:ind w:left="2880" w:hanging="360"/>
      </w:pPr>
      <w:rPr>
        <w:rFonts w:ascii="Symbol" w:hAnsi="Symbol" w:hint="default"/>
      </w:rPr>
    </w:lvl>
    <w:lvl w:ilvl="4" w:tplc="D06C362E">
      <w:start w:val="1"/>
      <w:numFmt w:val="bullet"/>
      <w:lvlText w:val="o"/>
      <w:lvlJc w:val="left"/>
      <w:pPr>
        <w:ind w:left="3600" w:hanging="360"/>
      </w:pPr>
      <w:rPr>
        <w:rFonts w:ascii="Courier New" w:hAnsi="Courier New" w:hint="default"/>
      </w:rPr>
    </w:lvl>
    <w:lvl w:ilvl="5" w:tplc="0A6ACF04">
      <w:start w:val="1"/>
      <w:numFmt w:val="bullet"/>
      <w:lvlText w:val=""/>
      <w:lvlJc w:val="left"/>
      <w:pPr>
        <w:ind w:left="4320" w:hanging="360"/>
      </w:pPr>
      <w:rPr>
        <w:rFonts w:ascii="Wingdings" w:hAnsi="Wingdings" w:hint="default"/>
      </w:rPr>
    </w:lvl>
    <w:lvl w:ilvl="6" w:tplc="4FDC0D10">
      <w:start w:val="1"/>
      <w:numFmt w:val="bullet"/>
      <w:lvlText w:val=""/>
      <w:lvlJc w:val="left"/>
      <w:pPr>
        <w:ind w:left="5040" w:hanging="360"/>
      </w:pPr>
      <w:rPr>
        <w:rFonts w:ascii="Symbol" w:hAnsi="Symbol" w:hint="default"/>
      </w:rPr>
    </w:lvl>
    <w:lvl w:ilvl="7" w:tplc="7D12A02E">
      <w:start w:val="1"/>
      <w:numFmt w:val="bullet"/>
      <w:lvlText w:val="o"/>
      <w:lvlJc w:val="left"/>
      <w:pPr>
        <w:ind w:left="5760" w:hanging="360"/>
      </w:pPr>
      <w:rPr>
        <w:rFonts w:ascii="Courier New" w:hAnsi="Courier New" w:hint="default"/>
      </w:rPr>
    </w:lvl>
    <w:lvl w:ilvl="8" w:tplc="B5F280FA">
      <w:start w:val="1"/>
      <w:numFmt w:val="bullet"/>
      <w:lvlText w:val=""/>
      <w:lvlJc w:val="left"/>
      <w:pPr>
        <w:ind w:left="6480" w:hanging="360"/>
      </w:pPr>
      <w:rPr>
        <w:rFonts w:ascii="Wingdings" w:hAnsi="Wingdings" w:hint="default"/>
      </w:rPr>
    </w:lvl>
  </w:abstractNum>
  <w:abstractNum w:abstractNumId="45" w15:restartNumberingAfterBreak="0">
    <w:nsid w:val="52B53614"/>
    <w:multiLevelType w:val="hybridMultilevel"/>
    <w:tmpl w:val="7338A288"/>
    <w:lvl w:ilvl="0" w:tplc="A4FA7F4A">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2F25D73"/>
    <w:multiLevelType w:val="hybridMultilevel"/>
    <w:tmpl w:val="A4F6F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CB7F0B"/>
    <w:multiLevelType w:val="hybridMultilevel"/>
    <w:tmpl w:val="16AAD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780029E"/>
    <w:multiLevelType w:val="hybridMultilevel"/>
    <w:tmpl w:val="306893F6"/>
    <w:lvl w:ilvl="0" w:tplc="AF4A2482">
      <w:start w:val="1"/>
      <w:numFmt w:val="bullet"/>
      <w:lvlText w:val=""/>
      <w:lvlJc w:val="left"/>
      <w:pPr>
        <w:ind w:left="720" w:hanging="360"/>
      </w:pPr>
      <w:rPr>
        <w:rFonts w:ascii="Symbol" w:hAnsi="Symbol" w:hint="default"/>
      </w:rPr>
    </w:lvl>
    <w:lvl w:ilvl="1" w:tplc="1B04F358">
      <w:start w:val="1"/>
      <w:numFmt w:val="bullet"/>
      <w:lvlText w:val="o"/>
      <w:lvlJc w:val="left"/>
      <w:pPr>
        <w:ind w:left="1440" w:hanging="360"/>
      </w:pPr>
      <w:rPr>
        <w:rFonts w:ascii="Courier New" w:hAnsi="Courier New" w:hint="default"/>
      </w:rPr>
    </w:lvl>
    <w:lvl w:ilvl="2" w:tplc="0C1CCDAE">
      <w:start w:val="1"/>
      <w:numFmt w:val="bullet"/>
      <w:lvlText w:val=""/>
      <w:lvlJc w:val="left"/>
      <w:pPr>
        <w:ind w:left="2160" w:hanging="360"/>
      </w:pPr>
      <w:rPr>
        <w:rFonts w:ascii="Wingdings" w:hAnsi="Wingdings" w:hint="default"/>
      </w:rPr>
    </w:lvl>
    <w:lvl w:ilvl="3" w:tplc="424E3786">
      <w:start w:val="1"/>
      <w:numFmt w:val="bullet"/>
      <w:lvlText w:val=""/>
      <w:lvlJc w:val="left"/>
      <w:pPr>
        <w:ind w:left="2880" w:hanging="360"/>
      </w:pPr>
      <w:rPr>
        <w:rFonts w:ascii="Symbol" w:hAnsi="Symbol" w:hint="default"/>
      </w:rPr>
    </w:lvl>
    <w:lvl w:ilvl="4" w:tplc="82F68C20">
      <w:start w:val="1"/>
      <w:numFmt w:val="bullet"/>
      <w:lvlText w:val="o"/>
      <w:lvlJc w:val="left"/>
      <w:pPr>
        <w:ind w:left="3600" w:hanging="360"/>
      </w:pPr>
      <w:rPr>
        <w:rFonts w:ascii="Courier New" w:hAnsi="Courier New" w:hint="default"/>
      </w:rPr>
    </w:lvl>
    <w:lvl w:ilvl="5" w:tplc="1BCA82D0">
      <w:start w:val="1"/>
      <w:numFmt w:val="bullet"/>
      <w:lvlText w:val=""/>
      <w:lvlJc w:val="left"/>
      <w:pPr>
        <w:ind w:left="4320" w:hanging="360"/>
      </w:pPr>
      <w:rPr>
        <w:rFonts w:ascii="Wingdings" w:hAnsi="Wingdings" w:hint="default"/>
      </w:rPr>
    </w:lvl>
    <w:lvl w:ilvl="6" w:tplc="CE960FFE">
      <w:start w:val="1"/>
      <w:numFmt w:val="bullet"/>
      <w:lvlText w:val=""/>
      <w:lvlJc w:val="left"/>
      <w:pPr>
        <w:ind w:left="5040" w:hanging="360"/>
      </w:pPr>
      <w:rPr>
        <w:rFonts w:ascii="Symbol" w:hAnsi="Symbol" w:hint="default"/>
      </w:rPr>
    </w:lvl>
    <w:lvl w:ilvl="7" w:tplc="FB4E8C58">
      <w:start w:val="1"/>
      <w:numFmt w:val="bullet"/>
      <w:lvlText w:val="o"/>
      <w:lvlJc w:val="left"/>
      <w:pPr>
        <w:ind w:left="5760" w:hanging="360"/>
      </w:pPr>
      <w:rPr>
        <w:rFonts w:ascii="Courier New" w:hAnsi="Courier New" w:hint="default"/>
      </w:rPr>
    </w:lvl>
    <w:lvl w:ilvl="8" w:tplc="AC966B5E">
      <w:start w:val="1"/>
      <w:numFmt w:val="bullet"/>
      <w:lvlText w:val=""/>
      <w:lvlJc w:val="left"/>
      <w:pPr>
        <w:ind w:left="6480" w:hanging="360"/>
      </w:pPr>
      <w:rPr>
        <w:rFonts w:ascii="Wingdings" w:hAnsi="Wingdings" w:hint="default"/>
      </w:rPr>
    </w:lvl>
  </w:abstractNum>
  <w:abstractNum w:abstractNumId="50" w15:restartNumberingAfterBreak="0">
    <w:nsid w:val="58476D5A"/>
    <w:multiLevelType w:val="hybridMultilevel"/>
    <w:tmpl w:val="DD06E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BA0531C"/>
    <w:multiLevelType w:val="hybridMultilevel"/>
    <w:tmpl w:val="452C2B0E"/>
    <w:lvl w:ilvl="0" w:tplc="0C090001">
      <w:start w:val="1"/>
      <w:numFmt w:val="bullet"/>
      <w:lvlText w:val=""/>
      <w:lvlJc w:val="left"/>
      <w:pPr>
        <w:ind w:left="360" w:hanging="360"/>
      </w:pPr>
      <w:rPr>
        <w:rFonts w:ascii="Symbol" w:hAnsi="Symbol" w:hint="default"/>
      </w:rPr>
    </w:lvl>
    <w:lvl w:ilvl="1" w:tplc="587C072E">
      <w:start w:val="1"/>
      <w:numFmt w:val="bullet"/>
      <w:lvlText w:val="o"/>
      <w:lvlJc w:val="left"/>
      <w:pPr>
        <w:ind w:left="1080" w:hanging="360"/>
      </w:pPr>
      <w:rPr>
        <w:rFonts w:ascii="Courier New" w:hAnsi="Courier New" w:hint="default"/>
      </w:rPr>
    </w:lvl>
    <w:lvl w:ilvl="2" w:tplc="C57CCA16">
      <w:start w:val="1"/>
      <w:numFmt w:val="bullet"/>
      <w:lvlText w:val=""/>
      <w:lvlJc w:val="left"/>
      <w:pPr>
        <w:ind w:left="1800" w:hanging="360"/>
      </w:pPr>
      <w:rPr>
        <w:rFonts w:ascii="Wingdings" w:hAnsi="Wingdings" w:hint="default"/>
      </w:rPr>
    </w:lvl>
    <w:lvl w:ilvl="3" w:tplc="36EC6EB4">
      <w:start w:val="1"/>
      <w:numFmt w:val="bullet"/>
      <w:lvlText w:val=""/>
      <w:lvlJc w:val="left"/>
      <w:pPr>
        <w:ind w:left="2520" w:hanging="360"/>
      </w:pPr>
      <w:rPr>
        <w:rFonts w:ascii="Symbol" w:hAnsi="Symbol" w:hint="default"/>
      </w:rPr>
    </w:lvl>
    <w:lvl w:ilvl="4" w:tplc="7B1ED3C6">
      <w:start w:val="1"/>
      <w:numFmt w:val="bullet"/>
      <w:lvlText w:val="o"/>
      <w:lvlJc w:val="left"/>
      <w:pPr>
        <w:ind w:left="3240" w:hanging="360"/>
      </w:pPr>
      <w:rPr>
        <w:rFonts w:ascii="Courier New" w:hAnsi="Courier New" w:hint="default"/>
      </w:rPr>
    </w:lvl>
    <w:lvl w:ilvl="5" w:tplc="14403144">
      <w:start w:val="1"/>
      <w:numFmt w:val="bullet"/>
      <w:lvlText w:val=""/>
      <w:lvlJc w:val="left"/>
      <w:pPr>
        <w:ind w:left="3960" w:hanging="360"/>
      </w:pPr>
      <w:rPr>
        <w:rFonts w:ascii="Wingdings" w:hAnsi="Wingdings" w:hint="default"/>
      </w:rPr>
    </w:lvl>
    <w:lvl w:ilvl="6" w:tplc="8314FD5A">
      <w:start w:val="1"/>
      <w:numFmt w:val="bullet"/>
      <w:lvlText w:val=""/>
      <w:lvlJc w:val="left"/>
      <w:pPr>
        <w:ind w:left="4680" w:hanging="360"/>
      </w:pPr>
      <w:rPr>
        <w:rFonts w:ascii="Symbol" w:hAnsi="Symbol" w:hint="default"/>
      </w:rPr>
    </w:lvl>
    <w:lvl w:ilvl="7" w:tplc="3244B630">
      <w:start w:val="1"/>
      <w:numFmt w:val="bullet"/>
      <w:lvlText w:val="o"/>
      <w:lvlJc w:val="left"/>
      <w:pPr>
        <w:ind w:left="5400" w:hanging="360"/>
      </w:pPr>
      <w:rPr>
        <w:rFonts w:ascii="Courier New" w:hAnsi="Courier New" w:hint="default"/>
      </w:rPr>
    </w:lvl>
    <w:lvl w:ilvl="8" w:tplc="D07EF796">
      <w:start w:val="1"/>
      <w:numFmt w:val="bullet"/>
      <w:lvlText w:val=""/>
      <w:lvlJc w:val="left"/>
      <w:pPr>
        <w:ind w:left="6120" w:hanging="360"/>
      </w:pPr>
      <w:rPr>
        <w:rFonts w:ascii="Wingdings" w:hAnsi="Wingdings" w:hint="default"/>
      </w:rPr>
    </w:lvl>
  </w:abstractNum>
  <w:abstractNum w:abstractNumId="52" w15:restartNumberingAfterBreak="0">
    <w:nsid w:val="5CA918F7"/>
    <w:multiLevelType w:val="hybridMultilevel"/>
    <w:tmpl w:val="C1D0D33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5CAB519B"/>
    <w:multiLevelType w:val="hybridMultilevel"/>
    <w:tmpl w:val="F9F6D44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0247D2C"/>
    <w:multiLevelType w:val="hybridMultilevel"/>
    <w:tmpl w:val="7E12DC32"/>
    <w:lvl w:ilvl="0" w:tplc="3524F5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52F0318"/>
    <w:multiLevelType w:val="hybridMultilevel"/>
    <w:tmpl w:val="C6B006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6965AD6"/>
    <w:multiLevelType w:val="hybridMultilevel"/>
    <w:tmpl w:val="26CA5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C6657CE"/>
    <w:multiLevelType w:val="hybridMultilevel"/>
    <w:tmpl w:val="AA864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1CF5414"/>
    <w:multiLevelType w:val="hybridMultilevel"/>
    <w:tmpl w:val="74CE912E"/>
    <w:lvl w:ilvl="0" w:tplc="FF7CFF38">
      <w:start w:val="7"/>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3652E25"/>
    <w:multiLevelType w:val="hybridMultilevel"/>
    <w:tmpl w:val="17F0D71A"/>
    <w:lvl w:ilvl="0" w:tplc="E16C9D8C">
      <w:start w:val="2"/>
      <w:numFmt w:val="decimal"/>
      <w:lvlText w:val="%1."/>
      <w:lvlJc w:val="left"/>
      <w:pPr>
        <w:tabs>
          <w:tab w:val="num" w:pos="720"/>
        </w:tabs>
        <w:ind w:left="720" w:hanging="360"/>
      </w:pPr>
    </w:lvl>
    <w:lvl w:ilvl="1" w:tplc="6C4CF6FE" w:tentative="1">
      <w:start w:val="1"/>
      <w:numFmt w:val="decimal"/>
      <w:lvlText w:val="%2."/>
      <w:lvlJc w:val="left"/>
      <w:pPr>
        <w:tabs>
          <w:tab w:val="num" w:pos="1440"/>
        </w:tabs>
        <w:ind w:left="1440" w:hanging="360"/>
      </w:pPr>
    </w:lvl>
    <w:lvl w:ilvl="2" w:tplc="2CA40D36" w:tentative="1">
      <w:start w:val="1"/>
      <w:numFmt w:val="decimal"/>
      <w:lvlText w:val="%3."/>
      <w:lvlJc w:val="left"/>
      <w:pPr>
        <w:tabs>
          <w:tab w:val="num" w:pos="2160"/>
        </w:tabs>
        <w:ind w:left="2160" w:hanging="360"/>
      </w:pPr>
    </w:lvl>
    <w:lvl w:ilvl="3" w:tplc="28C2EE08" w:tentative="1">
      <w:start w:val="1"/>
      <w:numFmt w:val="decimal"/>
      <w:lvlText w:val="%4."/>
      <w:lvlJc w:val="left"/>
      <w:pPr>
        <w:tabs>
          <w:tab w:val="num" w:pos="2880"/>
        </w:tabs>
        <w:ind w:left="2880" w:hanging="360"/>
      </w:pPr>
    </w:lvl>
    <w:lvl w:ilvl="4" w:tplc="3846601A" w:tentative="1">
      <w:start w:val="1"/>
      <w:numFmt w:val="decimal"/>
      <w:lvlText w:val="%5."/>
      <w:lvlJc w:val="left"/>
      <w:pPr>
        <w:tabs>
          <w:tab w:val="num" w:pos="3600"/>
        </w:tabs>
        <w:ind w:left="3600" w:hanging="360"/>
      </w:pPr>
    </w:lvl>
    <w:lvl w:ilvl="5" w:tplc="2A9C0B02" w:tentative="1">
      <w:start w:val="1"/>
      <w:numFmt w:val="decimal"/>
      <w:lvlText w:val="%6."/>
      <w:lvlJc w:val="left"/>
      <w:pPr>
        <w:tabs>
          <w:tab w:val="num" w:pos="4320"/>
        </w:tabs>
        <w:ind w:left="4320" w:hanging="360"/>
      </w:pPr>
    </w:lvl>
    <w:lvl w:ilvl="6" w:tplc="B8726F06" w:tentative="1">
      <w:start w:val="1"/>
      <w:numFmt w:val="decimal"/>
      <w:lvlText w:val="%7."/>
      <w:lvlJc w:val="left"/>
      <w:pPr>
        <w:tabs>
          <w:tab w:val="num" w:pos="5040"/>
        </w:tabs>
        <w:ind w:left="5040" w:hanging="360"/>
      </w:pPr>
    </w:lvl>
    <w:lvl w:ilvl="7" w:tplc="B0F2AE5C" w:tentative="1">
      <w:start w:val="1"/>
      <w:numFmt w:val="decimal"/>
      <w:lvlText w:val="%8."/>
      <w:lvlJc w:val="left"/>
      <w:pPr>
        <w:tabs>
          <w:tab w:val="num" w:pos="5760"/>
        </w:tabs>
        <w:ind w:left="5760" w:hanging="360"/>
      </w:pPr>
    </w:lvl>
    <w:lvl w:ilvl="8" w:tplc="9254118A" w:tentative="1">
      <w:start w:val="1"/>
      <w:numFmt w:val="decimal"/>
      <w:lvlText w:val="%9."/>
      <w:lvlJc w:val="left"/>
      <w:pPr>
        <w:tabs>
          <w:tab w:val="num" w:pos="6480"/>
        </w:tabs>
        <w:ind w:left="6480" w:hanging="360"/>
      </w:pPr>
    </w:lvl>
  </w:abstractNum>
  <w:abstractNum w:abstractNumId="60" w15:restartNumberingAfterBreak="0">
    <w:nsid w:val="75B02E88"/>
    <w:multiLevelType w:val="hybridMultilevel"/>
    <w:tmpl w:val="57386280"/>
    <w:lvl w:ilvl="0" w:tplc="BD1A33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A40320A"/>
    <w:multiLevelType w:val="hybridMultilevel"/>
    <w:tmpl w:val="B80C57CC"/>
    <w:lvl w:ilvl="0" w:tplc="9C76FFE4">
      <w:start w:val="1"/>
      <w:numFmt w:val="decimal"/>
      <w:lvlText w:val="%1."/>
      <w:lvlJc w:val="left"/>
      <w:pPr>
        <w:tabs>
          <w:tab w:val="num" w:pos="720"/>
        </w:tabs>
        <w:ind w:left="720" w:hanging="360"/>
      </w:pPr>
    </w:lvl>
    <w:lvl w:ilvl="1" w:tplc="70527C12" w:tentative="1">
      <w:start w:val="1"/>
      <w:numFmt w:val="decimal"/>
      <w:lvlText w:val="%2."/>
      <w:lvlJc w:val="left"/>
      <w:pPr>
        <w:tabs>
          <w:tab w:val="num" w:pos="1440"/>
        </w:tabs>
        <w:ind w:left="1440" w:hanging="360"/>
      </w:pPr>
    </w:lvl>
    <w:lvl w:ilvl="2" w:tplc="200A78BC" w:tentative="1">
      <w:start w:val="1"/>
      <w:numFmt w:val="decimal"/>
      <w:lvlText w:val="%3."/>
      <w:lvlJc w:val="left"/>
      <w:pPr>
        <w:tabs>
          <w:tab w:val="num" w:pos="2160"/>
        </w:tabs>
        <w:ind w:left="2160" w:hanging="360"/>
      </w:pPr>
    </w:lvl>
    <w:lvl w:ilvl="3" w:tplc="2452DD96" w:tentative="1">
      <w:start w:val="1"/>
      <w:numFmt w:val="decimal"/>
      <w:lvlText w:val="%4."/>
      <w:lvlJc w:val="left"/>
      <w:pPr>
        <w:tabs>
          <w:tab w:val="num" w:pos="2880"/>
        </w:tabs>
        <w:ind w:left="2880" w:hanging="360"/>
      </w:pPr>
    </w:lvl>
    <w:lvl w:ilvl="4" w:tplc="77569EC8" w:tentative="1">
      <w:start w:val="1"/>
      <w:numFmt w:val="decimal"/>
      <w:lvlText w:val="%5."/>
      <w:lvlJc w:val="left"/>
      <w:pPr>
        <w:tabs>
          <w:tab w:val="num" w:pos="3600"/>
        </w:tabs>
        <w:ind w:left="3600" w:hanging="360"/>
      </w:pPr>
    </w:lvl>
    <w:lvl w:ilvl="5" w:tplc="EE7472DE" w:tentative="1">
      <w:start w:val="1"/>
      <w:numFmt w:val="decimal"/>
      <w:lvlText w:val="%6."/>
      <w:lvlJc w:val="left"/>
      <w:pPr>
        <w:tabs>
          <w:tab w:val="num" w:pos="4320"/>
        </w:tabs>
        <w:ind w:left="4320" w:hanging="360"/>
      </w:pPr>
    </w:lvl>
    <w:lvl w:ilvl="6" w:tplc="23CE223E" w:tentative="1">
      <w:start w:val="1"/>
      <w:numFmt w:val="decimal"/>
      <w:lvlText w:val="%7."/>
      <w:lvlJc w:val="left"/>
      <w:pPr>
        <w:tabs>
          <w:tab w:val="num" w:pos="5040"/>
        </w:tabs>
        <w:ind w:left="5040" w:hanging="360"/>
      </w:pPr>
    </w:lvl>
    <w:lvl w:ilvl="7" w:tplc="FA5087F0" w:tentative="1">
      <w:start w:val="1"/>
      <w:numFmt w:val="decimal"/>
      <w:lvlText w:val="%8."/>
      <w:lvlJc w:val="left"/>
      <w:pPr>
        <w:tabs>
          <w:tab w:val="num" w:pos="5760"/>
        </w:tabs>
        <w:ind w:left="5760" w:hanging="360"/>
      </w:pPr>
    </w:lvl>
    <w:lvl w:ilvl="8" w:tplc="879CEFE6" w:tentative="1">
      <w:start w:val="1"/>
      <w:numFmt w:val="decimal"/>
      <w:lvlText w:val="%9."/>
      <w:lvlJc w:val="left"/>
      <w:pPr>
        <w:tabs>
          <w:tab w:val="num" w:pos="6480"/>
        </w:tabs>
        <w:ind w:left="6480" w:hanging="360"/>
      </w:pPr>
    </w:lvl>
  </w:abstractNum>
  <w:num w:numId="1">
    <w:abstractNumId w:val="44"/>
  </w:num>
  <w:num w:numId="2">
    <w:abstractNumId w:val="47"/>
  </w:num>
  <w:num w:numId="3">
    <w:abstractNumId w:val="45"/>
  </w:num>
  <w:num w:numId="4">
    <w:abstractNumId w:val="52"/>
  </w:num>
  <w:num w:numId="5">
    <w:abstractNumId w:val="42"/>
  </w:num>
  <w:num w:numId="6">
    <w:abstractNumId w:val="46"/>
  </w:num>
  <w:num w:numId="7">
    <w:abstractNumId w:val="34"/>
  </w:num>
  <w:num w:numId="8">
    <w:abstractNumId w:val="51"/>
  </w:num>
  <w:num w:numId="9">
    <w:abstractNumId w:val="33"/>
  </w:num>
  <w:num w:numId="10">
    <w:abstractNumId w:val="43"/>
  </w:num>
  <w:num w:numId="11">
    <w:abstractNumId w:val="61"/>
  </w:num>
  <w:num w:numId="12">
    <w:abstractNumId w:val="59"/>
  </w:num>
  <w:num w:numId="13">
    <w:abstractNumId w:val="17"/>
  </w:num>
  <w:num w:numId="14">
    <w:abstractNumId w:val="2"/>
  </w:num>
  <w:num w:numId="15">
    <w:abstractNumId w:val="19"/>
  </w:num>
  <w:num w:numId="16">
    <w:abstractNumId w:val="20"/>
  </w:num>
  <w:num w:numId="17">
    <w:abstractNumId w:val="0"/>
  </w:num>
  <w:num w:numId="18">
    <w:abstractNumId w:val="50"/>
  </w:num>
  <w:num w:numId="19">
    <w:abstractNumId w:val="18"/>
  </w:num>
  <w:num w:numId="20">
    <w:abstractNumId w:val="5"/>
  </w:num>
  <w:num w:numId="21">
    <w:abstractNumId w:val="10"/>
  </w:num>
  <w:num w:numId="22">
    <w:abstractNumId w:val="7"/>
  </w:num>
  <w:num w:numId="23">
    <w:abstractNumId w:val="48"/>
  </w:num>
  <w:num w:numId="24">
    <w:abstractNumId w:val="22"/>
  </w:num>
  <w:num w:numId="25">
    <w:abstractNumId w:val="27"/>
  </w:num>
  <w:num w:numId="26">
    <w:abstractNumId w:val="30"/>
  </w:num>
  <w:num w:numId="27">
    <w:abstractNumId w:val="6"/>
  </w:num>
  <w:num w:numId="28">
    <w:abstractNumId w:val="41"/>
  </w:num>
  <w:num w:numId="29">
    <w:abstractNumId w:val="36"/>
  </w:num>
  <w:num w:numId="30">
    <w:abstractNumId w:val="1"/>
  </w:num>
  <w:num w:numId="31">
    <w:abstractNumId w:val="28"/>
  </w:num>
  <w:num w:numId="32">
    <w:abstractNumId w:val="16"/>
  </w:num>
  <w:num w:numId="33">
    <w:abstractNumId w:val="21"/>
  </w:num>
  <w:num w:numId="34">
    <w:abstractNumId w:val="25"/>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3"/>
  </w:num>
  <w:num w:numId="38">
    <w:abstractNumId w:val="56"/>
  </w:num>
  <w:num w:numId="39">
    <w:abstractNumId w:val="58"/>
  </w:num>
  <w:num w:numId="40">
    <w:abstractNumId w:val="11"/>
  </w:num>
  <w:num w:numId="41">
    <w:abstractNumId w:val="12"/>
  </w:num>
  <w:num w:numId="42">
    <w:abstractNumId w:val="47"/>
  </w:num>
  <w:num w:numId="43">
    <w:abstractNumId w:val="54"/>
  </w:num>
  <w:num w:numId="44">
    <w:abstractNumId w:val="60"/>
  </w:num>
  <w:num w:numId="45">
    <w:abstractNumId w:val="12"/>
  </w:num>
  <w:num w:numId="46">
    <w:abstractNumId w:val="12"/>
  </w:num>
  <w:num w:numId="47">
    <w:abstractNumId w:val="24"/>
  </w:num>
  <w:num w:numId="48">
    <w:abstractNumId w:val="12"/>
  </w:num>
  <w:num w:numId="49">
    <w:abstractNumId w:val="57"/>
  </w:num>
  <w:num w:numId="50">
    <w:abstractNumId w:val="9"/>
  </w:num>
  <w:num w:numId="51">
    <w:abstractNumId w:val="26"/>
  </w:num>
  <w:num w:numId="52">
    <w:abstractNumId w:val="14"/>
  </w:num>
  <w:num w:numId="53">
    <w:abstractNumId w:val="35"/>
  </w:num>
  <w:num w:numId="54">
    <w:abstractNumId w:val="29"/>
  </w:num>
  <w:num w:numId="55">
    <w:abstractNumId w:val="31"/>
  </w:num>
  <w:num w:numId="56">
    <w:abstractNumId w:val="12"/>
  </w:num>
  <w:num w:numId="57">
    <w:abstractNumId w:val="55"/>
  </w:num>
  <w:num w:numId="58">
    <w:abstractNumId w:val="3"/>
  </w:num>
  <w:num w:numId="59">
    <w:abstractNumId w:val="53"/>
  </w:num>
  <w:num w:numId="60">
    <w:abstractNumId w:val="23"/>
  </w:num>
  <w:num w:numId="61">
    <w:abstractNumId w:val="12"/>
  </w:num>
  <w:num w:numId="62">
    <w:abstractNumId w:val="12"/>
  </w:num>
  <w:num w:numId="63">
    <w:abstractNumId w:val="38"/>
  </w:num>
  <w:num w:numId="64">
    <w:abstractNumId w:val="32"/>
  </w:num>
  <w:num w:numId="65">
    <w:abstractNumId w:val="12"/>
  </w:num>
  <w:num w:numId="66">
    <w:abstractNumId w:val="12"/>
  </w:num>
  <w:num w:numId="67">
    <w:abstractNumId w:val="12"/>
  </w:num>
  <w:num w:numId="68">
    <w:abstractNumId w:val="12"/>
  </w:num>
  <w:num w:numId="69">
    <w:abstractNumId w:val="39"/>
  </w:num>
  <w:num w:numId="70">
    <w:abstractNumId w:val="40"/>
  </w:num>
  <w:num w:numId="71">
    <w:abstractNumId w:val="4"/>
  </w:num>
  <w:num w:numId="72">
    <w:abstractNumId w:val="49"/>
  </w:num>
  <w:num w:numId="73">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90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6D7E47C-670C-4059-BB48-935396A3406F}"/>
    <w:docVar w:name="dgnword-eventsink" w:val="1118434032"/>
  </w:docVars>
  <w:rsids>
    <w:rsidRoot w:val="004A6596"/>
    <w:rsid w:val="0000014A"/>
    <w:rsid w:val="00001566"/>
    <w:rsid w:val="00001646"/>
    <w:rsid w:val="000017E8"/>
    <w:rsid w:val="00001B22"/>
    <w:rsid w:val="000020F3"/>
    <w:rsid w:val="0000243B"/>
    <w:rsid w:val="00002AD9"/>
    <w:rsid w:val="00003456"/>
    <w:rsid w:val="00003651"/>
    <w:rsid w:val="00004300"/>
    <w:rsid w:val="000044DD"/>
    <w:rsid w:val="000045AD"/>
    <w:rsid w:val="0000480A"/>
    <w:rsid w:val="000048D2"/>
    <w:rsid w:val="00004CE4"/>
    <w:rsid w:val="00005632"/>
    <w:rsid w:val="0000637C"/>
    <w:rsid w:val="00006C85"/>
    <w:rsid w:val="00006FBD"/>
    <w:rsid w:val="00007292"/>
    <w:rsid w:val="00007E66"/>
    <w:rsid w:val="000105B6"/>
    <w:rsid w:val="00010867"/>
    <w:rsid w:val="000109FD"/>
    <w:rsid w:val="00010A03"/>
    <w:rsid w:val="00010BBA"/>
    <w:rsid w:val="00010C12"/>
    <w:rsid w:val="00010EA6"/>
    <w:rsid w:val="000112B8"/>
    <w:rsid w:val="00011539"/>
    <w:rsid w:val="0001197B"/>
    <w:rsid w:val="00012BD7"/>
    <w:rsid w:val="00014477"/>
    <w:rsid w:val="000152FC"/>
    <w:rsid w:val="0001544D"/>
    <w:rsid w:val="000158EF"/>
    <w:rsid w:val="00016211"/>
    <w:rsid w:val="00016F6C"/>
    <w:rsid w:val="00017584"/>
    <w:rsid w:val="000175D6"/>
    <w:rsid w:val="00017C00"/>
    <w:rsid w:val="00020597"/>
    <w:rsid w:val="00020A67"/>
    <w:rsid w:val="00020D15"/>
    <w:rsid w:val="0002189A"/>
    <w:rsid w:val="00021B32"/>
    <w:rsid w:val="00021EAA"/>
    <w:rsid w:val="00022B32"/>
    <w:rsid w:val="00022C07"/>
    <w:rsid w:val="00022F94"/>
    <w:rsid w:val="00023A43"/>
    <w:rsid w:val="000242CF"/>
    <w:rsid w:val="00024936"/>
    <w:rsid w:val="00024A07"/>
    <w:rsid w:val="00025093"/>
    <w:rsid w:val="000258CA"/>
    <w:rsid w:val="00025F3A"/>
    <w:rsid w:val="000270ED"/>
    <w:rsid w:val="00027232"/>
    <w:rsid w:val="000273F1"/>
    <w:rsid w:val="00027D3F"/>
    <w:rsid w:val="0003000F"/>
    <w:rsid w:val="00030105"/>
    <w:rsid w:val="00030194"/>
    <w:rsid w:val="00030526"/>
    <w:rsid w:val="00030538"/>
    <w:rsid w:val="000311C3"/>
    <w:rsid w:val="000314F7"/>
    <w:rsid w:val="000316DC"/>
    <w:rsid w:val="00032995"/>
    <w:rsid w:val="000333D9"/>
    <w:rsid w:val="00034A4E"/>
    <w:rsid w:val="000350DE"/>
    <w:rsid w:val="00035B80"/>
    <w:rsid w:val="00035C39"/>
    <w:rsid w:val="00035EBE"/>
    <w:rsid w:val="00035F5C"/>
    <w:rsid w:val="000369C9"/>
    <w:rsid w:val="00036F80"/>
    <w:rsid w:val="0003725E"/>
    <w:rsid w:val="000375C8"/>
    <w:rsid w:val="00037720"/>
    <w:rsid w:val="00037A13"/>
    <w:rsid w:val="0003EB22"/>
    <w:rsid w:val="00040D5D"/>
    <w:rsid w:val="00041324"/>
    <w:rsid w:val="0004173C"/>
    <w:rsid w:val="00043410"/>
    <w:rsid w:val="0004362B"/>
    <w:rsid w:val="00043EF3"/>
    <w:rsid w:val="0004428A"/>
    <w:rsid w:val="000447E6"/>
    <w:rsid w:val="000450A5"/>
    <w:rsid w:val="000457F4"/>
    <w:rsid w:val="000459AE"/>
    <w:rsid w:val="00045B37"/>
    <w:rsid w:val="000477D0"/>
    <w:rsid w:val="0004788E"/>
    <w:rsid w:val="00047CC2"/>
    <w:rsid w:val="00047F28"/>
    <w:rsid w:val="0005086E"/>
    <w:rsid w:val="00050D4E"/>
    <w:rsid w:val="00051064"/>
    <w:rsid w:val="00051771"/>
    <w:rsid w:val="000517A6"/>
    <w:rsid w:val="000517DA"/>
    <w:rsid w:val="000535E5"/>
    <w:rsid w:val="00053D1E"/>
    <w:rsid w:val="00054212"/>
    <w:rsid w:val="00054952"/>
    <w:rsid w:val="00055275"/>
    <w:rsid w:val="000552B3"/>
    <w:rsid w:val="00055655"/>
    <w:rsid w:val="00056584"/>
    <w:rsid w:val="0005670A"/>
    <w:rsid w:val="00056F5C"/>
    <w:rsid w:val="00060337"/>
    <w:rsid w:val="000603FE"/>
    <w:rsid w:val="00060DE6"/>
    <w:rsid w:val="00061097"/>
    <w:rsid w:val="0006177E"/>
    <w:rsid w:val="00061F5E"/>
    <w:rsid w:val="00063220"/>
    <w:rsid w:val="00063860"/>
    <w:rsid w:val="000639FC"/>
    <w:rsid w:val="00063B2D"/>
    <w:rsid w:val="000642D1"/>
    <w:rsid w:val="000644E4"/>
    <w:rsid w:val="0006548D"/>
    <w:rsid w:val="00065B08"/>
    <w:rsid w:val="00065D8F"/>
    <w:rsid w:val="00066A29"/>
    <w:rsid w:val="00066A94"/>
    <w:rsid w:val="00067707"/>
    <w:rsid w:val="000701A2"/>
    <w:rsid w:val="0007067B"/>
    <w:rsid w:val="000710CF"/>
    <w:rsid w:val="0007162B"/>
    <w:rsid w:val="00071A85"/>
    <w:rsid w:val="00072094"/>
    <w:rsid w:val="00072F7C"/>
    <w:rsid w:val="00073D66"/>
    <w:rsid w:val="0007418D"/>
    <w:rsid w:val="0007489E"/>
    <w:rsid w:val="00074C27"/>
    <w:rsid w:val="00074C90"/>
    <w:rsid w:val="00075EB4"/>
    <w:rsid w:val="00076042"/>
    <w:rsid w:val="000764CC"/>
    <w:rsid w:val="00076C3F"/>
    <w:rsid w:val="00076E01"/>
    <w:rsid w:val="0007734E"/>
    <w:rsid w:val="00077B1A"/>
    <w:rsid w:val="00077BC1"/>
    <w:rsid w:val="00077E16"/>
    <w:rsid w:val="00080570"/>
    <w:rsid w:val="0008122E"/>
    <w:rsid w:val="00081D07"/>
    <w:rsid w:val="00081DED"/>
    <w:rsid w:val="00082010"/>
    <w:rsid w:val="00082527"/>
    <w:rsid w:val="000839E3"/>
    <w:rsid w:val="00083A52"/>
    <w:rsid w:val="000840D3"/>
    <w:rsid w:val="000843E1"/>
    <w:rsid w:val="00084B9D"/>
    <w:rsid w:val="00086000"/>
    <w:rsid w:val="000861AA"/>
    <w:rsid w:val="00086E0F"/>
    <w:rsid w:val="000875E0"/>
    <w:rsid w:val="0008AAE6"/>
    <w:rsid w:val="000901E1"/>
    <w:rsid w:val="0009036A"/>
    <w:rsid w:val="00091B1F"/>
    <w:rsid w:val="00091E32"/>
    <w:rsid w:val="00091F6A"/>
    <w:rsid w:val="000938F8"/>
    <w:rsid w:val="00094299"/>
    <w:rsid w:val="00094CF7"/>
    <w:rsid w:val="0009526C"/>
    <w:rsid w:val="00096D53"/>
    <w:rsid w:val="00096EEB"/>
    <w:rsid w:val="000974BE"/>
    <w:rsid w:val="00097F04"/>
    <w:rsid w:val="000A068F"/>
    <w:rsid w:val="000A141B"/>
    <w:rsid w:val="000A1994"/>
    <w:rsid w:val="000A2523"/>
    <w:rsid w:val="000A289E"/>
    <w:rsid w:val="000A2949"/>
    <w:rsid w:val="000A29D8"/>
    <w:rsid w:val="000A2AEE"/>
    <w:rsid w:val="000A36A3"/>
    <w:rsid w:val="000A46BA"/>
    <w:rsid w:val="000A48AC"/>
    <w:rsid w:val="000A545D"/>
    <w:rsid w:val="000A5BD4"/>
    <w:rsid w:val="000A5E48"/>
    <w:rsid w:val="000A6240"/>
    <w:rsid w:val="000A6559"/>
    <w:rsid w:val="000A6624"/>
    <w:rsid w:val="000A70FE"/>
    <w:rsid w:val="000A741B"/>
    <w:rsid w:val="000A75CD"/>
    <w:rsid w:val="000A7715"/>
    <w:rsid w:val="000A77F2"/>
    <w:rsid w:val="000B0491"/>
    <w:rsid w:val="000B04F6"/>
    <w:rsid w:val="000B0A27"/>
    <w:rsid w:val="000B1F5F"/>
    <w:rsid w:val="000B29F0"/>
    <w:rsid w:val="000B3081"/>
    <w:rsid w:val="000B3141"/>
    <w:rsid w:val="000B3A29"/>
    <w:rsid w:val="000B3F53"/>
    <w:rsid w:val="000B44B9"/>
    <w:rsid w:val="000B46D7"/>
    <w:rsid w:val="000B532A"/>
    <w:rsid w:val="000B627E"/>
    <w:rsid w:val="000B67FC"/>
    <w:rsid w:val="000B68F0"/>
    <w:rsid w:val="000B750D"/>
    <w:rsid w:val="000B7D12"/>
    <w:rsid w:val="000BDAD3"/>
    <w:rsid w:val="000BF358"/>
    <w:rsid w:val="000C04F1"/>
    <w:rsid w:val="000C054A"/>
    <w:rsid w:val="000C064A"/>
    <w:rsid w:val="000C0EE0"/>
    <w:rsid w:val="000C2D77"/>
    <w:rsid w:val="000C3494"/>
    <w:rsid w:val="000C37AC"/>
    <w:rsid w:val="000C37F8"/>
    <w:rsid w:val="000C3D1F"/>
    <w:rsid w:val="000C4C1A"/>
    <w:rsid w:val="000C541E"/>
    <w:rsid w:val="000C5E75"/>
    <w:rsid w:val="000C5F33"/>
    <w:rsid w:val="000C7136"/>
    <w:rsid w:val="000C7935"/>
    <w:rsid w:val="000D01C1"/>
    <w:rsid w:val="000D084E"/>
    <w:rsid w:val="000D0D4B"/>
    <w:rsid w:val="000D17A1"/>
    <w:rsid w:val="000D28DB"/>
    <w:rsid w:val="000D2C57"/>
    <w:rsid w:val="000D3920"/>
    <w:rsid w:val="000D3ED0"/>
    <w:rsid w:val="000D46F5"/>
    <w:rsid w:val="000D4939"/>
    <w:rsid w:val="000D59F5"/>
    <w:rsid w:val="000D5DD4"/>
    <w:rsid w:val="000D6268"/>
    <w:rsid w:val="000D6792"/>
    <w:rsid w:val="000D6A98"/>
    <w:rsid w:val="000D6AA7"/>
    <w:rsid w:val="000D7B62"/>
    <w:rsid w:val="000E01B6"/>
    <w:rsid w:val="000E1124"/>
    <w:rsid w:val="000E1128"/>
    <w:rsid w:val="000E1666"/>
    <w:rsid w:val="000E1C78"/>
    <w:rsid w:val="000E4744"/>
    <w:rsid w:val="000E4AC2"/>
    <w:rsid w:val="000E5026"/>
    <w:rsid w:val="000E531B"/>
    <w:rsid w:val="000E549C"/>
    <w:rsid w:val="000E599A"/>
    <w:rsid w:val="000E5AC4"/>
    <w:rsid w:val="000E6548"/>
    <w:rsid w:val="000E67CC"/>
    <w:rsid w:val="000E6A5F"/>
    <w:rsid w:val="000E6C85"/>
    <w:rsid w:val="000E6DAE"/>
    <w:rsid w:val="000E70A4"/>
    <w:rsid w:val="000E745F"/>
    <w:rsid w:val="000E7752"/>
    <w:rsid w:val="000EA352"/>
    <w:rsid w:val="000F04E2"/>
    <w:rsid w:val="000F0B86"/>
    <w:rsid w:val="000F0D04"/>
    <w:rsid w:val="000F2564"/>
    <w:rsid w:val="000F2657"/>
    <w:rsid w:val="000F2DD6"/>
    <w:rsid w:val="000F34C5"/>
    <w:rsid w:val="000F387A"/>
    <w:rsid w:val="000F3974"/>
    <w:rsid w:val="000F3C86"/>
    <w:rsid w:val="000F4007"/>
    <w:rsid w:val="000F457E"/>
    <w:rsid w:val="000F48FC"/>
    <w:rsid w:val="000F4DA5"/>
    <w:rsid w:val="000F55D2"/>
    <w:rsid w:val="000F5784"/>
    <w:rsid w:val="000F58EA"/>
    <w:rsid w:val="000F59C0"/>
    <w:rsid w:val="000F5ACA"/>
    <w:rsid w:val="000F6168"/>
    <w:rsid w:val="000F6815"/>
    <w:rsid w:val="000F6AA1"/>
    <w:rsid w:val="000F6EAB"/>
    <w:rsid w:val="000F74E2"/>
    <w:rsid w:val="000F7672"/>
    <w:rsid w:val="000F7B41"/>
    <w:rsid w:val="000F8886"/>
    <w:rsid w:val="0010044C"/>
    <w:rsid w:val="0010135F"/>
    <w:rsid w:val="00101454"/>
    <w:rsid w:val="001021DE"/>
    <w:rsid w:val="00102432"/>
    <w:rsid w:val="00102A2B"/>
    <w:rsid w:val="001044A4"/>
    <w:rsid w:val="00104867"/>
    <w:rsid w:val="00104C16"/>
    <w:rsid w:val="00104D27"/>
    <w:rsid w:val="00105A9F"/>
    <w:rsid w:val="00105D55"/>
    <w:rsid w:val="00106A11"/>
    <w:rsid w:val="00107346"/>
    <w:rsid w:val="0010788C"/>
    <w:rsid w:val="001107FD"/>
    <w:rsid w:val="00110C85"/>
    <w:rsid w:val="00111546"/>
    <w:rsid w:val="00111910"/>
    <w:rsid w:val="0011201B"/>
    <w:rsid w:val="00112458"/>
    <w:rsid w:val="001126B2"/>
    <w:rsid w:val="00112B12"/>
    <w:rsid w:val="00112BFF"/>
    <w:rsid w:val="00112C8D"/>
    <w:rsid w:val="00112F93"/>
    <w:rsid w:val="00112FE3"/>
    <w:rsid w:val="00113D48"/>
    <w:rsid w:val="0011410F"/>
    <w:rsid w:val="00114200"/>
    <w:rsid w:val="00114269"/>
    <w:rsid w:val="001156AC"/>
    <w:rsid w:val="00115C72"/>
    <w:rsid w:val="001162B7"/>
    <w:rsid w:val="001162B8"/>
    <w:rsid w:val="001165A0"/>
    <w:rsid w:val="00116D2C"/>
    <w:rsid w:val="00116E2C"/>
    <w:rsid w:val="00117653"/>
    <w:rsid w:val="00117D1D"/>
    <w:rsid w:val="00120C05"/>
    <w:rsid w:val="001214F3"/>
    <w:rsid w:val="00121AF7"/>
    <w:rsid w:val="001221F3"/>
    <w:rsid w:val="001224CB"/>
    <w:rsid w:val="00122AE1"/>
    <w:rsid w:val="00122EBE"/>
    <w:rsid w:val="00122F06"/>
    <w:rsid w:val="0012312F"/>
    <w:rsid w:val="00123986"/>
    <w:rsid w:val="00124411"/>
    <w:rsid w:val="0012452C"/>
    <w:rsid w:val="00124CBB"/>
    <w:rsid w:val="001256B3"/>
    <w:rsid w:val="00125F6D"/>
    <w:rsid w:val="001273EF"/>
    <w:rsid w:val="00127DEE"/>
    <w:rsid w:val="00127E4B"/>
    <w:rsid w:val="0012C8B4"/>
    <w:rsid w:val="001302D2"/>
    <w:rsid w:val="00130784"/>
    <w:rsid w:val="00130CEA"/>
    <w:rsid w:val="001310AE"/>
    <w:rsid w:val="00131339"/>
    <w:rsid w:val="001315C3"/>
    <w:rsid w:val="00131972"/>
    <w:rsid w:val="00133D06"/>
    <w:rsid w:val="00133DE7"/>
    <w:rsid w:val="00133FD8"/>
    <w:rsid w:val="0013455A"/>
    <w:rsid w:val="00134989"/>
    <w:rsid w:val="00134A39"/>
    <w:rsid w:val="00134E42"/>
    <w:rsid w:val="00134F2E"/>
    <w:rsid w:val="00134F51"/>
    <w:rsid w:val="0013530B"/>
    <w:rsid w:val="0013593E"/>
    <w:rsid w:val="0013631D"/>
    <w:rsid w:val="00137A40"/>
    <w:rsid w:val="00137FBD"/>
    <w:rsid w:val="00140A88"/>
    <w:rsid w:val="00141646"/>
    <w:rsid w:val="001418DE"/>
    <w:rsid w:val="001422EA"/>
    <w:rsid w:val="001427E7"/>
    <w:rsid w:val="00142F6D"/>
    <w:rsid w:val="001430EA"/>
    <w:rsid w:val="00143295"/>
    <w:rsid w:val="00143726"/>
    <w:rsid w:val="00143F19"/>
    <w:rsid w:val="001447BB"/>
    <w:rsid w:val="00144819"/>
    <w:rsid w:val="001449C9"/>
    <w:rsid w:val="00144F14"/>
    <w:rsid w:val="001451BF"/>
    <w:rsid w:val="001458AB"/>
    <w:rsid w:val="001458D0"/>
    <w:rsid w:val="001466D6"/>
    <w:rsid w:val="00147645"/>
    <w:rsid w:val="00150EB4"/>
    <w:rsid w:val="00152002"/>
    <w:rsid w:val="00152850"/>
    <w:rsid w:val="00152C09"/>
    <w:rsid w:val="00153392"/>
    <w:rsid w:val="00153A7F"/>
    <w:rsid w:val="00153C15"/>
    <w:rsid w:val="00153FAF"/>
    <w:rsid w:val="001555C7"/>
    <w:rsid w:val="001558ED"/>
    <w:rsid w:val="00155AEA"/>
    <w:rsid w:val="00155C7C"/>
    <w:rsid w:val="0015607C"/>
    <w:rsid w:val="001567E4"/>
    <w:rsid w:val="00156EF2"/>
    <w:rsid w:val="001576BC"/>
    <w:rsid w:val="00160D08"/>
    <w:rsid w:val="00161CA2"/>
    <w:rsid w:val="001623A5"/>
    <w:rsid w:val="00162FA7"/>
    <w:rsid w:val="00163EAC"/>
    <w:rsid w:val="00164B04"/>
    <w:rsid w:val="00164D7A"/>
    <w:rsid w:val="0016528E"/>
    <w:rsid w:val="0016557B"/>
    <w:rsid w:val="00166208"/>
    <w:rsid w:val="001663CB"/>
    <w:rsid w:val="001672C9"/>
    <w:rsid w:val="00167A9F"/>
    <w:rsid w:val="00170699"/>
    <w:rsid w:val="00170ABB"/>
    <w:rsid w:val="00170D41"/>
    <w:rsid w:val="00170D6A"/>
    <w:rsid w:val="00170DEB"/>
    <w:rsid w:val="001711AD"/>
    <w:rsid w:val="001715B6"/>
    <w:rsid w:val="00171A21"/>
    <w:rsid w:val="00173144"/>
    <w:rsid w:val="00173F93"/>
    <w:rsid w:val="0017451B"/>
    <w:rsid w:val="00174DB9"/>
    <w:rsid w:val="001752AF"/>
    <w:rsid w:val="00175900"/>
    <w:rsid w:val="00176125"/>
    <w:rsid w:val="001762CB"/>
    <w:rsid w:val="00176316"/>
    <w:rsid w:val="001765C4"/>
    <w:rsid w:val="00176742"/>
    <w:rsid w:val="00180159"/>
    <w:rsid w:val="0018018F"/>
    <w:rsid w:val="00180FAB"/>
    <w:rsid w:val="00181028"/>
    <w:rsid w:val="0018139D"/>
    <w:rsid w:val="001817D5"/>
    <w:rsid w:val="001818DF"/>
    <w:rsid w:val="0018252F"/>
    <w:rsid w:val="00182ABA"/>
    <w:rsid w:val="001835A4"/>
    <w:rsid w:val="00183E6A"/>
    <w:rsid w:val="00184386"/>
    <w:rsid w:val="00184694"/>
    <w:rsid w:val="001846BF"/>
    <w:rsid w:val="001873AA"/>
    <w:rsid w:val="001877E9"/>
    <w:rsid w:val="0019093F"/>
    <w:rsid w:val="00190BC4"/>
    <w:rsid w:val="00190DA9"/>
    <w:rsid w:val="00190EB4"/>
    <w:rsid w:val="001912B0"/>
    <w:rsid w:val="00193B2B"/>
    <w:rsid w:val="001947EE"/>
    <w:rsid w:val="00194D6B"/>
    <w:rsid w:val="001950E1"/>
    <w:rsid w:val="00195826"/>
    <w:rsid w:val="00195E1A"/>
    <w:rsid w:val="001966AA"/>
    <w:rsid w:val="00196B5E"/>
    <w:rsid w:val="00196B70"/>
    <w:rsid w:val="00196C37"/>
    <w:rsid w:val="00197017"/>
    <w:rsid w:val="001A005F"/>
    <w:rsid w:val="001A0085"/>
    <w:rsid w:val="001A0A03"/>
    <w:rsid w:val="001A2F39"/>
    <w:rsid w:val="001A3447"/>
    <w:rsid w:val="001A35CF"/>
    <w:rsid w:val="001A47BB"/>
    <w:rsid w:val="001A5571"/>
    <w:rsid w:val="001A5641"/>
    <w:rsid w:val="001A5667"/>
    <w:rsid w:val="001A5ACE"/>
    <w:rsid w:val="001A6C45"/>
    <w:rsid w:val="001A74ED"/>
    <w:rsid w:val="001A7D13"/>
    <w:rsid w:val="001B00EF"/>
    <w:rsid w:val="001B0527"/>
    <w:rsid w:val="001B0C55"/>
    <w:rsid w:val="001B0DF8"/>
    <w:rsid w:val="001B13AE"/>
    <w:rsid w:val="001B166C"/>
    <w:rsid w:val="001B1F09"/>
    <w:rsid w:val="001B2013"/>
    <w:rsid w:val="001B25BB"/>
    <w:rsid w:val="001B29EC"/>
    <w:rsid w:val="001B3AF8"/>
    <w:rsid w:val="001B427E"/>
    <w:rsid w:val="001B4B68"/>
    <w:rsid w:val="001B60D2"/>
    <w:rsid w:val="001B62F7"/>
    <w:rsid w:val="001B66C8"/>
    <w:rsid w:val="001B7A76"/>
    <w:rsid w:val="001B7C95"/>
    <w:rsid w:val="001B7D59"/>
    <w:rsid w:val="001C02A5"/>
    <w:rsid w:val="001C046F"/>
    <w:rsid w:val="001C05CA"/>
    <w:rsid w:val="001C0619"/>
    <w:rsid w:val="001C07F9"/>
    <w:rsid w:val="001C12D6"/>
    <w:rsid w:val="001C240F"/>
    <w:rsid w:val="001C3079"/>
    <w:rsid w:val="001C315A"/>
    <w:rsid w:val="001C31AD"/>
    <w:rsid w:val="001C3547"/>
    <w:rsid w:val="001C35B4"/>
    <w:rsid w:val="001C3801"/>
    <w:rsid w:val="001C38C8"/>
    <w:rsid w:val="001C38F9"/>
    <w:rsid w:val="001C3A04"/>
    <w:rsid w:val="001C3BB9"/>
    <w:rsid w:val="001C3BCC"/>
    <w:rsid w:val="001C4971"/>
    <w:rsid w:val="001C4CA4"/>
    <w:rsid w:val="001C4D0A"/>
    <w:rsid w:val="001C5BA8"/>
    <w:rsid w:val="001C5FE7"/>
    <w:rsid w:val="001C691C"/>
    <w:rsid w:val="001C7353"/>
    <w:rsid w:val="001C7940"/>
    <w:rsid w:val="001C7BA3"/>
    <w:rsid w:val="001C7FDF"/>
    <w:rsid w:val="001CA35F"/>
    <w:rsid w:val="001D0303"/>
    <w:rsid w:val="001D0405"/>
    <w:rsid w:val="001D07B3"/>
    <w:rsid w:val="001D0F87"/>
    <w:rsid w:val="001D1C0B"/>
    <w:rsid w:val="001D216A"/>
    <w:rsid w:val="001D246A"/>
    <w:rsid w:val="001D2552"/>
    <w:rsid w:val="001D2953"/>
    <w:rsid w:val="001D2ACD"/>
    <w:rsid w:val="001D2E82"/>
    <w:rsid w:val="001D2FB8"/>
    <w:rsid w:val="001D3138"/>
    <w:rsid w:val="001D33B0"/>
    <w:rsid w:val="001D3478"/>
    <w:rsid w:val="001D38F1"/>
    <w:rsid w:val="001D44AD"/>
    <w:rsid w:val="001D51DA"/>
    <w:rsid w:val="001D5400"/>
    <w:rsid w:val="001D55E6"/>
    <w:rsid w:val="001D65F9"/>
    <w:rsid w:val="001D69CA"/>
    <w:rsid w:val="001D6B06"/>
    <w:rsid w:val="001D6BF0"/>
    <w:rsid w:val="001D6D39"/>
    <w:rsid w:val="001D6EDB"/>
    <w:rsid w:val="001D7401"/>
    <w:rsid w:val="001D7D02"/>
    <w:rsid w:val="001E038A"/>
    <w:rsid w:val="001E112C"/>
    <w:rsid w:val="001E15C7"/>
    <w:rsid w:val="001E2083"/>
    <w:rsid w:val="001E2372"/>
    <w:rsid w:val="001E27AB"/>
    <w:rsid w:val="001E2CA9"/>
    <w:rsid w:val="001E3610"/>
    <w:rsid w:val="001E4216"/>
    <w:rsid w:val="001E435A"/>
    <w:rsid w:val="001E44CB"/>
    <w:rsid w:val="001E4501"/>
    <w:rsid w:val="001E463D"/>
    <w:rsid w:val="001E4705"/>
    <w:rsid w:val="001E4E74"/>
    <w:rsid w:val="001E50C4"/>
    <w:rsid w:val="001E5176"/>
    <w:rsid w:val="001E5B76"/>
    <w:rsid w:val="001E5DCC"/>
    <w:rsid w:val="001E6609"/>
    <w:rsid w:val="001E6785"/>
    <w:rsid w:val="001E7324"/>
    <w:rsid w:val="001E73FF"/>
    <w:rsid w:val="001E74F5"/>
    <w:rsid w:val="001E79D1"/>
    <w:rsid w:val="001E7C75"/>
    <w:rsid w:val="001F0756"/>
    <w:rsid w:val="001F197F"/>
    <w:rsid w:val="001F1AEB"/>
    <w:rsid w:val="001F1EDC"/>
    <w:rsid w:val="001F2154"/>
    <w:rsid w:val="001F2E08"/>
    <w:rsid w:val="001F2E2C"/>
    <w:rsid w:val="001F4949"/>
    <w:rsid w:val="001F5390"/>
    <w:rsid w:val="001F5AB1"/>
    <w:rsid w:val="001F5E62"/>
    <w:rsid w:val="001F5E63"/>
    <w:rsid w:val="001F61C6"/>
    <w:rsid w:val="001F6283"/>
    <w:rsid w:val="001F65E8"/>
    <w:rsid w:val="001F666F"/>
    <w:rsid w:val="001F7679"/>
    <w:rsid w:val="001F7C97"/>
    <w:rsid w:val="002002A3"/>
    <w:rsid w:val="002006A5"/>
    <w:rsid w:val="002006A9"/>
    <w:rsid w:val="0020157F"/>
    <w:rsid w:val="002020D6"/>
    <w:rsid w:val="0020292B"/>
    <w:rsid w:val="00202A86"/>
    <w:rsid w:val="00205596"/>
    <w:rsid w:val="002057A4"/>
    <w:rsid w:val="002057B1"/>
    <w:rsid w:val="00205DF3"/>
    <w:rsid w:val="00205EB3"/>
    <w:rsid w:val="00206250"/>
    <w:rsid w:val="002062AE"/>
    <w:rsid w:val="002063EA"/>
    <w:rsid w:val="0020662E"/>
    <w:rsid w:val="00206E5B"/>
    <w:rsid w:val="00207BAB"/>
    <w:rsid w:val="00210BD3"/>
    <w:rsid w:val="00210FDD"/>
    <w:rsid w:val="00211836"/>
    <w:rsid w:val="00211FDD"/>
    <w:rsid w:val="00212A07"/>
    <w:rsid w:val="00212ACA"/>
    <w:rsid w:val="00212E38"/>
    <w:rsid w:val="00213CB3"/>
    <w:rsid w:val="00213DEE"/>
    <w:rsid w:val="002140FE"/>
    <w:rsid w:val="00214D45"/>
    <w:rsid w:val="002156B2"/>
    <w:rsid w:val="00215D19"/>
    <w:rsid w:val="00216FBB"/>
    <w:rsid w:val="002207CA"/>
    <w:rsid w:val="0022083E"/>
    <w:rsid w:val="002210A3"/>
    <w:rsid w:val="00221554"/>
    <w:rsid w:val="002216B4"/>
    <w:rsid w:val="00222431"/>
    <w:rsid w:val="00222671"/>
    <w:rsid w:val="00222D0B"/>
    <w:rsid w:val="00222D67"/>
    <w:rsid w:val="00222E82"/>
    <w:rsid w:val="00223503"/>
    <w:rsid w:val="002236B1"/>
    <w:rsid w:val="002241D0"/>
    <w:rsid w:val="00224513"/>
    <w:rsid w:val="00224917"/>
    <w:rsid w:val="002253C7"/>
    <w:rsid w:val="002255AD"/>
    <w:rsid w:val="002262B0"/>
    <w:rsid w:val="00226384"/>
    <w:rsid w:val="00227B6B"/>
    <w:rsid w:val="002300F1"/>
    <w:rsid w:val="00230904"/>
    <w:rsid w:val="00230C16"/>
    <w:rsid w:val="00230D8D"/>
    <w:rsid w:val="00230E8A"/>
    <w:rsid w:val="00231581"/>
    <w:rsid w:val="0023164A"/>
    <w:rsid w:val="00232432"/>
    <w:rsid w:val="002329C9"/>
    <w:rsid w:val="0023303F"/>
    <w:rsid w:val="002332A3"/>
    <w:rsid w:val="0023336C"/>
    <w:rsid w:val="00233799"/>
    <w:rsid w:val="00233DDF"/>
    <w:rsid w:val="0023434D"/>
    <w:rsid w:val="00234709"/>
    <w:rsid w:val="00234EEF"/>
    <w:rsid w:val="002350E1"/>
    <w:rsid w:val="00235421"/>
    <w:rsid w:val="00235A3C"/>
    <w:rsid w:val="00235E8B"/>
    <w:rsid w:val="00236447"/>
    <w:rsid w:val="00236F46"/>
    <w:rsid w:val="002378AE"/>
    <w:rsid w:val="00237B11"/>
    <w:rsid w:val="0024037F"/>
    <w:rsid w:val="00240DC4"/>
    <w:rsid w:val="00240E88"/>
    <w:rsid w:val="002411C9"/>
    <w:rsid w:val="002411EE"/>
    <w:rsid w:val="00241527"/>
    <w:rsid w:val="00241C5C"/>
    <w:rsid w:val="00241D3D"/>
    <w:rsid w:val="00242294"/>
    <w:rsid w:val="00242CF6"/>
    <w:rsid w:val="00242EC2"/>
    <w:rsid w:val="00243658"/>
    <w:rsid w:val="0024381E"/>
    <w:rsid w:val="00243E74"/>
    <w:rsid w:val="00243FA6"/>
    <w:rsid w:val="0024509D"/>
    <w:rsid w:val="00245315"/>
    <w:rsid w:val="00245A4D"/>
    <w:rsid w:val="0024648B"/>
    <w:rsid w:val="00246524"/>
    <w:rsid w:val="0024671B"/>
    <w:rsid w:val="0025110A"/>
    <w:rsid w:val="00251393"/>
    <w:rsid w:val="00251A4B"/>
    <w:rsid w:val="00251C73"/>
    <w:rsid w:val="002520CA"/>
    <w:rsid w:val="0025251A"/>
    <w:rsid w:val="002528A1"/>
    <w:rsid w:val="002529E0"/>
    <w:rsid w:val="00252B34"/>
    <w:rsid w:val="00252F44"/>
    <w:rsid w:val="00253CD6"/>
    <w:rsid w:val="00254792"/>
    <w:rsid w:val="00254D0C"/>
    <w:rsid w:val="00254DA8"/>
    <w:rsid w:val="002554CB"/>
    <w:rsid w:val="0025593B"/>
    <w:rsid w:val="002564A2"/>
    <w:rsid w:val="002566BA"/>
    <w:rsid w:val="002569A8"/>
    <w:rsid w:val="00256C21"/>
    <w:rsid w:val="00257643"/>
    <w:rsid w:val="00257E25"/>
    <w:rsid w:val="00260506"/>
    <w:rsid w:val="00261382"/>
    <w:rsid w:val="00261CF1"/>
    <w:rsid w:val="00261EE6"/>
    <w:rsid w:val="00262427"/>
    <w:rsid w:val="0026377E"/>
    <w:rsid w:val="00264B4A"/>
    <w:rsid w:val="00265BF5"/>
    <w:rsid w:val="00265D99"/>
    <w:rsid w:val="00266FE1"/>
    <w:rsid w:val="002705A6"/>
    <w:rsid w:val="002709D3"/>
    <w:rsid w:val="00270E0C"/>
    <w:rsid w:val="0027110D"/>
    <w:rsid w:val="00272B04"/>
    <w:rsid w:val="00272D54"/>
    <w:rsid w:val="00273E2D"/>
    <w:rsid w:val="002748FB"/>
    <w:rsid w:val="002753DA"/>
    <w:rsid w:val="00275E7D"/>
    <w:rsid w:val="00275ECC"/>
    <w:rsid w:val="00275F55"/>
    <w:rsid w:val="00276D67"/>
    <w:rsid w:val="00280273"/>
    <w:rsid w:val="00280817"/>
    <w:rsid w:val="00280CC8"/>
    <w:rsid w:val="002810A6"/>
    <w:rsid w:val="00281192"/>
    <w:rsid w:val="00281766"/>
    <w:rsid w:val="002817BE"/>
    <w:rsid w:val="002820BB"/>
    <w:rsid w:val="00282465"/>
    <w:rsid w:val="002824B4"/>
    <w:rsid w:val="00282AF2"/>
    <w:rsid w:val="00283844"/>
    <w:rsid w:val="00283BAF"/>
    <w:rsid w:val="00284978"/>
    <w:rsid w:val="00284C65"/>
    <w:rsid w:val="00285B71"/>
    <w:rsid w:val="00286886"/>
    <w:rsid w:val="0028768D"/>
    <w:rsid w:val="0028781C"/>
    <w:rsid w:val="00287A17"/>
    <w:rsid w:val="002902AF"/>
    <w:rsid w:val="002904AC"/>
    <w:rsid w:val="002905A1"/>
    <w:rsid w:val="00290604"/>
    <w:rsid w:val="002908A7"/>
    <w:rsid w:val="00290C09"/>
    <w:rsid w:val="00291213"/>
    <w:rsid w:val="0029180E"/>
    <w:rsid w:val="00291D80"/>
    <w:rsid w:val="002923CB"/>
    <w:rsid w:val="00292AA0"/>
    <w:rsid w:val="00292C6E"/>
    <w:rsid w:val="002931BD"/>
    <w:rsid w:val="00294382"/>
    <w:rsid w:val="00294451"/>
    <w:rsid w:val="0029446B"/>
    <w:rsid w:val="0029455E"/>
    <w:rsid w:val="00294606"/>
    <w:rsid w:val="00294BB3"/>
    <w:rsid w:val="002954D5"/>
    <w:rsid w:val="00296A84"/>
    <w:rsid w:val="00296B22"/>
    <w:rsid w:val="00297199"/>
    <w:rsid w:val="002A0208"/>
    <w:rsid w:val="002A075B"/>
    <w:rsid w:val="002A0F13"/>
    <w:rsid w:val="002A1664"/>
    <w:rsid w:val="002A1BF1"/>
    <w:rsid w:val="002A2904"/>
    <w:rsid w:val="002A3751"/>
    <w:rsid w:val="002A38B6"/>
    <w:rsid w:val="002A3E70"/>
    <w:rsid w:val="002A4CE1"/>
    <w:rsid w:val="002A534C"/>
    <w:rsid w:val="002A5391"/>
    <w:rsid w:val="002A5D4C"/>
    <w:rsid w:val="002A7420"/>
    <w:rsid w:val="002A7A82"/>
    <w:rsid w:val="002B051F"/>
    <w:rsid w:val="002B0D9D"/>
    <w:rsid w:val="002B0EA4"/>
    <w:rsid w:val="002B17A9"/>
    <w:rsid w:val="002B17F9"/>
    <w:rsid w:val="002B1A76"/>
    <w:rsid w:val="002B236B"/>
    <w:rsid w:val="002B26AF"/>
    <w:rsid w:val="002B2A4F"/>
    <w:rsid w:val="002B2A86"/>
    <w:rsid w:val="002B3A3A"/>
    <w:rsid w:val="002B4BB7"/>
    <w:rsid w:val="002B4C5F"/>
    <w:rsid w:val="002B4E1F"/>
    <w:rsid w:val="002B5C69"/>
    <w:rsid w:val="002B622A"/>
    <w:rsid w:val="002B6870"/>
    <w:rsid w:val="002B73A7"/>
    <w:rsid w:val="002C00F0"/>
    <w:rsid w:val="002C0F5C"/>
    <w:rsid w:val="002C1173"/>
    <w:rsid w:val="002C24B2"/>
    <w:rsid w:val="002C34E8"/>
    <w:rsid w:val="002C3EEA"/>
    <w:rsid w:val="002C4CCC"/>
    <w:rsid w:val="002C4F0C"/>
    <w:rsid w:val="002C4FCE"/>
    <w:rsid w:val="002C5726"/>
    <w:rsid w:val="002C67DD"/>
    <w:rsid w:val="002C68AA"/>
    <w:rsid w:val="002C6A30"/>
    <w:rsid w:val="002C6F0B"/>
    <w:rsid w:val="002C6FAF"/>
    <w:rsid w:val="002D0161"/>
    <w:rsid w:val="002D0492"/>
    <w:rsid w:val="002D1474"/>
    <w:rsid w:val="002D230B"/>
    <w:rsid w:val="002D3AC1"/>
    <w:rsid w:val="002D3D45"/>
    <w:rsid w:val="002D42EB"/>
    <w:rsid w:val="002D491B"/>
    <w:rsid w:val="002D4971"/>
    <w:rsid w:val="002D54E5"/>
    <w:rsid w:val="002D596E"/>
    <w:rsid w:val="002D6665"/>
    <w:rsid w:val="002D6AA2"/>
    <w:rsid w:val="002D6AB8"/>
    <w:rsid w:val="002D708D"/>
    <w:rsid w:val="002D735F"/>
    <w:rsid w:val="002E0105"/>
    <w:rsid w:val="002E0583"/>
    <w:rsid w:val="002E1739"/>
    <w:rsid w:val="002E21F9"/>
    <w:rsid w:val="002E2D22"/>
    <w:rsid w:val="002E39B7"/>
    <w:rsid w:val="002E3AC3"/>
    <w:rsid w:val="002E3C5D"/>
    <w:rsid w:val="002E435B"/>
    <w:rsid w:val="002E45A1"/>
    <w:rsid w:val="002E49AA"/>
    <w:rsid w:val="002E4BDE"/>
    <w:rsid w:val="002E58C9"/>
    <w:rsid w:val="002E658D"/>
    <w:rsid w:val="002E695C"/>
    <w:rsid w:val="002E77CD"/>
    <w:rsid w:val="002E79C3"/>
    <w:rsid w:val="002E7E65"/>
    <w:rsid w:val="002F022C"/>
    <w:rsid w:val="002F0792"/>
    <w:rsid w:val="002F0882"/>
    <w:rsid w:val="002F09FD"/>
    <w:rsid w:val="002F0E02"/>
    <w:rsid w:val="002F0F35"/>
    <w:rsid w:val="002F112B"/>
    <w:rsid w:val="002F15B7"/>
    <w:rsid w:val="002F1617"/>
    <w:rsid w:val="002F16CA"/>
    <w:rsid w:val="002F37D2"/>
    <w:rsid w:val="002F5490"/>
    <w:rsid w:val="002F56E5"/>
    <w:rsid w:val="002F5E4E"/>
    <w:rsid w:val="002F5FCC"/>
    <w:rsid w:val="002F66B0"/>
    <w:rsid w:val="002F732A"/>
    <w:rsid w:val="002F7B89"/>
    <w:rsid w:val="00301666"/>
    <w:rsid w:val="00301775"/>
    <w:rsid w:val="00302194"/>
    <w:rsid w:val="0030240F"/>
    <w:rsid w:val="00302D88"/>
    <w:rsid w:val="00302DA4"/>
    <w:rsid w:val="00302EBA"/>
    <w:rsid w:val="003033A5"/>
    <w:rsid w:val="00303A7E"/>
    <w:rsid w:val="00303B16"/>
    <w:rsid w:val="00304278"/>
    <w:rsid w:val="00304AA7"/>
    <w:rsid w:val="00304E3E"/>
    <w:rsid w:val="003071DA"/>
    <w:rsid w:val="0030780C"/>
    <w:rsid w:val="00307B29"/>
    <w:rsid w:val="00310776"/>
    <w:rsid w:val="00312145"/>
    <w:rsid w:val="0031225B"/>
    <w:rsid w:val="00312D28"/>
    <w:rsid w:val="003136DB"/>
    <w:rsid w:val="00313A5C"/>
    <w:rsid w:val="003148C7"/>
    <w:rsid w:val="00317512"/>
    <w:rsid w:val="00317BA0"/>
    <w:rsid w:val="00320A68"/>
    <w:rsid w:val="00322E59"/>
    <w:rsid w:val="00323022"/>
    <w:rsid w:val="0032307C"/>
    <w:rsid w:val="003246DF"/>
    <w:rsid w:val="003248AE"/>
    <w:rsid w:val="00324F81"/>
    <w:rsid w:val="00325169"/>
    <w:rsid w:val="003253B9"/>
    <w:rsid w:val="003262D7"/>
    <w:rsid w:val="003266E9"/>
    <w:rsid w:val="00327519"/>
    <w:rsid w:val="00327523"/>
    <w:rsid w:val="00327908"/>
    <w:rsid w:val="00327A88"/>
    <w:rsid w:val="00327DA8"/>
    <w:rsid w:val="00332101"/>
    <w:rsid w:val="003337FE"/>
    <w:rsid w:val="00333A75"/>
    <w:rsid w:val="00333A97"/>
    <w:rsid w:val="00333F5E"/>
    <w:rsid w:val="00334850"/>
    <w:rsid w:val="00334C5C"/>
    <w:rsid w:val="00335446"/>
    <w:rsid w:val="00335E2D"/>
    <w:rsid w:val="0033654C"/>
    <w:rsid w:val="00336912"/>
    <w:rsid w:val="00336984"/>
    <w:rsid w:val="00336D51"/>
    <w:rsid w:val="00336F03"/>
    <w:rsid w:val="00337896"/>
    <w:rsid w:val="00337CB0"/>
    <w:rsid w:val="00340704"/>
    <w:rsid w:val="00340BD7"/>
    <w:rsid w:val="00340F43"/>
    <w:rsid w:val="0034177C"/>
    <w:rsid w:val="003417EE"/>
    <w:rsid w:val="00342CC6"/>
    <w:rsid w:val="00342FF5"/>
    <w:rsid w:val="00343AAE"/>
    <w:rsid w:val="00344572"/>
    <w:rsid w:val="0034479C"/>
    <w:rsid w:val="003447ED"/>
    <w:rsid w:val="00344874"/>
    <w:rsid w:val="003451CA"/>
    <w:rsid w:val="003469F4"/>
    <w:rsid w:val="0034760F"/>
    <w:rsid w:val="00347704"/>
    <w:rsid w:val="00347A66"/>
    <w:rsid w:val="00347EF7"/>
    <w:rsid w:val="00350065"/>
    <w:rsid w:val="00350304"/>
    <w:rsid w:val="00350901"/>
    <w:rsid w:val="00350E13"/>
    <w:rsid w:val="00351190"/>
    <w:rsid w:val="003512A8"/>
    <w:rsid w:val="00351DB6"/>
    <w:rsid w:val="003524DE"/>
    <w:rsid w:val="0035314F"/>
    <w:rsid w:val="003531C9"/>
    <w:rsid w:val="00353F70"/>
    <w:rsid w:val="00354668"/>
    <w:rsid w:val="00354A3B"/>
    <w:rsid w:val="00354AF1"/>
    <w:rsid w:val="00354F91"/>
    <w:rsid w:val="00355311"/>
    <w:rsid w:val="0035598E"/>
    <w:rsid w:val="00355CFA"/>
    <w:rsid w:val="00355F3B"/>
    <w:rsid w:val="00356133"/>
    <w:rsid w:val="003568D6"/>
    <w:rsid w:val="00357726"/>
    <w:rsid w:val="00357FCD"/>
    <w:rsid w:val="003607AE"/>
    <w:rsid w:val="003616EA"/>
    <w:rsid w:val="00361F6C"/>
    <w:rsid w:val="0036280F"/>
    <w:rsid w:val="00362D45"/>
    <w:rsid w:val="003630D6"/>
    <w:rsid w:val="00363BBD"/>
    <w:rsid w:val="00363DB9"/>
    <w:rsid w:val="00364441"/>
    <w:rsid w:val="003646F6"/>
    <w:rsid w:val="00364701"/>
    <w:rsid w:val="00364F48"/>
    <w:rsid w:val="0036527F"/>
    <w:rsid w:val="0037011C"/>
    <w:rsid w:val="00370CAB"/>
    <w:rsid w:val="0037242D"/>
    <w:rsid w:val="00372648"/>
    <w:rsid w:val="00373572"/>
    <w:rsid w:val="00373CB9"/>
    <w:rsid w:val="00373DBB"/>
    <w:rsid w:val="00373EC9"/>
    <w:rsid w:val="00374F38"/>
    <w:rsid w:val="00375117"/>
    <w:rsid w:val="00375159"/>
    <w:rsid w:val="00375FE2"/>
    <w:rsid w:val="00375FFF"/>
    <w:rsid w:val="0037642B"/>
    <w:rsid w:val="00376840"/>
    <w:rsid w:val="00376B4F"/>
    <w:rsid w:val="00376F23"/>
    <w:rsid w:val="00377183"/>
    <w:rsid w:val="003775D7"/>
    <w:rsid w:val="003804C6"/>
    <w:rsid w:val="00380D10"/>
    <w:rsid w:val="00381C7E"/>
    <w:rsid w:val="003823F0"/>
    <w:rsid w:val="003827D2"/>
    <w:rsid w:val="003829D4"/>
    <w:rsid w:val="00382A55"/>
    <w:rsid w:val="00382C14"/>
    <w:rsid w:val="00382D56"/>
    <w:rsid w:val="00383111"/>
    <w:rsid w:val="00383A04"/>
    <w:rsid w:val="00383F26"/>
    <w:rsid w:val="0038454D"/>
    <w:rsid w:val="00385026"/>
    <w:rsid w:val="003852A6"/>
    <w:rsid w:val="00385316"/>
    <w:rsid w:val="00385B91"/>
    <w:rsid w:val="00385F2E"/>
    <w:rsid w:val="00385FD1"/>
    <w:rsid w:val="00387A8C"/>
    <w:rsid w:val="00387FC5"/>
    <w:rsid w:val="00390A55"/>
    <w:rsid w:val="00390C1D"/>
    <w:rsid w:val="00391D50"/>
    <w:rsid w:val="003924CB"/>
    <w:rsid w:val="003927EF"/>
    <w:rsid w:val="00393380"/>
    <w:rsid w:val="00393B44"/>
    <w:rsid w:val="0039412D"/>
    <w:rsid w:val="0039473F"/>
    <w:rsid w:val="003951C6"/>
    <w:rsid w:val="003953AD"/>
    <w:rsid w:val="003966B2"/>
    <w:rsid w:val="0039736E"/>
    <w:rsid w:val="0039794E"/>
    <w:rsid w:val="00397AB8"/>
    <w:rsid w:val="003A030D"/>
    <w:rsid w:val="003A0797"/>
    <w:rsid w:val="003A0A2B"/>
    <w:rsid w:val="003A0FFB"/>
    <w:rsid w:val="003A1D0A"/>
    <w:rsid w:val="003A29D9"/>
    <w:rsid w:val="003A2B79"/>
    <w:rsid w:val="003A34D8"/>
    <w:rsid w:val="003A3745"/>
    <w:rsid w:val="003A3890"/>
    <w:rsid w:val="003A39BD"/>
    <w:rsid w:val="003A3A1E"/>
    <w:rsid w:val="003A42EA"/>
    <w:rsid w:val="003A43C1"/>
    <w:rsid w:val="003A4506"/>
    <w:rsid w:val="003A47E8"/>
    <w:rsid w:val="003A4C56"/>
    <w:rsid w:val="003A4E56"/>
    <w:rsid w:val="003A5A66"/>
    <w:rsid w:val="003A5AD9"/>
    <w:rsid w:val="003A6D89"/>
    <w:rsid w:val="003B16BC"/>
    <w:rsid w:val="003B2887"/>
    <w:rsid w:val="003B2A05"/>
    <w:rsid w:val="003B2D46"/>
    <w:rsid w:val="003B30C0"/>
    <w:rsid w:val="003B3206"/>
    <w:rsid w:val="003B3F80"/>
    <w:rsid w:val="003B48D0"/>
    <w:rsid w:val="003B4DED"/>
    <w:rsid w:val="003B4FA8"/>
    <w:rsid w:val="003B528E"/>
    <w:rsid w:val="003B5298"/>
    <w:rsid w:val="003B5763"/>
    <w:rsid w:val="003B5E59"/>
    <w:rsid w:val="003B7643"/>
    <w:rsid w:val="003B7B0C"/>
    <w:rsid w:val="003B7C7A"/>
    <w:rsid w:val="003C0804"/>
    <w:rsid w:val="003C0864"/>
    <w:rsid w:val="003C1042"/>
    <w:rsid w:val="003C1401"/>
    <w:rsid w:val="003C1C26"/>
    <w:rsid w:val="003C1C4C"/>
    <w:rsid w:val="003C2CDE"/>
    <w:rsid w:val="003C50C4"/>
    <w:rsid w:val="003C6232"/>
    <w:rsid w:val="003C6363"/>
    <w:rsid w:val="003C63D6"/>
    <w:rsid w:val="003C664E"/>
    <w:rsid w:val="003C6FEA"/>
    <w:rsid w:val="003C717C"/>
    <w:rsid w:val="003C7E7F"/>
    <w:rsid w:val="003D0037"/>
    <w:rsid w:val="003D059A"/>
    <w:rsid w:val="003D0DA5"/>
    <w:rsid w:val="003D12B6"/>
    <w:rsid w:val="003D19D8"/>
    <w:rsid w:val="003D23FD"/>
    <w:rsid w:val="003D258D"/>
    <w:rsid w:val="003D25C3"/>
    <w:rsid w:val="003D33B9"/>
    <w:rsid w:val="003D38ED"/>
    <w:rsid w:val="003D4324"/>
    <w:rsid w:val="003D436E"/>
    <w:rsid w:val="003D680F"/>
    <w:rsid w:val="003D691A"/>
    <w:rsid w:val="003D6963"/>
    <w:rsid w:val="003D6F3D"/>
    <w:rsid w:val="003D7DD0"/>
    <w:rsid w:val="003E0870"/>
    <w:rsid w:val="003E09FC"/>
    <w:rsid w:val="003E0C66"/>
    <w:rsid w:val="003E22C4"/>
    <w:rsid w:val="003E251D"/>
    <w:rsid w:val="003E37E8"/>
    <w:rsid w:val="003E3E19"/>
    <w:rsid w:val="003E5185"/>
    <w:rsid w:val="003E5E5E"/>
    <w:rsid w:val="003E60EC"/>
    <w:rsid w:val="003E6B46"/>
    <w:rsid w:val="003E71C6"/>
    <w:rsid w:val="003E7330"/>
    <w:rsid w:val="003E79F7"/>
    <w:rsid w:val="003F02E6"/>
    <w:rsid w:val="003F070D"/>
    <w:rsid w:val="003F0BAF"/>
    <w:rsid w:val="003F1686"/>
    <w:rsid w:val="003F1E9C"/>
    <w:rsid w:val="003F2358"/>
    <w:rsid w:val="003F2713"/>
    <w:rsid w:val="003F2F4D"/>
    <w:rsid w:val="003F355E"/>
    <w:rsid w:val="003F37DD"/>
    <w:rsid w:val="003F4C4A"/>
    <w:rsid w:val="003F4D0F"/>
    <w:rsid w:val="003F4E59"/>
    <w:rsid w:val="003F51D2"/>
    <w:rsid w:val="003F5231"/>
    <w:rsid w:val="003F59CD"/>
    <w:rsid w:val="003F612E"/>
    <w:rsid w:val="003F62A6"/>
    <w:rsid w:val="003F716C"/>
    <w:rsid w:val="003F7319"/>
    <w:rsid w:val="004002A7"/>
    <w:rsid w:val="004007F4"/>
    <w:rsid w:val="004008FA"/>
    <w:rsid w:val="00400C61"/>
    <w:rsid w:val="00400EB6"/>
    <w:rsid w:val="00400F9A"/>
    <w:rsid w:val="004010AD"/>
    <w:rsid w:val="004012A3"/>
    <w:rsid w:val="004015F2"/>
    <w:rsid w:val="004016AC"/>
    <w:rsid w:val="00402107"/>
    <w:rsid w:val="00402488"/>
    <w:rsid w:val="00402704"/>
    <w:rsid w:val="00402C20"/>
    <w:rsid w:val="00402E3C"/>
    <w:rsid w:val="00403436"/>
    <w:rsid w:val="00403482"/>
    <w:rsid w:val="00403661"/>
    <w:rsid w:val="004043DB"/>
    <w:rsid w:val="0040553A"/>
    <w:rsid w:val="004056A4"/>
    <w:rsid w:val="004058BC"/>
    <w:rsid w:val="004068D8"/>
    <w:rsid w:val="00407E56"/>
    <w:rsid w:val="00410329"/>
    <w:rsid w:val="00410755"/>
    <w:rsid w:val="004117D2"/>
    <w:rsid w:val="0041283D"/>
    <w:rsid w:val="00413E1C"/>
    <w:rsid w:val="00413F76"/>
    <w:rsid w:val="00414200"/>
    <w:rsid w:val="00414254"/>
    <w:rsid w:val="0041485D"/>
    <w:rsid w:val="004164F5"/>
    <w:rsid w:val="00416848"/>
    <w:rsid w:val="00416920"/>
    <w:rsid w:val="00416BFB"/>
    <w:rsid w:val="00416C1F"/>
    <w:rsid w:val="004170A9"/>
    <w:rsid w:val="00417809"/>
    <w:rsid w:val="00417A0C"/>
    <w:rsid w:val="00417D2D"/>
    <w:rsid w:val="00417E9D"/>
    <w:rsid w:val="00420905"/>
    <w:rsid w:val="00420983"/>
    <w:rsid w:val="00420EB7"/>
    <w:rsid w:val="004216BF"/>
    <w:rsid w:val="00421D3D"/>
    <w:rsid w:val="00422467"/>
    <w:rsid w:val="00422AB4"/>
    <w:rsid w:val="004234D4"/>
    <w:rsid w:val="004237B1"/>
    <w:rsid w:val="00423A09"/>
    <w:rsid w:val="00423A28"/>
    <w:rsid w:val="00423D16"/>
    <w:rsid w:val="00424203"/>
    <w:rsid w:val="0042607C"/>
    <w:rsid w:val="004261F5"/>
    <w:rsid w:val="004269F8"/>
    <w:rsid w:val="00427113"/>
    <w:rsid w:val="00427823"/>
    <w:rsid w:val="00431203"/>
    <w:rsid w:val="0043240E"/>
    <w:rsid w:val="0043341E"/>
    <w:rsid w:val="004336CC"/>
    <w:rsid w:val="004344FA"/>
    <w:rsid w:val="004345C7"/>
    <w:rsid w:val="00435440"/>
    <w:rsid w:val="00435C64"/>
    <w:rsid w:val="00436259"/>
    <w:rsid w:val="00437B98"/>
    <w:rsid w:val="00440DAA"/>
    <w:rsid w:val="00440EEF"/>
    <w:rsid w:val="00440F19"/>
    <w:rsid w:val="00441E07"/>
    <w:rsid w:val="00441FE8"/>
    <w:rsid w:val="004425A5"/>
    <w:rsid w:val="00442DAB"/>
    <w:rsid w:val="0044449F"/>
    <w:rsid w:val="0044473F"/>
    <w:rsid w:val="00444BC5"/>
    <w:rsid w:val="00445576"/>
    <w:rsid w:val="00445824"/>
    <w:rsid w:val="0044612B"/>
    <w:rsid w:val="00446650"/>
    <w:rsid w:val="00446F4F"/>
    <w:rsid w:val="00446F90"/>
    <w:rsid w:val="00447064"/>
    <w:rsid w:val="004472DC"/>
    <w:rsid w:val="0044748A"/>
    <w:rsid w:val="004474E3"/>
    <w:rsid w:val="00447F5F"/>
    <w:rsid w:val="00450772"/>
    <w:rsid w:val="00450833"/>
    <w:rsid w:val="00450BEB"/>
    <w:rsid w:val="00450CFE"/>
    <w:rsid w:val="004518D1"/>
    <w:rsid w:val="00451926"/>
    <w:rsid w:val="00451E57"/>
    <w:rsid w:val="004520EB"/>
    <w:rsid w:val="004521EA"/>
    <w:rsid w:val="004523CE"/>
    <w:rsid w:val="0045241B"/>
    <w:rsid w:val="00452454"/>
    <w:rsid w:val="00452FAB"/>
    <w:rsid w:val="0045307C"/>
    <w:rsid w:val="00453117"/>
    <w:rsid w:val="00453406"/>
    <w:rsid w:val="004540BA"/>
    <w:rsid w:val="00454BCF"/>
    <w:rsid w:val="0045573F"/>
    <w:rsid w:val="004558C6"/>
    <w:rsid w:val="00456919"/>
    <w:rsid w:val="00456BD5"/>
    <w:rsid w:val="0045721E"/>
    <w:rsid w:val="00457A26"/>
    <w:rsid w:val="00457C65"/>
    <w:rsid w:val="00460386"/>
    <w:rsid w:val="00460C93"/>
    <w:rsid w:val="00460DCE"/>
    <w:rsid w:val="004613D1"/>
    <w:rsid w:val="00461DE5"/>
    <w:rsid w:val="00462651"/>
    <w:rsid w:val="0046273C"/>
    <w:rsid w:val="00462D36"/>
    <w:rsid w:val="004632E9"/>
    <w:rsid w:val="004640FD"/>
    <w:rsid w:val="004648B5"/>
    <w:rsid w:val="00464F51"/>
    <w:rsid w:val="00464FDB"/>
    <w:rsid w:val="00465168"/>
    <w:rsid w:val="0046553A"/>
    <w:rsid w:val="00465628"/>
    <w:rsid w:val="00466012"/>
    <w:rsid w:val="00466100"/>
    <w:rsid w:val="0046678C"/>
    <w:rsid w:val="00466A98"/>
    <w:rsid w:val="00466AC0"/>
    <w:rsid w:val="00467B82"/>
    <w:rsid w:val="00467D7D"/>
    <w:rsid w:val="00467E0E"/>
    <w:rsid w:val="00470803"/>
    <w:rsid w:val="004710F2"/>
    <w:rsid w:val="0047117E"/>
    <w:rsid w:val="0047193C"/>
    <w:rsid w:val="0047229F"/>
    <w:rsid w:val="004726E0"/>
    <w:rsid w:val="00472763"/>
    <w:rsid w:val="004730C0"/>
    <w:rsid w:val="00474831"/>
    <w:rsid w:val="004748B0"/>
    <w:rsid w:val="00474B18"/>
    <w:rsid w:val="00474F2C"/>
    <w:rsid w:val="00474F33"/>
    <w:rsid w:val="00475DE0"/>
    <w:rsid w:val="00475E55"/>
    <w:rsid w:val="004760F5"/>
    <w:rsid w:val="0047693F"/>
    <w:rsid w:val="0047699A"/>
    <w:rsid w:val="00476A70"/>
    <w:rsid w:val="004778C9"/>
    <w:rsid w:val="00477933"/>
    <w:rsid w:val="00477EFD"/>
    <w:rsid w:val="00480367"/>
    <w:rsid w:val="00480417"/>
    <w:rsid w:val="00480F8D"/>
    <w:rsid w:val="00481280"/>
    <w:rsid w:val="004815BA"/>
    <w:rsid w:val="0048237D"/>
    <w:rsid w:val="00483333"/>
    <w:rsid w:val="004834A3"/>
    <w:rsid w:val="00483C7D"/>
    <w:rsid w:val="00483D79"/>
    <w:rsid w:val="00483F1F"/>
    <w:rsid w:val="00483F7B"/>
    <w:rsid w:val="00483FC0"/>
    <w:rsid w:val="00484187"/>
    <w:rsid w:val="00484772"/>
    <w:rsid w:val="0048484D"/>
    <w:rsid w:val="00484D4C"/>
    <w:rsid w:val="00484F88"/>
    <w:rsid w:val="0048549B"/>
    <w:rsid w:val="00485574"/>
    <w:rsid w:val="00487701"/>
    <w:rsid w:val="0048773A"/>
    <w:rsid w:val="004901AC"/>
    <w:rsid w:val="004907AE"/>
    <w:rsid w:val="00490B58"/>
    <w:rsid w:val="0049162C"/>
    <w:rsid w:val="00491A4B"/>
    <w:rsid w:val="00491C5B"/>
    <w:rsid w:val="00492C81"/>
    <w:rsid w:val="00492CFD"/>
    <w:rsid w:val="00492EF6"/>
    <w:rsid w:val="00492F14"/>
    <w:rsid w:val="00493775"/>
    <w:rsid w:val="00493D73"/>
    <w:rsid w:val="004943C0"/>
    <w:rsid w:val="004947B7"/>
    <w:rsid w:val="00494A7E"/>
    <w:rsid w:val="00494CE9"/>
    <w:rsid w:val="00494E0E"/>
    <w:rsid w:val="00495B60"/>
    <w:rsid w:val="00495C16"/>
    <w:rsid w:val="00496003"/>
    <w:rsid w:val="004960D8"/>
    <w:rsid w:val="0049668D"/>
    <w:rsid w:val="00497AC5"/>
    <w:rsid w:val="004A080C"/>
    <w:rsid w:val="004A1A60"/>
    <w:rsid w:val="004A2048"/>
    <w:rsid w:val="004A30BF"/>
    <w:rsid w:val="004A3801"/>
    <w:rsid w:val="004A4C2B"/>
    <w:rsid w:val="004A54FB"/>
    <w:rsid w:val="004A59E3"/>
    <w:rsid w:val="004A5CC1"/>
    <w:rsid w:val="004A6305"/>
    <w:rsid w:val="004A6596"/>
    <w:rsid w:val="004A702C"/>
    <w:rsid w:val="004A7A2B"/>
    <w:rsid w:val="004A7D21"/>
    <w:rsid w:val="004A7F65"/>
    <w:rsid w:val="004A7F70"/>
    <w:rsid w:val="004B0637"/>
    <w:rsid w:val="004B1BF9"/>
    <w:rsid w:val="004B1DE2"/>
    <w:rsid w:val="004B21F3"/>
    <w:rsid w:val="004B38DE"/>
    <w:rsid w:val="004B3D37"/>
    <w:rsid w:val="004B4254"/>
    <w:rsid w:val="004B4722"/>
    <w:rsid w:val="004B479D"/>
    <w:rsid w:val="004B5195"/>
    <w:rsid w:val="004B5704"/>
    <w:rsid w:val="004B5B9D"/>
    <w:rsid w:val="004B64C0"/>
    <w:rsid w:val="004B65D6"/>
    <w:rsid w:val="004B6E49"/>
    <w:rsid w:val="004B7B81"/>
    <w:rsid w:val="004C043E"/>
    <w:rsid w:val="004C08B9"/>
    <w:rsid w:val="004C11EA"/>
    <w:rsid w:val="004C1827"/>
    <w:rsid w:val="004C1B66"/>
    <w:rsid w:val="004C29CC"/>
    <w:rsid w:val="004C2A22"/>
    <w:rsid w:val="004C34A9"/>
    <w:rsid w:val="004C35F6"/>
    <w:rsid w:val="004C37D5"/>
    <w:rsid w:val="004C38C7"/>
    <w:rsid w:val="004C3A7A"/>
    <w:rsid w:val="004C3F81"/>
    <w:rsid w:val="004C59F6"/>
    <w:rsid w:val="004C6A9D"/>
    <w:rsid w:val="004C6ECA"/>
    <w:rsid w:val="004D05F9"/>
    <w:rsid w:val="004D0E89"/>
    <w:rsid w:val="004D1C2A"/>
    <w:rsid w:val="004D1C3B"/>
    <w:rsid w:val="004D1E01"/>
    <w:rsid w:val="004D2463"/>
    <w:rsid w:val="004D285D"/>
    <w:rsid w:val="004D3240"/>
    <w:rsid w:val="004D3B0F"/>
    <w:rsid w:val="004D3EAE"/>
    <w:rsid w:val="004D4303"/>
    <w:rsid w:val="004D4BF9"/>
    <w:rsid w:val="004D4FCD"/>
    <w:rsid w:val="004D582B"/>
    <w:rsid w:val="004D68DB"/>
    <w:rsid w:val="004D7394"/>
    <w:rsid w:val="004D742D"/>
    <w:rsid w:val="004D7BB5"/>
    <w:rsid w:val="004E094E"/>
    <w:rsid w:val="004E13BE"/>
    <w:rsid w:val="004E13CB"/>
    <w:rsid w:val="004E17B9"/>
    <w:rsid w:val="004E1E2C"/>
    <w:rsid w:val="004E22C6"/>
    <w:rsid w:val="004E2961"/>
    <w:rsid w:val="004E316B"/>
    <w:rsid w:val="004E3683"/>
    <w:rsid w:val="004E3C05"/>
    <w:rsid w:val="004E4117"/>
    <w:rsid w:val="004E499E"/>
    <w:rsid w:val="004E5011"/>
    <w:rsid w:val="004E57B9"/>
    <w:rsid w:val="004E5D8F"/>
    <w:rsid w:val="004E67A4"/>
    <w:rsid w:val="004E6DEF"/>
    <w:rsid w:val="004E75D2"/>
    <w:rsid w:val="004E7631"/>
    <w:rsid w:val="004F0485"/>
    <w:rsid w:val="004F0D18"/>
    <w:rsid w:val="004F0D21"/>
    <w:rsid w:val="004F0E57"/>
    <w:rsid w:val="004F0E8F"/>
    <w:rsid w:val="004F1095"/>
    <w:rsid w:val="004F1626"/>
    <w:rsid w:val="004F2757"/>
    <w:rsid w:val="004F2E75"/>
    <w:rsid w:val="004F3B97"/>
    <w:rsid w:val="004F3C84"/>
    <w:rsid w:val="004F4244"/>
    <w:rsid w:val="004F5487"/>
    <w:rsid w:val="004F567D"/>
    <w:rsid w:val="004F5BFE"/>
    <w:rsid w:val="004F5CBC"/>
    <w:rsid w:val="004F63A1"/>
    <w:rsid w:val="004F7382"/>
    <w:rsid w:val="004F789C"/>
    <w:rsid w:val="004F7B5B"/>
    <w:rsid w:val="004F7DE5"/>
    <w:rsid w:val="004F7FB3"/>
    <w:rsid w:val="0050059F"/>
    <w:rsid w:val="00500681"/>
    <w:rsid w:val="00500D3D"/>
    <w:rsid w:val="0050101D"/>
    <w:rsid w:val="005015ED"/>
    <w:rsid w:val="00501D9F"/>
    <w:rsid w:val="00501E4D"/>
    <w:rsid w:val="00502511"/>
    <w:rsid w:val="00502537"/>
    <w:rsid w:val="0050291C"/>
    <w:rsid w:val="00502A5F"/>
    <w:rsid w:val="00502CA4"/>
    <w:rsid w:val="00502F9F"/>
    <w:rsid w:val="005031F6"/>
    <w:rsid w:val="005038DD"/>
    <w:rsid w:val="00503B31"/>
    <w:rsid w:val="00503C99"/>
    <w:rsid w:val="00505445"/>
    <w:rsid w:val="0050576A"/>
    <w:rsid w:val="00505ABF"/>
    <w:rsid w:val="00505DB1"/>
    <w:rsid w:val="00506E83"/>
    <w:rsid w:val="00507191"/>
    <w:rsid w:val="00510769"/>
    <w:rsid w:val="00510F62"/>
    <w:rsid w:val="00511B89"/>
    <w:rsid w:val="00511FE8"/>
    <w:rsid w:val="0051397C"/>
    <w:rsid w:val="00513E64"/>
    <w:rsid w:val="00514203"/>
    <w:rsid w:val="00514353"/>
    <w:rsid w:val="00515EBB"/>
    <w:rsid w:val="005160C0"/>
    <w:rsid w:val="005161CF"/>
    <w:rsid w:val="00516B0E"/>
    <w:rsid w:val="005173F6"/>
    <w:rsid w:val="00517959"/>
    <w:rsid w:val="00517A05"/>
    <w:rsid w:val="00517A72"/>
    <w:rsid w:val="00520231"/>
    <w:rsid w:val="005207F0"/>
    <w:rsid w:val="00521DD9"/>
    <w:rsid w:val="00522A2F"/>
    <w:rsid w:val="00522C07"/>
    <w:rsid w:val="005230B2"/>
    <w:rsid w:val="0052336C"/>
    <w:rsid w:val="0052385D"/>
    <w:rsid w:val="005238C4"/>
    <w:rsid w:val="005248D6"/>
    <w:rsid w:val="00524E3F"/>
    <w:rsid w:val="00524F06"/>
    <w:rsid w:val="00525346"/>
    <w:rsid w:val="0052554A"/>
    <w:rsid w:val="0052555F"/>
    <w:rsid w:val="00525581"/>
    <w:rsid w:val="005264C1"/>
    <w:rsid w:val="0052663A"/>
    <w:rsid w:val="00526922"/>
    <w:rsid w:val="00526E87"/>
    <w:rsid w:val="00527698"/>
    <w:rsid w:val="00527B99"/>
    <w:rsid w:val="00527E6D"/>
    <w:rsid w:val="00530FDC"/>
    <w:rsid w:val="005310B4"/>
    <w:rsid w:val="005313CF"/>
    <w:rsid w:val="0053201E"/>
    <w:rsid w:val="0053235B"/>
    <w:rsid w:val="00532C38"/>
    <w:rsid w:val="00532D5A"/>
    <w:rsid w:val="00533A78"/>
    <w:rsid w:val="00534D1C"/>
    <w:rsid w:val="00534F6C"/>
    <w:rsid w:val="0053518F"/>
    <w:rsid w:val="00536258"/>
    <w:rsid w:val="00537FAF"/>
    <w:rsid w:val="00540E19"/>
    <w:rsid w:val="00541103"/>
    <w:rsid w:val="00542590"/>
    <w:rsid w:val="0054268D"/>
    <w:rsid w:val="00542CCB"/>
    <w:rsid w:val="00543007"/>
    <w:rsid w:val="00543373"/>
    <w:rsid w:val="005435C1"/>
    <w:rsid w:val="0054385E"/>
    <w:rsid w:val="00543F9E"/>
    <w:rsid w:val="005443F8"/>
    <w:rsid w:val="00544C81"/>
    <w:rsid w:val="0054539A"/>
    <w:rsid w:val="00545CE4"/>
    <w:rsid w:val="00546666"/>
    <w:rsid w:val="005467CB"/>
    <w:rsid w:val="00546EC8"/>
    <w:rsid w:val="0055031F"/>
    <w:rsid w:val="005505A9"/>
    <w:rsid w:val="005512F4"/>
    <w:rsid w:val="005522B3"/>
    <w:rsid w:val="00552BB8"/>
    <w:rsid w:val="005533D3"/>
    <w:rsid w:val="005535C1"/>
    <w:rsid w:val="00553AA2"/>
    <w:rsid w:val="00553EAC"/>
    <w:rsid w:val="00554100"/>
    <w:rsid w:val="005549A4"/>
    <w:rsid w:val="00555AAE"/>
    <w:rsid w:val="005568EB"/>
    <w:rsid w:val="00556A06"/>
    <w:rsid w:val="00556E1F"/>
    <w:rsid w:val="00557045"/>
    <w:rsid w:val="00557E95"/>
    <w:rsid w:val="005604B9"/>
    <w:rsid w:val="0056109B"/>
    <w:rsid w:val="00561EAE"/>
    <w:rsid w:val="00562B3A"/>
    <w:rsid w:val="005639B3"/>
    <w:rsid w:val="00563D9E"/>
    <w:rsid w:val="005644F3"/>
    <w:rsid w:val="00564B15"/>
    <w:rsid w:val="00564E7D"/>
    <w:rsid w:val="0056545E"/>
    <w:rsid w:val="005656E9"/>
    <w:rsid w:val="00565C03"/>
    <w:rsid w:val="00566048"/>
    <w:rsid w:val="00566A9A"/>
    <w:rsid w:val="00566AE1"/>
    <w:rsid w:val="00566EE0"/>
    <w:rsid w:val="00567282"/>
    <w:rsid w:val="00567320"/>
    <w:rsid w:val="0056788C"/>
    <w:rsid w:val="005706E7"/>
    <w:rsid w:val="0057094D"/>
    <w:rsid w:val="00571267"/>
    <w:rsid w:val="0057136F"/>
    <w:rsid w:val="005716D0"/>
    <w:rsid w:val="00571DFD"/>
    <w:rsid w:val="00571F33"/>
    <w:rsid w:val="00572143"/>
    <w:rsid w:val="00572249"/>
    <w:rsid w:val="005727DD"/>
    <w:rsid w:val="00572896"/>
    <w:rsid w:val="00573250"/>
    <w:rsid w:val="005733EF"/>
    <w:rsid w:val="005735E9"/>
    <w:rsid w:val="00573638"/>
    <w:rsid w:val="005746A0"/>
    <w:rsid w:val="00574955"/>
    <w:rsid w:val="005751B5"/>
    <w:rsid w:val="00576A06"/>
    <w:rsid w:val="00576D5D"/>
    <w:rsid w:val="00577BC5"/>
    <w:rsid w:val="00580651"/>
    <w:rsid w:val="005807A5"/>
    <w:rsid w:val="005807E0"/>
    <w:rsid w:val="00580BC7"/>
    <w:rsid w:val="0058170B"/>
    <w:rsid w:val="00581712"/>
    <w:rsid w:val="00581782"/>
    <w:rsid w:val="00581C7A"/>
    <w:rsid w:val="00582DDD"/>
    <w:rsid w:val="00583636"/>
    <w:rsid w:val="0058385B"/>
    <w:rsid w:val="00583995"/>
    <w:rsid w:val="00583CD9"/>
    <w:rsid w:val="00584B74"/>
    <w:rsid w:val="00584DDE"/>
    <w:rsid w:val="005851DE"/>
    <w:rsid w:val="005854AA"/>
    <w:rsid w:val="00585B6B"/>
    <w:rsid w:val="00585BFC"/>
    <w:rsid w:val="00585C02"/>
    <w:rsid w:val="005872AC"/>
    <w:rsid w:val="00587709"/>
    <w:rsid w:val="00587C78"/>
    <w:rsid w:val="00590689"/>
    <w:rsid w:val="00590D79"/>
    <w:rsid w:val="00590DF4"/>
    <w:rsid w:val="005929D0"/>
    <w:rsid w:val="00592C89"/>
    <w:rsid w:val="00593378"/>
    <w:rsid w:val="00593732"/>
    <w:rsid w:val="00594723"/>
    <w:rsid w:val="005948FB"/>
    <w:rsid w:val="0059516B"/>
    <w:rsid w:val="005957E6"/>
    <w:rsid w:val="005958BE"/>
    <w:rsid w:val="0059642A"/>
    <w:rsid w:val="005965EC"/>
    <w:rsid w:val="00596677"/>
    <w:rsid w:val="005A06A2"/>
    <w:rsid w:val="005A0DD9"/>
    <w:rsid w:val="005A195F"/>
    <w:rsid w:val="005A1B5C"/>
    <w:rsid w:val="005A2405"/>
    <w:rsid w:val="005A241A"/>
    <w:rsid w:val="005A295D"/>
    <w:rsid w:val="005A35E7"/>
    <w:rsid w:val="005A377E"/>
    <w:rsid w:val="005A385F"/>
    <w:rsid w:val="005A430D"/>
    <w:rsid w:val="005A4AD1"/>
    <w:rsid w:val="005A65C9"/>
    <w:rsid w:val="005A6B0A"/>
    <w:rsid w:val="005A6C71"/>
    <w:rsid w:val="005A6DDC"/>
    <w:rsid w:val="005B08DC"/>
    <w:rsid w:val="005B154C"/>
    <w:rsid w:val="005B1801"/>
    <w:rsid w:val="005B1F2E"/>
    <w:rsid w:val="005B1FF3"/>
    <w:rsid w:val="005B2015"/>
    <w:rsid w:val="005B3B01"/>
    <w:rsid w:val="005B3DB0"/>
    <w:rsid w:val="005B3DF4"/>
    <w:rsid w:val="005B51F8"/>
    <w:rsid w:val="005B5C32"/>
    <w:rsid w:val="005B5D70"/>
    <w:rsid w:val="005B6277"/>
    <w:rsid w:val="005B67C2"/>
    <w:rsid w:val="005C01D7"/>
    <w:rsid w:val="005C1040"/>
    <w:rsid w:val="005C16C6"/>
    <w:rsid w:val="005C1A8B"/>
    <w:rsid w:val="005C24CA"/>
    <w:rsid w:val="005C25D0"/>
    <w:rsid w:val="005C2895"/>
    <w:rsid w:val="005C2A5F"/>
    <w:rsid w:val="005C30C5"/>
    <w:rsid w:val="005C326D"/>
    <w:rsid w:val="005C4AAA"/>
    <w:rsid w:val="005C5571"/>
    <w:rsid w:val="005C5DF3"/>
    <w:rsid w:val="005C66A7"/>
    <w:rsid w:val="005C66F3"/>
    <w:rsid w:val="005C6A14"/>
    <w:rsid w:val="005C784B"/>
    <w:rsid w:val="005D0128"/>
    <w:rsid w:val="005D04F0"/>
    <w:rsid w:val="005D1DB6"/>
    <w:rsid w:val="005D2638"/>
    <w:rsid w:val="005D2C6D"/>
    <w:rsid w:val="005D38A7"/>
    <w:rsid w:val="005D39D3"/>
    <w:rsid w:val="005D3A7B"/>
    <w:rsid w:val="005D3F0B"/>
    <w:rsid w:val="005D46C6"/>
    <w:rsid w:val="005D4B1A"/>
    <w:rsid w:val="005D54BD"/>
    <w:rsid w:val="005D5E56"/>
    <w:rsid w:val="005D65B3"/>
    <w:rsid w:val="005D6CE9"/>
    <w:rsid w:val="005D6F9D"/>
    <w:rsid w:val="005D73C9"/>
    <w:rsid w:val="005E0230"/>
    <w:rsid w:val="005E07A6"/>
    <w:rsid w:val="005E0C97"/>
    <w:rsid w:val="005E1021"/>
    <w:rsid w:val="005E1211"/>
    <w:rsid w:val="005E1E26"/>
    <w:rsid w:val="005E1E74"/>
    <w:rsid w:val="005E1FBB"/>
    <w:rsid w:val="005E29A6"/>
    <w:rsid w:val="005E3A2A"/>
    <w:rsid w:val="005E3CFD"/>
    <w:rsid w:val="005E49D6"/>
    <w:rsid w:val="005E4A1A"/>
    <w:rsid w:val="005E4B29"/>
    <w:rsid w:val="005E62C0"/>
    <w:rsid w:val="005E6457"/>
    <w:rsid w:val="005E71B2"/>
    <w:rsid w:val="005E7995"/>
    <w:rsid w:val="005F00A8"/>
    <w:rsid w:val="005F01E8"/>
    <w:rsid w:val="005F033D"/>
    <w:rsid w:val="005F055F"/>
    <w:rsid w:val="005F06C6"/>
    <w:rsid w:val="005F16A8"/>
    <w:rsid w:val="005F20A6"/>
    <w:rsid w:val="005F25C8"/>
    <w:rsid w:val="005F260E"/>
    <w:rsid w:val="005F2C17"/>
    <w:rsid w:val="005F3431"/>
    <w:rsid w:val="005F34A6"/>
    <w:rsid w:val="005F3502"/>
    <w:rsid w:val="005F37F5"/>
    <w:rsid w:val="005F4CC7"/>
    <w:rsid w:val="005F5110"/>
    <w:rsid w:val="005F514A"/>
    <w:rsid w:val="005F5959"/>
    <w:rsid w:val="005F5C3D"/>
    <w:rsid w:val="005F5D86"/>
    <w:rsid w:val="005F5F5D"/>
    <w:rsid w:val="005F716B"/>
    <w:rsid w:val="005F7663"/>
    <w:rsid w:val="005F7FB9"/>
    <w:rsid w:val="00600714"/>
    <w:rsid w:val="006009F7"/>
    <w:rsid w:val="00600D06"/>
    <w:rsid w:val="00600F48"/>
    <w:rsid w:val="00601004"/>
    <w:rsid w:val="006014CD"/>
    <w:rsid w:val="00601ABE"/>
    <w:rsid w:val="00601C1D"/>
    <w:rsid w:val="0060228B"/>
    <w:rsid w:val="0060312F"/>
    <w:rsid w:val="00603169"/>
    <w:rsid w:val="006034E4"/>
    <w:rsid w:val="00603BE9"/>
    <w:rsid w:val="00603DDF"/>
    <w:rsid w:val="00604176"/>
    <w:rsid w:val="006041F5"/>
    <w:rsid w:val="00604F01"/>
    <w:rsid w:val="0060557A"/>
    <w:rsid w:val="00605C84"/>
    <w:rsid w:val="00605E3A"/>
    <w:rsid w:val="00606280"/>
    <w:rsid w:val="00606855"/>
    <w:rsid w:val="00607188"/>
    <w:rsid w:val="0060722A"/>
    <w:rsid w:val="006077C3"/>
    <w:rsid w:val="0060787E"/>
    <w:rsid w:val="00607887"/>
    <w:rsid w:val="00607E15"/>
    <w:rsid w:val="00611E1C"/>
    <w:rsid w:val="00611F96"/>
    <w:rsid w:val="006126CF"/>
    <w:rsid w:val="00612A74"/>
    <w:rsid w:val="006132A1"/>
    <w:rsid w:val="0061335A"/>
    <w:rsid w:val="00613FF7"/>
    <w:rsid w:val="0061460B"/>
    <w:rsid w:val="0061531E"/>
    <w:rsid w:val="006158F8"/>
    <w:rsid w:val="0061593E"/>
    <w:rsid w:val="00615DD5"/>
    <w:rsid w:val="006166D9"/>
    <w:rsid w:val="00617772"/>
    <w:rsid w:val="0062007A"/>
    <w:rsid w:val="006204B6"/>
    <w:rsid w:val="00620CA4"/>
    <w:rsid w:val="00621455"/>
    <w:rsid w:val="006225C5"/>
    <w:rsid w:val="00622B89"/>
    <w:rsid w:val="006239A2"/>
    <w:rsid w:val="00624C30"/>
    <w:rsid w:val="00624D60"/>
    <w:rsid w:val="00624DBD"/>
    <w:rsid w:val="00624F86"/>
    <w:rsid w:val="0062519A"/>
    <w:rsid w:val="00625706"/>
    <w:rsid w:val="00625B9E"/>
    <w:rsid w:val="00625C22"/>
    <w:rsid w:val="006263DF"/>
    <w:rsid w:val="006268F9"/>
    <w:rsid w:val="00627A53"/>
    <w:rsid w:val="00627B64"/>
    <w:rsid w:val="00630EB2"/>
    <w:rsid w:val="00631DD8"/>
    <w:rsid w:val="00632336"/>
    <w:rsid w:val="00632675"/>
    <w:rsid w:val="00632C39"/>
    <w:rsid w:val="006336CF"/>
    <w:rsid w:val="006351E2"/>
    <w:rsid w:val="00635221"/>
    <w:rsid w:val="006352CE"/>
    <w:rsid w:val="0063572E"/>
    <w:rsid w:val="0063576A"/>
    <w:rsid w:val="00635D6A"/>
    <w:rsid w:val="00635DDB"/>
    <w:rsid w:val="006360E2"/>
    <w:rsid w:val="00636337"/>
    <w:rsid w:val="00636404"/>
    <w:rsid w:val="00636894"/>
    <w:rsid w:val="006369D5"/>
    <w:rsid w:val="00636E78"/>
    <w:rsid w:val="00637075"/>
    <w:rsid w:val="00637B06"/>
    <w:rsid w:val="00637E1F"/>
    <w:rsid w:val="006405B6"/>
    <w:rsid w:val="00640826"/>
    <w:rsid w:val="00640A92"/>
    <w:rsid w:val="00640E61"/>
    <w:rsid w:val="00640F0A"/>
    <w:rsid w:val="0064101A"/>
    <w:rsid w:val="00641A3D"/>
    <w:rsid w:val="00642198"/>
    <w:rsid w:val="006428AF"/>
    <w:rsid w:val="006434F3"/>
    <w:rsid w:val="00643FA0"/>
    <w:rsid w:val="00644EC2"/>
    <w:rsid w:val="006453A2"/>
    <w:rsid w:val="006458E8"/>
    <w:rsid w:val="00645D80"/>
    <w:rsid w:val="00645FC0"/>
    <w:rsid w:val="006466A8"/>
    <w:rsid w:val="00646B31"/>
    <w:rsid w:val="00646B42"/>
    <w:rsid w:val="00646E21"/>
    <w:rsid w:val="00646E2D"/>
    <w:rsid w:val="00647B76"/>
    <w:rsid w:val="00650520"/>
    <w:rsid w:val="00650694"/>
    <w:rsid w:val="00650B4B"/>
    <w:rsid w:val="0065112C"/>
    <w:rsid w:val="00652633"/>
    <w:rsid w:val="00653078"/>
    <w:rsid w:val="00653160"/>
    <w:rsid w:val="0065321B"/>
    <w:rsid w:val="00653543"/>
    <w:rsid w:val="0065361F"/>
    <w:rsid w:val="0065408F"/>
    <w:rsid w:val="006541D3"/>
    <w:rsid w:val="0065452C"/>
    <w:rsid w:val="00655AC6"/>
    <w:rsid w:val="00656901"/>
    <w:rsid w:val="00656B49"/>
    <w:rsid w:val="006574E6"/>
    <w:rsid w:val="00657646"/>
    <w:rsid w:val="00657750"/>
    <w:rsid w:val="00657CF0"/>
    <w:rsid w:val="00660578"/>
    <w:rsid w:val="0066111A"/>
    <w:rsid w:val="006614CF"/>
    <w:rsid w:val="006616E0"/>
    <w:rsid w:val="00661AE8"/>
    <w:rsid w:val="006622A9"/>
    <w:rsid w:val="00662763"/>
    <w:rsid w:val="00662C13"/>
    <w:rsid w:val="006631AF"/>
    <w:rsid w:val="006632BE"/>
    <w:rsid w:val="00664083"/>
    <w:rsid w:val="006642BF"/>
    <w:rsid w:val="00664959"/>
    <w:rsid w:val="00664BCB"/>
    <w:rsid w:val="00664FE8"/>
    <w:rsid w:val="00665164"/>
    <w:rsid w:val="00666592"/>
    <w:rsid w:val="00667769"/>
    <w:rsid w:val="006711B9"/>
    <w:rsid w:val="00671521"/>
    <w:rsid w:val="00671D1D"/>
    <w:rsid w:val="00672040"/>
    <w:rsid w:val="00672A64"/>
    <w:rsid w:val="00672A66"/>
    <w:rsid w:val="00672CB2"/>
    <w:rsid w:val="0067321E"/>
    <w:rsid w:val="006744F9"/>
    <w:rsid w:val="0067462A"/>
    <w:rsid w:val="00674CAF"/>
    <w:rsid w:val="00674F75"/>
    <w:rsid w:val="00675B21"/>
    <w:rsid w:val="00675C27"/>
    <w:rsid w:val="00675C69"/>
    <w:rsid w:val="00675F49"/>
    <w:rsid w:val="0067604C"/>
    <w:rsid w:val="00676057"/>
    <w:rsid w:val="006761F6"/>
    <w:rsid w:val="006774AF"/>
    <w:rsid w:val="0067751E"/>
    <w:rsid w:val="00677531"/>
    <w:rsid w:val="00680300"/>
    <w:rsid w:val="006807E9"/>
    <w:rsid w:val="00680AB0"/>
    <w:rsid w:val="00681794"/>
    <w:rsid w:val="00681E22"/>
    <w:rsid w:val="0068286F"/>
    <w:rsid w:val="00682D11"/>
    <w:rsid w:val="00682E01"/>
    <w:rsid w:val="00683085"/>
    <w:rsid w:val="0068318E"/>
    <w:rsid w:val="00683263"/>
    <w:rsid w:val="0068389F"/>
    <w:rsid w:val="00683AF8"/>
    <w:rsid w:val="006841C3"/>
    <w:rsid w:val="00684289"/>
    <w:rsid w:val="00684303"/>
    <w:rsid w:val="00684428"/>
    <w:rsid w:val="00685212"/>
    <w:rsid w:val="00685B56"/>
    <w:rsid w:val="006863A7"/>
    <w:rsid w:val="0068644C"/>
    <w:rsid w:val="00686B3A"/>
    <w:rsid w:val="00686D72"/>
    <w:rsid w:val="00686E06"/>
    <w:rsid w:val="0068709C"/>
    <w:rsid w:val="00687E95"/>
    <w:rsid w:val="006902A1"/>
    <w:rsid w:val="006916BF"/>
    <w:rsid w:val="00691B33"/>
    <w:rsid w:val="00691EE1"/>
    <w:rsid w:val="00691F87"/>
    <w:rsid w:val="00692061"/>
    <w:rsid w:val="00692DE9"/>
    <w:rsid w:val="00692EBD"/>
    <w:rsid w:val="006930D6"/>
    <w:rsid w:val="00693839"/>
    <w:rsid w:val="00693E4B"/>
    <w:rsid w:val="00695381"/>
    <w:rsid w:val="0069557B"/>
    <w:rsid w:val="00695C97"/>
    <w:rsid w:val="00695CD3"/>
    <w:rsid w:val="00696808"/>
    <w:rsid w:val="006968F6"/>
    <w:rsid w:val="00696DCA"/>
    <w:rsid w:val="00697354"/>
    <w:rsid w:val="00697567"/>
    <w:rsid w:val="00697A02"/>
    <w:rsid w:val="006A0081"/>
    <w:rsid w:val="006A12CF"/>
    <w:rsid w:val="006A2D09"/>
    <w:rsid w:val="006A350D"/>
    <w:rsid w:val="006A388B"/>
    <w:rsid w:val="006A41B8"/>
    <w:rsid w:val="006A47C2"/>
    <w:rsid w:val="006A4F22"/>
    <w:rsid w:val="006A55E3"/>
    <w:rsid w:val="006A5E65"/>
    <w:rsid w:val="006A5FB5"/>
    <w:rsid w:val="006A6831"/>
    <w:rsid w:val="006A7701"/>
    <w:rsid w:val="006A78A9"/>
    <w:rsid w:val="006B00D7"/>
    <w:rsid w:val="006B01E0"/>
    <w:rsid w:val="006B04EE"/>
    <w:rsid w:val="006B06BB"/>
    <w:rsid w:val="006B0C03"/>
    <w:rsid w:val="006B0E0D"/>
    <w:rsid w:val="006B132E"/>
    <w:rsid w:val="006B149A"/>
    <w:rsid w:val="006B25C8"/>
    <w:rsid w:val="006B3DEA"/>
    <w:rsid w:val="006B417B"/>
    <w:rsid w:val="006B4BF7"/>
    <w:rsid w:val="006B4CE4"/>
    <w:rsid w:val="006B4D0F"/>
    <w:rsid w:val="006B4E8F"/>
    <w:rsid w:val="006B52A6"/>
    <w:rsid w:val="006B663B"/>
    <w:rsid w:val="006B70F2"/>
    <w:rsid w:val="006B714B"/>
    <w:rsid w:val="006B7FF7"/>
    <w:rsid w:val="006C015D"/>
    <w:rsid w:val="006C0379"/>
    <w:rsid w:val="006C0DF2"/>
    <w:rsid w:val="006C1181"/>
    <w:rsid w:val="006C1374"/>
    <w:rsid w:val="006C15F5"/>
    <w:rsid w:val="006C25F9"/>
    <w:rsid w:val="006C2789"/>
    <w:rsid w:val="006C2AF2"/>
    <w:rsid w:val="006C365A"/>
    <w:rsid w:val="006C3FB7"/>
    <w:rsid w:val="006C4C04"/>
    <w:rsid w:val="006C4C9C"/>
    <w:rsid w:val="006C4D3D"/>
    <w:rsid w:val="006C6667"/>
    <w:rsid w:val="006C79EA"/>
    <w:rsid w:val="006D01E3"/>
    <w:rsid w:val="006D045D"/>
    <w:rsid w:val="006D0BD8"/>
    <w:rsid w:val="006D1422"/>
    <w:rsid w:val="006D1917"/>
    <w:rsid w:val="006D1D67"/>
    <w:rsid w:val="006D2221"/>
    <w:rsid w:val="006D395A"/>
    <w:rsid w:val="006D3977"/>
    <w:rsid w:val="006D3BB4"/>
    <w:rsid w:val="006D3D77"/>
    <w:rsid w:val="006D471C"/>
    <w:rsid w:val="006D48C1"/>
    <w:rsid w:val="006D4E89"/>
    <w:rsid w:val="006D4FA6"/>
    <w:rsid w:val="006D56A1"/>
    <w:rsid w:val="006D5B16"/>
    <w:rsid w:val="006D5CDB"/>
    <w:rsid w:val="006D601B"/>
    <w:rsid w:val="006D63FE"/>
    <w:rsid w:val="006D679A"/>
    <w:rsid w:val="006D67EB"/>
    <w:rsid w:val="006D6C17"/>
    <w:rsid w:val="006D6D18"/>
    <w:rsid w:val="006D70CF"/>
    <w:rsid w:val="006D73FF"/>
    <w:rsid w:val="006D7562"/>
    <w:rsid w:val="006D7F1E"/>
    <w:rsid w:val="006E0A0B"/>
    <w:rsid w:val="006E1022"/>
    <w:rsid w:val="006E12F7"/>
    <w:rsid w:val="006E1876"/>
    <w:rsid w:val="006E1996"/>
    <w:rsid w:val="006E1C68"/>
    <w:rsid w:val="006E1CF8"/>
    <w:rsid w:val="006E1E6A"/>
    <w:rsid w:val="006E30B5"/>
    <w:rsid w:val="006E35C4"/>
    <w:rsid w:val="006E4001"/>
    <w:rsid w:val="006E4145"/>
    <w:rsid w:val="006E41AC"/>
    <w:rsid w:val="006E425A"/>
    <w:rsid w:val="006E4BE4"/>
    <w:rsid w:val="006E4DCB"/>
    <w:rsid w:val="006E59C1"/>
    <w:rsid w:val="006E5BBC"/>
    <w:rsid w:val="006E5C84"/>
    <w:rsid w:val="006E681A"/>
    <w:rsid w:val="006E7442"/>
    <w:rsid w:val="006E7731"/>
    <w:rsid w:val="006E774A"/>
    <w:rsid w:val="006E7A06"/>
    <w:rsid w:val="006E7BF3"/>
    <w:rsid w:val="006F0E23"/>
    <w:rsid w:val="006F15DB"/>
    <w:rsid w:val="006F1694"/>
    <w:rsid w:val="006F22F9"/>
    <w:rsid w:val="006F2D3D"/>
    <w:rsid w:val="006F3279"/>
    <w:rsid w:val="006F3D7F"/>
    <w:rsid w:val="006F4633"/>
    <w:rsid w:val="006F4BF8"/>
    <w:rsid w:val="006F5621"/>
    <w:rsid w:val="006F58A5"/>
    <w:rsid w:val="006F59B3"/>
    <w:rsid w:val="006F66E2"/>
    <w:rsid w:val="006F682E"/>
    <w:rsid w:val="006F7576"/>
    <w:rsid w:val="006F785A"/>
    <w:rsid w:val="006F7B9B"/>
    <w:rsid w:val="006F7EDE"/>
    <w:rsid w:val="0070012D"/>
    <w:rsid w:val="00700161"/>
    <w:rsid w:val="00701003"/>
    <w:rsid w:val="00701995"/>
    <w:rsid w:val="00701D50"/>
    <w:rsid w:val="0070250B"/>
    <w:rsid w:val="00702F29"/>
    <w:rsid w:val="00703BEA"/>
    <w:rsid w:val="00704835"/>
    <w:rsid w:val="00704936"/>
    <w:rsid w:val="00704B95"/>
    <w:rsid w:val="00706A02"/>
    <w:rsid w:val="0070730D"/>
    <w:rsid w:val="00707FE0"/>
    <w:rsid w:val="00710311"/>
    <w:rsid w:val="0071064A"/>
    <w:rsid w:val="00710858"/>
    <w:rsid w:val="007111AF"/>
    <w:rsid w:val="00711349"/>
    <w:rsid w:val="0071276F"/>
    <w:rsid w:val="00712B3F"/>
    <w:rsid w:val="00712FB9"/>
    <w:rsid w:val="0071344F"/>
    <w:rsid w:val="00713DFE"/>
    <w:rsid w:val="00713E39"/>
    <w:rsid w:val="00714A04"/>
    <w:rsid w:val="00715805"/>
    <w:rsid w:val="0071743C"/>
    <w:rsid w:val="00717D37"/>
    <w:rsid w:val="0072001D"/>
    <w:rsid w:val="0072041E"/>
    <w:rsid w:val="007208F7"/>
    <w:rsid w:val="007209CB"/>
    <w:rsid w:val="00722E83"/>
    <w:rsid w:val="00722EB1"/>
    <w:rsid w:val="00723714"/>
    <w:rsid w:val="00723C5D"/>
    <w:rsid w:val="00723CDA"/>
    <w:rsid w:val="00723EBE"/>
    <w:rsid w:val="00724C06"/>
    <w:rsid w:val="00725A46"/>
    <w:rsid w:val="0072610E"/>
    <w:rsid w:val="00726FA6"/>
    <w:rsid w:val="007272E0"/>
    <w:rsid w:val="00730CF9"/>
    <w:rsid w:val="00731237"/>
    <w:rsid w:val="007314F9"/>
    <w:rsid w:val="007315AE"/>
    <w:rsid w:val="0073191D"/>
    <w:rsid w:val="00731EB8"/>
    <w:rsid w:val="0073290F"/>
    <w:rsid w:val="00732FAC"/>
    <w:rsid w:val="00733094"/>
    <w:rsid w:val="0073389C"/>
    <w:rsid w:val="00733C7A"/>
    <w:rsid w:val="00734081"/>
    <w:rsid w:val="007345B4"/>
    <w:rsid w:val="007347EB"/>
    <w:rsid w:val="0073507C"/>
    <w:rsid w:val="00735126"/>
    <w:rsid w:val="00735E92"/>
    <w:rsid w:val="007361EE"/>
    <w:rsid w:val="007363F4"/>
    <w:rsid w:val="00736509"/>
    <w:rsid w:val="007377DB"/>
    <w:rsid w:val="00737956"/>
    <w:rsid w:val="00737F4E"/>
    <w:rsid w:val="007402CA"/>
    <w:rsid w:val="007403C3"/>
    <w:rsid w:val="00740485"/>
    <w:rsid w:val="0074076F"/>
    <w:rsid w:val="007409DD"/>
    <w:rsid w:val="00740A7E"/>
    <w:rsid w:val="007414DD"/>
    <w:rsid w:val="00741E40"/>
    <w:rsid w:val="0074281B"/>
    <w:rsid w:val="0074354E"/>
    <w:rsid w:val="0074367D"/>
    <w:rsid w:val="00743EC6"/>
    <w:rsid w:val="00744779"/>
    <w:rsid w:val="00744D04"/>
    <w:rsid w:val="007453B1"/>
    <w:rsid w:val="00745F72"/>
    <w:rsid w:val="00745F7B"/>
    <w:rsid w:val="007462D8"/>
    <w:rsid w:val="00746B00"/>
    <w:rsid w:val="00747AFE"/>
    <w:rsid w:val="00750B4A"/>
    <w:rsid w:val="00750EBF"/>
    <w:rsid w:val="00750F08"/>
    <w:rsid w:val="007512B9"/>
    <w:rsid w:val="007516A1"/>
    <w:rsid w:val="0075181E"/>
    <w:rsid w:val="00751E29"/>
    <w:rsid w:val="00751E88"/>
    <w:rsid w:val="007521C3"/>
    <w:rsid w:val="0075239B"/>
    <w:rsid w:val="00752CF9"/>
    <w:rsid w:val="0075318E"/>
    <w:rsid w:val="007536AE"/>
    <w:rsid w:val="007537FE"/>
    <w:rsid w:val="00753E56"/>
    <w:rsid w:val="00753EA3"/>
    <w:rsid w:val="007543BF"/>
    <w:rsid w:val="00755165"/>
    <w:rsid w:val="00755768"/>
    <w:rsid w:val="007572AE"/>
    <w:rsid w:val="0076039A"/>
    <w:rsid w:val="00760435"/>
    <w:rsid w:val="007605B0"/>
    <w:rsid w:val="00760B00"/>
    <w:rsid w:val="00760E39"/>
    <w:rsid w:val="007615B8"/>
    <w:rsid w:val="00761CEA"/>
    <w:rsid w:val="00761F1D"/>
    <w:rsid w:val="00761F55"/>
    <w:rsid w:val="007621EB"/>
    <w:rsid w:val="007627AC"/>
    <w:rsid w:val="00762A64"/>
    <w:rsid w:val="007632B6"/>
    <w:rsid w:val="007638C0"/>
    <w:rsid w:val="00764285"/>
    <w:rsid w:val="0076594D"/>
    <w:rsid w:val="00765B7C"/>
    <w:rsid w:val="00765E6E"/>
    <w:rsid w:val="00765F0A"/>
    <w:rsid w:val="007660E4"/>
    <w:rsid w:val="00766148"/>
    <w:rsid w:val="00766807"/>
    <w:rsid w:val="00766CC5"/>
    <w:rsid w:val="00767736"/>
    <w:rsid w:val="0076780D"/>
    <w:rsid w:val="00767875"/>
    <w:rsid w:val="007679AF"/>
    <w:rsid w:val="0077049C"/>
    <w:rsid w:val="007704B8"/>
    <w:rsid w:val="007705C8"/>
    <w:rsid w:val="007707AA"/>
    <w:rsid w:val="00770C52"/>
    <w:rsid w:val="007716BE"/>
    <w:rsid w:val="00771BBC"/>
    <w:rsid w:val="00772447"/>
    <w:rsid w:val="007725C4"/>
    <w:rsid w:val="0077261E"/>
    <w:rsid w:val="007738A1"/>
    <w:rsid w:val="00773AED"/>
    <w:rsid w:val="00773F3D"/>
    <w:rsid w:val="0077405F"/>
    <w:rsid w:val="007752D1"/>
    <w:rsid w:val="007754C1"/>
    <w:rsid w:val="00775702"/>
    <w:rsid w:val="00776E02"/>
    <w:rsid w:val="0077756D"/>
    <w:rsid w:val="00777AEA"/>
    <w:rsid w:val="00781045"/>
    <w:rsid w:val="00781FDD"/>
    <w:rsid w:val="007833EE"/>
    <w:rsid w:val="00783B6C"/>
    <w:rsid w:val="0078418A"/>
    <w:rsid w:val="00784ADE"/>
    <w:rsid w:val="00784AE7"/>
    <w:rsid w:val="00784BF2"/>
    <w:rsid w:val="00785431"/>
    <w:rsid w:val="00785543"/>
    <w:rsid w:val="00786C85"/>
    <w:rsid w:val="00786DB7"/>
    <w:rsid w:val="007871A7"/>
    <w:rsid w:val="00787835"/>
    <w:rsid w:val="00787A06"/>
    <w:rsid w:val="007903D8"/>
    <w:rsid w:val="00790B91"/>
    <w:rsid w:val="007916F6"/>
    <w:rsid w:val="0079234F"/>
    <w:rsid w:val="00792584"/>
    <w:rsid w:val="007930A1"/>
    <w:rsid w:val="007930F8"/>
    <w:rsid w:val="00793480"/>
    <w:rsid w:val="0079402E"/>
    <w:rsid w:val="00794096"/>
    <w:rsid w:val="0079443A"/>
    <w:rsid w:val="007965F4"/>
    <w:rsid w:val="00796783"/>
    <w:rsid w:val="007967F7"/>
    <w:rsid w:val="00796BE0"/>
    <w:rsid w:val="00797701"/>
    <w:rsid w:val="00797859"/>
    <w:rsid w:val="00797879"/>
    <w:rsid w:val="007A018E"/>
    <w:rsid w:val="007A094C"/>
    <w:rsid w:val="007A0A14"/>
    <w:rsid w:val="007A0F6D"/>
    <w:rsid w:val="007A126B"/>
    <w:rsid w:val="007A138F"/>
    <w:rsid w:val="007A152C"/>
    <w:rsid w:val="007A2BAA"/>
    <w:rsid w:val="007A3B35"/>
    <w:rsid w:val="007A4CD4"/>
    <w:rsid w:val="007A4E48"/>
    <w:rsid w:val="007A504D"/>
    <w:rsid w:val="007A51DE"/>
    <w:rsid w:val="007A560F"/>
    <w:rsid w:val="007A56E2"/>
    <w:rsid w:val="007A598F"/>
    <w:rsid w:val="007A59D4"/>
    <w:rsid w:val="007A5D0A"/>
    <w:rsid w:val="007A7283"/>
    <w:rsid w:val="007B0237"/>
    <w:rsid w:val="007B1293"/>
    <w:rsid w:val="007B16B7"/>
    <w:rsid w:val="007B210F"/>
    <w:rsid w:val="007B2BC4"/>
    <w:rsid w:val="007B2C09"/>
    <w:rsid w:val="007B2F40"/>
    <w:rsid w:val="007B3661"/>
    <w:rsid w:val="007B38A2"/>
    <w:rsid w:val="007B3F8C"/>
    <w:rsid w:val="007B4618"/>
    <w:rsid w:val="007B5114"/>
    <w:rsid w:val="007B5284"/>
    <w:rsid w:val="007B553F"/>
    <w:rsid w:val="007B576C"/>
    <w:rsid w:val="007C1499"/>
    <w:rsid w:val="007C1861"/>
    <w:rsid w:val="007C1C49"/>
    <w:rsid w:val="007C1F87"/>
    <w:rsid w:val="007C2529"/>
    <w:rsid w:val="007C2FAD"/>
    <w:rsid w:val="007C31C0"/>
    <w:rsid w:val="007C3226"/>
    <w:rsid w:val="007C3ACD"/>
    <w:rsid w:val="007C3EB2"/>
    <w:rsid w:val="007C45AD"/>
    <w:rsid w:val="007C4759"/>
    <w:rsid w:val="007C5BE7"/>
    <w:rsid w:val="007C6205"/>
    <w:rsid w:val="007C62F7"/>
    <w:rsid w:val="007C64F7"/>
    <w:rsid w:val="007C739E"/>
    <w:rsid w:val="007C7EBA"/>
    <w:rsid w:val="007D00E1"/>
    <w:rsid w:val="007D06CD"/>
    <w:rsid w:val="007D197A"/>
    <w:rsid w:val="007D1DDC"/>
    <w:rsid w:val="007D2673"/>
    <w:rsid w:val="007D28AB"/>
    <w:rsid w:val="007D3B0D"/>
    <w:rsid w:val="007D3BA6"/>
    <w:rsid w:val="007D4314"/>
    <w:rsid w:val="007D4390"/>
    <w:rsid w:val="007D53D8"/>
    <w:rsid w:val="007D570A"/>
    <w:rsid w:val="007D6CC4"/>
    <w:rsid w:val="007D71E9"/>
    <w:rsid w:val="007D7F79"/>
    <w:rsid w:val="007E0270"/>
    <w:rsid w:val="007E12B9"/>
    <w:rsid w:val="007E1CB0"/>
    <w:rsid w:val="007E2C16"/>
    <w:rsid w:val="007E321C"/>
    <w:rsid w:val="007E33A9"/>
    <w:rsid w:val="007E34B6"/>
    <w:rsid w:val="007E35A4"/>
    <w:rsid w:val="007E409B"/>
    <w:rsid w:val="007E63B2"/>
    <w:rsid w:val="007E660C"/>
    <w:rsid w:val="007E6918"/>
    <w:rsid w:val="007E6AE3"/>
    <w:rsid w:val="007E6B62"/>
    <w:rsid w:val="007EE1A2"/>
    <w:rsid w:val="007F018D"/>
    <w:rsid w:val="007F1863"/>
    <w:rsid w:val="007F1D84"/>
    <w:rsid w:val="007F1F5B"/>
    <w:rsid w:val="007F22CB"/>
    <w:rsid w:val="007F252E"/>
    <w:rsid w:val="007F34F8"/>
    <w:rsid w:val="007F3ED2"/>
    <w:rsid w:val="007F3ED3"/>
    <w:rsid w:val="007F44CF"/>
    <w:rsid w:val="007F478D"/>
    <w:rsid w:val="007F4C71"/>
    <w:rsid w:val="007F4E0B"/>
    <w:rsid w:val="007F5494"/>
    <w:rsid w:val="007F62BC"/>
    <w:rsid w:val="007F6808"/>
    <w:rsid w:val="007F7085"/>
    <w:rsid w:val="007F7301"/>
    <w:rsid w:val="007F7554"/>
    <w:rsid w:val="007F7AFC"/>
    <w:rsid w:val="008013D1"/>
    <w:rsid w:val="0080174A"/>
    <w:rsid w:val="00801780"/>
    <w:rsid w:val="00801900"/>
    <w:rsid w:val="008028B7"/>
    <w:rsid w:val="00802CE9"/>
    <w:rsid w:val="008037E3"/>
    <w:rsid w:val="0080519D"/>
    <w:rsid w:val="0080588A"/>
    <w:rsid w:val="00805DB1"/>
    <w:rsid w:val="00805F6F"/>
    <w:rsid w:val="00806473"/>
    <w:rsid w:val="008066B3"/>
    <w:rsid w:val="00806A9A"/>
    <w:rsid w:val="00807A15"/>
    <w:rsid w:val="0080A282"/>
    <w:rsid w:val="008100E0"/>
    <w:rsid w:val="0081056C"/>
    <w:rsid w:val="0081091E"/>
    <w:rsid w:val="00810976"/>
    <w:rsid w:val="00810BD2"/>
    <w:rsid w:val="00811090"/>
    <w:rsid w:val="008118AF"/>
    <w:rsid w:val="0081205D"/>
    <w:rsid w:val="008126F8"/>
    <w:rsid w:val="0081497E"/>
    <w:rsid w:val="00814A99"/>
    <w:rsid w:val="00815583"/>
    <w:rsid w:val="00816087"/>
    <w:rsid w:val="0081611F"/>
    <w:rsid w:val="00816A3F"/>
    <w:rsid w:val="00816B2A"/>
    <w:rsid w:val="00817B7F"/>
    <w:rsid w:val="00820352"/>
    <w:rsid w:val="008206D4"/>
    <w:rsid w:val="008208CA"/>
    <w:rsid w:val="00820CF1"/>
    <w:rsid w:val="0082156D"/>
    <w:rsid w:val="00821E23"/>
    <w:rsid w:val="00822742"/>
    <w:rsid w:val="008228BA"/>
    <w:rsid w:val="00822EDF"/>
    <w:rsid w:val="0082311C"/>
    <w:rsid w:val="0082358A"/>
    <w:rsid w:val="008238AD"/>
    <w:rsid w:val="0082397F"/>
    <w:rsid w:val="00823C70"/>
    <w:rsid w:val="00823D54"/>
    <w:rsid w:val="008242E0"/>
    <w:rsid w:val="00824BAF"/>
    <w:rsid w:val="008259D0"/>
    <w:rsid w:val="00825A47"/>
    <w:rsid w:val="008262E1"/>
    <w:rsid w:val="00826EAC"/>
    <w:rsid w:val="00827D35"/>
    <w:rsid w:val="00830C93"/>
    <w:rsid w:val="00831AB5"/>
    <w:rsid w:val="00831C53"/>
    <w:rsid w:val="00832B23"/>
    <w:rsid w:val="00832F13"/>
    <w:rsid w:val="00833522"/>
    <w:rsid w:val="008340A4"/>
    <w:rsid w:val="008349F4"/>
    <w:rsid w:val="00835E1F"/>
    <w:rsid w:val="00836875"/>
    <w:rsid w:val="00836908"/>
    <w:rsid w:val="0083721A"/>
    <w:rsid w:val="00837278"/>
    <w:rsid w:val="00837958"/>
    <w:rsid w:val="00837C21"/>
    <w:rsid w:val="00837F23"/>
    <w:rsid w:val="008387DF"/>
    <w:rsid w:val="0083A0FB"/>
    <w:rsid w:val="008405BB"/>
    <w:rsid w:val="00840E6A"/>
    <w:rsid w:val="00840F11"/>
    <w:rsid w:val="00842090"/>
    <w:rsid w:val="00842F92"/>
    <w:rsid w:val="00843958"/>
    <w:rsid w:val="00843C92"/>
    <w:rsid w:val="008449A6"/>
    <w:rsid w:val="00844E1F"/>
    <w:rsid w:val="00845E75"/>
    <w:rsid w:val="00845F4C"/>
    <w:rsid w:val="00846A35"/>
    <w:rsid w:val="00847470"/>
    <w:rsid w:val="00847CE1"/>
    <w:rsid w:val="008504D9"/>
    <w:rsid w:val="00850EA8"/>
    <w:rsid w:val="0085144B"/>
    <w:rsid w:val="00851E0B"/>
    <w:rsid w:val="0085216A"/>
    <w:rsid w:val="00852326"/>
    <w:rsid w:val="00852D37"/>
    <w:rsid w:val="00852DDB"/>
    <w:rsid w:val="00853331"/>
    <w:rsid w:val="00853A7A"/>
    <w:rsid w:val="0085427C"/>
    <w:rsid w:val="0085457A"/>
    <w:rsid w:val="0085484C"/>
    <w:rsid w:val="008548C6"/>
    <w:rsid w:val="00855867"/>
    <w:rsid w:val="008568DD"/>
    <w:rsid w:val="00856ED3"/>
    <w:rsid w:val="00857051"/>
    <w:rsid w:val="00857271"/>
    <w:rsid w:val="00857BAF"/>
    <w:rsid w:val="00857F35"/>
    <w:rsid w:val="00860D80"/>
    <w:rsid w:val="00860F27"/>
    <w:rsid w:val="00861044"/>
    <w:rsid w:val="008611E6"/>
    <w:rsid w:val="00861B04"/>
    <w:rsid w:val="00862034"/>
    <w:rsid w:val="0086224F"/>
    <w:rsid w:val="0086267C"/>
    <w:rsid w:val="008626B7"/>
    <w:rsid w:val="0086300D"/>
    <w:rsid w:val="00863699"/>
    <w:rsid w:val="00863BB5"/>
    <w:rsid w:val="00864198"/>
    <w:rsid w:val="0086420B"/>
    <w:rsid w:val="00864969"/>
    <w:rsid w:val="00864D45"/>
    <w:rsid w:val="0086541E"/>
    <w:rsid w:val="008654E4"/>
    <w:rsid w:val="00865977"/>
    <w:rsid w:val="0086707A"/>
    <w:rsid w:val="00867341"/>
    <w:rsid w:val="008673EF"/>
    <w:rsid w:val="00867D6F"/>
    <w:rsid w:val="0086A0FA"/>
    <w:rsid w:val="008714DC"/>
    <w:rsid w:val="00871989"/>
    <w:rsid w:val="00871CC3"/>
    <w:rsid w:val="0087288D"/>
    <w:rsid w:val="00873170"/>
    <w:rsid w:val="008731F6"/>
    <w:rsid w:val="00873235"/>
    <w:rsid w:val="00873750"/>
    <w:rsid w:val="00873A8F"/>
    <w:rsid w:val="00874C98"/>
    <w:rsid w:val="00874CE5"/>
    <w:rsid w:val="00875A1F"/>
    <w:rsid w:val="00875E31"/>
    <w:rsid w:val="0087603A"/>
    <w:rsid w:val="0087625A"/>
    <w:rsid w:val="00877415"/>
    <w:rsid w:val="0087B410"/>
    <w:rsid w:val="008809A1"/>
    <w:rsid w:val="008812D3"/>
    <w:rsid w:val="00881301"/>
    <w:rsid w:val="008825ED"/>
    <w:rsid w:val="008825FF"/>
    <w:rsid w:val="00882BD3"/>
    <w:rsid w:val="008839CA"/>
    <w:rsid w:val="00883EC0"/>
    <w:rsid w:val="00883FCB"/>
    <w:rsid w:val="0088416D"/>
    <w:rsid w:val="00884200"/>
    <w:rsid w:val="00884456"/>
    <w:rsid w:val="00884D11"/>
    <w:rsid w:val="008851B2"/>
    <w:rsid w:val="00886430"/>
    <w:rsid w:val="00887871"/>
    <w:rsid w:val="00887CFD"/>
    <w:rsid w:val="00891089"/>
    <w:rsid w:val="008919AD"/>
    <w:rsid w:val="00891D4D"/>
    <w:rsid w:val="008923B6"/>
    <w:rsid w:val="00892AB3"/>
    <w:rsid w:val="00892B6E"/>
    <w:rsid w:val="00893483"/>
    <w:rsid w:val="0089390E"/>
    <w:rsid w:val="00894B61"/>
    <w:rsid w:val="008956DA"/>
    <w:rsid w:val="00895B22"/>
    <w:rsid w:val="0089609F"/>
    <w:rsid w:val="008960E6"/>
    <w:rsid w:val="0089665D"/>
    <w:rsid w:val="00896920"/>
    <w:rsid w:val="00896B0C"/>
    <w:rsid w:val="0089720F"/>
    <w:rsid w:val="008976FC"/>
    <w:rsid w:val="00897AEA"/>
    <w:rsid w:val="008A01EA"/>
    <w:rsid w:val="008A13DD"/>
    <w:rsid w:val="008A1ED2"/>
    <w:rsid w:val="008A205B"/>
    <w:rsid w:val="008A2A30"/>
    <w:rsid w:val="008A328D"/>
    <w:rsid w:val="008A3D5D"/>
    <w:rsid w:val="008A3EF0"/>
    <w:rsid w:val="008A4155"/>
    <w:rsid w:val="008A4A92"/>
    <w:rsid w:val="008A4E06"/>
    <w:rsid w:val="008A6055"/>
    <w:rsid w:val="008A6081"/>
    <w:rsid w:val="008A6126"/>
    <w:rsid w:val="008A67E7"/>
    <w:rsid w:val="008A6BE9"/>
    <w:rsid w:val="008A7530"/>
    <w:rsid w:val="008A78D7"/>
    <w:rsid w:val="008A7CA7"/>
    <w:rsid w:val="008A7E7C"/>
    <w:rsid w:val="008AB717"/>
    <w:rsid w:val="008B04A3"/>
    <w:rsid w:val="008B26FA"/>
    <w:rsid w:val="008B28F8"/>
    <w:rsid w:val="008B31D7"/>
    <w:rsid w:val="008B3B75"/>
    <w:rsid w:val="008B4254"/>
    <w:rsid w:val="008B4737"/>
    <w:rsid w:val="008B484F"/>
    <w:rsid w:val="008B4F19"/>
    <w:rsid w:val="008B5330"/>
    <w:rsid w:val="008B60BF"/>
    <w:rsid w:val="008B6327"/>
    <w:rsid w:val="008B7533"/>
    <w:rsid w:val="008B7C40"/>
    <w:rsid w:val="008B7F41"/>
    <w:rsid w:val="008C0004"/>
    <w:rsid w:val="008C0320"/>
    <w:rsid w:val="008C0533"/>
    <w:rsid w:val="008C0EE6"/>
    <w:rsid w:val="008C10E5"/>
    <w:rsid w:val="008C18B3"/>
    <w:rsid w:val="008C1998"/>
    <w:rsid w:val="008C1A77"/>
    <w:rsid w:val="008C1C3C"/>
    <w:rsid w:val="008C219D"/>
    <w:rsid w:val="008C292E"/>
    <w:rsid w:val="008C2AA5"/>
    <w:rsid w:val="008C2ABD"/>
    <w:rsid w:val="008C2D07"/>
    <w:rsid w:val="008C3B21"/>
    <w:rsid w:val="008C3F6B"/>
    <w:rsid w:val="008C4C98"/>
    <w:rsid w:val="008C5022"/>
    <w:rsid w:val="008C54FD"/>
    <w:rsid w:val="008C56E5"/>
    <w:rsid w:val="008C5742"/>
    <w:rsid w:val="008C5E24"/>
    <w:rsid w:val="008C5F11"/>
    <w:rsid w:val="008C629D"/>
    <w:rsid w:val="008C64BB"/>
    <w:rsid w:val="008C6608"/>
    <w:rsid w:val="008C706F"/>
    <w:rsid w:val="008C72E3"/>
    <w:rsid w:val="008D0DEA"/>
    <w:rsid w:val="008D0E5E"/>
    <w:rsid w:val="008D0EBD"/>
    <w:rsid w:val="008D137E"/>
    <w:rsid w:val="008D1625"/>
    <w:rsid w:val="008D1D39"/>
    <w:rsid w:val="008D232D"/>
    <w:rsid w:val="008D2377"/>
    <w:rsid w:val="008D2566"/>
    <w:rsid w:val="008D2D8F"/>
    <w:rsid w:val="008D397B"/>
    <w:rsid w:val="008D3D45"/>
    <w:rsid w:val="008D43DB"/>
    <w:rsid w:val="008D4664"/>
    <w:rsid w:val="008D5647"/>
    <w:rsid w:val="008D5D4F"/>
    <w:rsid w:val="008D6A0F"/>
    <w:rsid w:val="008D6CEC"/>
    <w:rsid w:val="008D6F20"/>
    <w:rsid w:val="008D73C1"/>
    <w:rsid w:val="008D76A0"/>
    <w:rsid w:val="008D780F"/>
    <w:rsid w:val="008D7B28"/>
    <w:rsid w:val="008D7B59"/>
    <w:rsid w:val="008E0565"/>
    <w:rsid w:val="008E1481"/>
    <w:rsid w:val="008E1770"/>
    <w:rsid w:val="008E1C32"/>
    <w:rsid w:val="008E25E0"/>
    <w:rsid w:val="008E2878"/>
    <w:rsid w:val="008E3192"/>
    <w:rsid w:val="008E34D0"/>
    <w:rsid w:val="008E34D4"/>
    <w:rsid w:val="008E3694"/>
    <w:rsid w:val="008E40DE"/>
    <w:rsid w:val="008E47C9"/>
    <w:rsid w:val="008E49D0"/>
    <w:rsid w:val="008E4AF5"/>
    <w:rsid w:val="008E4DB5"/>
    <w:rsid w:val="008E4F3F"/>
    <w:rsid w:val="008E53F4"/>
    <w:rsid w:val="008E5665"/>
    <w:rsid w:val="008E5E4B"/>
    <w:rsid w:val="008E6733"/>
    <w:rsid w:val="008E7B47"/>
    <w:rsid w:val="008E7BA6"/>
    <w:rsid w:val="008E7D2D"/>
    <w:rsid w:val="008E7E59"/>
    <w:rsid w:val="008E7E5A"/>
    <w:rsid w:val="008F1BAD"/>
    <w:rsid w:val="008F284F"/>
    <w:rsid w:val="008F2F17"/>
    <w:rsid w:val="008F304F"/>
    <w:rsid w:val="008F3325"/>
    <w:rsid w:val="008F40DD"/>
    <w:rsid w:val="008F42A0"/>
    <w:rsid w:val="008F5570"/>
    <w:rsid w:val="008F5C65"/>
    <w:rsid w:val="008F5DDC"/>
    <w:rsid w:val="008F5E1B"/>
    <w:rsid w:val="008F64DF"/>
    <w:rsid w:val="008F65B9"/>
    <w:rsid w:val="008F6A3D"/>
    <w:rsid w:val="008F6E70"/>
    <w:rsid w:val="008F6F19"/>
    <w:rsid w:val="008F6F67"/>
    <w:rsid w:val="008F7CF4"/>
    <w:rsid w:val="00900B44"/>
    <w:rsid w:val="0090106B"/>
    <w:rsid w:val="0090161F"/>
    <w:rsid w:val="009018F4"/>
    <w:rsid w:val="00901E3D"/>
    <w:rsid w:val="009023B2"/>
    <w:rsid w:val="00903540"/>
    <w:rsid w:val="00903E65"/>
    <w:rsid w:val="00904064"/>
    <w:rsid w:val="00904776"/>
    <w:rsid w:val="00904ED4"/>
    <w:rsid w:val="00904F06"/>
    <w:rsid w:val="0090527D"/>
    <w:rsid w:val="00905612"/>
    <w:rsid w:val="00905A85"/>
    <w:rsid w:val="00905B81"/>
    <w:rsid w:val="00906D14"/>
    <w:rsid w:val="009070F9"/>
    <w:rsid w:val="0090748B"/>
    <w:rsid w:val="00907749"/>
    <w:rsid w:val="0090778B"/>
    <w:rsid w:val="009078F7"/>
    <w:rsid w:val="00910381"/>
    <w:rsid w:val="009121C1"/>
    <w:rsid w:val="0091226D"/>
    <w:rsid w:val="00913469"/>
    <w:rsid w:val="00913DB5"/>
    <w:rsid w:val="00914177"/>
    <w:rsid w:val="00914F34"/>
    <w:rsid w:val="00915723"/>
    <w:rsid w:val="00915E07"/>
    <w:rsid w:val="00915FD7"/>
    <w:rsid w:val="00916F9D"/>
    <w:rsid w:val="009171FD"/>
    <w:rsid w:val="00917804"/>
    <w:rsid w:val="0091784A"/>
    <w:rsid w:val="00917904"/>
    <w:rsid w:val="00917B40"/>
    <w:rsid w:val="00917BB8"/>
    <w:rsid w:val="00920553"/>
    <w:rsid w:val="00920A98"/>
    <w:rsid w:val="009215BF"/>
    <w:rsid w:val="00921AB6"/>
    <w:rsid w:val="00921F6C"/>
    <w:rsid w:val="009221AD"/>
    <w:rsid w:val="00922312"/>
    <w:rsid w:val="00922473"/>
    <w:rsid w:val="00922E5B"/>
    <w:rsid w:val="00923432"/>
    <w:rsid w:val="00923CD5"/>
    <w:rsid w:val="00924B8D"/>
    <w:rsid w:val="00926292"/>
    <w:rsid w:val="00927A33"/>
    <w:rsid w:val="00927E6B"/>
    <w:rsid w:val="00931101"/>
    <w:rsid w:val="00931537"/>
    <w:rsid w:val="00931A2B"/>
    <w:rsid w:val="00932098"/>
    <w:rsid w:val="00932325"/>
    <w:rsid w:val="00932364"/>
    <w:rsid w:val="00934560"/>
    <w:rsid w:val="00936030"/>
    <w:rsid w:val="009363BE"/>
    <w:rsid w:val="009363F4"/>
    <w:rsid w:val="00936763"/>
    <w:rsid w:val="009369D4"/>
    <w:rsid w:val="00937C54"/>
    <w:rsid w:val="00937FE9"/>
    <w:rsid w:val="0094053E"/>
    <w:rsid w:val="009406CD"/>
    <w:rsid w:val="009417F8"/>
    <w:rsid w:val="00941EBF"/>
    <w:rsid w:val="00942705"/>
    <w:rsid w:val="00943BD7"/>
    <w:rsid w:val="00943FB3"/>
    <w:rsid w:val="00944196"/>
    <w:rsid w:val="009442D4"/>
    <w:rsid w:val="0094459F"/>
    <w:rsid w:val="009454A8"/>
    <w:rsid w:val="0094594D"/>
    <w:rsid w:val="00945F13"/>
    <w:rsid w:val="00946397"/>
    <w:rsid w:val="009466A9"/>
    <w:rsid w:val="009466B6"/>
    <w:rsid w:val="009466FF"/>
    <w:rsid w:val="00946FB0"/>
    <w:rsid w:val="00947026"/>
    <w:rsid w:val="00947030"/>
    <w:rsid w:val="009472A6"/>
    <w:rsid w:val="00947318"/>
    <w:rsid w:val="009474BF"/>
    <w:rsid w:val="009476F1"/>
    <w:rsid w:val="00947961"/>
    <w:rsid w:val="0094796F"/>
    <w:rsid w:val="00947C17"/>
    <w:rsid w:val="009503D2"/>
    <w:rsid w:val="00950936"/>
    <w:rsid w:val="00950ECD"/>
    <w:rsid w:val="00951498"/>
    <w:rsid w:val="009518ED"/>
    <w:rsid w:val="00951955"/>
    <w:rsid w:val="00951EED"/>
    <w:rsid w:val="00951FA6"/>
    <w:rsid w:val="00953244"/>
    <w:rsid w:val="00953591"/>
    <w:rsid w:val="00953671"/>
    <w:rsid w:val="00954934"/>
    <w:rsid w:val="00955A97"/>
    <w:rsid w:val="00955C8D"/>
    <w:rsid w:val="00955D26"/>
    <w:rsid w:val="00955DA8"/>
    <w:rsid w:val="009561D8"/>
    <w:rsid w:val="0095738B"/>
    <w:rsid w:val="009576CA"/>
    <w:rsid w:val="009578BB"/>
    <w:rsid w:val="00957993"/>
    <w:rsid w:val="00957A4E"/>
    <w:rsid w:val="00960AC4"/>
    <w:rsid w:val="0096173B"/>
    <w:rsid w:val="00961A35"/>
    <w:rsid w:val="0096269A"/>
    <w:rsid w:val="00962A8F"/>
    <w:rsid w:val="009632C8"/>
    <w:rsid w:val="00963578"/>
    <w:rsid w:val="009638C3"/>
    <w:rsid w:val="00964453"/>
    <w:rsid w:val="00964C6C"/>
    <w:rsid w:val="00964E21"/>
    <w:rsid w:val="00964E3A"/>
    <w:rsid w:val="009653AD"/>
    <w:rsid w:val="009657C2"/>
    <w:rsid w:val="00965957"/>
    <w:rsid w:val="00966927"/>
    <w:rsid w:val="00966C35"/>
    <w:rsid w:val="00967005"/>
    <w:rsid w:val="00967455"/>
    <w:rsid w:val="00967B5A"/>
    <w:rsid w:val="009700E9"/>
    <w:rsid w:val="00970D11"/>
    <w:rsid w:val="00970F42"/>
    <w:rsid w:val="00971D85"/>
    <w:rsid w:val="00972560"/>
    <w:rsid w:val="00972AB4"/>
    <w:rsid w:val="0097323B"/>
    <w:rsid w:val="0097343E"/>
    <w:rsid w:val="009736C2"/>
    <w:rsid w:val="00973831"/>
    <w:rsid w:val="009740B6"/>
    <w:rsid w:val="00974DBB"/>
    <w:rsid w:val="0097565A"/>
    <w:rsid w:val="00975E5D"/>
    <w:rsid w:val="009765DC"/>
    <w:rsid w:val="00976A96"/>
    <w:rsid w:val="00976BE5"/>
    <w:rsid w:val="009771E8"/>
    <w:rsid w:val="00977C10"/>
    <w:rsid w:val="00977CFA"/>
    <w:rsid w:val="00980616"/>
    <w:rsid w:val="0098073C"/>
    <w:rsid w:val="00980E01"/>
    <w:rsid w:val="009814CB"/>
    <w:rsid w:val="00981A23"/>
    <w:rsid w:val="00981DBE"/>
    <w:rsid w:val="00982A2E"/>
    <w:rsid w:val="00982F2F"/>
    <w:rsid w:val="00983DED"/>
    <w:rsid w:val="0098498B"/>
    <w:rsid w:val="00984BD9"/>
    <w:rsid w:val="00984D45"/>
    <w:rsid w:val="00985271"/>
    <w:rsid w:val="0098554E"/>
    <w:rsid w:val="009859AC"/>
    <w:rsid w:val="00985CAC"/>
    <w:rsid w:val="00985E6A"/>
    <w:rsid w:val="009861DB"/>
    <w:rsid w:val="00986A53"/>
    <w:rsid w:val="00986AFF"/>
    <w:rsid w:val="00986C63"/>
    <w:rsid w:val="00986D4E"/>
    <w:rsid w:val="00986DCD"/>
    <w:rsid w:val="00986DE5"/>
    <w:rsid w:val="0099012F"/>
    <w:rsid w:val="009901FE"/>
    <w:rsid w:val="009905D6"/>
    <w:rsid w:val="009912D3"/>
    <w:rsid w:val="00991CD0"/>
    <w:rsid w:val="009921E5"/>
    <w:rsid w:val="009929AB"/>
    <w:rsid w:val="0099315D"/>
    <w:rsid w:val="009935D4"/>
    <w:rsid w:val="009936D4"/>
    <w:rsid w:val="0099374E"/>
    <w:rsid w:val="00993AB4"/>
    <w:rsid w:val="00994200"/>
    <w:rsid w:val="00994B26"/>
    <w:rsid w:val="00995669"/>
    <w:rsid w:val="00995D90"/>
    <w:rsid w:val="00997E89"/>
    <w:rsid w:val="009A084A"/>
    <w:rsid w:val="009A0861"/>
    <w:rsid w:val="009A29FF"/>
    <w:rsid w:val="009A39D3"/>
    <w:rsid w:val="009A3B5D"/>
    <w:rsid w:val="009A3F45"/>
    <w:rsid w:val="009A441D"/>
    <w:rsid w:val="009A4527"/>
    <w:rsid w:val="009A4AF9"/>
    <w:rsid w:val="009A4C85"/>
    <w:rsid w:val="009A51B6"/>
    <w:rsid w:val="009A549D"/>
    <w:rsid w:val="009A5C4E"/>
    <w:rsid w:val="009A6B27"/>
    <w:rsid w:val="009A7A31"/>
    <w:rsid w:val="009A7C7A"/>
    <w:rsid w:val="009A7D8A"/>
    <w:rsid w:val="009A7E57"/>
    <w:rsid w:val="009A7FE6"/>
    <w:rsid w:val="009B0A8F"/>
    <w:rsid w:val="009B0B0C"/>
    <w:rsid w:val="009B0D7F"/>
    <w:rsid w:val="009B0E3A"/>
    <w:rsid w:val="009B0F88"/>
    <w:rsid w:val="009B1331"/>
    <w:rsid w:val="009B1866"/>
    <w:rsid w:val="009B25A2"/>
    <w:rsid w:val="009B2A47"/>
    <w:rsid w:val="009B3E42"/>
    <w:rsid w:val="009B3F26"/>
    <w:rsid w:val="009B44A0"/>
    <w:rsid w:val="009B4EFB"/>
    <w:rsid w:val="009B51A8"/>
    <w:rsid w:val="009B5829"/>
    <w:rsid w:val="009B5A83"/>
    <w:rsid w:val="009B5AC6"/>
    <w:rsid w:val="009B5D72"/>
    <w:rsid w:val="009B5F94"/>
    <w:rsid w:val="009B5FDA"/>
    <w:rsid w:val="009B788A"/>
    <w:rsid w:val="009C02D5"/>
    <w:rsid w:val="009C03DF"/>
    <w:rsid w:val="009C0720"/>
    <w:rsid w:val="009C0CFF"/>
    <w:rsid w:val="009C10CF"/>
    <w:rsid w:val="009C18BA"/>
    <w:rsid w:val="009C1B18"/>
    <w:rsid w:val="009C1F85"/>
    <w:rsid w:val="009C2407"/>
    <w:rsid w:val="009C2682"/>
    <w:rsid w:val="009C2728"/>
    <w:rsid w:val="009C2735"/>
    <w:rsid w:val="009C2DC3"/>
    <w:rsid w:val="009C3750"/>
    <w:rsid w:val="009C464A"/>
    <w:rsid w:val="009D046B"/>
    <w:rsid w:val="009D089E"/>
    <w:rsid w:val="009D0917"/>
    <w:rsid w:val="009D0BA5"/>
    <w:rsid w:val="009D16E3"/>
    <w:rsid w:val="009D17A7"/>
    <w:rsid w:val="009D1932"/>
    <w:rsid w:val="009D3779"/>
    <w:rsid w:val="009D3D68"/>
    <w:rsid w:val="009D3F68"/>
    <w:rsid w:val="009D4A91"/>
    <w:rsid w:val="009D50F4"/>
    <w:rsid w:val="009D52D1"/>
    <w:rsid w:val="009D6AC2"/>
    <w:rsid w:val="009D6F9F"/>
    <w:rsid w:val="009D7158"/>
    <w:rsid w:val="009D748E"/>
    <w:rsid w:val="009E0202"/>
    <w:rsid w:val="009E0310"/>
    <w:rsid w:val="009E0704"/>
    <w:rsid w:val="009E1657"/>
    <w:rsid w:val="009E19EA"/>
    <w:rsid w:val="009E23A3"/>
    <w:rsid w:val="009E24F3"/>
    <w:rsid w:val="009E310C"/>
    <w:rsid w:val="009E3AB2"/>
    <w:rsid w:val="009E4572"/>
    <w:rsid w:val="009E4C80"/>
    <w:rsid w:val="009E4F94"/>
    <w:rsid w:val="009E50C9"/>
    <w:rsid w:val="009E65BD"/>
    <w:rsid w:val="009E6904"/>
    <w:rsid w:val="009E76D4"/>
    <w:rsid w:val="009E76F8"/>
    <w:rsid w:val="009F0EB1"/>
    <w:rsid w:val="009F1046"/>
    <w:rsid w:val="009F1CFF"/>
    <w:rsid w:val="009F2952"/>
    <w:rsid w:val="009F2A95"/>
    <w:rsid w:val="009F3551"/>
    <w:rsid w:val="009F3EFF"/>
    <w:rsid w:val="009F3F36"/>
    <w:rsid w:val="009F4059"/>
    <w:rsid w:val="009F438F"/>
    <w:rsid w:val="009F4811"/>
    <w:rsid w:val="009F4A14"/>
    <w:rsid w:val="009F4B7A"/>
    <w:rsid w:val="009F5B18"/>
    <w:rsid w:val="009F654A"/>
    <w:rsid w:val="00A00148"/>
    <w:rsid w:val="00A00FFB"/>
    <w:rsid w:val="00A01925"/>
    <w:rsid w:val="00A01D1A"/>
    <w:rsid w:val="00A0212B"/>
    <w:rsid w:val="00A028DF"/>
    <w:rsid w:val="00A039BA"/>
    <w:rsid w:val="00A03A50"/>
    <w:rsid w:val="00A03B97"/>
    <w:rsid w:val="00A0477C"/>
    <w:rsid w:val="00A047C2"/>
    <w:rsid w:val="00A05923"/>
    <w:rsid w:val="00A0614A"/>
    <w:rsid w:val="00A061AF"/>
    <w:rsid w:val="00A068DE"/>
    <w:rsid w:val="00A06D18"/>
    <w:rsid w:val="00A06F56"/>
    <w:rsid w:val="00A07080"/>
    <w:rsid w:val="00A0716F"/>
    <w:rsid w:val="00A07A48"/>
    <w:rsid w:val="00A07D79"/>
    <w:rsid w:val="00A10E47"/>
    <w:rsid w:val="00A10E58"/>
    <w:rsid w:val="00A11283"/>
    <w:rsid w:val="00A114E9"/>
    <w:rsid w:val="00A11CC1"/>
    <w:rsid w:val="00A12B17"/>
    <w:rsid w:val="00A132C9"/>
    <w:rsid w:val="00A13AB9"/>
    <w:rsid w:val="00A13DF2"/>
    <w:rsid w:val="00A14234"/>
    <w:rsid w:val="00A14D6B"/>
    <w:rsid w:val="00A15139"/>
    <w:rsid w:val="00A15DBC"/>
    <w:rsid w:val="00A15EA8"/>
    <w:rsid w:val="00A160A8"/>
    <w:rsid w:val="00A1718B"/>
    <w:rsid w:val="00A17835"/>
    <w:rsid w:val="00A17A69"/>
    <w:rsid w:val="00A17B01"/>
    <w:rsid w:val="00A17C29"/>
    <w:rsid w:val="00A2098B"/>
    <w:rsid w:val="00A209F0"/>
    <w:rsid w:val="00A214CC"/>
    <w:rsid w:val="00A217EB"/>
    <w:rsid w:val="00A21DD3"/>
    <w:rsid w:val="00A21E41"/>
    <w:rsid w:val="00A2252D"/>
    <w:rsid w:val="00A22812"/>
    <w:rsid w:val="00A22E36"/>
    <w:rsid w:val="00A24407"/>
    <w:rsid w:val="00A24454"/>
    <w:rsid w:val="00A24A1A"/>
    <w:rsid w:val="00A24CF7"/>
    <w:rsid w:val="00A24D4F"/>
    <w:rsid w:val="00A25606"/>
    <w:rsid w:val="00A25A03"/>
    <w:rsid w:val="00A2621B"/>
    <w:rsid w:val="00A263A4"/>
    <w:rsid w:val="00A2679A"/>
    <w:rsid w:val="00A26811"/>
    <w:rsid w:val="00A26E3B"/>
    <w:rsid w:val="00A271BC"/>
    <w:rsid w:val="00A279DF"/>
    <w:rsid w:val="00A31497"/>
    <w:rsid w:val="00A31601"/>
    <w:rsid w:val="00A3187D"/>
    <w:rsid w:val="00A32366"/>
    <w:rsid w:val="00A327A3"/>
    <w:rsid w:val="00A32A49"/>
    <w:rsid w:val="00A32CC5"/>
    <w:rsid w:val="00A32CDD"/>
    <w:rsid w:val="00A33198"/>
    <w:rsid w:val="00A33743"/>
    <w:rsid w:val="00A349C4"/>
    <w:rsid w:val="00A350B2"/>
    <w:rsid w:val="00A352BC"/>
    <w:rsid w:val="00A35EA7"/>
    <w:rsid w:val="00A35F2B"/>
    <w:rsid w:val="00A3602A"/>
    <w:rsid w:val="00A36281"/>
    <w:rsid w:val="00A362A8"/>
    <w:rsid w:val="00A3636E"/>
    <w:rsid w:val="00A36C67"/>
    <w:rsid w:val="00A36DFF"/>
    <w:rsid w:val="00A3729F"/>
    <w:rsid w:val="00A3764D"/>
    <w:rsid w:val="00A401AF"/>
    <w:rsid w:val="00A41030"/>
    <w:rsid w:val="00A41190"/>
    <w:rsid w:val="00A41324"/>
    <w:rsid w:val="00A4290B"/>
    <w:rsid w:val="00A43BD2"/>
    <w:rsid w:val="00A43FA7"/>
    <w:rsid w:val="00A44C0E"/>
    <w:rsid w:val="00A4530C"/>
    <w:rsid w:val="00A45E4A"/>
    <w:rsid w:val="00A469C5"/>
    <w:rsid w:val="00A46A79"/>
    <w:rsid w:val="00A47387"/>
    <w:rsid w:val="00A5035E"/>
    <w:rsid w:val="00A50560"/>
    <w:rsid w:val="00A512E5"/>
    <w:rsid w:val="00A51E9F"/>
    <w:rsid w:val="00A51F59"/>
    <w:rsid w:val="00A525A6"/>
    <w:rsid w:val="00A526A8"/>
    <w:rsid w:val="00A528B8"/>
    <w:rsid w:val="00A52BD2"/>
    <w:rsid w:val="00A52F3D"/>
    <w:rsid w:val="00A53438"/>
    <w:rsid w:val="00A53DD7"/>
    <w:rsid w:val="00A543B4"/>
    <w:rsid w:val="00A54485"/>
    <w:rsid w:val="00A54DC7"/>
    <w:rsid w:val="00A55B62"/>
    <w:rsid w:val="00A55C8A"/>
    <w:rsid w:val="00A5778F"/>
    <w:rsid w:val="00A57D04"/>
    <w:rsid w:val="00A6040B"/>
    <w:rsid w:val="00A6043F"/>
    <w:rsid w:val="00A607DE"/>
    <w:rsid w:val="00A61083"/>
    <w:rsid w:val="00A611E7"/>
    <w:rsid w:val="00A61613"/>
    <w:rsid w:val="00A61AD0"/>
    <w:rsid w:val="00A62D3C"/>
    <w:rsid w:val="00A62F78"/>
    <w:rsid w:val="00A63FC9"/>
    <w:rsid w:val="00A64FFF"/>
    <w:rsid w:val="00A6564B"/>
    <w:rsid w:val="00A6599E"/>
    <w:rsid w:val="00A65C3F"/>
    <w:rsid w:val="00A66273"/>
    <w:rsid w:val="00A66572"/>
    <w:rsid w:val="00A66ABE"/>
    <w:rsid w:val="00A671F8"/>
    <w:rsid w:val="00A67616"/>
    <w:rsid w:val="00A67DC4"/>
    <w:rsid w:val="00A703DA"/>
    <w:rsid w:val="00A70514"/>
    <w:rsid w:val="00A70C3A"/>
    <w:rsid w:val="00A7105B"/>
    <w:rsid w:val="00A71803"/>
    <w:rsid w:val="00A71D0B"/>
    <w:rsid w:val="00A723C7"/>
    <w:rsid w:val="00A72466"/>
    <w:rsid w:val="00A731BB"/>
    <w:rsid w:val="00A7337E"/>
    <w:rsid w:val="00A7394D"/>
    <w:rsid w:val="00A73C50"/>
    <w:rsid w:val="00A7404F"/>
    <w:rsid w:val="00A7436C"/>
    <w:rsid w:val="00A7466D"/>
    <w:rsid w:val="00A74C21"/>
    <w:rsid w:val="00A74D5B"/>
    <w:rsid w:val="00A75A90"/>
    <w:rsid w:val="00A75D93"/>
    <w:rsid w:val="00A75FD5"/>
    <w:rsid w:val="00A76C4B"/>
    <w:rsid w:val="00A76EF7"/>
    <w:rsid w:val="00A77309"/>
    <w:rsid w:val="00A77431"/>
    <w:rsid w:val="00A776C7"/>
    <w:rsid w:val="00A77799"/>
    <w:rsid w:val="00A77BA6"/>
    <w:rsid w:val="00A814EA"/>
    <w:rsid w:val="00A81CD4"/>
    <w:rsid w:val="00A834B0"/>
    <w:rsid w:val="00A85D65"/>
    <w:rsid w:val="00A864BE"/>
    <w:rsid w:val="00A86890"/>
    <w:rsid w:val="00A86C8F"/>
    <w:rsid w:val="00A872E5"/>
    <w:rsid w:val="00A87800"/>
    <w:rsid w:val="00A87F60"/>
    <w:rsid w:val="00A902E2"/>
    <w:rsid w:val="00A91000"/>
    <w:rsid w:val="00A9188C"/>
    <w:rsid w:val="00A91CAC"/>
    <w:rsid w:val="00A91ED8"/>
    <w:rsid w:val="00A91F9F"/>
    <w:rsid w:val="00A924B8"/>
    <w:rsid w:val="00A92F9F"/>
    <w:rsid w:val="00A93355"/>
    <w:rsid w:val="00A93753"/>
    <w:rsid w:val="00A93A96"/>
    <w:rsid w:val="00A93BB9"/>
    <w:rsid w:val="00A943D5"/>
    <w:rsid w:val="00A94F7B"/>
    <w:rsid w:val="00A954D9"/>
    <w:rsid w:val="00A95FA8"/>
    <w:rsid w:val="00A95FCF"/>
    <w:rsid w:val="00A96052"/>
    <w:rsid w:val="00A96763"/>
    <w:rsid w:val="00A96BB8"/>
    <w:rsid w:val="00A97EA8"/>
    <w:rsid w:val="00AA0B29"/>
    <w:rsid w:val="00AA100B"/>
    <w:rsid w:val="00AA1BBD"/>
    <w:rsid w:val="00AA2320"/>
    <w:rsid w:val="00AA26B0"/>
    <w:rsid w:val="00AA34DE"/>
    <w:rsid w:val="00AA380B"/>
    <w:rsid w:val="00AA3972"/>
    <w:rsid w:val="00AA44E4"/>
    <w:rsid w:val="00AA492B"/>
    <w:rsid w:val="00AA584A"/>
    <w:rsid w:val="00AA5DAE"/>
    <w:rsid w:val="00AA5F1B"/>
    <w:rsid w:val="00AA646D"/>
    <w:rsid w:val="00AA6D18"/>
    <w:rsid w:val="00AA6F9C"/>
    <w:rsid w:val="00AA740C"/>
    <w:rsid w:val="00AA784C"/>
    <w:rsid w:val="00AA7F5F"/>
    <w:rsid w:val="00AB0133"/>
    <w:rsid w:val="00AB0495"/>
    <w:rsid w:val="00AB0ECA"/>
    <w:rsid w:val="00AB1662"/>
    <w:rsid w:val="00AB1AE3"/>
    <w:rsid w:val="00AB26E9"/>
    <w:rsid w:val="00AB3170"/>
    <w:rsid w:val="00AB339F"/>
    <w:rsid w:val="00AB37F4"/>
    <w:rsid w:val="00AB4BB5"/>
    <w:rsid w:val="00AB5D61"/>
    <w:rsid w:val="00AB7A23"/>
    <w:rsid w:val="00AB7B48"/>
    <w:rsid w:val="00AB7DB8"/>
    <w:rsid w:val="00AC0415"/>
    <w:rsid w:val="00AC0D3B"/>
    <w:rsid w:val="00AC207D"/>
    <w:rsid w:val="00AC24A8"/>
    <w:rsid w:val="00AC355E"/>
    <w:rsid w:val="00AC5C84"/>
    <w:rsid w:val="00AC5E4D"/>
    <w:rsid w:val="00AC6519"/>
    <w:rsid w:val="00AC659D"/>
    <w:rsid w:val="00AC6E78"/>
    <w:rsid w:val="00AC70C8"/>
    <w:rsid w:val="00AC70FB"/>
    <w:rsid w:val="00AC7145"/>
    <w:rsid w:val="00AD098D"/>
    <w:rsid w:val="00AD157E"/>
    <w:rsid w:val="00AD1745"/>
    <w:rsid w:val="00AD2622"/>
    <w:rsid w:val="00AD262C"/>
    <w:rsid w:val="00AD2752"/>
    <w:rsid w:val="00AD29EC"/>
    <w:rsid w:val="00AD2B27"/>
    <w:rsid w:val="00AD2C68"/>
    <w:rsid w:val="00AD3398"/>
    <w:rsid w:val="00AD3668"/>
    <w:rsid w:val="00AD3834"/>
    <w:rsid w:val="00AD3DD7"/>
    <w:rsid w:val="00AD41E7"/>
    <w:rsid w:val="00AD698E"/>
    <w:rsid w:val="00AD732A"/>
    <w:rsid w:val="00AD7628"/>
    <w:rsid w:val="00AE04FF"/>
    <w:rsid w:val="00AE0DEE"/>
    <w:rsid w:val="00AE1481"/>
    <w:rsid w:val="00AE1B14"/>
    <w:rsid w:val="00AE1FA8"/>
    <w:rsid w:val="00AE23DF"/>
    <w:rsid w:val="00AE33E7"/>
    <w:rsid w:val="00AE3823"/>
    <w:rsid w:val="00AE389A"/>
    <w:rsid w:val="00AE50D3"/>
    <w:rsid w:val="00AE5856"/>
    <w:rsid w:val="00AE5AEE"/>
    <w:rsid w:val="00AE61EA"/>
    <w:rsid w:val="00AE6348"/>
    <w:rsid w:val="00AE69B9"/>
    <w:rsid w:val="00AE794C"/>
    <w:rsid w:val="00AE7B90"/>
    <w:rsid w:val="00AF03C8"/>
    <w:rsid w:val="00AF040E"/>
    <w:rsid w:val="00AF0764"/>
    <w:rsid w:val="00AF10D9"/>
    <w:rsid w:val="00AF11D8"/>
    <w:rsid w:val="00AF120F"/>
    <w:rsid w:val="00AF172F"/>
    <w:rsid w:val="00AF2292"/>
    <w:rsid w:val="00AF23E0"/>
    <w:rsid w:val="00AF2F31"/>
    <w:rsid w:val="00AF3246"/>
    <w:rsid w:val="00AF32E4"/>
    <w:rsid w:val="00AF35D3"/>
    <w:rsid w:val="00AF36A5"/>
    <w:rsid w:val="00AF3B82"/>
    <w:rsid w:val="00AF493B"/>
    <w:rsid w:val="00AF4D6C"/>
    <w:rsid w:val="00AF5DA0"/>
    <w:rsid w:val="00AF7092"/>
    <w:rsid w:val="00B002B7"/>
    <w:rsid w:val="00B003C4"/>
    <w:rsid w:val="00B02438"/>
    <w:rsid w:val="00B02748"/>
    <w:rsid w:val="00B02F2A"/>
    <w:rsid w:val="00B031E6"/>
    <w:rsid w:val="00B03489"/>
    <w:rsid w:val="00B0546D"/>
    <w:rsid w:val="00B0561E"/>
    <w:rsid w:val="00B06964"/>
    <w:rsid w:val="00B0704A"/>
    <w:rsid w:val="00B07470"/>
    <w:rsid w:val="00B07712"/>
    <w:rsid w:val="00B10097"/>
    <w:rsid w:val="00B103C5"/>
    <w:rsid w:val="00B10556"/>
    <w:rsid w:val="00B1097E"/>
    <w:rsid w:val="00B112C3"/>
    <w:rsid w:val="00B116F7"/>
    <w:rsid w:val="00B12B98"/>
    <w:rsid w:val="00B12D67"/>
    <w:rsid w:val="00B13559"/>
    <w:rsid w:val="00B14149"/>
    <w:rsid w:val="00B14247"/>
    <w:rsid w:val="00B15AA8"/>
    <w:rsid w:val="00B1647C"/>
    <w:rsid w:val="00B16816"/>
    <w:rsid w:val="00B172B2"/>
    <w:rsid w:val="00B17837"/>
    <w:rsid w:val="00B1792C"/>
    <w:rsid w:val="00B200AA"/>
    <w:rsid w:val="00B20308"/>
    <w:rsid w:val="00B20393"/>
    <w:rsid w:val="00B20902"/>
    <w:rsid w:val="00B212FE"/>
    <w:rsid w:val="00B21331"/>
    <w:rsid w:val="00B21E6F"/>
    <w:rsid w:val="00B2274F"/>
    <w:rsid w:val="00B2298C"/>
    <w:rsid w:val="00B24AF5"/>
    <w:rsid w:val="00B24B32"/>
    <w:rsid w:val="00B24B56"/>
    <w:rsid w:val="00B251DB"/>
    <w:rsid w:val="00B256BA"/>
    <w:rsid w:val="00B2582D"/>
    <w:rsid w:val="00B25C37"/>
    <w:rsid w:val="00B25C8B"/>
    <w:rsid w:val="00B26C25"/>
    <w:rsid w:val="00B26F37"/>
    <w:rsid w:val="00B30D11"/>
    <w:rsid w:val="00B319A6"/>
    <w:rsid w:val="00B31E9C"/>
    <w:rsid w:val="00B32370"/>
    <w:rsid w:val="00B32489"/>
    <w:rsid w:val="00B3365F"/>
    <w:rsid w:val="00B34727"/>
    <w:rsid w:val="00B34B46"/>
    <w:rsid w:val="00B35C0C"/>
    <w:rsid w:val="00B362E3"/>
    <w:rsid w:val="00B37044"/>
    <w:rsid w:val="00B375EA"/>
    <w:rsid w:val="00B37865"/>
    <w:rsid w:val="00B4003E"/>
    <w:rsid w:val="00B40430"/>
    <w:rsid w:val="00B4129E"/>
    <w:rsid w:val="00B4157F"/>
    <w:rsid w:val="00B41932"/>
    <w:rsid w:val="00B41E1B"/>
    <w:rsid w:val="00B42556"/>
    <w:rsid w:val="00B42A79"/>
    <w:rsid w:val="00B42DCE"/>
    <w:rsid w:val="00B43A82"/>
    <w:rsid w:val="00B43EB6"/>
    <w:rsid w:val="00B44976"/>
    <w:rsid w:val="00B44B84"/>
    <w:rsid w:val="00B45109"/>
    <w:rsid w:val="00B45553"/>
    <w:rsid w:val="00B4578A"/>
    <w:rsid w:val="00B457BF"/>
    <w:rsid w:val="00B458A5"/>
    <w:rsid w:val="00B45A33"/>
    <w:rsid w:val="00B45C6B"/>
    <w:rsid w:val="00B46326"/>
    <w:rsid w:val="00B464A5"/>
    <w:rsid w:val="00B469B4"/>
    <w:rsid w:val="00B47A39"/>
    <w:rsid w:val="00B47BBD"/>
    <w:rsid w:val="00B501E8"/>
    <w:rsid w:val="00B50E24"/>
    <w:rsid w:val="00B5136E"/>
    <w:rsid w:val="00B51462"/>
    <w:rsid w:val="00B52FC8"/>
    <w:rsid w:val="00B534CA"/>
    <w:rsid w:val="00B5393C"/>
    <w:rsid w:val="00B53DCA"/>
    <w:rsid w:val="00B549CE"/>
    <w:rsid w:val="00B549D8"/>
    <w:rsid w:val="00B54A50"/>
    <w:rsid w:val="00B55079"/>
    <w:rsid w:val="00B5550F"/>
    <w:rsid w:val="00B55C1C"/>
    <w:rsid w:val="00B56158"/>
    <w:rsid w:val="00B5659A"/>
    <w:rsid w:val="00B567B8"/>
    <w:rsid w:val="00B56A6A"/>
    <w:rsid w:val="00B56C69"/>
    <w:rsid w:val="00B57484"/>
    <w:rsid w:val="00B57936"/>
    <w:rsid w:val="00B579E7"/>
    <w:rsid w:val="00B60E17"/>
    <w:rsid w:val="00B61713"/>
    <w:rsid w:val="00B62A78"/>
    <w:rsid w:val="00B62DCC"/>
    <w:rsid w:val="00B631F7"/>
    <w:rsid w:val="00B63895"/>
    <w:rsid w:val="00B63EE0"/>
    <w:rsid w:val="00B64142"/>
    <w:rsid w:val="00B649D7"/>
    <w:rsid w:val="00B64B0E"/>
    <w:rsid w:val="00B6637A"/>
    <w:rsid w:val="00B66578"/>
    <w:rsid w:val="00B669A1"/>
    <w:rsid w:val="00B6773E"/>
    <w:rsid w:val="00B67AA0"/>
    <w:rsid w:val="00B70DF4"/>
    <w:rsid w:val="00B7156A"/>
    <w:rsid w:val="00B71C2C"/>
    <w:rsid w:val="00B72621"/>
    <w:rsid w:val="00B74178"/>
    <w:rsid w:val="00B74315"/>
    <w:rsid w:val="00B74395"/>
    <w:rsid w:val="00B74E10"/>
    <w:rsid w:val="00B758D5"/>
    <w:rsid w:val="00B76231"/>
    <w:rsid w:val="00B762F3"/>
    <w:rsid w:val="00B76BD2"/>
    <w:rsid w:val="00B773E9"/>
    <w:rsid w:val="00B7779F"/>
    <w:rsid w:val="00B77C40"/>
    <w:rsid w:val="00B77F5F"/>
    <w:rsid w:val="00B80189"/>
    <w:rsid w:val="00B8095B"/>
    <w:rsid w:val="00B80C92"/>
    <w:rsid w:val="00B8155F"/>
    <w:rsid w:val="00B81AD5"/>
    <w:rsid w:val="00B81FAE"/>
    <w:rsid w:val="00B82A77"/>
    <w:rsid w:val="00B82BFE"/>
    <w:rsid w:val="00B83739"/>
    <w:rsid w:val="00B83F32"/>
    <w:rsid w:val="00B843FD"/>
    <w:rsid w:val="00B847B3"/>
    <w:rsid w:val="00B849E7"/>
    <w:rsid w:val="00B84AA5"/>
    <w:rsid w:val="00B84EA6"/>
    <w:rsid w:val="00B84FB2"/>
    <w:rsid w:val="00B854EB"/>
    <w:rsid w:val="00B869B5"/>
    <w:rsid w:val="00B871AA"/>
    <w:rsid w:val="00B87E50"/>
    <w:rsid w:val="00B90069"/>
    <w:rsid w:val="00B9062D"/>
    <w:rsid w:val="00B91406"/>
    <w:rsid w:val="00B9159B"/>
    <w:rsid w:val="00B918C2"/>
    <w:rsid w:val="00B92B5D"/>
    <w:rsid w:val="00B932A8"/>
    <w:rsid w:val="00B93502"/>
    <w:rsid w:val="00B938F1"/>
    <w:rsid w:val="00B93B13"/>
    <w:rsid w:val="00B9539A"/>
    <w:rsid w:val="00B954A9"/>
    <w:rsid w:val="00B9562C"/>
    <w:rsid w:val="00B95A4C"/>
    <w:rsid w:val="00B95D17"/>
    <w:rsid w:val="00B96058"/>
    <w:rsid w:val="00B96070"/>
    <w:rsid w:val="00B969F2"/>
    <w:rsid w:val="00B9731A"/>
    <w:rsid w:val="00B979C6"/>
    <w:rsid w:val="00B97FBC"/>
    <w:rsid w:val="00BA007A"/>
    <w:rsid w:val="00BA1304"/>
    <w:rsid w:val="00BA13BA"/>
    <w:rsid w:val="00BA22AC"/>
    <w:rsid w:val="00BA230A"/>
    <w:rsid w:val="00BA36B5"/>
    <w:rsid w:val="00BA36E7"/>
    <w:rsid w:val="00BA4DF4"/>
    <w:rsid w:val="00BA52C1"/>
    <w:rsid w:val="00BA5B48"/>
    <w:rsid w:val="00BA5C31"/>
    <w:rsid w:val="00BA5E6D"/>
    <w:rsid w:val="00BA609C"/>
    <w:rsid w:val="00BA6AF6"/>
    <w:rsid w:val="00BA6B5B"/>
    <w:rsid w:val="00BA78C4"/>
    <w:rsid w:val="00BA7925"/>
    <w:rsid w:val="00BB00B7"/>
    <w:rsid w:val="00BB04A6"/>
    <w:rsid w:val="00BB1360"/>
    <w:rsid w:val="00BB14B1"/>
    <w:rsid w:val="00BB160D"/>
    <w:rsid w:val="00BB4736"/>
    <w:rsid w:val="00BB5128"/>
    <w:rsid w:val="00BB6D05"/>
    <w:rsid w:val="00BB6DFF"/>
    <w:rsid w:val="00BB6F9E"/>
    <w:rsid w:val="00BC045C"/>
    <w:rsid w:val="00BC0B04"/>
    <w:rsid w:val="00BC0BCC"/>
    <w:rsid w:val="00BC179D"/>
    <w:rsid w:val="00BC1E0C"/>
    <w:rsid w:val="00BC2926"/>
    <w:rsid w:val="00BC3A4A"/>
    <w:rsid w:val="00BC3F9C"/>
    <w:rsid w:val="00BC4A06"/>
    <w:rsid w:val="00BC5344"/>
    <w:rsid w:val="00BC5809"/>
    <w:rsid w:val="00BC5D70"/>
    <w:rsid w:val="00BC622A"/>
    <w:rsid w:val="00BC632B"/>
    <w:rsid w:val="00BC7590"/>
    <w:rsid w:val="00BD0F8A"/>
    <w:rsid w:val="00BD1796"/>
    <w:rsid w:val="00BD1D78"/>
    <w:rsid w:val="00BD1F74"/>
    <w:rsid w:val="00BD242B"/>
    <w:rsid w:val="00BD2CB4"/>
    <w:rsid w:val="00BD30B1"/>
    <w:rsid w:val="00BD32E5"/>
    <w:rsid w:val="00BD3393"/>
    <w:rsid w:val="00BD36AE"/>
    <w:rsid w:val="00BD425F"/>
    <w:rsid w:val="00BD4FCF"/>
    <w:rsid w:val="00BD5257"/>
    <w:rsid w:val="00BD59F7"/>
    <w:rsid w:val="00BD5E5A"/>
    <w:rsid w:val="00BD657C"/>
    <w:rsid w:val="00BD6B25"/>
    <w:rsid w:val="00BD6DF4"/>
    <w:rsid w:val="00BD760C"/>
    <w:rsid w:val="00BD7AB0"/>
    <w:rsid w:val="00BD7ECE"/>
    <w:rsid w:val="00BE02A6"/>
    <w:rsid w:val="00BE1413"/>
    <w:rsid w:val="00BE1414"/>
    <w:rsid w:val="00BE252C"/>
    <w:rsid w:val="00BE2809"/>
    <w:rsid w:val="00BE3A5B"/>
    <w:rsid w:val="00BE3EB9"/>
    <w:rsid w:val="00BE40DB"/>
    <w:rsid w:val="00BE44CE"/>
    <w:rsid w:val="00BE4A0B"/>
    <w:rsid w:val="00BE4BE5"/>
    <w:rsid w:val="00BE56D8"/>
    <w:rsid w:val="00BE6EEA"/>
    <w:rsid w:val="00BE745B"/>
    <w:rsid w:val="00BE7DBD"/>
    <w:rsid w:val="00BF0177"/>
    <w:rsid w:val="00BF0824"/>
    <w:rsid w:val="00BF098D"/>
    <w:rsid w:val="00BF0B4E"/>
    <w:rsid w:val="00BF0CEA"/>
    <w:rsid w:val="00BF1496"/>
    <w:rsid w:val="00BF19DA"/>
    <w:rsid w:val="00BF1EAA"/>
    <w:rsid w:val="00BF233E"/>
    <w:rsid w:val="00BF29EB"/>
    <w:rsid w:val="00BF2FB4"/>
    <w:rsid w:val="00BF3CA6"/>
    <w:rsid w:val="00BF4153"/>
    <w:rsid w:val="00BF4290"/>
    <w:rsid w:val="00BF4407"/>
    <w:rsid w:val="00BF45BD"/>
    <w:rsid w:val="00BF46CF"/>
    <w:rsid w:val="00BF4C79"/>
    <w:rsid w:val="00BF4F56"/>
    <w:rsid w:val="00BF6083"/>
    <w:rsid w:val="00BF60E6"/>
    <w:rsid w:val="00BF6438"/>
    <w:rsid w:val="00BF660E"/>
    <w:rsid w:val="00BF68A1"/>
    <w:rsid w:val="00BF738D"/>
    <w:rsid w:val="00BF74B3"/>
    <w:rsid w:val="00BF7A16"/>
    <w:rsid w:val="00BF7ED5"/>
    <w:rsid w:val="00C000A0"/>
    <w:rsid w:val="00C0084A"/>
    <w:rsid w:val="00C01611"/>
    <w:rsid w:val="00C021D7"/>
    <w:rsid w:val="00C024BF"/>
    <w:rsid w:val="00C02591"/>
    <w:rsid w:val="00C0272D"/>
    <w:rsid w:val="00C028EA"/>
    <w:rsid w:val="00C029AF"/>
    <w:rsid w:val="00C02ABB"/>
    <w:rsid w:val="00C02DA5"/>
    <w:rsid w:val="00C032D2"/>
    <w:rsid w:val="00C04517"/>
    <w:rsid w:val="00C046A2"/>
    <w:rsid w:val="00C05791"/>
    <w:rsid w:val="00C0698C"/>
    <w:rsid w:val="00C069DC"/>
    <w:rsid w:val="00C070E6"/>
    <w:rsid w:val="00C07390"/>
    <w:rsid w:val="00C0747F"/>
    <w:rsid w:val="00C074D0"/>
    <w:rsid w:val="00C074FB"/>
    <w:rsid w:val="00C107B1"/>
    <w:rsid w:val="00C10A7B"/>
    <w:rsid w:val="00C10DA8"/>
    <w:rsid w:val="00C114ED"/>
    <w:rsid w:val="00C11A13"/>
    <w:rsid w:val="00C12330"/>
    <w:rsid w:val="00C1238C"/>
    <w:rsid w:val="00C12E7F"/>
    <w:rsid w:val="00C131CD"/>
    <w:rsid w:val="00C133A4"/>
    <w:rsid w:val="00C13620"/>
    <w:rsid w:val="00C15C77"/>
    <w:rsid w:val="00C15E34"/>
    <w:rsid w:val="00C16092"/>
    <w:rsid w:val="00C166A4"/>
    <w:rsid w:val="00C16E39"/>
    <w:rsid w:val="00C17510"/>
    <w:rsid w:val="00C2060D"/>
    <w:rsid w:val="00C20F32"/>
    <w:rsid w:val="00C212C4"/>
    <w:rsid w:val="00C21CBD"/>
    <w:rsid w:val="00C21E94"/>
    <w:rsid w:val="00C2256F"/>
    <w:rsid w:val="00C225B7"/>
    <w:rsid w:val="00C22DAF"/>
    <w:rsid w:val="00C24B1C"/>
    <w:rsid w:val="00C2528D"/>
    <w:rsid w:val="00C25BF7"/>
    <w:rsid w:val="00C25C89"/>
    <w:rsid w:val="00C25FD6"/>
    <w:rsid w:val="00C26057"/>
    <w:rsid w:val="00C263AB"/>
    <w:rsid w:val="00C26E30"/>
    <w:rsid w:val="00C27A6C"/>
    <w:rsid w:val="00C300E7"/>
    <w:rsid w:val="00C3094F"/>
    <w:rsid w:val="00C30E37"/>
    <w:rsid w:val="00C310E1"/>
    <w:rsid w:val="00C3154F"/>
    <w:rsid w:val="00C31C63"/>
    <w:rsid w:val="00C321F0"/>
    <w:rsid w:val="00C327A2"/>
    <w:rsid w:val="00C33572"/>
    <w:rsid w:val="00C33BC5"/>
    <w:rsid w:val="00C33C65"/>
    <w:rsid w:val="00C346BB"/>
    <w:rsid w:val="00C34F94"/>
    <w:rsid w:val="00C36194"/>
    <w:rsid w:val="00C3691B"/>
    <w:rsid w:val="00C3717D"/>
    <w:rsid w:val="00C378CB"/>
    <w:rsid w:val="00C37B8C"/>
    <w:rsid w:val="00C37CFA"/>
    <w:rsid w:val="00C403B2"/>
    <w:rsid w:val="00C406BE"/>
    <w:rsid w:val="00C40729"/>
    <w:rsid w:val="00C40CDD"/>
    <w:rsid w:val="00C40D5F"/>
    <w:rsid w:val="00C40D8C"/>
    <w:rsid w:val="00C41277"/>
    <w:rsid w:val="00C43138"/>
    <w:rsid w:val="00C436E7"/>
    <w:rsid w:val="00C43D52"/>
    <w:rsid w:val="00C4401A"/>
    <w:rsid w:val="00C44DFA"/>
    <w:rsid w:val="00C451A3"/>
    <w:rsid w:val="00C454B8"/>
    <w:rsid w:val="00C4681B"/>
    <w:rsid w:val="00C46DF4"/>
    <w:rsid w:val="00C46EB6"/>
    <w:rsid w:val="00C47B51"/>
    <w:rsid w:val="00C505A0"/>
    <w:rsid w:val="00C510C6"/>
    <w:rsid w:val="00C51339"/>
    <w:rsid w:val="00C51CA3"/>
    <w:rsid w:val="00C51D50"/>
    <w:rsid w:val="00C52641"/>
    <w:rsid w:val="00C530DE"/>
    <w:rsid w:val="00C536C5"/>
    <w:rsid w:val="00C537A3"/>
    <w:rsid w:val="00C53806"/>
    <w:rsid w:val="00C539D0"/>
    <w:rsid w:val="00C55C8F"/>
    <w:rsid w:val="00C56731"/>
    <w:rsid w:val="00C569ED"/>
    <w:rsid w:val="00C56EC6"/>
    <w:rsid w:val="00C574DD"/>
    <w:rsid w:val="00C60FB5"/>
    <w:rsid w:val="00C61105"/>
    <w:rsid w:val="00C619FC"/>
    <w:rsid w:val="00C62466"/>
    <w:rsid w:val="00C6282C"/>
    <w:rsid w:val="00C63103"/>
    <w:rsid w:val="00C63F3F"/>
    <w:rsid w:val="00C6451D"/>
    <w:rsid w:val="00C64F45"/>
    <w:rsid w:val="00C6582C"/>
    <w:rsid w:val="00C65B72"/>
    <w:rsid w:val="00C6628D"/>
    <w:rsid w:val="00C663C7"/>
    <w:rsid w:val="00C6661A"/>
    <w:rsid w:val="00C66646"/>
    <w:rsid w:val="00C66772"/>
    <w:rsid w:val="00C6725D"/>
    <w:rsid w:val="00C6728A"/>
    <w:rsid w:val="00C6781E"/>
    <w:rsid w:val="00C70000"/>
    <w:rsid w:val="00C72116"/>
    <w:rsid w:val="00C721F4"/>
    <w:rsid w:val="00C72512"/>
    <w:rsid w:val="00C72E22"/>
    <w:rsid w:val="00C72FB9"/>
    <w:rsid w:val="00C73059"/>
    <w:rsid w:val="00C7307D"/>
    <w:rsid w:val="00C74877"/>
    <w:rsid w:val="00C74CFB"/>
    <w:rsid w:val="00C754C3"/>
    <w:rsid w:val="00C75AB1"/>
    <w:rsid w:val="00C75C2E"/>
    <w:rsid w:val="00C75E16"/>
    <w:rsid w:val="00C765A0"/>
    <w:rsid w:val="00C76778"/>
    <w:rsid w:val="00C7697C"/>
    <w:rsid w:val="00C77D28"/>
    <w:rsid w:val="00C803AB"/>
    <w:rsid w:val="00C80E7B"/>
    <w:rsid w:val="00C82118"/>
    <w:rsid w:val="00C823C9"/>
    <w:rsid w:val="00C82968"/>
    <w:rsid w:val="00C82E7C"/>
    <w:rsid w:val="00C82F4F"/>
    <w:rsid w:val="00C82FC3"/>
    <w:rsid w:val="00C8399F"/>
    <w:rsid w:val="00C84C15"/>
    <w:rsid w:val="00C84E24"/>
    <w:rsid w:val="00C8528E"/>
    <w:rsid w:val="00C858F6"/>
    <w:rsid w:val="00C8672E"/>
    <w:rsid w:val="00C86A9A"/>
    <w:rsid w:val="00C87B29"/>
    <w:rsid w:val="00C87C64"/>
    <w:rsid w:val="00C90BFC"/>
    <w:rsid w:val="00C90CCC"/>
    <w:rsid w:val="00C90F1F"/>
    <w:rsid w:val="00C92990"/>
    <w:rsid w:val="00C92F51"/>
    <w:rsid w:val="00C93168"/>
    <w:rsid w:val="00C9377A"/>
    <w:rsid w:val="00C93BB1"/>
    <w:rsid w:val="00C93C31"/>
    <w:rsid w:val="00C946E0"/>
    <w:rsid w:val="00C956D9"/>
    <w:rsid w:val="00C963C4"/>
    <w:rsid w:val="00C968CE"/>
    <w:rsid w:val="00C974CA"/>
    <w:rsid w:val="00C974FB"/>
    <w:rsid w:val="00C97B90"/>
    <w:rsid w:val="00C97C9C"/>
    <w:rsid w:val="00C97CB3"/>
    <w:rsid w:val="00CA00CB"/>
    <w:rsid w:val="00CA065D"/>
    <w:rsid w:val="00CA0EAE"/>
    <w:rsid w:val="00CA10D0"/>
    <w:rsid w:val="00CA117C"/>
    <w:rsid w:val="00CA11EA"/>
    <w:rsid w:val="00CA11F0"/>
    <w:rsid w:val="00CA271E"/>
    <w:rsid w:val="00CA2AC5"/>
    <w:rsid w:val="00CA3F4F"/>
    <w:rsid w:val="00CA4339"/>
    <w:rsid w:val="00CA487E"/>
    <w:rsid w:val="00CA5091"/>
    <w:rsid w:val="00CA50BE"/>
    <w:rsid w:val="00CA51F5"/>
    <w:rsid w:val="00CA6064"/>
    <w:rsid w:val="00CA6377"/>
    <w:rsid w:val="00CA68C7"/>
    <w:rsid w:val="00CA6C26"/>
    <w:rsid w:val="00CA7540"/>
    <w:rsid w:val="00CB0837"/>
    <w:rsid w:val="00CB1021"/>
    <w:rsid w:val="00CB181E"/>
    <w:rsid w:val="00CB1827"/>
    <w:rsid w:val="00CB2364"/>
    <w:rsid w:val="00CB24B1"/>
    <w:rsid w:val="00CB24CE"/>
    <w:rsid w:val="00CB2694"/>
    <w:rsid w:val="00CB2760"/>
    <w:rsid w:val="00CB2DDC"/>
    <w:rsid w:val="00CB32DC"/>
    <w:rsid w:val="00CB3318"/>
    <w:rsid w:val="00CB333E"/>
    <w:rsid w:val="00CB3756"/>
    <w:rsid w:val="00CB45BE"/>
    <w:rsid w:val="00CB4FC7"/>
    <w:rsid w:val="00CB68E7"/>
    <w:rsid w:val="00CB6926"/>
    <w:rsid w:val="00CB738D"/>
    <w:rsid w:val="00CB73A2"/>
    <w:rsid w:val="00CB7499"/>
    <w:rsid w:val="00CC0325"/>
    <w:rsid w:val="00CC0B6F"/>
    <w:rsid w:val="00CC0F16"/>
    <w:rsid w:val="00CC2146"/>
    <w:rsid w:val="00CC231B"/>
    <w:rsid w:val="00CC2A6C"/>
    <w:rsid w:val="00CC30B2"/>
    <w:rsid w:val="00CC50F6"/>
    <w:rsid w:val="00CC5720"/>
    <w:rsid w:val="00CC5C6B"/>
    <w:rsid w:val="00CC5F88"/>
    <w:rsid w:val="00CC68F1"/>
    <w:rsid w:val="00CC6FB1"/>
    <w:rsid w:val="00CC7A7B"/>
    <w:rsid w:val="00CC7F25"/>
    <w:rsid w:val="00CCE444"/>
    <w:rsid w:val="00CD04B7"/>
    <w:rsid w:val="00CD109C"/>
    <w:rsid w:val="00CD14EE"/>
    <w:rsid w:val="00CD162C"/>
    <w:rsid w:val="00CD1E6C"/>
    <w:rsid w:val="00CD1F7A"/>
    <w:rsid w:val="00CD27D5"/>
    <w:rsid w:val="00CD3103"/>
    <w:rsid w:val="00CD369E"/>
    <w:rsid w:val="00CD4088"/>
    <w:rsid w:val="00CD4301"/>
    <w:rsid w:val="00CD43CE"/>
    <w:rsid w:val="00CD44F0"/>
    <w:rsid w:val="00CD477B"/>
    <w:rsid w:val="00CD48B2"/>
    <w:rsid w:val="00CD4905"/>
    <w:rsid w:val="00CD622B"/>
    <w:rsid w:val="00CD6406"/>
    <w:rsid w:val="00CD70CE"/>
    <w:rsid w:val="00CD7AF9"/>
    <w:rsid w:val="00CD7CE2"/>
    <w:rsid w:val="00CE0107"/>
    <w:rsid w:val="00CE078C"/>
    <w:rsid w:val="00CE0AA7"/>
    <w:rsid w:val="00CE116D"/>
    <w:rsid w:val="00CE130A"/>
    <w:rsid w:val="00CE1907"/>
    <w:rsid w:val="00CE2E4A"/>
    <w:rsid w:val="00CE3191"/>
    <w:rsid w:val="00CE3433"/>
    <w:rsid w:val="00CE3821"/>
    <w:rsid w:val="00CE3BCD"/>
    <w:rsid w:val="00CE3C89"/>
    <w:rsid w:val="00CE41AE"/>
    <w:rsid w:val="00CE4C05"/>
    <w:rsid w:val="00CE4C52"/>
    <w:rsid w:val="00CE55C9"/>
    <w:rsid w:val="00CE5AF6"/>
    <w:rsid w:val="00CE6B34"/>
    <w:rsid w:val="00CE6E8F"/>
    <w:rsid w:val="00CE6F83"/>
    <w:rsid w:val="00CE76D6"/>
    <w:rsid w:val="00CE77D0"/>
    <w:rsid w:val="00CE77F2"/>
    <w:rsid w:val="00CE78D9"/>
    <w:rsid w:val="00CF079A"/>
    <w:rsid w:val="00CF15A5"/>
    <w:rsid w:val="00CF16DF"/>
    <w:rsid w:val="00CF1712"/>
    <w:rsid w:val="00CF18AC"/>
    <w:rsid w:val="00CF3D76"/>
    <w:rsid w:val="00CF3E9D"/>
    <w:rsid w:val="00CF5DBF"/>
    <w:rsid w:val="00CF6018"/>
    <w:rsid w:val="00CF74A1"/>
    <w:rsid w:val="00D007C2"/>
    <w:rsid w:val="00D01028"/>
    <w:rsid w:val="00D02086"/>
    <w:rsid w:val="00D022F5"/>
    <w:rsid w:val="00D0230A"/>
    <w:rsid w:val="00D02368"/>
    <w:rsid w:val="00D0279D"/>
    <w:rsid w:val="00D02D17"/>
    <w:rsid w:val="00D02F45"/>
    <w:rsid w:val="00D03164"/>
    <w:rsid w:val="00D034AF"/>
    <w:rsid w:val="00D036D4"/>
    <w:rsid w:val="00D03A2A"/>
    <w:rsid w:val="00D0412D"/>
    <w:rsid w:val="00D0496F"/>
    <w:rsid w:val="00D04E27"/>
    <w:rsid w:val="00D05119"/>
    <w:rsid w:val="00D05192"/>
    <w:rsid w:val="00D0532D"/>
    <w:rsid w:val="00D059F7"/>
    <w:rsid w:val="00D06465"/>
    <w:rsid w:val="00D078B8"/>
    <w:rsid w:val="00D07BC6"/>
    <w:rsid w:val="00D07DBA"/>
    <w:rsid w:val="00D1015D"/>
    <w:rsid w:val="00D1029D"/>
    <w:rsid w:val="00D108EE"/>
    <w:rsid w:val="00D10970"/>
    <w:rsid w:val="00D1122C"/>
    <w:rsid w:val="00D11A55"/>
    <w:rsid w:val="00D11DBA"/>
    <w:rsid w:val="00D11DDF"/>
    <w:rsid w:val="00D12437"/>
    <w:rsid w:val="00D12B25"/>
    <w:rsid w:val="00D12E1A"/>
    <w:rsid w:val="00D13DE8"/>
    <w:rsid w:val="00D140CB"/>
    <w:rsid w:val="00D146B2"/>
    <w:rsid w:val="00D14DF3"/>
    <w:rsid w:val="00D155AF"/>
    <w:rsid w:val="00D1564A"/>
    <w:rsid w:val="00D15912"/>
    <w:rsid w:val="00D162CD"/>
    <w:rsid w:val="00D17C3B"/>
    <w:rsid w:val="00D2007D"/>
    <w:rsid w:val="00D20918"/>
    <w:rsid w:val="00D21754"/>
    <w:rsid w:val="00D21DFE"/>
    <w:rsid w:val="00D220CF"/>
    <w:rsid w:val="00D22169"/>
    <w:rsid w:val="00D22353"/>
    <w:rsid w:val="00D225F4"/>
    <w:rsid w:val="00D233DC"/>
    <w:rsid w:val="00D23455"/>
    <w:rsid w:val="00D238D3"/>
    <w:rsid w:val="00D23D0E"/>
    <w:rsid w:val="00D245BB"/>
    <w:rsid w:val="00D24667"/>
    <w:rsid w:val="00D249FD"/>
    <w:rsid w:val="00D251F0"/>
    <w:rsid w:val="00D25E91"/>
    <w:rsid w:val="00D264CE"/>
    <w:rsid w:val="00D307D8"/>
    <w:rsid w:val="00D30D09"/>
    <w:rsid w:val="00D30DD9"/>
    <w:rsid w:val="00D318D6"/>
    <w:rsid w:val="00D32510"/>
    <w:rsid w:val="00D32C61"/>
    <w:rsid w:val="00D33BEF"/>
    <w:rsid w:val="00D33DA2"/>
    <w:rsid w:val="00D34080"/>
    <w:rsid w:val="00D34B46"/>
    <w:rsid w:val="00D34D9C"/>
    <w:rsid w:val="00D353B8"/>
    <w:rsid w:val="00D359B2"/>
    <w:rsid w:val="00D35D59"/>
    <w:rsid w:val="00D36272"/>
    <w:rsid w:val="00D376D2"/>
    <w:rsid w:val="00D40F42"/>
    <w:rsid w:val="00D41079"/>
    <w:rsid w:val="00D41959"/>
    <w:rsid w:val="00D423B1"/>
    <w:rsid w:val="00D43445"/>
    <w:rsid w:val="00D43529"/>
    <w:rsid w:val="00D43A2F"/>
    <w:rsid w:val="00D43CA4"/>
    <w:rsid w:val="00D43DFD"/>
    <w:rsid w:val="00D441ED"/>
    <w:rsid w:val="00D44715"/>
    <w:rsid w:val="00D44DD2"/>
    <w:rsid w:val="00D4527A"/>
    <w:rsid w:val="00D4595E"/>
    <w:rsid w:val="00D45A2D"/>
    <w:rsid w:val="00D46CD7"/>
    <w:rsid w:val="00D4718C"/>
    <w:rsid w:val="00D4757B"/>
    <w:rsid w:val="00D47969"/>
    <w:rsid w:val="00D479F8"/>
    <w:rsid w:val="00D47C20"/>
    <w:rsid w:val="00D47C74"/>
    <w:rsid w:val="00D47F8C"/>
    <w:rsid w:val="00D50E03"/>
    <w:rsid w:val="00D52304"/>
    <w:rsid w:val="00D5295E"/>
    <w:rsid w:val="00D52FAE"/>
    <w:rsid w:val="00D53848"/>
    <w:rsid w:val="00D53B5C"/>
    <w:rsid w:val="00D53D13"/>
    <w:rsid w:val="00D53EB5"/>
    <w:rsid w:val="00D545BD"/>
    <w:rsid w:val="00D5467C"/>
    <w:rsid w:val="00D5495E"/>
    <w:rsid w:val="00D54B52"/>
    <w:rsid w:val="00D54DCD"/>
    <w:rsid w:val="00D55219"/>
    <w:rsid w:val="00D56153"/>
    <w:rsid w:val="00D570E5"/>
    <w:rsid w:val="00D5752A"/>
    <w:rsid w:val="00D576AF"/>
    <w:rsid w:val="00D57FF3"/>
    <w:rsid w:val="00D60B8E"/>
    <w:rsid w:val="00D615F4"/>
    <w:rsid w:val="00D619BA"/>
    <w:rsid w:val="00D61D07"/>
    <w:rsid w:val="00D62062"/>
    <w:rsid w:val="00D6249C"/>
    <w:rsid w:val="00D6281C"/>
    <w:rsid w:val="00D62901"/>
    <w:rsid w:val="00D6474B"/>
    <w:rsid w:val="00D663A3"/>
    <w:rsid w:val="00D66586"/>
    <w:rsid w:val="00D66CE1"/>
    <w:rsid w:val="00D67EF6"/>
    <w:rsid w:val="00D71D85"/>
    <w:rsid w:val="00D71E93"/>
    <w:rsid w:val="00D71EA5"/>
    <w:rsid w:val="00D72302"/>
    <w:rsid w:val="00D72589"/>
    <w:rsid w:val="00D72DAD"/>
    <w:rsid w:val="00D739CB"/>
    <w:rsid w:val="00D73A61"/>
    <w:rsid w:val="00D73BAF"/>
    <w:rsid w:val="00D74D75"/>
    <w:rsid w:val="00D74EFE"/>
    <w:rsid w:val="00D75074"/>
    <w:rsid w:val="00D75F2A"/>
    <w:rsid w:val="00D7611E"/>
    <w:rsid w:val="00D76752"/>
    <w:rsid w:val="00D76EC3"/>
    <w:rsid w:val="00D773A1"/>
    <w:rsid w:val="00D77899"/>
    <w:rsid w:val="00D805CA"/>
    <w:rsid w:val="00D8076C"/>
    <w:rsid w:val="00D808D0"/>
    <w:rsid w:val="00D80F7A"/>
    <w:rsid w:val="00D81741"/>
    <w:rsid w:val="00D81C64"/>
    <w:rsid w:val="00D81FAA"/>
    <w:rsid w:val="00D825CD"/>
    <w:rsid w:val="00D82708"/>
    <w:rsid w:val="00D82970"/>
    <w:rsid w:val="00D82D10"/>
    <w:rsid w:val="00D83A10"/>
    <w:rsid w:val="00D83A60"/>
    <w:rsid w:val="00D840F2"/>
    <w:rsid w:val="00D841E9"/>
    <w:rsid w:val="00D845C7"/>
    <w:rsid w:val="00D84D66"/>
    <w:rsid w:val="00D855DD"/>
    <w:rsid w:val="00D86D8C"/>
    <w:rsid w:val="00D870B5"/>
    <w:rsid w:val="00D8715A"/>
    <w:rsid w:val="00D90F69"/>
    <w:rsid w:val="00D916BB"/>
    <w:rsid w:val="00D923EA"/>
    <w:rsid w:val="00D92D19"/>
    <w:rsid w:val="00D92E8B"/>
    <w:rsid w:val="00D94D91"/>
    <w:rsid w:val="00D95325"/>
    <w:rsid w:val="00D95659"/>
    <w:rsid w:val="00D96129"/>
    <w:rsid w:val="00D96864"/>
    <w:rsid w:val="00D96CAB"/>
    <w:rsid w:val="00D9745A"/>
    <w:rsid w:val="00D97839"/>
    <w:rsid w:val="00D97A69"/>
    <w:rsid w:val="00D97BAF"/>
    <w:rsid w:val="00D98CF6"/>
    <w:rsid w:val="00DA04FA"/>
    <w:rsid w:val="00DA0561"/>
    <w:rsid w:val="00DA0E69"/>
    <w:rsid w:val="00DA10C4"/>
    <w:rsid w:val="00DA1BA9"/>
    <w:rsid w:val="00DA2E5D"/>
    <w:rsid w:val="00DA33B9"/>
    <w:rsid w:val="00DA3960"/>
    <w:rsid w:val="00DA4914"/>
    <w:rsid w:val="00DA5033"/>
    <w:rsid w:val="00DA56A2"/>
    <w:rsid w:val="00DA5B27"/>
    <w:rsid w:val="00DA62A8"/>
    <w:rsid w:val="00DA6796"/>
    <w:rsid w:val="00DA6D58"/>
    <w:rsid w:val="00DB02EA"/>
    <w:rsid w:val="00DB04A0"/>
    <w:rsid w:val="00DB0786"/>
    <w:rsid w:val="00DB0D0B"/>
    <w:rsid w:val="00DB10F1"/>
    <w:rsid w:val="00DB1D54"/>
    <w:rsid w:val="00DB229A"/>
    <w:rsid w:val="00DB2935"/>
    <w:rsid w:val="00DB308E"/>
    <w:rsid w:val="00DB31D8"/>
    <w:rsid w:val="00DB3240"/>
    <w:rsid w:val="00DB38EF"/>
    <w:rsid w:val="00DB3978"/>
    <w:rsid w:val="00DB42E0"/>
    <w:rsid w:val="00DB4465"/>
    <w:rsid w:val="00DB46AA"/>
    <w:rsid w:val="00DB48C5"/>
    <w:rsid w:val="00DB4C98"/>
    <w:rsid w:val="00DB535C"/>
    <w:rsid w:val="00DB5E7B"/>
    <w:rsid w:val="00DB61EE"/>
    <w:rsid w:val="00DB6540"/>
    <w:rsid w:val="00DB6EA0"/>
    <w:rsid w:val="00DB77B9"/>
    <w:rsid w:val="00DB782C"/>
    <w:rsid w:val="00DB7D2A"/>
    <w:rsid w:val="00DB7D67"/>
    <w:rsid w:val="00DC08D2"/>
    <w:rsid w:val="00DC1378"/>
    <w:rsid w:val="00DC1B86"/>
    <w:rsid w:val="00DC1EC7"/>
    <w:rsid w:val="00DC2B1C"/>
    <w:rsid w:val="00DC31E9"/>
    <w:rsid w:val="00DC351D"/>
    <w:rsid w:val="00DC3CF2"/>
    <w:rsid w:val="00DC5375"/>
    <w:rsid w:val="00DC5E2B"/>
    <w:rsid w:val="00DC5FEC"/>
    <w:rsid w:val="00DC6100"/>
    <w:rsid w:val="00DC62F4"/>
    <w:rsid w:val="00DC644F"/>
    <w:rsid w:val="00DC6CFA"/>
    <w:rsid w:val="00DC6D82"/>
    <w:rsid w:val="00DC7046"/>
    <w:rsid w:val="00DC7696"/>
    <w:rsid w:val="00DC776E"/>
    <w:rsid w:val="00DD00AA"/>
    <w:rsid w:val="00DD04D6"/>
    <w:rsid w:val="00DD06BA"/>
    <w:rsid w:val="00DD072C"/>
    <w:rsid w:val="00DD1ABE"/>
    <w:rsid w:val="00DD1D39"/>
    <w:rsid w:val="00DD1D45"/>
    <w:rsid w:val="00DD1F19"/>
    <w:rsid w:val="00DD231B"/>
    <w:rsid w:val="00DD2DFF"/>
    <w:rsid w:val="00DD33D0"/>
    <w:rsid w:val="00DD3402"/>
    <w:rsid w:val="00DD3C7C"/>
    <w:rsid w:val="00DD3C7D"/>
    <w:rsid w:val="00DD3E39"/>
    <w:rsid w:val="00DD47C8"/>
    <w:rsid w:val="00DD4D26"/>
    <w:rsid w:val="00DD673D"/>
    <w:rsid w:val="00DE0783"/>
    <w:rsid w:val="00DE1E64"/>
    <w:rsid w:val="00DE22C2"/>
    <w:rsid w:val="00DE2504"/>
    <w:rsid w:val="00DE2F2D"/>
    <w:rsid w:val="00DE3EF5"/>
    <w:rsid w:val="00DE3FA4"/>
    <w:rsid w:val="00DE43BF"/>
    <w:rsid w:val="00DE4C68"/>
    <w:rsid w:val="00DE5633"/>
    <w:rsid w:val="00DE5964"/>
    <w:rsid w:val="00DE65F6"/>
    <w:rsid w:val="00DE668C"/>
    <w:rsid w:val="00DE6BC7"/>
    <w:rsid w:val="00DE7502"/>
    <w:rsid w:val="00DE7C83"/>
    <w:rsid w:val="00DF02E6"/>
    <w:rsid w:val="00DF0645"/>
    <w:rsid w:val="00DF0B3B"/>
    <w:rsid w:val="00DF1592"/>
    <w:rsid w:val="00DF2957"/>
    <w:rsid w:val="00DF3508"/>
    <w:rsid w:val="00DF4449"/>
    <w:rsid w:val="00DF5277"/>
    <w:rsid w:val="00DF553A"/>
    <w:rsid w:val="00DF598B"/>
    <w:rsid w:val="00DF5CBA"/>
    <w:rsid w:val="00DF5E93"/>
    <w:rsid w:val="00DF64CD"/>
    <w:rsid w:val="00DF669F"/>
    <w:rsid w:val="00DF66BA"/>
    <w:rsid w:val="00DF6BBA"/>
    <w:rsid w:val="00DF6D26"/>
    <w:rsid w:val="00DF7434"/>
    <w:rsid w:val="00DF75C5"/>
    <w:rsid w:val="00E00C5D"/>
    <w:rsid w:val="00E00EBC"/>
    <w:rsid w:val="00E0107E"/>
    <w:rsid w:val="00E01D7D"/>
    <w:rsid w:val="00E02F6C"/>
    <w:rsid w:val="00E0314F"/>
    <w:rsid w:val="00E03AD4"/>
    <w:rsid w:val="00E05C44"/>
    <w:rsid w:val="00E05D66"/>
    <w:rsid w:val="00E067AF"/>
    <w:rsid w:val="00E077F2"/>
    <w:rsid w:val="00E08D98"/>
    <w:rsid w:val="00E10472"/>
    <w:rsid w:val="00E10C8E"/>
    <w:rsid w:val="00E126B0"/>
    <w:rsid w:val="00E13A08"/>
    <w:rsid w:val="00E13DA1"/>
    <w:rsid w:val="00E140FA"/>
    <w:rsid w:val="00E14355"/>
    <w:rsid w:val="00E1536A"/>
    <w:rsid w:val="00E15867"/>
    <w:rsid w:val="00E15B4D"/>
    <w:rsid w:val="00E15B9F"/>
    <w:rsid w:val="00E15DF0"/>
    <w:rsid w:val="00E16C6E"/>
    <w:rsid w:val="00E16DC3"/>
    <w:rsid w:val="00E17E67"/>
    <w:rsid w:val="00E1A864"/>
    <w:rsid w:val="00E2030C"/>
    <w:rsid w:val="00E205A0"/>
    <w:rsid w:val="00E211FE"/>
    <w:rsid w:val="00E21663"/>
    <w:rsid w:val="00E22585"/>
    <w:rsid w:val="00E22CAD"/>
    <w:rsid w:val="00E22E03"/>
    <w:rsid w:val="00E23307"/>
    <w:rsid w:val="00E2505B"/>
    <w:rsid w:val="00E252EE"/>
    <w:rsid w:val="00E25494"/>
    <w:rsid w:val="00E2581D"/>
    <w:rsid w:val="00E25E3B"/>
    <w:rsid w:val="00E2699C"/>
    <w:rsid w:val="00E2699F"/>
    <w:rsid w:val="00E26CDF"/>
    <w:rsid w:val="00E27506"/>
    <w:rsid w:val="00E27EEB"/>
    <w:rsid w:val="00E301FA"/>
    <w:rsid w:val="00E3027E"/>
    <w:rsid w:val="00E303B3"/>
    <w:rsid w:val="00E3043B"/>
    <w:rsid w:val="00E30946"/>
    <w:rsid w:val="00E30AE9"/>
    <w:rsid w:val="00E30B67"/>
    <w:rsid w:val="00E30E15"/>
    <w:rsid w:val="00E310AD"/>
    <w:rsid w:val="00E312EB"/>
    <w:rsid w:val="00E31715"/>
    <w:rsid w:val="00E31A2E"/>
    <w:rsid w:val="00E32519"/>
    <w:rsid w:val="00E32979"/>
    <w:rsid w:val="00E32C8C"/>
    <w:rsid w:val="00E32E26"/>
    <w:rsid w:val="00E33426"/>
    <w:rsid w:val="00E33EFA"/>
    <w:rsid w:val="00E34CB0"/>
    <w:rsid w:val="00E35FC8"/>
    <w:rsid w:val="00E368C9"/>
    <w:rsid w:val="00E40B60"/>
    <w:rsid w:val="00E40F5B"/>
    <w:rsid w:val="00E41202"/>
    <w:rsid w:val="00E413C4"/>
    <w:rsid w:val="00E41425"/>
    <w:rsid w:val="00E4152B"/>
    <w:rsid w:val="00E41B21"/>
    <w:rsid w:val="00E4207E"/>
    <w:rsid w:val="00E4211F"/>
    <w:rsid w:val="00E4212E"/>
    <w:rsid w:val="00E42490"/>
    <w:rsid w:val="00E42ADD"/>
    <w:rsid w:val="00E4314F"/>
    <w:rsid w:val="00E43204"/>
    <w:rsid w:val="00E43850"/>
    <w:rsid w:val="00E43B84"/>
    <w:rsid w:val="00E4418F"/>
    <w:rsid w:val="00E441D5"/>
    <w:rsid w:val="00E4473A"/>
    <w:rsid w:val="00E457B0"/>
    <w:rsid w:val="00E45E17"/>
    <w:rsid w:val="00E45F1A"/>
    <w:rsid w:val="00E46503"/>
    <w:rsid w:val="00E465A9"/>
    <w:rsid w:val="00E466C9"/>
    <w:rsid w:val="00E469E2"/>
    <w:rsid w:val="00E46FB8"/>
    <w:rsid w:val="00E4757B"/>
    <w:rsid w:val="00E479F0"/>
    <w:rsid w:val="00E510A8"/>
    <w:rsid w:val="00E52A24"/>
    <w:rsid w:val="00E52B06"/>
    <w:rsid w:val="00E52C23"/>
    <w:rsid w:val="00E52FB6"/>
    <w:rsid w:val="00E5314A"/>
    <w:rsid w:val="00E53217"/>
    <w:rsid w:val="00E53454"/>
    <w:rsid w:val="00E53514"/>
    <w:rsid w:val="00E53BB3"/>
    <w:rsid w:val="00E5417B"/>
    <w:rsid w:val="00E54232"/>
    <w:rsid w:val="00E5459C"/>
    <w:rsid w:val="00E5468C"/>
    <w:rsid w:val="00E549E3"/>
    <w:rsid w:val="00E54A6E"/>
    <w:rsid w:val="00E54D70"/>
    <w:rsid w:val="00E55761"/>
    <w:rsid w:val="00E558A7"/>
    <w:rsid w:val="00E55982"/>
    <w:rsid w:val="00E55A17"/>
    <w:rsid w:val="00E55B15"/>
    <w:rsid w:val="00E56408"/>
    <w:rsid w:val="00E566D1"/>
    <w:rsid w:val="00E568A4"/>
    <w:rsid w:val="00E57903"/>
    <w:rsid w:val="00E57AB5"/>
    <w:rsid w:val="00E600B7"/>
    <w:rsid w:val="00E60422"/>
    <w:rsid w:val="00E61223"/>
    <w:rsid w:val="00E61344"/>
    <w:rsid w:val="00E6170E"/>
    <w:rsid w:val="00E61E94"/>
    <w:rsid w:val="00E620E3"/>
    <w:rsid w:val="00E6244D"/>
    <w:rsid w:val="00E63421"/>
    <w:rsid w:val="00E64604"/>
    <w:rsid w:val="00E64A78"/>
    <w:rsid w:val="00E64B60"/>
    <w:rsid w:val="00E65321"/>
    <w:rsid w:val="00E65D87"/>
    <w:rsid w:val="00E65EEE"/>
    <w:rsid w:val="00E660A1"/>
    <w:rsid w:val="00E6645B"/>
    <w:rsid w:val="00E6663C"/>
    <w:rsid w:val="00E6671E"/>
    <w:rsid w:val="00E6740D"/>
    <w:rsid w:val="00E70D55"/>
    <w:rsid w:val="00E711FE"/>
    <w:rsid w:val="00E712A4"/>
    <w:rsid w:val="00E732CC"/>
    <w:rsid w:val="00E7365A"/>
    <w:rsid w:val="00E73F1A"/>
    <w:rsid w:val="00E74490"/>
    <w:rsid w:val="00E748AA"/>
    <w:rsid w:val="00E75775"/>
    <w:rsid w:val="00E757CD"/>
    <w:rsid w:val="00E76374"/>
    <w:rsid w:val="00E76C18"/>
    <w:rsid w:val="00E76C37"/>
    <w:rsid w:val="00E77F80"/>
    <w:rsid w:val="00E8146A"/>
    <w:rsid w:val="00E8153A"/>
    <w:rsid w:val="00E81688"/>
    <w:rsid w:val="00E82390"/>
    <w:rsid w:val="00E8291C"/>
    <w:rsid w:val="00E82A61"/>
    <w:rsid w:val="00E82B9B"/>
    <w:rsid w:val="00E82E01"/>
    <w:rsid w:val="00E82E05"/>
    <w:rsid w:val="00E83871"/>
    <w:rsid w:val="00E8394D"/>
    <w:rsid w:val="00E83E9A"/>
    <w:rsid w:val="00E84043"/>
    <w:rsid w:val="00E84BFA"/>
    <w:rsid w:val="00E84CC1"/>
    <w:rsid w:val="00E84D79"/>
    <w:rsid w:val="00E85AFC"/>
    <w:rsid w:val="00E85C45"/>
    <w:rsid w:val="00E85CA5"/>
    <w:rsid w:val="00E85D97"/>
    <w:rsid w:val="00E86594"/>
    <w:rsid w:val="00E869E2"/>
    <w:rsid w:val="00E86B27"/>
    <w:rsid w:val="00E87452"/>
    <w:rsid w:val="00E874A2"/>
    <w:rsid w:val="00E87572"/>
    <w:rsid w:val="00E87FB9"/>
    <w:rsid w:val="00E9054A"/>
    <w:rsid w:val="00E90C10"/>
    <w:rsid w:val="00E90D6E"/>
    <w:rsid w:val="00E91250"/>
    <w:rsid w:val="00E91439"/>
    <w:rsid w:val="00E91A10"/>
    <w:rsid w:val="00E924AE"/>
    <w:rsid w:val="00E92BF4"/>
    <w:rsid w:val="00E9383C"/>
    <w:rsid w:val="00E94008"/>
    <w:rsid w:val="00E941A1"/>
    <w:rsid w:val="00E958C0"/>
    <w:rsid w:val="00E95BE2"/>
    <w:rsid w:val="00E95C07"/>
    <w:rsid w:val="00E95D52"/>
    <w:rsid w:val="00E95FAB"/>
    <w:rsid w:val="00E9623B"/>
    <w:rsid w:val="00E962AD"/>
    <w:rsid w:val="00E968C1"/>
    <w:rsid w:val="00E96D4E"/>
    <w:rsid w:val="00E97785"/>
    <w:rsid w:val="00E977B0"/>
    <w:rsid w:val="00EA0224"/>
    <w:rsid w:val="00EA1235"/>
    <w:rsid w:val="00EA1A5F"/>
    <w:rsid w:val="00EA2066"/>
    <w:rsid w:val="00EA261E"/>
    <w:rsid w:val="00EA2D29"/>
    <w:rsid w:val="00EA39E5"/>
    <w:rsid w:val="00EA3ED1"/>
    <w:rsid w:val="00EA4C2E"/>
    <w:rsid w:val="00EA6164"/>
    <w:rsid w:val="00EA6370"/>
    <w:rsid w:val="00EA69EF"/>
    <w:rsid w:val="00EA6E3E"/>
    <w:rsid w:val="00EA76A1"/>
    <w:rsid w:val="00EA7826"/>
    <w:rsid w:val="00EA792B"/>
    <w:rsid w:val="00EB014B"/>
    <w:rsid w:val="00EB0FCC"/>
    <w:rsid w:val="00EB1505"/>
    <w:rsid w:val="00EB15C7"/>
    <w:rsid w:val="00EB1BF8"/>
    <w:rsid w:val="00EB1E19"/>
    <w:rsid w:val="00EB1F89"/>
    <w:rsid w:val="00EB2AC4"/>
    <w:rsid w:val="00EB2B68"/>
    <w:rsid w:val="00EB2CD4"/>
    <w:rsid w:val="00EB2DF4"/>
    <w:rsid w:val="00EB2F05"/>
    <w:rsid w:val="00EB2FF0"/>
    <w:rsid w:val="00EB332A"/>
    <w:rsid w:val="00EB38FD"/>
    <w:rsid w:val="00EB4171"/>
    <w:rsid w:val="00EB4237"/>
    <w:rsid w:val="00EB4A0A"/>
    <w:rsid w:val="00EB4FF4"/>
    <w:rsid w:val="00EB524A"/>
    <w:rsid w:val="00EB5489"/>
    <w:rsid w:val="00EB5D6D"/>
    <w:rsid w:val="00EB6096"/>
    <w:rsid w:val="00EB63F8"/>
    <w:rsid w:val="00EB66B6"/>
    <w:rsid w:val="00EB6F9C"/>
    <w:rsid w:val="00EB7B04"/>
    <w:rsid w:val="00EB7B79"/>
    <w:rsid w:val="00EC0832"/>
    <w:rsid w:val="00EC0DFF"/>
    <w:rsid w:val="00EC0F99"/>
    <w:rsid w:val="00EC1A89"/>
    <w:rsid w:val="00EC3348"/>
    <w:rsid w:val="00EC3660"/>
    <w:rsid w:val="00EC43DC"/>
    <w:rsid w:val="00EC4A1C"/>
    <w:rsid w:val="00EC4C9D"/>
    <w:rsid w:val="00EC4F40"/>
    <w:rsid w:val="00EC5625"/>
    <w:rsid w:val="00EC59B6"/>
    <w:rsid w:val="00EC5FD8"/>
    <w:rsid w:val="00EC7200"/>
    <w:rsid w:val="00EC745B"/>
    <w:rsid w:val="00EC75CA"/>
    <w:rsid w:val="00EC7D5F"/>
    <w:rsid w:val="00ED08FF"/>
    <w:rsid w:val="00ED1F6B"/>
    <w:rsid w:val="00ED2418"/>
    <w:rsid w:val="00ED266B"/>
    <w:rsid w:val="00ED27A5"/>
    <w:rsid w:val="00ED2EE2"/>
    <w:rsid w:val="00ED306D"/>
    <w:rsid w:val="00ED3275"/>
    <w:rsid w:val="00ED395E"/>
    <w:rsid w:val="00ED3AB7"/>
    <w:rsid w:val="00ED4B7F"/>
    <w:rsid w:val="00ED53DB"/>
    <w:rsid w:val="00ED59FF"/>
    <w:rsid w:val="00ED655A"/>
    <w:rsid w:val="00ED6603"/>
    <w:rsid w:val="00ED67D1"/>
    <w:rsid w:val="00ED71B7"/>
    <w:rsid w:val="00ED725D"/>
    <w:rsid w:val="00ED7361"/>
    <w:rsid w:val="00ED7661"/>
    <w:rsid w:val="00ED7F6F"/>
    <w:rsid w:val="00EE07DB"/>
    <w:rsid w:val="00EE15FD"/>
    <w:rsid w:val="00EE278E"/>
    <w:rsid w:val="00EE32CD"/>
    <w:rsid w:val="00EE3365"/>
    <w:rsid w:val="00EE365A"/>
    <w:rsid w:val="00EE37CC"/>
    <w:rsid w:val="00EE39FA"/>
    <w:rsid w:val="00EE4EEF"/>
    <w:rsid w:val="00EE61A0"/>
    <w:rsid w:val="00EE62CA"/>
    <w:rsid w:val="00EE66BA"/>
    <w:rsid w:val="00EE73DA"/>
    <w:rsid w:val="00EE7F90"/>
    <w:rsid w:val="00EF039F"/>
    <w:rsid w:val="00EF0CBE"/>
    <w:rsid w:val="00EF1F6D"/>
    <w:rsid w:val="00EF245A"/>
    <w:rsid w:val="00EF2722"/>
    <w:rsid w:val="00EF2854"/>
    <w:rsid w:val="00EF2E9A"/>
    <w:rsid w:val="00EF356D"/>
    <w:rsid w:val="00EF3E0A"/>
    <w:rsid w:val="00EF406C"/>
    <w:rsid w:val="00EF4834"/>
    <w:rsid w:val="00EF4EC4"/>
    <w:rsid w:val="00EF4F77"/>
    <w:rsid w:val="00EF516A"/>
    <w:rsid w:val="00EF521F"/>
    <w:rsid w:val="00EF5244"/>
    <w:rsid w:val="00EF52CE"/>
    <w:rsid w:val="00EF666F"/>
    <w:rsid w:val="00EF7516"/>
    <w:rsid w:val="00EF75BB"/>
    <w:rsid w:val="00EF7AEB"/>
    <w:rsid w:val="00EF7FE8"/>
    <w:rsid w:val="00F01009"/>
    <w:rsid w:val="00F01845"/>
    <w:rsid w:val="00F02BFF"/>
    <w:rsid w:val="00F035E6"/>
    <w:rsid w:val="00F03B15"/>
    <w:rsid w:val="00F03FD7"/>
    <w:rsid w:val="00F04844"/>
    <w:rsid w:val="00F04E84"/>
    <w:rsid w:val="00F04F43"/>
    <w:rsid w:val="00F05A45"/>
    <w:rsid w:val="00F0684D"/>
    <w:rsid w:val="00F069BA"/>
    <w:rsid w:val="00F07437"/>
    <w:rsid w:val="00F10601"/>
    <w:rsid w:val="00F1060B"/>
    <w:rsid w:val="00F10834"/>
    <w:rsid w:val="00F10A77"/>
    <w:rsid w:val="00F11622"/>
    <w:rsid w:val="00F121FC"/>
    <w:rsid w:val="00F125F1"/>
    <w:rsid w:val="00F12E5C"/>
    <w:rsid w:val="00F141EB"/>
    <w:rsid w:val="00F14320"/>
    <w:rsid w:val="00F14434"/>
    <w:rsid w:val="00F14B4A"/>
    <w:rsid w:val="00F15C18"/>
    <w:rsid w:val="00F1690E"/>
    <w:rsid w:val="00F16D4C"/>
    <w:rsid w:val="00F17139"/>
    <w:rsid w:val="00F17409"/>
    <w:rsid w:val="00F17AFA"/>
    <w:rsid w:val="00F17EC9"/>
    <w:rsid w:val="00F17ED7"/>
    <w:rsid w:val="00F20412"/>
    <w:rsid w:val="00F207DE"/>
    <w:rsid w:val="00F21ED7"/>
    <w:rsid w:val="00F220C6"/>
    <w:rsid w:val="00F2211E"/>
    <w:rsid w:val="00F22594"/>
    <w:rsid w:val="00F22BB9"/>
    <w:rsid w:val="00F22EA0"/>
    <w:rsid w:val="00F23B5A"/>
    <w:rsid w:val="00F23B99"/>
    <w:rsid w:val="00F23DB7"/>
    <w:rsid w:val="00F2497B"/>
    <w:rsid w:val="00F24A4B"/>
    <w:rsid w:val="00F257D5"/>
    <w:rsid w:val="00F25B6D"/>
    <w:rsid w:val="00F25E6C"/>
    <w:rsid w:val="00F26252"/>
    <w:rsid w:val="00F262C7"/>
    <w:rsid w:val="00F267E6"/>
    <w:rsid w:val="00F270F1"/>
    <w:rsid w:val="00F278E1"/>
    <w:rsid w:val="00F27B52"/>
    <w:rsid w:val="00F30287"/>
    <w:rsid w:val="00F307F4"/>
    <w:rsid w:val="00F3106E"/>
    <w:rsid w:val="00F31B73"/>
    <w:rsid w:val="00F31D71"/>
    <w:rsid w:val="00F321D7"/>
    <w:rsid w:val="00F32201"/>
    <w:rsid w:val="00F327FE"/>
    <w:rsid w:val="00F32BE8"/>
    <w:rsid w:val="00F32F99"/>
    <w:rsid w:val="00F33DC7"/>
    <w:rsid w:val="00F33E25"/>
    <w:rsid w:val="00F34436"/>
    <w:rsid w:val="00F359C8"/>
    <w:rsid w:val="00F36127"/>
    <w:rsid w:val="00F361E9"/>
    <w:rsid w:val="00F370F6"/>
    <w:rsid w:val="00F3764C"/>
    <w:rsid w:val="00F37CED"/>
    <w:rsid w:val="00F37E76"/>
    <w:rsid w:val="00F40016"/>
    <w:rsid w:val="00F404FD"/>
    <w:rsid w:val="00F40505"/>
    <w:rsid w:val="00F40C70"/>
    <w:rsid w:val="00F4120E"/>
    <w:rsid w:val="00F413B7"/>
    <w:rsid w:val="00F41E2F"/>
    <w:rsid w:val="00F41EEF"/>
    <w:rsid w:val="00F426A2"/>
    <w:rsid w:val="00F42A6F"/>
    <w:rsid w:val="00F42AFD"/>
    <w:rsid w:val="00F42D2A"/>
    <w:rsid w:val="00F42ECF"/>
    <w:rsid w:val="00F43028"/>
    <w:rsid w:val="00F43E3F"/>
    <w:rsid w:val="00F44023"/>
    <w:rsid w:val="00F449C0"/>
    <w:rsid w:val="00F44AF9"/>
    <w:rsid w:val="00F46405"/>
    <w:rsid w:val="00F46462"/>
    <w:rsid w:val="00F46924"/>
    <w:rsid w:val="00F46DBD"/>
    <w:rsid w:val="00F50050"/>
    <w:rsid w:val="00F502B3"/>
    <w:rsid w:val="00F50D07"/>
    <w:rsid w:val="00F528AB"/>
    <w:rsid w:val="00F52E0F"/>
    <w:rsid w:val="00F52E46"/>
    <w:rsid w:val="00F52F5C"/>
    <w:rsid w:val="00F5391E"/>
    <w:rsid w:val="00F53DBF"/>
    <w:rsid w:val="00F53DED"/>
    <w:rsid w:val="00F54841"/>
    <w:rsid w:val="00F55633"/>
    <w:rsid w:val="00F55D5D"/>
    <w:rsid w:val="00F56C46"/>
    <w:rsid w:val="00F56EBA"/>
    <w:rsid w:val="00F5707F"/>
    <w:rsid w:val="00F57C03"/>
    <w:rsid w:val="00F57F16"/>
    <w:rsid w:val="00F6032D"/>
    <w:rsid w:val="00F6035E"/>
    <w:rsid w:val="00F6075B"/>
    <w:rsid w:val="00F60BAA"/>
    <w:rsid w:val="00F6214F"/>
    <w:rsid w:val="00F62E75"/>
    <w:rsid w:val="00F63027"/>
    <w:rsid w:val="00F63708"/>
    <w:rsid w:val="00F637F3"/>
    <w:rsid w:val="00F64A35"/>
    <w:rsid w:val="00F64C28"/>
    <w:rsid w:val="00F64D44"/>
    <w:rsid w:val="00F64F53"/>
    <w:rsid w:val="00F6561C"/>
    <w:rsid w:val="00F65855"/>
    <w:rsid w:val="00F658CE"/>
    <w:rsid w:val="00F65F94"/>
    <w:rsid w:val="00F663A0"/>
    <w:rsid w:val="00F66CD4"/>
    <w:rsid w:val="00F66E60"/>
    <w:rsid w:val="00F66F56"/>
    <w:rsid w:val="00F67A20"/>
    <w:rsid w:val="00F70484"/>
    <w:rsid w:val="00F7079B"/>
    <w:rsid w:val="00F708AF"/>
    <w:rsid w:val="00F70970"/>
    <w:rsid w:val="00F70E7D"/>
    <w:rsid w:val="00F70EA6"/>
    <w:rsid w:val="00F71443"/>
    <w:rsid w:val="00F718F3"/>
    <w:rsid w:val="00F7220E"/>
    <w:rsid w:val="00F72A78"/>
    <w:rsid w:val="00F738B0"/>
    <w:rsid w:val="00F7494B"/>
    <w:rsid w:val="00F757C8"/>
    <w:rsid w:val="00F75C61"/>
    <w:rsid w:val="00F75FA5"/>
    <w:rsid w:val="00F768C5"/>
    <w:rsid w:val="00F7693D"/>
    <w:rsid w:val="00F772BE"/>
    <w:rsid w:val="00F778B2"/>
    <w:rsid w:val="00F77A95"/>
    <w:rsid w:val="00F80DF3"/>
    <w:rsid w:val="00F81630"/>
    <w:rsid w:val="00F81E16"/>
    <w:rsid w:val="00F822F7"/>
    <w:rsid w:val="00F824BA"/>
    <w:rsid w:val="00F826AE"/>
    <w:rsid w:val="00F82B13"/>
    <w:rsid w:val="00F83095"/>
    <w:rsid w:val="00F83385"/>
    <w:rsid w:val="00F8381D"/>
    <w:rsid w:val="00F83B6A"/>
    <w:rsid w:val="00F844E2"/>
    <w:rsid w:val="00F85DDC"/>
    <w:rsid w:val="00F86719"/>
    <w:rsid w:val="00F86A7C"/>
    <w:rsid w:val="00F870C9"/>
    <w:rsid w:val="00F905F4"/>
    <w:rsid w:val="00F9065F"/>
    <w:rsid w:val="00F916A5"/>
    <w:rsid w:val="00F91741"/>
    <w:rsid w:val="00F91C49"/>
    <w:rsid w:val="00F925A4"/>
    <w:rsid w:val="00F92974"/>
    <w:rsid w:val="00F9329C"/>
    <w:rsid w:val="00F938F7"/>
    <w:rsid w:val="00F93A8E"/>
    <w:rsid w:val="00F94307"/>
    <w:rsid w:val="00F94536"/>
    <w:rsid w:val="00F94648"/>
    <w:rsid w:val="00F94CA4"/>
    <w:rsid w:val="00F95280"/>
    <w:rsid w:val="00F96744"/>
    <w:rsid w:val="00F967D2"/>
    <w:rsid w:val="00F96F2A"/>
    <w:rsid w:val="00F96FC6"/>
    <w:rsid w:val="00F97DF1"/>
    <w:rsid w:val="00FA0920"/>
    <w:rsid w:val="00FA0C2B"/>
    <w:rsid w:val="00FA2279"/>
    <w:rsid w:val="00FA251C"/>
    <w:rsid w:val="00FA265E"/>
    <w:rsid w:val="00FA293D"/>
    <w:rsid w:val="00FA38B5"/>
    <w:rsid w:val="00FA57CF"/>
    <w:rsid w:val="00FA6D08"/>
    <w:rsid w:val="00FA710C"/>
    <w:rsid w:val="00FB00E2"/>
    <w:rsid w:val="00FB045E"/>
    <w:rsid w:val="00FB0A42"/>
    <w:rsid w:val="00FB1A9A"/>
    <w:rsid w:val="00FB26ED"/>
    <w:rsid w:val="00FB5352"/>
    <w:rsid w:val="00FB561A"/>
    <w:rsid w:val="00FB6BF5"/>
    <w:rsid w:val="00FB6CC0"/>
    <w:rsid w:val="00FB726B"/>
    <w:rsid w:val="00FB7869"/>
    <w:rsid w:val="00FB7A5D"/>
    <w:rsid w:val="00FB7C2C"/>
    <w:rsid w:val="00FC0C0B"/>
    <w:rsid w:val="00FC0D08"/>
    <w:rsid w:val="00FC164D"/>
    <w:rsid w:val="00FC1EF4"/>
    <w:rsid w:val="00FC1F7D"/>
    <w:rsid w:val="00FC203D"/>
    <w:rsid w:val="00FC2793"/>
    <w:rsid w:val="00FC3CBB"/>
    <w:rsid w:val="00FC3DEC"/>
    <w:rsid w:val="00FC409A"/>
    <w:rsid w:val="00FC43B9"/>
    <w:rsid w:val="00FC4977"/>
    <w:rsid w:val="00FC4C69"/>
    <w:rsid w:val="00FC4D50"/>
    <w:rsid w:val="00FC5080"/>
    <w:rsid w:val="00FC571A"/>
    <w:rsid w:val="00FC5D34"/>
    <w:rsid w:val="00FC5D6E"/>
    <w:rsid w:val="00FC6C98"/>
    <w:rsid w:val="00FC6EFB"/>
    <w:rsid w:val="00FC74E7"/>
    <w:rsid w:val="00FD0D40"/>
    <w:rsid w:val="00FD159E"/>
    <w:rsid w:val="00FD20FB"/>
    <w:rsid w:val="00FD2982"/>
    <w:rsid w:val="00FD2A1A"/>
    <w:rsid w:val="00FD2AF1"/>
    <w:rsid w:val="00FD3424"/>
    <w:rsid w:val="00FD3654"/>
    <w:rsid w:val="00FD3E3C"/>
    <w:rsid w:val="00FD40E6"/>
    <w:rsid w:val="00FD418B"/>
    <w:rsid w:val="00FD4493"/>
    <w:rsid w:val="00FD4687"/>
    <w:rsid w:val="00FD4E9B"/>
    <w:rsid w:val="00FD549C"/>
    <w:rsid w:val="00FD5651"/>
    <w:rsid w:val="00FD5DD2"/>
    <w:rsid w:val="00FD5F4B"/>
    <w:rsid w:val="00FD616B"/>
    <w:rsid w:val="00FD78C7"/>
    <w:rsid w:val="00FE0367"/>
    <w:rsid w:val="00FE0E8E"/>
    <w:rsid w:val="00FE11FB"/>
    <w:rsid w:val="00FE1328"/>
    <w:rsid w:val="00FE17FD"/>
    <w:rsid w:val="00FE1C94"/>
    <w:rsid w:val="00FE2039"/>
    <w:rsid w:val="00FE210C"/>
    <w:rsid w:val="00FE21AD"/>
    <w:rsid w:val="00FE2950"/>
    <w:rsid w:val="00FE2C8D"/>
    <w:rsid w:val="00FE2EB8"/>
    <w:rsid w:val="00FE30C3"/>
    <w:rsid w:val="00FE320E"/>
    <w:rsid w:val="00FE33EF"/>
    <w:rsid w:val="00FE38A1"/>
    <w:rsid w:val="00FE4396"/>
    <w:rsid w:val="00FE4AB0"/>
    <w:rsid w:val="00FE4AF3"/>
    <w:rsid w:val="00FE4FF5"/>
    <w:rsid w:val="00FE5455"/>
    <w:rsid w:val="00FE58EB"/>
    <w:rsid w:val="00FE66BD"/>
    <w:rsid w:val="00FE7941"/>
    <w:rsid w:val="00FE7DB2"/>
    <w:rsid w:val="00FF0CEE"/>
    <w:rsid w:val="00FF127B"/>
    <w:rsid w:val="00FF1CCD"/>
    <w:rsid w:val="00FF20A8"/>
    <w:rsid w:val="00FF22BF"/>
    <w:rsid w:val="00FF2D8B"/>
    <w:rsid w:val="00FF3194"/>
    <w:rsid w:val="00FF3FB5"/>
    <w:rsid w:val="00FF4299"/>
    <w:rsid w:val="00FF562A"/>
    <w:rsid w:val="00FF5780"/>
    <w:rsid w:val="00FF6426"/>
    <w:rsid w:val="00FF64A4"/>
    <w:rsid w:val="00FF6831"/>
    <w:rsid w:val="00FF7273"/>
    <w:rsid w:val="00FF7668"/>
    <w:rsid w:val="00FF7976"/>
    <w:rsid w:val="00FF7AD6"/>
    <w:rsid w:val="01077F80"/>
    <w:rsid w:val="011CFAF6"/>
    <w:rsid w:val="01203E44"/>
    <w:rsid w:val="01323D14"/>
    <w:rsid w:val="0132991E"/>
    <w:rsid w:val="0134CF0E"/>
    <w:rsid w:val="01465CAD"/>
    <w:rsid w:val="014CCE70"/>
    <w:rsid w:val="014F7C34"/>
    <w:rsid w:val="0154BBD4"/>
    <w:rsid w:val="0155D4E3"/>
    <w:rsid w:val="015A783F"/>
    <w:rsid w:val="015ACF0C"/>
    <w:rsid w:val="016353B2"/>
    <w:rsid w:val="0163EA43"/>
    <w:rsid w:val="0169B573"/>
    <w:rsid w:val="016E7FFE"/>
    <w:rsid w:val="016FEE4E"/>
    <w:rsid w:val="0170BA72"/>
    <w:rsid w:val="017C099F"/>
    <w:rsid w:val="017F858C"/>
    <w:rsid w:val="01876472"/>
    <w:rsid w:val="018B3673"/>
    <w:rsid w:val="018F6EAF"/>
    <w:rsid w:val="0192B899"/>
    <w:rsid w:val="0194245F"/>
    <w:rsid w:val="019F442F"/>
    <w:rsid w:val="01A0AE32"/>
    <w:rsid w:val="01A443FF"/>
    <w:rsid w:val="01B3978C"/>
    <w:rsid w:val="01CC8188"/>
    <w:rsid w:val="01D13557"/>
    <w:rsid w:val="01D9399F"/>
    <w:rsid w:val="01D9CE33"/>
    <w:rsid w:val="01DA742C"/>
    <w:rsid w:val="01DBD4B5"/>
    <w:rsid w:val="01F45009"/>
    <w:rsid w:val="0206C3F6"/>
    <w:rsid w:val="0208B45B"/>
    <w:rsid w:val="021C7648"/>
    <w:rsid w:val="021E6DD4"/>
    <w:rsid w:val="0227067A"/>
    <w:rsid w:val="022C35B9"/>
    <w:rsid w:val="022DA2FB"/>
    <w:rsid w:val="022F76C5"/>
    <w:rsid w:val="0237C464"/>
    <w:rsid w:val="02381BA5"/>
    <w:rsid w:val="02412A95"/>
    <w:rsid w:val="0241301F"/>
    <w:rsid w:val="0250A47A"/>
    <w:rsid w:val="025C19B6"/>
    <w:rsid w:val="02661569"/>
    <w:rsid w:val="027CF78F"/>
    <w:rsid w:val="02871C9D"/>
    <w:rsid w:val="0288C82B"/>
    <w:rsid w:val="0294E530"/>
    <w:rsid w:val="02A2A5EC"/>
    <w:rsid w:val="02AE0842"/>
    <w:rsid w:val="02B58A0B"/>
    <w:rsid w:val="02BA3D62"/>
    <w:rsid w:val="02BFF400"/>
    <w:rsid w:val="02C0996F"/>
    <w:rsid w:val="02C2448E"/>
    <w:rsid w:val="02D046F2"/>
    <w:rsid w:val="02E3CDE1"/>
    <w:rsid w:val="02E89ED1"/>
    <w:rsid w:val="02EE3D18"/>
    <w:rsid w:val="02EF8E14"/>
    <w:rsid w:val="02EFAF59"/>
    <w:rsid w:val="02F5D3EF"/>
    <w:rsid w:val="02FD29A3"/>
    <w:rsid w:val="030901B6"/>
    <w:rsid w:val="03150091"/>
    <w:rsid w:val="03153761"/>
    <w:rsid w:val="031C2538"/>
    <w:rsid w:val="032427A0"/>
    <w:rsid w:val="0326258B"/>
    <w:rsid w:val="0327FDE7"/>
    <w:rsid w:val="032EB559"/>
    <w:rsid w:val="0345A55D"/>
    <w:rsid w:val="0348785E"/>
    <w:rsid w:val="0350DAB6"/>
    <w:rsid w:val="035103F6"/>
    <w:rsid w:val="0357E3BF"/>
    <w:rsid w:val="035A9B68"/>
    <w:rsid w:val="035FEA3B"/>
    <w:rsid w:val="036EA6AB"/>
    <w:rsid w:val="037EF1BF"/>
    <w:rsid w:val="03803FE2"/>
    <w:rsid w:val="038B3EDD"/>
    <w:rsid w:val="03941FE4"/>
    <w:rsid w:val="0398264A"/>
    <w:rsid w:val="03A6AFD0"/>
    <w:rsid w:val="03A6E8D1"/>
    <w:rsid w:val="03A859C2"/>
    <w:rsid w:val="03B21D45"/>
    <w:rsid w:val="03BA46AB"/>
    <w:rsid w:val="03BBC59A"/>
    <w:rsid w:val="03C128A1"/>
    <w:rsid w:val="03C17376"/>
    <w:rsid w:val="03C1B57D"/>
    <w:rsid w:val="03CBBD60"/>
    <w:rsid w:val="03D24746"/>
    <w:rsid w:val="03E2F981"/>
    <w:rsid w:val="03E7F9C4"/>
    <w:rsid w:val="03E81876"/>
    <w:rsid w:val="03F082D9"/>
    <w:rsid w:val="03F2168A"/>
    <w:rsid w:val="03F2C109"/>
    <w:rsid w:val="03FE49F8"/>
    <w:rsid w:val="0400A872"/>
    <w:rsid w:val="04013F74"/>
    <w:rsid w:val="04030D4D"/>
    <w:rsid w:val="040323C1"/>
    <w:rsid w:val="04049A2E"/>
    <w:rsid w:val="04073649"/>
    <w:rsid w:val="04105BE0"/>
    <w:rsid w:val="041D1F22"/>
    <w:rsid w:val="0423B7B3"/>
    <w:rsid w:val="042E426B"/>
    <w:rsid w:val="043F51E7"/>
    <w:rsid w:val="04419E67"/>
    <w:rsid w:val="044C8A44"/>
    <w:rsid w:val="044D25A6"/>
    <w:rsid w:val="044E4233"/>
    <w:rsid w:val="04567D46"/>
    <w:rsid w:val="045794EA"/>
    <w:rsid w:val="045BE8DB"/>
    <w:rsid w:val="045C4A43"/>
    <w:rsid w:val="045E8E25"/>
    <w:rsid w:val="046DFEC4"/>
    <w:rsid w:val="047EA94C"/>
    <w:rsid w:val="0481C3C3"/>
    <w:rsid w:val="04887637"/>
    <w:rsid w:val="049D7171"/>
    <w:rsid w:val="049E9F67"/>
    <w:rsid w:val="04AB4691"/>
    <w:rsid w:val="04AC113E"/>
    <w:rsid w:val="04AD664A"/>
    <w:rsid w:val="04B0ED41"/>
    <w:rsid w:val="04B4CBC2"/>
    <w:rsid w:val="04BB3721"/>
    <w:rsid w:val="04BF21EB"/>
    <w:rsid w:val="04BF5311"/>
    <w:rsid w:val="04D4A421"/>
    <w:rsid w:val="04DBE2D8"/>
    <w:rsid w:val="04E21475"/>
    <w:rsid w:val="04F7CD18"/>
    <w:rsid w:val="05023C17"/>
    <w:rsid w:val="05042251"/>
    <w:rsid w:val="05044491"/>
    <w:rsid w:val="050D4A26"/>
    <w:rsid w:val="05114196"/>
    <w:rsid w:val="051C411A"/>
    <w:rsid w:val="05289A4B"/>
    <w:rsid w:val="052FD8DB"/>
    <w:rsid w:val="05338082"/>
    <w:rsid w:val="053B0DA3"/>
    <w:rsid w:val="0543409A"/>
    <w:rsid w:val="0551A9CB"/>
    <w:rsid w:val="0551E68C"/>
    <w:rsid w:val="05550831"/>
    <w:rsid w:val="0555F261"/>
    <w:rsid w:val="055AFEDF"/>
    <w:rsid w:val="055D5405"/>
    <w:rsid w:val="055E2A4F"/>
    <w:rsid w:val="0566D130"/>
    <w:rsid w:val="056D2BB0"/>
    <w:rsid w:val="056F980C"/>
    <w:rsid w:val="05739B74"/>
    <w:rsid w:val="057BE198"/>
    <w:rsid w:val="0580428F"/>
    <w:rsid w:val="05846441"/>
    <w:rsid w:val="0584F5AB"/>
    <w:rsid w:val="05958C94"/>
    <w:rsid w:val="059A1A59"/>
    <w:rsid w:val="059DE230"/>
    <w:rsid w:val="05A5C3B1"/>
    <w:rsid w:val="05AA9C56"/>
    <w:rsid w:val="05ACE573"/>
    <w:rsid w:val="05B2D0FE"/>
    <w:rsid w:val="05B651A9"/>
    <w:rsid w:val="05B86AC0"/>
    <w:rsid w:val="05BB47B9"/>
    <w:rsid w:val="05BC8ECA"/>
    <w:rsid w:val="05BD007E"/>
    <w:rsid w:val="05BF0C09"/>
    <w:rsid w:val="05C745AD"/>
    <w:rsid w:val="05DD6289"/>
    <w:rsid w:val="05F579D3"/>
    <w:rsid w:val="0610A9C0"/>
    <w:rsid w:val="0622ED57"/>
    <w:rsid w:val="062372DA"/>
    <w:rsid w:val="062511B2"/>
    <w:rsid w:val="0625902E"/>
    <w:rsid w:val="0625E044"/>
    <w:rsid w:val="063DE1DF"/>
    <w:rsid w:val="063E7C81"/>
    <w:rsid w:val="0643CC03"/>
    <w:rsid w:val="06512BEB"/>
    <w:rsid w:val="06613848"/>
    <w:rsid w:val="06643A5E"/>
    <w:rsid w:val="066C11A5"/>
    <w:rsid w:val="066C35A0"/>
    <w:rsid w:val="066E5395"/>
    <w:rsid w:val="067782D4"/>
    <w:rsid w:val="067D1848"/>
    <w:rsid w:val="068024CA"/>
    <w:rsid w:val="0683F6BD"/>
    <w:rsid w:val="0689AAB5"/>
    <w:rsid w:val="068A7F06"/>
    <w:rsid w:val="068CA76B"/>
    <w:rsid w:val="06949D60"/>
    <w:rsid w:val="069B0A5F"/>
    <w:rsid w:val="06A295B3"/>
    <w:rsid w:val="06AD9D82"/>
    <w:rsid w:val="06B9A348"/>
    <w:rsid w:val="06BC88B5"/>
    <w:rsid w:val="06C292C9"/>
    <w:rsid w:val="06D6F1EB"/>
    <w:rsid w:val="06D96632"/>
    <w:rsid w:val="06F31F8A"/>
    <w:rsid w:val="06FFB95E"/>
    <w:rsid w:val="07036E40"/>
    <w:rsid w:val="07062C8F"/>
    <w:rsid w:val="070A9E9E"/>
    <w:rsid w:val="0724159D"/>
    <w:rsid w:val="072A305F"/>
    <w:rsid w:val="072AE57D"/>
    <w:rsid w:val="072FCA73"/>
    <w:rsid w:val="0730C8D3"/>
    <w:rsid w:val="0738DBD9"/>
    <w:rsid w:val="0748A231"/>
    <w:rsid w:val="07493D64"/>
    <w:rsid w:val="074E0EB6"/>
    <w:rsid w:val="074F0198"/>
    <w:rsid w:val="074FEA69"/>
    <w:rsid w:val="075D54C3"/>
    <w:rsid w:val="07650624"/>
    <w:rsid w:val="076AE609"/>
    <w:rsid w:val="0773ACE4"/>
    <w:rsid w:val="07855403"/>
    <w:rsid w:val="078A4098"/>
    <w:rsid w:val="078D8958"/>
    <w:rsid w:val="078EA238"/>
    <w:rsid w:val="0791058F"/>
    <w:rsid w:val="07A2D661"/>
    <w:rsid w:val="07A6385E"/>
    <w:rsid w:val="07A69EE1"/>
    <w:rsid w:val="07AAA397"/>
    <w:rsid w:val="07C5FC06"/>
    <w:rsid w:val="07CC03C7"/>
    <w:rsid w:val="07CE6C89"/>
    <w:rsid w:val="07D27EC7"/>
    <w:rsid w:val="07DDF828"/>
    <w:rsid w:val="07E4829E"/>
    <w:rsid w:val="07E6294D"/>
    <w:rsid w:val="07E8F08E"/>
    <w:rsid w:val="07F2D7E3"/>
    <w:rsid w:val="07F6C2AD"/>
    <w:rsid w:val="07F94EFD"/>
    <w:rsid w:val="08008CDA"/>
    <w:rsid w:val="0808B67C"/>
    <w:rsid w:val="08102B28"/>
    <w:rsid w:val="08181888"/>
    <w:rsid w:val="08223411"/>
    <w:rsid w:val="082B39BA"/>
    <w:rsid w:val="0832B745"/>
    <w:rsid w:val="083B0A77"/>
    <w:rsid w:val="0844C0AF"/>
    <w:rsid w:val="085BF94E"/>
    <w:rsid w:val="086D5E6F"/>
    <w:rsid w:val="087B5535"/>
    <w:rsid w:val="089AB37B"/>
    <w:rsid w:val="08B7F07B"/>
    <w:rsid w:val="08B96EBC"/>
    <w:rsid w:val="08CC5925"/>
    <w:rsid w:val="08E00D49"/>
    <w:rsid w:val="08ED7166"/>
    <w:rsid w:val="08F5AE0B"/>
    <w:rsid w:val="09016237"/>
    <w:rsid w:val="0912C30A"/>
    <w:rsid w:val="091618F3"/>
    <w:rsid w:val="091991B1"/>
    <w:rsid w:val="091DC96C"/>
    <w:rsid w:val="091F9D65"/>
    <w:rsid w:val="092D8B2B"/>
    <w:rsid w:val="09315D3D"/>
    <w:rsid w:val="093E90BB"/>
    <w:rsid w:val="09431990"/>
    <w:rsid w:val="09442D5C"/>
    <w:rsid w:val="09514C99"/>
    <w:rsid w:val="09569709"/>
    <w:rsid w:val="095B1C5C"/>
    <w:rsid w:val="0963A6C6"/>
    <w:rsid w:val="097318F7"/>
    <w:rsid w:val="0977C7AC"/>
    <w:rsid w:val="098052FF"/>
    <w:rsid w:val="0982C5A4"/>
    <w:rsid w:val="0992F0E6"/>
    <w:rsid w:val="0999DA0B"/>
    <w:rsid w:val="09A3FFEB"/>
    <w:rsid w:val="09A8F287"/>
    <w:rsid w:val="09AC2BE8"/>
    <w:rsid w:val="09B0012F"/>
    <w:rsid w:val="09B8D610"/>
    <w:rsid w:val="09BF90F7"/>
    <w:rsid w:val="09C0457A"/>
    <w:rsid w:val="09C2E4E7"/>
    <w:rsid w:val="09C427A9"/>
    <w:rsid w:val="09CB32FD"/>
    <w:rsid w:val="09E40827"/>
    <w:rsid w:val="09F3ECC2"/>
    <w:rsid w:val="0A045214"/>
    <w:rsid w:val="0A0D0819"/>
    <w:rsid w:val="0A0EC83B"/>
    <w:rsid w:val="0A14D2A5"/>
    <w:rsid w:val="0A260A22"/>
    <w:rsid w:val="0A319B72"/>
    <w:rsid w:val="0A352DF1"/>
    <w:rsid w:val="0A3AD3F5"/>
    <w:rsid w:val="0A4FE474"/>
    <w:rsid w:val="0A560747"/>
    <w:rsid w:val="0A594592"/>
    <w:rsid w:val="0A5D34AB"/>
    <w:rsid w:val="0A698374"/>
    <w:rsid w:val="0A6C2D95"/>
    <w:rsid w:val="0A6CCF7B"/>
    <w:rsid w:val="0A711206"/>
    <w:rsid w:val="0A795285"/>
    <w:rsid w:val="0A86CEB8"/>
    <w:rsid w:val="0A8A7319"/>
    <w:rsid w:val="0A8F60AF"/>
    <w:rsid w:val="0A908C32"/>
    <w:rsid w:val="0A927D2C"/>
    <w:rsid w:val="0A9362DD"/>
    <w:rsid w:val="0AA058DB"/>
    <w:rsid w:val="0AAB346A"/>
    <w:rsid w:val="0AB5108C"/>
    <w:rsid w:val="0AB7EBEC"/>
    <w:rsid w:val="0ABD4991"/>
    <w:rsid w:val="0AC50BBF"/>
    <w:rsid w:val="0AD636E3"/>
    <w:rsid w:val="0AE6CC87"/>
    <w:rsid w:val="0AEBD016"/>
    <w:rsid w:val="0AF2CE8F"/>
    <w:rsid w:val="0AF49BDE"/>
    <w:rsid w:val="0B00182B"/>
    <w:rsid w:val="0B0241AE"/>
    <w:rsid w:val="0B03C506"/>
    <w:rsid w:val="0B05CA4C"/>
    <w:rsid w:val="0B11CC15"/>
    <w:rsid w:val="0B146F82"/>
    <w:rsid w:val="0B18E20E"/>
    <w:rsid w:val="0B2EFAEA"/>
    <w:rsid w:val="0B572ADB"/>
    <w:rsid w:val="0B5E7AED"/>
    <w:rsid w:val="0B628AC5"/>
    <w:rsid w:val="0B6AFEF2"/>
    <w:rsid w:val="0B763DEE"/>
    <w:rsid w:val="0B76894F"/>
    <w:rsid w:val="0B868C3D"/>
    <w:rsid w:val="0B881863"/>
    <w:rsid w:val="0B8D86FB"/>
    <w:rsid w:val="0B8F9753"/>
    <w:rsid w:val="0B937022"/>
    <w:rsid w:val="0B98360D"/>
    <w:rsid w:val="0BA5805F"/>
    <w:rsid w:val="0BABAC9C"/>
    <w:rsid w:val="0BB17958"/>
    <w:rsid w:val="0BBDA4E6"/>
    <w:rsid w:val="0BDA4B52"/>
    <w:rsid w:val="0BEEE699"/>
    <w:rsid w:val="0BF50C10"/>
    <w:rsid w:val="0BF9D77B"/>
    <w:rsid w:val="0C034320"/>
    <w:rsid w:val="0C084186"/>
    <w:rsid w:val="0C1DAFC7"/>
    <w:rsid w:val="0C26CC91"/>
    <w:rsid w:val="0C28D825"/>
    <w:rsid w:val="0C35DDC3"/>
    <w:rsid w:val="0C368731"/>
    <w:rsid w:val="0C370246"/>
    <w:rsid w:val="0C3FEDED"/>
    <w:rsid w:val="0C471E07"/>
    <w:rsid w:val="0C4F0FED"/>
    <w:rsid w:val="0C4F6C36"/>
    <w:rsid w:val="0C51A812"/>
    <w:rsid w:val="0C5CF6A9"/>
    <w:rsid w:val="0C7F6F3B"/>
    <w:rsid w:val="0C89C1B6"/>
    <w:rsid w:val="0C8B5516"/>
    <w:rsid w:val="0C8E8E47"/>
    <w:rsid w:val="0C929DAD"/>
    <w:rsid w:val="0C93C789"/>
    <w:rsid w:val="0C957D88"/>
    <w:rsid w:val="0C9C332E"/>
    <w:rsid w:val="0C9D1CE5"/>
    <w:rsid w:val="0CA003E8"/>
    <w:rsid w:val="0CA31D35"/>
    <w:rsid w:val="0CA4EDA1"/>
    <w:rsid w:val="0CA77667"/>
    <w:rsid w:val="0CA99732"/>
    <w:rsid w:val="0CB71B30"/>
    <w:rsid w:val="0CBA8D3C"/>
    <w:rsid w:val="0CC13541"/>
    <w:rsid w:val="0CCF244D"/>
    <w:rsid w:val="0CDC0AB1"/>
    <w:rsid w:val="0CDF9B61"/>
    <w:rsid w:val="0CE1B271"/>
    <w:rsid w:val="0CE87AD0"/>
    <w:rsid w:val="0CFD1B93"/>
    <w:rsid w:val="0CFD67AA"/>
    <w:rsid w:val="0CFF9116"/>
    <w:rsid w:val="0D017DAE"/>
    <w:rsid w:val="0D0C7900"/>
    <w:rsid w:val="0D0FBC6F"/>
    <w:rsid w:val="0D0FE340"/>
    <w:rsid w:val="0D19243A"/>
    <w:rsid w:val="0D19AB92"/>
    <w:rsid w:val="0D287ED3"/>
    <w:rsid w:val="0D2C9FDF"/>
    <w:rsid w:val="0D39B6B0"/>
    <w:rsid w:val="0D436FDE"/>
    <w:rsid w:val="0D535D54"/>
    <w:rsid w:val="0D67F598"/>
    <w:rsid w:val="0D714748"/>
    <w:rsid w:val="0D76DF33"/>
    <w:rsid w:val="0D7E2BA7"/>
    <w:rsid w:val="0D861D9A"/>
    <w:rsid w:val="0D8F26FB"/>
    <w:rsid w:val="0D935721"/>
    <w:rsid w:val="0D95A7DC"/>
    <w:rsid w:val="0D96ADBE"/>
    <w:rsid w:val="0D988E37"/>
    <w:rsid w:val="0DA03E81"/>
    <w:rsid w:val="0DA49268"/>
    <w:rsid w:val="0DADD914"/>
    <w:rsid w:val="0DAE2662"/>
    <w:rsid w:val="0DAE8657"/>
    <w:rsid w:val="0DAF86A6"/>
    <w:rsid w:val="0DB58894"/>
    <w:rsid w:val="0DBB9AD4"/>
    <w:rsid w:val="0DC15BCC"/>
    <w:rsid w:val="0DC3417C"/>
    <w:rsid w:val="0DC84D18"/>
    <w:rsid w:val="0DC91F2E"/>
    <w:rsid w:val="0DC968B1"/>
    <w:rsid w:val="0DCA93F5"/>
    <w:rsid w:val="0DCFDD4E"/>
    <w:rsid w:val="0DD1179E"/>
    <w:rsid w:val="0DE2CB8A"/>
    <w:rsid w:val="0DE598EF"/>
    <w:rsid w:val="0DF8361E"/>
    <w:rsid w:val="0DFCCA01"/>
    <w:rsid w:val="0E006A0F"/>
    <w:rsid w:val="0E0E0746"/>
    <w:rsid w:val="0E11200F"/>
    <w:rsid w:val="0E18BA16"/>
    <w:rsid w:val="0E261A75"/>
    <w:rsid w:val="0E2B58D2"/>
    <w:rsid w:val="0E2BE583"/>
    <w:rsid w:val="0E2E6E0E"/>
    <w:rsid w:val="0E359329"/>
    <w:rsid w:val="0E37B633"/>
    <w:rsid w:val="0E439828"/>
    <w:rsid w:val="0E4A8316"/>
    <w:rsid w:val="0E4AA8A7"/>
    <w:rsid w:val="0E565842"/>
    <w:rsid w:val="0E56EEFA"/>
    <w:rsid w:val="0E5F79F2"/>
    <w:rsid w:val="0E606EDE"/>
    <w:rsid w:val="0E6F0712"/>
    <w:rsid w:val="0E7208DA"/>
    <w:rsid w:val="0E7580B9"/>
    <w:rsid w:val="0E75B736"/>
    <w:rsid w:val="0E760A8D"/>
    <w:rsid w:val="0E819125"/>
    <w:rsid w:val="0E82E791"/>
    <w:rsid w:val="0E8329A5"/>
    <w:rsid w:val="0E851FA5"/>
    <w:rsid w:val="0E8564BD"/>
    <w:rsid w:val="0E85D363"/>
    <w:rsid w:val="0E966B8F"/>
    <w:rsid w:val="0EA00F2F"/>
    <w:rsid w:val="0EAB6910"/>
    <w:rsid w:val="0ED0328C"/>
    <w:rsid w:val="0ED10602"/>
    <w:rsid w:val="0ED58711"/>
    <w:rsid w:val="0EEFE285"/>
    <w:rsid w:val="0EF87DE4"/>
    <w:rsid w:val="0F068ACA"/>
    <w:rsid w:val="0F0CD7EF"/>
    <w:rsid w:val="0F15030F"/>
    <w:rsid w:val="0F20F4FD"/>
    <w:rsid w:val="0F23C657"/>
    <w:rsid w:val="0F339BF9"/>
    <w:rsid w:val="0F37FB73"/>
    <w:rsid w:val="0F38825D"/>
    <w:rsid w:val="0F44A713"/>
    <w:rsid w:val="0F5483B5"/>
    <w:rsid w:val="0F55738B"/>
    <w:rsid w:val="0F576B35"/>
    <w:rsid w:val="0F5D0209"/>
    <w:rsid w:val="0F78C365"/>
    <w:rsid w:val="0F7A0311"/>
    <w:rsid w:val="0F7E512E"/>
    <w:rsid w:val="0F802D80"/>
    <w:rsid w:val="0F85525A"/>
    <w:rsid w:val="0F88EC00"/>
    <w:rsid w:val="0F8B9F59"/>
    <w:rsid w:val="0F90618E"/>
    <w:rsid w:val="0FA114C5"/>
    <w:rsid w:val="0FAC7393"/>
    <w:rsid w:val="0FAD6095"/>
    <w:rsid w:val="0FAEE2D0"/>
    <w:rsid w:val="0FB397C3"/>
    <w:rsid w:val="0FB3A4C3"/>
    <w:rsid w:val="0FB43E3E"/>
    <w:rsid w:val="0FB5A384"/>
    <w:rsid w:val="0FB7E499"/>
    <w:rsid w:val="0FBC6CB9"/>
    <w:rsid w:val="0FC053C4"/>
    <w:rsid w:val="0FDDF7CF"/>
    <w:rsid w:val="0FE95A56"/>
    <w:rsid w:val="0FEF80D8"/>
    <w:rsid w:val="100653EA"/>
    <w:rsid w:val="1006D55D"/>
    <w:rsid w:val="1009E47B"/>
    <w:rsid w:val="100C3199"/>
    <w:rsid w:val="100C82BA"/>
    <w:rsid w:val="100D1E22"/>
    <w:rsid w:val="1010956E"/>
    <w:rsid w:val="10168134"/>
    <w:rsid w:val="10193185"/>
    <w:rsid w:val="101CE7B9"/>
    <w:rsid w:val="10270F6B"/>
    <w:rsid w:val="10312493"/>
    <w:rsid w:val="1032D3A3"/>
    <w:rsid w:val="1056B9FA"/>
    <w:rsid w:val="105EF8CE"/>
    <w:rsid w:val="106EBBA8"/>
    <w:rsid w:val="107C0FCF"/>
    <w:rsid w:val="1089809F"/>
    <w:rsid w:val="1089DB7F"/>
    <w:rsid w:val="108F57A7"/>
    <w:rsid w:val="10BE038C"/>
    <w:rsid w:val="10C74C41"/>
    <w:rsid w:val="10CDE048"/>
    <w:rsid w:val="10CEF85C"/>
    <w:rsid w:val="10CF68E3"/>
    <w:rsid w:val="10D1ADD4"/>
    <w:rsid w:val="10D6385A"/>
    <w:rsid w:val="10D8B33F"/>
    <w:rsid w:val="10D94F05"/>
    <w:rsid w:val="10DBB27D"/>
    <w:rsid w:val="10DBF0DF"/>
    <w:rsid w:val="10DD0F59"/>
    <w:rsid w:val="10EE1A7C"/>
    <w:rsid w:val="10F23C61"/>
    <w:rsid w:val="10F24008"/>
    <w:rsid w:val="10F73663"/>
    <w:rsid w:val="10F8D309"/>
    <w:rsid w:val="1107E1E4"/>
    <w:rsid w:val="1108A176"/>
    <w:rsid w:val="11097F6A"/>
    <w:rsid w:val="11154B76"/>
    <w:rsid w:val="111E974F"/>
    <w:rsid w:val="1123861E"/>
    <w:rsid w:val="1124547C"/>
    <w:rsid w:val="112D2532"/>
    <w:rsid w:val="113604D9"/>
    <w:rsid w:val="113D8403"/>
    <w:rsid w:val="11475EF3"/>
    <w:rsid w:val="115B8A95"/>
    <w:rsid w:val="115DCE40"/>
    <w:rsid w:val="116A61CF"/>
    <w:rsid w:val="116AC3B8"/>
    <w:rsid w:val="116CA894"/>
    <w:rsid w:val="116DFC24"/>
    <w:rsid w:val="116F2E6A"/>
    <w:rsid w:val="1170BDC9"/>
    <w:rsid w:val="11739BA4"/>
    <w:rsid w:val="1180522B"/>
    <w:rsid w:val="119074DE"/>
    <w:rsid w:val="119467EC"/>
    <w:rsid w:val="11A7941F"/>
    <w:rsid w:val="11AE4D54"/>
    <w:rsid w:val="11B5EB48"/>
    <w:rsid w:val="11B97767"/>
    <w:rsid w:val="11BA507C"/>
    <w:rsid w:val="11D021DE"/>
    <w:rsid w:val="11DD0815"/>
    <w:rsid w:val="11E545F9"/>
    <w:rsid w:val="11EC4F32"/>
    <w:rsid w:val="11EFB693"/>
    <w:rsid w:val="11F160BA"/>
    <w:rsid w:val="11F759E7"/>
    <w:rsid w:val="11FA992F"/>
    <w:rsid w:val="11FFC9F3"/>
    <w:rsid w:val="1201B25F"/>
    <w:rsid w:val="1201E4F6"/>
    <w:rsid w:val="12196ABD"/>
    <w:rsid w:val="12262E4E"/>
    <w:rsid w:val="123927FA"/>
    <w:rsid w:val="1240927A"/>
    <w:rsid w:val="124E9337"/>
    <w:rsid w:val="1251E43D"/>
    <w:rsid w:val="125BD189"/>
    <w:rsid w:val="12609E78"/>
    <w:rsid w:val="12731FD9"/>
    <w:rsid w:val="1277FE06"/>
    <w:rsid w:val="127EE298"/>
    <w:rsid w:val="12814A37"/>
    <w:rsid w:val="1283DFE5"/>
    <w:rsid w:val="1286FED6"/>
    <w:rsid w:val="128758C1"/>
    <w:rsid w:val="12954D7B"/>
    <w:rsid w:val="129B3213"/>
    <w:rsid w:val="12A07CF3"/>
    <w:rsid w:val="12A0CA9E"/>
    <w:rsid w:val="12A930E0"/>
    <w:rsid w:val="12AD98B0"/>
    <w:rsid w:val="12BA5873"/>
    <w:rsid w:val="12C4484D"/>
    <w:rsid w:val="12C4C49C"/>
    <w:rsid w:val="12D9B667"/>
    <w:rsid w:val="12EACBBE"/>
    <w:rsid w:val="12EBAEE1"/>
    <w:rsid w:val="12F18035"/>
    <w:rsid w:val="12F201B3"/>
    <w:rsid w:val="12F57032"/>
    <w:rsid w:val="12F90863"/>
    <w:rsid w:val="12FC9A13"/>
    <w:rsid w:val="12FD71AF"/>
    <w:rsid w:val="1303FCA8"/>
    <w:rsid w:val="130F1086"/>
    <w:rsid w:val="13137169"/>
    <w:rsid w:val="13152FB5"/>
    <w:rsid w:val="131DC0E3"/>
    <w:rsid w:val="133425CB"/>
    <w:rsid w:val="133A46BC"/>
    <w:rsid w:val="1340CB4C"/>
    <w:rsid w:val="1343B395"/>
    <w:rsid w:val="1343F1C7"/>
    <w:rsid w:val="13457FF2"/>
    <w:rsid w:val="1345DE5D"/>
    <w:rsid w:val="134960AA"/>
    <w:rsid w:val="134A9F74"/>
    <w:rsid w:val="135058C7"/>
    <w:rsid w:val="13559231"/>
    <w:rsid w:val="1364B252"/>
    <w:rsid w:val="1370199F"/>
    <w:rsid w:val="1372D860"/>
    <w:rsid w:val="137DCB0B"/>
    <w:rsid w:val="1383050F"/>
    <w:rsid w:val="13880361"/>
    <w:rsid w:val="138BA6F4"/>
    <w:rsid w:val="139C427F"/>
    <w:rsid w:val="139D8493"/>
    <w:rsid w:val="139DBA6F"/>
    <w:rsid w:val="13A50D2A"/>
    <w:rsid w:val="13B887E6"/>
    <w:rsid w:val="13BA41E8"/>
    <w:rsid w:val="13BE186D"/>
    <w:rsid w:val="13CC509B"/>
    <w:rsid w:val="13D3420B"/>
    <w:rsid w:val="13D5B17B"/>
    <w:rsid w:val="13D95D31"/>
    <w:rsid w:val="13DB18C5"/>
    <w:rsid w:val="13E64E03"/>
    <w:rsid w:val="13ED51B6"/>
    <w:rsid w:val="13ED5896"/>
    <w:rsid w:val="13EF1983"/>
    <w:rsid w:val="13F4DE58"/>
    <w:rsid w:val="13FC0CF4"/>
    <w:rsid w:val="140BFCEB"/>
    <w:rsid w:val="1412127B"/>
    <w:rsid w:val="141607D4"/>
    <w:rsid w:val="14194335"/>
    <w:rsid w:val="14241440"/>
    <w:rsid w:val="142F5F2F"/>
    <w:rsid w:val="14319940"/>
    <w:rsid w:val="14339EEB"/>
    <w:rsid w:val="14353C9F"/>
    <w:rsid w:val="14393DCA"/>
    <w:rsid w:val="144D1AD5"/>
    <w:rsid w:val="144F75EA"/>
    <w:rsid w:val="1452F100"/>
    <w:rsid w:val="1453792B"/>
    <w:rsid w:val="145628D4"/>
    <w:rsid w:val="145876AA"/>
    <w:rsid w:val="1458D7F4"/>
    <w:rsid w:val="145A0436"/>
    <w:rsid w:val="145A7FD4"/>
    <w:rsid w:val="145C8BBC"/>
    <w:rsid w:val="1460EB03"/>
    <w:rsid w:val="1469D0F8"/>
    <w:rsid w:val="147F990F"/>
    <w:rsid w:val="148259F4"/>
    <w:rsid w:val="148A1118"/>
    <w:rsid w:val="149A45B9"/>
    <w:rsid w:val="14A53C5C"/>
    <w:rsid w:val="14A59CE6"/>
    <w:rsid w:val="14AC1DF5"/>
    <w:rsid w:val="14B52805"/>
    <w:rsid w:val="14BCEAE4"/>
    <w:rsid w:val="14C145B4"/>
    <w:rsid w:val="14D48EBA"/>
    <w:rsid w:val="14D82AF7"/>
    <w:rsid w:val="14D8BF09"/>
    <w:rsid w:val="14DB706F"/>
    <w:rsid w:val="14E18298"/>
    <w:rsid w:val="14E9A684"/>
    <w:rsid w:val="14F011DC"/>
    <w:rsid w:val="14F1E081"/>
    <w:rsid w:val="14F6326C"/>
    <w:rsid w:val="1501F7F9"/>
    <w:rsid w:val="1509F91F"/>
    <w:rsid w:val="150E5C60"/>
    <w:rsid w:val="15152753"/>
    <w:rsid w:val="1518CC31"/>
    <w:rsid w:val="151ACE54"/>
    <w:rsid w:val="1524BD77"/>
    <w:rsid w:val="152AD8D0"/>
    <w:rsid w:val="1531927F"/>
    <w:rsid w:val="1531F48E"/>
    <w:rsid w:val="153507EF"/>
    <w:rsid w:val="153F8C83"/>
    <w:rsid w:val="154696E0"/>
    <w:rsid w:val="154A67D2"/>
    <w:rsid w:val="15551680"/>
    <w:rsid w:val="1563F8B8"/>
    <w:rsid w:val="15651BB6"/>
    <w:rsid w:val="157405D2"/>
    <w:rsid w:val="15781CF5"/>
    <w:rsid w:val="157A9AB6"/>
    <w:rsid w:val="158DA4CE"/>
    <w:rsid w:val="159BB098"/>
    <w:rsid w:val="15B0D73C"/>
    <w:rsid w:val="15B81B18"/>
    <w:rsid w:val="15C41A1F"/>
    <w:rsid w:val="15D5DBE3"/>
    <w:rsid w:val="15DD9964"/>
    <w:rsid w:val="15E6A205"/>
    <w:rsid w:val="15E710E1"/>
    <w:rsid w:val="15EF8264"/>
    <w:rsid w:val="15FB67C8"/>
    <w:rsid w:val="15FEC42B"/>
    <w:rsid w:val="16016DFE"/>
    <w:rsid w:val="1602C625"/>
    <w:rsid w:val="1611E869"/>
    <w:rsid w:val="16155F11"/>
    <w:rsid w:val="161BB517"/>
    <w:rsid w:val="161C69C9"/>
    <w:rsid w:val="16234F5D"/>
    <w:rsid w:val="16238705"/>
    <w:rsid w:val="16271649"/>
    <w:rsid w:val="162B66BD"/>
    <w:rsid w:val="16319E00"/>
    <w:rsid w:val="1631DA9D"/>
    <w:rsid w:val="16351271"/>
    <w:rsid w:val="164A0CC4"/>
    <w:rsid w:val="1656021D"/>
    <w:rsid w:val="165FB470"/>
    <w:rsid w:val="1660F09A"/>
    <w:rsid w:val="167518BC"/>
    <w:rsid w:val="167565FF"/>
    <w:rsid w:val="1675CE23"/>
    <w:rsid w:val="167B5457"/>
    <w:rsid w:val="16895EF5"/>
    <w:rsid w:val="168A864A"/>
    <w:rsid w:val="1692DC80"/>
    <w:rsid w:val="169D0A13"/>
    <w:rsid w:val="16AA3AC3"/>
    <w:rsid w:val="16BAD12C"/>
    <w:rsid w:val="16BD8E8E"/>
    <w:rsid w:val="16C00680"/>
    <w:rsid w:val="16C96ED1"/>
    <w:rsid w:val="16D40B3B"/>
    <w:rsid w:val="16D4B7FA"/>
    <w:rsid w:val="16E12668"/>
    <w:rsid w:val="16E18B98"/>
    <w:rsid w:val="16E1AA04"/>
    <w:rsid w:val="16E54573"/>
    <w:rsid w:val="16F87F40"/>
    <w:rsid w:val="16FBCC0C"/>
    <w:rsid w:val="1701B92E"/>
    <w:rsid w:val="1705A7A5"/>
    <w:rsid w:val="1708A12E"/>
    <w:rsid w:val="170B5FA9"/>
    <w:rsid w:val="170CAC7D"/>
    <w:rsid w:val="170CB3EE"/>
    <w:rsid w:val="170F780A"/>
    <w:rsid w:val="1710FDF3"/>
    <w:rsid w:val="171743E7"/>
    <w:rsid w:val="171EA399"/>
    <w:rsid w:val="1726923A"/>
    <w:rsid w:val="172DE4F6"/>
    <w:rsid w:val="172E63E7"/>
    <w:rsid w:val="172F20BB"/>
    <w:rsid w:val="1732E35C"/>
    <w:rsid w:val="17339CEC"/>
    <w:rsid w:val="1738747E"/>
    <w:rsid w:val="173D6EA4"/>
    <w:rsid w:val="17451781"/>
    <w:rsid w:val="174A295B"/>
    <w:rsid w:val="176E7848"/>
    <w:rsid w:val="1771130F"/>
    <w:rsid w:val="17720436"/>
    <w:rsid w:val="178BABEF"/>
    <w:rsid w:val="178DC996"/>
    <w:rsid w:val="179F9030"/>
    <w:rsid w:val="17A68C8D"/>
    <w:rsid w:val="17B3F8C1"/>
    <w:rsid w:val="17B9FA35"/>
    <w:rsid w:val="17C2997D"/>
    <w:rsid w:val="17D9C695"/>
    <w:rsid w:val="17E1A0D6"/>
    <w:rsid w:val="17E60E91"/>
    <w:rsid w:val="17EA164F"/>
    <w:rsid w:val="18110884"/>
    <w:rsid w:val="181173F5"/>
    <w:rsid w:val="18156B78"/>
    <w:rsid w:val="1818F115"/>
    <w:rsid w:val="182CD161"/>
    <w:rsid w:val="1847EDE4"/>
    <w:rsid w:val="184880A7"/>
    <w:rsid w:val="184ACD94"/>
    <w:rsid w:val="184B1EB8"/>
    <w:rsid w:val="185232B4"/>
    <w:rsid w:val="185A637B"/>
    <w:rsid w:val="186428D1"/>
    <w:rsid w:val="1866C0BC"/>
    <w:rsid w:val="1868A372"/>
    <w:rsid w:val="186A92CF"/>
    <w:rsid w:val="186CFCCB"/>
    <w:rsid w:val="186FBEBC"/>
    <w:rsid w:val="186FC9EA"/>
    <w:rsid w:val="1871E7DD"/>
    <w:rsid w:val="1874FF3E"/>
    <w:rsid w:val="18803E84"/>
    <w:rsid w:val="1892EC77"/>
    <w:rsid w:val="18AA57CE"/>
    <w:rsid w:val="18B018C8"/>
    <w:rsid w:val="18C27207"/>
    <w:rsid w:val="18C73BEC"/>
    <w:rsid w:val="18CFAD0B"/>
    <w:rsid w:val="18D444DF"/>
    <w:rsid w:val="18DD605A"/>
    <w:rsid w:val="18DE98DF"/>
    <w:rsid w:val="18E2632E"/>
    <w:rsid w:val="18E39643"/>
    <w:rsid w:val="18E62EB3"/>
    <w:rsid w:val="18EB4CC5"/>
    <w:rsid w:val="18FCC86F"/>
    <w:rsid w:val="1904DDFC"/>
    <w:rsid w:val="1904E395"/>
    <w:rsid w:val="190ADB25"/>
    <w:rsid w:val="190D1CB3"/>
    <w:rsid w:val="190D56B5"/>
    <w:rsid w:val="19120A59"/>
    <w:rsid w:val="1915A3CC"/>
    <w:rsid w:val="191BB109"/>
    <w:rsid w:val="1921EEA4"/>
    <w:rsid w:val="192FFBC1"/>
    <w:rsid w:val="194B7F24"/>
    <w:rsid w:val="195590C2"/>
    <w:rsid w:val="19563130"/>
    <w:rsid w:val="195EC056"/>
    <w:rsid w:val="196310D6"/>
    <w:rsid w:val="196C57B3"/>
    <w:rsid w:val="1970AB39"/>
    <w:rsid w:val="198846E0"/>
    <w:rsid w:val="198D0731"/>
    <w:rsid w:val="198DA2DF"/>
    <w:rsid w:val="19A071EC"/>
    <w:rsid w:val="19AD54CD"/>
    <w:rsid w:val="19B084D0"/>
    <w:rsid w:val="19B65519"/>
    <w:rsid w:val="19C59E08"/>
    <w:rsid w:val="19CE79AD"/>
    <w:rsid w:val="19D0BEAD"/>
    <w:rsid w:val="19D641D5"/>
    <w:rsid w:val="19E059DD"/>
    <w:rsid w:val="19E1AF66"/>
    <w:rsid w:val="19E298BF"/>
    <w:rsid w:val="19EDBAA8"/>
    <w:rsid w:val="19F4DCDA"/>
    <w:rsid w:val="19F62CFD"/>
    <w:rsid w:val="19F9A550"/>
    <w:rsid w:val="1A03816A"/>
    <w:rsid w:val="1A1967D9"/>
    <w:rsid w:val="1A20A62D"/>
    <w:rsid w:val="1A22148B"/>
    <w:rsid w:val="1A27DF2E"/>
    <w:rsid w:val="1A29B6F7"/>
    <w:rsid w:val="1A30B753"/>
    <w:rsid w:val="1A444D3F"/>
    <w:rsid w:val="1A4BCB5B"/>
    <w:rsid w:val="1A512B46"/>
    <w:rsid w:val="1A5550CC"/>
    <w:rsid w:val="1A5DD045"/>
    <w:rsid w:val="1A68CBA6"/>
    <w:rsid w:val="1A6D3229"/>
    <w:rsid w:val="1A6F3F2D"/>
    <w:rsid w:val="1A7050FA"/>
    <w:rsid w:val="1A706098"/>
    <w:rsid w:val="1A73E50F"/>
    <w:rsid w:val="1A7729B3"/>
    <w:rsid w:val="1A894485"/>
    <w:rsid w:val="1A988F01"/>
    <w:rsid w:val="1A98B8B0"/>
    <w:rsid w:val="1AAA11B5"/>
    <w:rsid w:val="1ABEE073"/>
    <w:rsid w:val="1AC29572"/>
    <w:rsid w:val="1AC87714"/>
    <w:rsid w:val="1ACC097D"/>
    <w:rsid w:val="1ACDD3E9"/>
    <w:rsid w:val="1ACF0C2B"/>
    <w:rsid w:val="1AD79450"/>
    <w:rsid w:val="1AD8190F"/>
    <w:rsid w:val="1ADC5108"/>
    <w:rsid w:val="1ADE4073"/>
    <w:rsid w:val="1AE4765C"/>
    <w:rsid w:val="1AEDACA5"/>
    <w:rsid w:val="1AEDFF7D"/>
    <w:rsid w:val="1AEE3D76"/>
    <w:rsid w:val="1AF47B9E"/>
    <w:rsid w:val="1AFD26D8"/>
    <w:rsid w:val="1AFFAEE1"/>
    <w:rsid w:val="1B051691"/>
    <w:rsid w:val="1B11C206"/>
    <w:rsid w:val="1B17F0D8"/>
    <w:rsid w:val="1B33C301"/>
    <w:rsid w:val="1B391B28"/>
    <w:rsid w:val="1B40DB97"/>
    <w:rsid w:val="1B450D4F"/>
    <w:rsid w:val="1B49C5AB"/>
    <w:rsid w:val="1B534669"/>
    <w:rsid w:val="1B5669D2"/>
    <w:rsid w:val="1B6F315F"/>
    <w:rsid w:val="1B7893BE"/>
    <w:rsid w:val="1B7F7AC6"/>
    <w:rsid w:val="1B8CA7C1"/>
    <w:rsid w:val="1B9377A3"/>
    <w:rsid w:val="1B95D77F"/>
    <w:rsid w:val="1B9C90AC"/>
    <w:rsid w:val="1B9F51CB"/>
    <w:rsid w:val="1BCAB6BE"/>
    <w:rsid w:val="1BDD5158"/>
    <w:rsid w:val="1BE4CEAA"/>
    <w:rsid w:val="1BF33A90"/>
    <w:rsid w:val="1BF45901"/>
    <w:rsid w:val="1C08A15D"/>
    <w:rsid w:val="1C0C9477"/>
    <w:rsid w:val="1C1AD9C3"/>
    <w:rsid w:val="1C1EE69A"/>
    <w:rsid w:val="1C2E72E2"/>
    <w:rsid w:val="1C301D48"/>
    <w:rsid w:val="1C36ACB0"/>
    <w:rsid w:val="1C38361C"/>
    <w:rsid w:val="1C39A278"/>
    <w:rsid w:val="1C40B5B8"/>
    <w:rsid w:val="1C4362A9"/>
    <w:rsid w:val="1C437297"/>
    <w:rsid w:val="1C4EE8E0"/>
    <w:rsid w:val="1C54311A"/>
    <w:rsid w:val="1C55E45D"/>
    <w:rsid w:val="1C57CCFC"/>
    <w:rsid w:val="1C5FD2A2"/>
    <w:rsid w:val="1C5FFE0A"/>
    <w:rsid w:val="1C70E2E3"/>
    <w:rsid w:val="1C735A3C"/>
    <w:rsid w:val="1C770FB4"/>
    <w:rsid w:val="1C7DD2CB"/>
    <w:rsid w:val="1C7E52EF"/>
    <w:rsid w:val="1C8AB341"/>
    <w:rsid w:val="1C9D59EF"/>
    <w:rsid w:val="1CA9C701"/>
    <w:rsid w:val="1CB3E1EA"/>
    <w:rsid w:val="1CB834AD"/>
    <w:rsid w:val="1CE6355C"/>
    <w:rsid w:val="1CEA1AA4"/>
    <w:rsid w:val="1CECD9DB"/>
    <w:rsid w:val="1CF222B1"/>
    <w:rsid w:val="1CF67F3E"/>
    <w:rsid w:val="1CF8335E"/>
    <w:rsid w:val="1CFA1930"/>
    <w:rsid w:val="1D07FA47"/>
    <w:rsid w:val="1D17AE97"/>
    <w:rsid w:val="1D18D6CD"/>
    <w:rsid w:val="1D1965F2"/>
    <w:rsid w:val="1D2635BB"/>
    <w:rsid w:val="1D2876C6"/>
    <w:rsid w:val="1D29E755"/>
    <w:rsid w:val="1D2D2A74"/>
    <w:rsid w:val="1D2DCDBF"/>
    <w:rsid w:val="1D363142"/>
    <w:rsid w:val="1D38DE6F"/>
    <w:rsid w:val="1D3B0BBE"/>
    <w:rsid w:val="1D3D8DD3"/>
    <w:rsid w:val="1D46172E"/>
    <w:rsid w:val="1D47B56C"/>
    <w:rsid w:val="1D5579B7"/>
    <w:rsid w:val="1D56C9AA"/>
    <w:rsid w:val="1D809F0B"/>
    <w:rsid w:val="1D85E198"/>
    <w:rsid w:val="1D8637AE"/>
    <w:rsid w:val="1D8699B4"/>
    <w:rsid w:val="1D89AEB5"/>
    <w:rsid w:val="1D89DF39"/>
    <w:rsid w:val="1D9445C9"/>
    <w:rsid w:val="1D9589A4"/>
    <w:rsid w:val="1D98885B"/>
    <w:rsid w:val="1D99556F"/>
    <w:rsid w:val="1D9D267A"/>
    <w:rsid w:val="1DA060D7"/>
    <w:rsid w:val="1DA71A5F"/>
    <w:rsid w:val="1DA95930"/>
    <w:rsid w:val="1DC59C08"/>
    <w:rsid w:val="1DC72F3A"/>
    <w:rsid w:val="1DC9393A"/>
    <w:rsid w:val="1DCD213C"/>
    <w:rsid w:val="1DD50EAC"/>
    <w:rsid w:val="1DD70070"/>
    <w:rsid w:val="1DD9B4FB"/>
    <w:rsid w:val="1DE170FF"/>
    <w:rsid w:val="1DE8CC4F"/>
    <w:rsid w:val="1DF4B4BC"/>
    <w:rsid w:val="1DFEDD1D"/>
    <w:rsid w:val="1E1A9BE1"/>
    <w:rsid w:val="1E2566FC"/>
    <w:rsid w:val="1E275CDF"/>
    <w:rsid w:val="1E2BDA61"/>
    <w:rsid w:val="1E3338F0"/>
    <w:rsid w:val="1E395D59"/>
    <w:rsid w:val="1E39702B"/>
    <w:rsid w:val="1E3CEC82"/>
    <w:rsid w:val="1E402456"/>
    <w:rsid w:val="1E430EF0"/>
    <w:rsid w:val="1E43D756"/>
    <w:rsid w:val="1E442EF0"/>
    <w:rsid w:val="1E4AD5A4"/>
    <w:rsid w:val="1E4B5799"/>
    <w:rsid w:val="1E532D1F"/>
    <w:rsid w:val="1E53DD54"/>
    <w:rsid w:val="1E5FB509"/>
    <w:rsid w:val="1E60EF64"/>
    <w:rsid w:val="1E658A05"/>
    <w:rsid w:val="1E68C4A0"/>
    <w:rsid w:val="1E6E8BCC"/>
    <w:rsid w:val="1E8A4F29"/>
    <w:rsid w:val="1E8AC1FC"/>
    <w:rsid w:val="1E8ACF9C"/>
    <w:rsid w:val="1E99DCDE"/>
    <w:rsid w:val="1E9D759A"/>
    <w:rsid w:val="1EA0F110"/>
    <w:rsid w:val="1EA19AF3"/>
    <w:rsid w:val="1EAF171A"/>
    <w:rsid w:val="1EB2D23B"/>
    <w:rsid w:val="1EB9DD8E"/>
    <w:rsid w:val="1EBBC1FF"/>
    <w:rsid w:val="1EBED24F"/>
    <w:rsid w:val="1EC547EC"/>
    <w:rsid w:val="1EC94CB1"/>
    <w:rsid w:val="1ECF88E1"/>
    <w:rsid w:val="1ED0F486"/>
    <w:rsid w:val="1EDF7E65"/>
    <w:rsid w:val="1EE075A9"/>
    <w:rsid w:val="1EE35698"/>
    <w:rsid w:val="1EE643D5"/>
    <w:rsid w:val="1EEBC6A4"/>
    <w:rsid w:val="1EED5695"/>
    <w:rsid w:val="1EF0AC70"/>
    <w:rsid w:val="1EF5B595"/>
    <w:rsid w:val="1EF9AE91"/>
    <w:rsid w:val="1EFB94D0"/>
    <w:rsid w:val="1F078C25"/>
    <w:rsid w:val="1F0C33DE"/>
    <w:rsid w:val="1F1D38D3"/>
    <w:rsid w:val="1F257F41"/>
    <w:rsid w:val="1F2C2428"/>
    <w:rsid w:val="1F35D641"/>
    <w:rsid w:val="1F3854CB"/>
    <w:rsid w:val="1F452991"/>
    <w:rsid w:val="1F499C5C"/>
    <w:rsid w:val="1F5403EE"/>
    <w:rsid w:val="1F606FE1"/>
    <w:rsid w:val="1F61CE27"/>
    <w:rsid w:val="1F6478CB"/>
    <w:rsid w:val="1F87F91B"/>
    <w:rsid w:val="1F8CF556"/>
    <w:rsid w:val="1F918934"/>
    <w:rsid w:val="1F93F3C3"/>
    <w:rsid w:val="1FA0524C"/>
    <w:rsid w:val="1FA24C98"/>
    <w:rsid w:val="1FA3BFC1"/>
    <w:rsid w:val="1FA90F9B"/>
    <w:rsid w:val="1FAE7D99"/>
    <w:rsid w:val="1FB2A83E"/>
    <w:rsid w:val="1FB8521B"/>
    <w:rsid w:val="1FC273C9"/>
    <w:rsid w:val="1FC2E2A7"/>
    <w:rsid w:val="1FC46EFB"/>
    <w:rsid w:val="1FD7DCB9"/>
    <w:rsid w:val="1FDC4031"/>
    <w:rsid w:val="1FE36254"/>
    <w:rsid w:val="1FE3BC06"/>
    <w:rsid w:val="1FE4A203"/>
    <w:rsid w:val="1FEEE405"/>
    <w:rsid w:val="1FEEFDF8"/>
    <w:rsid w:val="1FF5E662"/>
    <w:rsid w:val="1FFCE463"/>
    <w:rsid w:val="1FFF7EA7"/>
    <w:rsid w:val="20005057"/>
    <w:rsid w:val="20051AD4"/>
    <w:rsid w:val="20071227"/>
    <w:rsid w:val="2012808F"/>
    <w:rsid w:val="201551E9"/>
    <w:rsid w:val="2015D4BE"/>
    <w:rsid w:val="20202E29"/>
    <w:rsid w:val="20209D1B"/>
    <w:rsid w:val="2020A444"/>
    <w:rsid w:val="202BB941"/>
    <w:rsid w:val="202E0D3F"/>
    <w:rsid w:val="20303952"/>
    <w:rsid w:val="20393E49"/>
    <w:rsid w:val="2047E195"/>
    <w:rsid w:val="204C1FB2"/>
    <w:rsid w:val="204EBA16"/>
    <w:rsid w:val="205A4B3D"/>
    <w:rsid w:val="20600BF3"/>
    <w:rsid w:val="20630FB0"/>
    <w:rsid w:val="2064885E"/>
    <w:rsid w:val="207532CC"/>
    <w:rsid w:val="208154D0"/>
    <w:rsid w:val="20885D09"/>
    <w:rsid w:val="208CEFBC"/>
    <w:rsid w:val="20918F2B"/>
    <w:rsid w:val="209648AB"/>
    <w:rsid w:val="2096C72A"/>
    <w:rsid w:val="209AD7F3"/>
    <w:rsid w:val="209F61CC"/>
    <w:rsid w:val="20AB4E60"/>
    <w:rsid w:val="20B17889"/>
    <w:rsid w:val="20B2993F"/>
    <w:rsid w:val="20B37B63"/>
    <w:rsid w:val="20B62044"/>
    <w:rsid w:val="20BA2626"/>
    <w:rsid w:val="20C5B3A5"/>
    <w:rsid w:val="20C91577"/>
    <w:rsid w:val="20CACA2D"/>
    <w:rsid w:val="20D39E6E"/>
    <w:rsid w:val="20D3A2D3"/>
    <w:rsid w:val="20DABEF0"/>
    <w:rsid w:val="20DB80C7"/>
    <w:rsid w:val="20DB9C99"/>
    <w:rsid w:val="20E0EC37"/>
    <w:rsid w:val="20E1AAAC"/>
    <w:rsid w:val="20E8F42B"/>
    <w:rsid w:val="20ECE4DB"/>
    <w:rsid w:val="20F331C1"/>
    <w:rsid w:val="20FF4FD5"/>
    <w:rsid w:val="210153CE"/>
    <w:rsid w:val="21038B26"/>
    <w:rsid w:val="2110D9F2"/>
    <w:rsid w:val="21144F0C"/>
    <w:rsid w:val="2116E3BA"/>
    <w:rsid w:val="211F5EE1"/>
    <w:rsid w:val="2126BA48"/>
    <w:rsid w:val="2129DCD0"/>
    <w:rsid w:val="2136CB6E"/>
    <w:rsid w:val="21392683"/>
    <w:rsid w:val="213979BE"/>
    <w:rsid w:val="213B8B72"/>
    <w:rsid w:val="21424612"/>
    <w:rsid w:val="214C47E6"/>
    <w:rsid w:val="21535F75"/>
    <w:rsid w:val="2156D65E"/>
    <w:rsid w:val="2159BB54"/>
    <w:rsid w:val="215A7845"/>
    <w:rsid w:val="215A7EB0"/>
    <w:rsid w:val="215CFFAC"/>
    <w:rsid w:val="21639128"/>
    <w:rsid w:val="21706446"/>
    <w:rsid w:val="21755314"/>
    <w:rsid w:val="217EF034"/>
    <w:rsid w:val="2184D203"/>
    <w:rsid w:val="2186582F"/>
    <w:rsid w:val="2187BFF9"/>
    <w:rsid w:val="218E4513"/>
    <w:rsid w:val="219943E6"/>
    <w:rsid w:val="219A3361"/>
    <w:rsid w:val="219DE7FA"/>
    <w:rsid w:val="219E079A"/>
    <w:rsid w:val="219FC889"/>
    <w:rsid w:val="21A683E7"/>
    <w:rsid w:val="21A86C3A"/>
    <w:rsid w:val="21A88E0A"/>
    <w:rsid w:val="21AD20F2"/>
    <w:rsid w:val="21CDCAE4"/>
    <w:rsid w:val="21CE5A55"/>
    <w:rsid w:val="21D94FA0"/>
    <w:rsid w:val="21DDC2E5"/>
    <w:rsid w:val="21E679AA"/>
    <w:rsid w:val="21F4A2B7"/>
    <w:rsid w:val="21FC199A"/>
    <w:rsid w:val="22133F70"/>
    <w:rsid w:val="221C3327"/>
    <w:rsid w:val="222C4D52"/>
    <w:rsid w:val="223174B9"/>
    <w:rsid w:val="223BE1A7"/>
    <w:rsid w:val="2242B0A8"/>
    <w:rsid w:val="224506E1"/>
    <w:rsid w:val="224D9992"/>
    <w:rsid w:val="2253B09A"/>
    <w:rsid w:val="226204E6"/>
    <w:rsid w:val="2268118A"/>
    <w:rsid w:val="2268F855"/>
    <w:rsid w:val="227FE4CE"/>
    <w:rsid w:val="22818003"/>
    <w:rsid w:val="2288E41C"/>
    <w:rsid w:val="228EFBDA"/>
    <w:rsid w:val="22954BA1"/>
    <w:rsid w:val="2295F2B0"/>
    <w:rsid w:val="22969920"/>
    <w:rsid w:val="229A02DE"/>
    <w:rsid w:val="229D6AFD"/>
    <w:rsid w:val="229D9973"/>
    <w:rsid w:val="229DF410"/>
    <w:rsid w:val="22A03A0C"/>
    <w:rsid w:val="22A1B309"/>
    <w:rsid w:val="22B02932"/>
    <w:rsid w:val="22BA9EEC"/>
    <w:rsid w:val="22C0F607"/>
    <w:rsid w:val="22D039B2"/>
    <w:rsid w:val="22D2892A"/>
    <w:rsid w:val="22D3D569"/>
    <w:rsid w:val="22D470DB"/>
    <w:rsid w:val="22D4F6E4"/>
    <w:rsid w:val="22E0B05D"/>
    <w:rsid w:val="22E7915E"/>
    <w:rsid w:val="22F3B9EC"/>
    <w:rsid w:val="22F5A2D9"/>
    <w:rsid w:val="22F627B7"/>
    <w:rsid w:val="22FF46B8"/>
    <w:rsid w:val="22FFEC3C"/>
    <w:rsid w:val="2305E5C3"/>
    <w:rsid w:val="231FCFE3"/>
    <w:rsid w:val="2334F4AF"/>
    <w:rsid w:val="2341B42C"/>
    <w:rsid w:val="23420363"/>
    <w:rsid w:val="23434969"/>
    <w:rsid w:val="234CA504"/>
    <w:rsid w:val="236A461E"/>
    <w:rsid w:val="237B1EEA"/>
    <w:rsid w:val="237C091C"/>
    <w:rsid w:val="237E74C5"/>
    <w:rsid w:val="23879F17"/>
    <w:rsid w:val="23987629"/>
    <w:rsid w:val="239CD694"/>
    <w:rsid w:val="23AAB70A"/>
    <w:rsid w:val="23AF5030"/>
    <w:rsid w:val="23B158BA"/>
    <w:rsid w:val="23B2A554"/>
    <w:rsid w:val="23B58353"/>
    <w:rsid w:val="23BC34AD"/>
    <w:rsid w:val="23BD7E6E"/>
    <w:rsid w:val="23C56EAC"/>
    <w:rsid w:val="23C93D3C"/>
    <w:rsid w:val="23CBF4A0"/>
    <w:rsid w:val="23CCF4E1"/>
    <w:rsid w:val="23D0993D"/>
    <w:rsid w:val="23D1B507"/>
    <w:rsid w:val="23DB35A7"/>
    <w:rsid w:val="23DD811E"/>
    <w:rsid w:val="23F4F44F"/>
    <w:rsid w:val="23FE7C89"/>
    <w:rsid w:val="241AA7ED"/>
    <w:rsid w:val="2443010F"/>
    <w:rsid w:val="244A3930"/>
    <w:rsid w:val="244B3275"/>
    <w:rsid w:val="245FCF80"/>
    <w:rsid w:val="24617D92"/>
    <w:rsid w:val="246AB9D3"/>
    <w:rsid w:val="246EDCE1"/>
    <w:rsid w:val="2470413C"/>
    <w:rsid w:val="2470E0BF"/>
    <w:rsid w:val="247659B6"/>
    <w:rsid w:val="2476D8C9"/>
    <w:rsid w:val="247A4FA1"/>
    <w:rsid w:val="24814F10"/>
    <w:rsid w:val="2485A7BA"/>
    <w:rsid w:val="248E4AE7"/>
    <w:rsid w:val="2492AA0A"/>
    <w:rsid w:val="2493424F"/>
    <w:rsid w:val="249A0E74"/>
    <w:rsid w:val="24AF65DA"/>
    <w:rsid w:val="24B788DD"/>
    <w:rsid w:val="24BBF07E"/>
    <w:rsid w:val="24CCE63E"/>
    <w:rsid w:val="24E6BE83"/>
    <w:rsid w:val="24E789D4"/>
    <w:rsid w:val="24EFE188"/>
    <w:rsid w:val="24F4BF6A"/>
    <w:rsid w:val="24FC36F1"/>
    <w:rsid w:val="24FDC61C"/>
    <w:rsid w:val="2508E933"/>
    <w:rsid w:val="250A01BC"/>
    <w:rsid w:val="250ADEBD"/>
    <w:rsid w:val="251BD0DD"/>
    <w:rsid w:val="25272A63"/>
    <w:rsid w:val="25291F12"/>
    <w:rsid w:val="2530C7A2"/>
    <w:rsid w:val="2534E2CC"/>
    <w:rsid w:val="2535A83E"/>
    <w:rsid w:val="2536C637"/>
    <w:rsid w:val="25396D46"/>
    <w:rsid w:val="253A2771"/>
    <w:rsid w:val="253C248F"/>
    <w:rsid w:val="2542476F"/>
    <w:rsid w:val="255CEFED"/>
    <w:rsid w:val="255F4D44"/>
    <w:rsid w:val="2567DCAB"/>
    <w:rsid w:val="256AD1C0"/>
    <w:rsid w:val="256F0F6C"/>
    <w:rsid w:val="25772E32"/>
    <w:rsid w:val="258468AC"/>
    <w:rsid w:val="2599005E"/>
    <w:rsid w:val="259ED6E2"/>
    <w:rsid w:val="25BDC6B2"/>
    <w:rsid w:val="25C21D84"/>
    <w:rsid w:val="25CD18A0"/>
    <w:rsid w:val="25D6FC49"/>
    <w:rsid w:val="25DEF13D"/>
    <w:rsid w:val="25DF2C72"/>
    <w:rsid w:val="25E816A9"/>
    <w:rsid w:val="25E9A9B1"/>
    <w:rsid w:val="25EA54DD"/>
    <w:rsid w:val="25F66B73"/>
    <w:rsid w:val="25FB5314"/>
    <w:rsid w:val="25FEE37E"/>
    <w:rsid w:val="2600CC60"/>
    <w:rsid w:val="2602BD59"/>
    <w:rsid w:val="26093EA2"/>
    <w:rsid w:val="26183C03"/>
    <w:rsid w:val="261B1B69"/>
    <w:rsid w:val="261FB909"/>
    <w:rsid w:val="262AFB2C"/>
    <w:rsid w:val="262C94D0"/>
    <w:rsid w:val="26320DDE"/>
    <w:rsid w:val="26362CAC"/>
    <w:rsid w:val="26400C4D"/>
    <w:rsid w:val="26635DA9"/>
    <w:rsid w:val="267E34D6"/>
    <w:rsid w:val="268D997F"/>
    <w:rsid w:val="269A0580"/>
    <w:rsid w:val="26B14315"/>
    <w:rsid w:val="26B6D341"/>
    <w:rsid w:val="26D4D6D6"/>
    <w:rsid w:val="26DB1F08"/>
    <w:rsid w:val="26DDA081"/>
    <w:rsid w:val="26DE17D0"/>
    <w:rsid w:val="26F0638E"/>
    <w:rsid w:val="26F69F38"/>
    <w:rsid w:val="270124AA"/>
    <w:rsid w:val="270AEA87"/>
    <w:rsid w:val="270E1447"/>
    <w:rsid w:val="27189ED5"/>
    <w:rsid w:val="271F6EAB"/>
    <w:rsid w:val="27225C60"/>
    <w:rsid w:val="2734FDA8"/>
    <w:rsid w:val="273A8019"/>
    <w:rsid w:val="27423EEB"/>
    <w:rsid w:val="274A0074"/>
    <w:rsid w:val="275D1417"/>
    <w:rsid w:val="27645958"/>
    <w:rsid w:val="2767C78D"/>
    <w:rsid w:val="276B9EA3"/>
    <w:rsid w:val="276DDF14"/>
    <w:rsid w:val="2770BEE8"/>
    <w:rsid w:val="2775E927"/>
    <w:rsid w:val="2776CED8"/>
    <w:rsid w:val="2778D709"/>
    <w:rsid w:val="277DA6EA"/>
    <w:rsid w:val="27801B76"/>
    <w:rsid w:val="2781D414"/>
    <w:rsid w:val="27A06643"/>
    <w:rsid w:val="27A8BB42"/>
    <w:rsid w:val="27B0F572"/>
    <w:rsid w:val="27B41084"/>
    <w:rsid w:val="27B98F7E"/>
    <w:rsid w:val="27B9D649"/>
    <w:rsid w:val="27BB896A"/>
    <w:rsid w:val="27BCBFCB"/>
    <w:rsid w:val="27C81A62"/>
    <w:rsid w:val="27D1E8D9"/>
    <w:rsid w:val="27D2FEA6"/>
    <w:rsid w:val="27D91B3D"/>
    <w:rsid w:val="27DBB32A"/>
    <w:rsid w:val="27E205E3"/>
    <w:rsid w:val="27EF6F69"/>
    <w:rsid w:val="27F85D5A"/>
    <w:rsid w:val="27FEED42"/>
    <w:rsid w:val="2805C544"/>
    <w:rsid w:val="280BEB4A"/>
    <w:rsid w:val="280FC71C"/>
    <w:rsid w:val="2819BCF0"/>
    <w:rsid w:val="281C5229"/>
    <w:rsid w:val="281D7C60"/>
    <w:rsid w:val="282E7758"/>
    <w:rsid w:val="28310216"/>
    <w:rsid w:val="2834C31C"/>
    <w:rsid w:val="2836B427"/>
    <w:rsid w:val="28386FB9"/>
    <w:rsid w:val="283C0F60"/>
    <w:rsid w:val="2843FE69"/>
    <w:rsid w:val="28575018"/>
    <w:rsid w:val="2857714E"/>
    <w:rsid w:val="28586EF6"/>
    <w:rsid w:val="2859AE8C"/>
    <w:rsid w:val="2859CBFB"/>
    <w:rsid w:val="28641C74"/>
    <w:rsid w:val="286A734D"/>
    <w:rsid w:val="287637C0"/>
    <w:rsid w:val="2879E831"/>
    <w:rsid w:val="287B3972"/>
    <w:rsid w:val="287DC3EF"/>
    <w:rsid w:val="2887F119"/>
    <w:rsid w:val="28938DAD"/>
    <w:rsid w:val="28952622"/>
    <w:rsid w:val="289B97B9"/>
    <w:rsid w:val="28A75ED7"/>
    <w:rsid w:val="28ADE520"/>
    <w:rsid w:val="28B22E3E"/>
    <w:rsid w:val="28B8A5CA"/>
    <w:rsid w:val="28BCD38F"/>
    <w:rsid w:val="28BED6C0"/>
    <w:rsid w:val="28C282DF"/>
    <w:rsid w:val="28C60932"/>
    <w:rsid w:val="28C7E4BD"/>
    <w:rsid w:val="28CDFC08"/>
    <w:rsid w:val="28DFD5D4"/>
    <w:rsid w:val="28EE04F4"/>
    <w:rsid w:val="28FFF8C4"/>
    <w:rsid w:val="2902157C"/>
    <w:rsid w:val="2907BD8C"/>
    <w:rsid w:val="2907E318"/>
    <w:rsid w:val="29091452"/>
    <w:rsid w:val="2917E114"/>
    <w:rsid w:val="2929DB9A"/>
    <w:rsid w:val="2939C0D9"/>
    <w:rsid w:val="294A6F13"/>
    <w:rsid w:val="294FED87"/>
    <w:rsid w:val="295B816D"/>
    <w:rsid w:val="295F7768"/>
    <w:rsid w:val="2965514D"/>
    <w:rsid w:val="297E0C84"/>
    <w:rsid w:val="298BFA02"/>
    <w:rsid w:val="29924441"/>
    <w:rsid w:val="2993051D"/>
    <w:rsid w:val="299CAD3B"/>
    <w:rsid w:val="29B3B3CB"/>
    <w:rsid w:val="29B7D7D1"/>
    <w:rsid w:val="29CFC5C7"/>
    <w:rsid w:val="29D1A642"/>
    <w:rsid w:val="29D3F09C"/>
    <w:rsid w:val="29D7A4D6"/>
    <w:rsid w:val="29DA6E88"/>
    <w:rsid w:val="29DE9533"/>
    <w:rsid w:val="29E3D391"/>
    <w:rsid w:val="29F0A2E5"/>
    <w:rsid w:val="29F57EED"/>
    <w:rsid w:val="29F8A5F1"/>
    <w:rsid w:val="29FC9035"/>
    <w:rsid w:val="2A007CD7"/>
    <w:rsid w:val="2A028723"/>
    <w:rsid w:val="2A02BFF4"/>
    <w:rsid w:val="2A038779"/>
    <w:rsid w:val="2A0958F6"/>
    <w:rsid w:val="2A0FBC1C"/>
    <w:rsid w:val="2A199A82"/>
    <w:rsid w:val="2A1C7FA8"/>
    <w:rsid w:val="2A226EB0"/>
    <w:rsid w:val="2A256B73"/>
    <w:rsid w:val="2A27472F"/>
    <w:rsid w:val="2A2B85B4"/>
    <w:rsid w:val="2A2E969E"/>
    <w:rsid w:val="2A321240"/>
    <w:rsid w:val="2A395271"/>
    <w:rsid w:val="2A3D74FB"/>
    <w:rsid w:val="2A420E7C"/>
    <w:rsid w:val="2A427740"/>
    <w:rsid w:val="2A5BFE6C"/>
    <w:rsid w:val="2A611EB7"/>
    <w:rsid w:val="2A662C7F"/>
    <w:rsid w:val="2A662D8F"/>
    <w:rsid w:val="2A6FF9EB"/>
    <w:rsid w:val="2A7B0772"/>
    <w:rsid w:val="2A882CE8"/>
    <w:rsid w:val="2A895FC8"/>
    <w:rsid w:val="2A8CF99E"/>
    <w:rsid w:val="2AA0A57B"/>
    <w:rsid w:val="2AA2B879"/>
    <w:rsid w:val="2AA33463"/>
    <w:rsid w:val="2AAE8B03"/>
    <w:rsid w:val="2AB149BF"/>
    <w:rsid w:val="2AB2295E"/>
    <w:rsid w:val="2ABC2B1F"/>
    <w:rsid w:val="2ABFDB94"/>
    <w:rsid w:val="2AC2EF7B"/>
    <w:rsid w:val="2AC40CE5"/>
    <w:rsid w:val="2AC65A63"/>
    <w:rsid w:val="2AD67CF2"/>
    <w:rsid w:val="2AE37BA8"/>
    <w:rsid w:val="2AE8DAF5"/>
    <w:rsid w:val="2AF618FA"/>
    <w:rsid w:val="2AF84D05"/>
    <w:rsid w:val="2AFB5CD6"/>
    <w:rsid w:val="2B01CFCC"/>
    <w:rsid w:val="2B05EE97"/>
    <w:rsid w:val="2B0A746F"/>
    <w:rsid w:val="2B10EFF3"/>
    <w:rsid w:val="2B177F66"/>
    <w:rsid w:val="2B180C80"/>
    <w:rsid w:val="2B27A07B"/>
    <w:rsid w:val="2B2A1850"/>
    <w:rsid w:val="2B3556D9"/>
    <w:rsid w:val="2B3D7836"/>
    <w:rsid w:val="2B447A8F"/>
    <w:rsid w:val="2B48E5A7"/>
    <w:rsid w:val="2B4AB51E"/>
    <w:rsid w:val="2B4FE77D"/>
    <w:rsid w:val="2B5651B8"/>
    <w:rsid w:val="2B5F3789"/>
    <w:rsid w:val="2B5F870B"/>
    <w:rsid w:val="2B6BF3C4"/>
    <w:rsid w:val="2B73CB8B"/>
    <w:rsid w:val="2B791FE6"/>
    <w:rsid w:val="2B9FD0A9"/>
    <w:rsid w:val="2BA2140F"/>
    <w:rsid w:val="2BA5C7FC"/>
    <w:rsid w:val="2BAB76C0"/>
    <w:rsid w:val="2BAD2E45"/>
    <w:rsid w:val="2BB13EA2"/>
    <w:rsid w:val="2BB41A60"/>
    <w:rsid w:val="2BC233F8"/>
    <w:rsid w:val="2BCA5893"/>
    <w:rsid w:val="2BCDB61B"/>
    <w:rsid w:val="2BD29A58"/>
    <w:rsid w:val="2BD3BAC6"/>
    <w:rsid w:val="2BD76AED"/>
    <w:rsid w:val="2BE95C83"/>
    <w:rsid w:val="2BF14503"/>
    <w:rsid w:val="2C29A783"/>
    <w:rsid w:val="2C2B9C1E"/>
    <w:rsid w:val="2C303B93"/>
    <w:rsid w:val="2C3D7B66"/>
    <w:rsid w:val="2C3F59A9"/>
    <w:rsid w:val="2C41C1B0"/>
    <w:rsid w:val="2C437139"/>
    <w:rsid w:val="2C45379C"/>
    <w:rsid w:val="2C4F5F5A"/>
    <w:rsid w:val="2C569348"/>
    <w:rsid w:val="2C5770D7"/>
    <w:rsid w:val="2C63D545"/>
    <w:rsid w:val="2C6BC329"/>
    <w:rsid w:val="2C6EC8DB"/>
    <w:rsid w:val="2C6F3A01"/>
    <w:rsid w:val="2C731ADE"/>
    <w:rsid w:val="2C7394F0"/>
    <w:rsid w:val="2C73B1B5"/>
    <w:rsid w:val="2C7E6280"/>
    <w:rsid w:val="2C81E404"/>
    <w:rsid w:val="2C85635D"/>
    <w:rsid w:val="2C8A7962"/>
    <w:rsid w:val="2C8D00A1"/>
    <w:rsid w:val="2C90102B"/>
    <w:rsid w:val="2C93A757"/>
    <w:rsid w:val="2C99F442"/>
    <w:rsid w:val="2C9EC87E"/>
    <w:rsid w:val="2C9F9750"/>
    <w:rsid w:val="2CA6EEE2"/>
    <w:rsid w:val="2CAB0029"/>
    <w:rsid w:val="2CC2D484"/>
    <w:rsid w:val="2CCF8E4D"/>
    <w:rsid w:val="2CD45B2E"/>
    <w:rsid w:val="2CDE43F7"/>
    <w:rsid w:val="2CE6093D"/>
    <w:rsid w:val="2CE6B1D9"/>
    <w:rsid w:val="2CEAE3CE"/>
    <w:rsid w:val="2CF962E8"/>
    <w:rsid w:val="2CFB86BB"/>
    <w:rsid w:val="2D033A89"/>
    <w:rsid w:val="2D0A4CDA"/>
    <w:rsid w:val="2D0FE220"/>
    <w:rsid w:val="2D15F210"/>
    <w:rsid w:val="2D184CC7"/>
    <w:rsid w:val="2D185E66"/>
    <w:rsid w:val="2D1946D0"/>
    <w:rsid w:val="2D1EE7D9"/>
    <w:rsid w:val="2D298642"/>
    <w:rsid w:val="2D2C3158"/>
    <w:rsid w:val="2D325488"/>
    <w:rsid w:val="2D341C5E"/>
    <w:rsid w:val="2D38754C"/>
    <w:rsid w:val="2D4B4305"/>
    <w:rsid w:val="2D4B748C"/>
    <w:rsid w:val="2D50D813"/>
    <w:rsid w:val="2D755193"/>
    <w:rsid w:val="2D7E7BDF"/>
    <w:rsid w:val="2D805576"/>
    <w:rsid w:val="2D8726F6"/>
    <w:rsid w:val="2D933476"/>
    <w:rsid w:val="2D94D0D0"/>
    <w:rsid w:val="2D95F272"/>
    <w:rsid w:val="2D95F402"/>
    <w:rsid w:val="2DA6EE5F"/>
    <w:rsid w:val="2DABEA67"/>
    <w:rsid w:val="2DAC5F44"/>
    <w:rsid w:val="2DCFA22C"/>
    <w:rsid w:val="2DDB9E55"/>
    <w:rsid w:val="2DDCB8CA"/>
    <w:rsid w:val="2DDD2098"/>
    <w:rsid w:val="2DE06D41"/>
    <w:rsid w:val="2DE2401A"/>
    <w:rsid w:val="2DE7AF55"/>
    <w:rsid w:val="2E0344F9"/>
    <w:rsid w:val="2E04139F"/>
    <w:rsid w:val="2E061C49"/>
    <w:rsid w:val="2E11A291"/>
    <w:rsid w:val="2E1AA880"/>
    <w:rsid w:val="2E27C15C"/>
    <w:rsid w:val="2E2ACAEE"/>
    <w:rsid w:val="2E2CE8AB"/>
    <w:rsid w:val="2E370247"/>
    <w:rsid w:val="2E3FC621"/>
    <w:rsid w:val="2E4C27D7"/>
    <w:rsid w:val="2E4D917F"/>
    <w:rsid w:val="2E4EBFE0"/>
    <w:rsid w:val="2E573760"/>
    <w:rsid w:val="2E5EB554"/>
    <w:rsid w:val="2E60650A"/>
    <w:rsid w:val="2E65FCF5"/>
    <w:rsid w:val="2E6C4786"/>
    <w:rsid w:val="2E6CAC61"/>
    <w:rsid w:val="2E6DF84E"/>
    <w:rsid w:val="2E8D85A2"/>
    <w:rsid w:val="2E92C0D4"/>
    <w:rsid w:val="2E949280"/>
    <w:rsid w:val="2EA57E25"/>
    <w:rsid w:val="2EA93FCC"/>
    <w:rsid w:val="2EA99EAC"/>
    <w:rsid w:val="2EB15D97"/>
    <w:rsid w:val="2EB51D73"/>
    <w:rsid w:val="2EB7B539"/>
    <w:rsid w:val="2EBA40DD"/>
    <w:rsid w:val="2EBD38B2"/>
    <w:rsid w:val="2EBD43A1"/>
    <w:rsid w:val="2EC0BF18"/>
    <w:rsid w:val="2EC10C92"/>
    <w:rsid w:val="2EC90D7F"/>
    <w:rsid w:val="2EC95BE8"/>
    <w:rsid w:val="2EDB5B11"/>
    <w:rsid w:val="2EE6C14C"/>
    <w:rsid w:val="2EEDE5C2"/>
    <w:rsid w:val="2EEDF1AA"/>
    <w:rsid w:val="2EF6345D"/>
    <w:rsid w:val="2EFADC0D"/>
    <w:rsid w:val="2EFDF2B0"/>
    <w:rsid w:val="2F205DE5"/>
    <w:rsid w:val="2F22E5BD"/>
    <w:rsid w:val="2F3459B0"/>
    <w:rsid w:val="2F355038"/>
    <w:rsid w:val="2F3CA98E"/>
    <w:rsid w:val="2F4185A6"/>
    <w:rsid w:val="2F4A870B"/>
    <w:rsid w:val="2F4F6B55"/>
    <w:rsid w:val="2F5DD4E3"/>
    <w:rsid w:val="2F5DDA9F"/>
    <w:rsid w:val="2F5FC89C"/>
    <w:rsid w:val="2F6056DC"/>
    <w:rsid w:val="2F699FFF"/>
    <w:rsid w:val="2F8E4251"/>
    <w:rsid w:val="2F8E4485"/>
    <w:rsid w:val="2F8FF534"/>
    <w:rsid w:val="2F96EF05"/>
    <w:rsid w:val="2FB3CD27"/>
    <w:rsid w:val="2FC244B6"/>
    <w:rsid w:val="2FC7C8C9"/>
    <w:rsid w:val="2FCACDB3"/>
    <w:rsid w:val="2FD37365"/>
    <w:rsid w:val="2FDC4B87"/>
    <w:rsid w:val="2FE0EC76"/>
    <w:rsid w:val="2FE357E9"/>
    <w:rsid w:val="2FE4DC5A"/>
    <w:rsid w:val="2FE57475"/>
    <w:rsid w:val="2FF25C1C"/>
    <w:rsid w:val="2FF893C8"/>
    <w:rsid w:val="2FFA3E15"/>
    <w:rsid w:val="30088B89"/>
    <w:rsid w:val="300BBF6E"/>
    <w:rsid w:val="300CF99A"/>
    <w:rsid w:val="30146775"/>
    <w:rsid w:val="301B3505"/>
    <w:rsid w:val="302125A5"/>
    <w:rsid w:val="30255110"/>
    <w:rsid w:val="302668EA"/>
    <w:rsid w:val="302E4377"/>
    <w:rsid w:val="30508B9F"/>
    <w:rsid w:val="3059D732"/>
    <w:rsid w:val="305A2195"/>
    <w:rsid w:val="3064DDE0"/>
    <w:rsid w:val="306C18CC"/>
    <w:rsid w:val="307C2266"/>
    <w:rsid w:val="307C3A9F"/>
    <w:rsid w:val="307F44D8"/>
    <w:rsid w:val="30852933"/>
    <w:rsid w:val="30A5DD66"/>
    <w:rsid w:val="30AB9260"/>
    <w:rsid w:val="30AD8467"/>
    <w:rsid w:val="30B0842D"/>
    <w:rsid w:val="30C6F2A3"/>
    <w:rsid w:val="30C75C37"/>
    <w:rsid w:val="30C8DB83"/>
    <w:rsid w:val="30CA2361"/>
    <w:rsid w:val="30E464C6"/>
    <w:rsid w:val="30E8A9C9"/>
    <w:rsid w:val="30EFD283"/>
    <w:rsid w:val="30F53DEE"/>
    <w:rsid w:val="30F5492A"/>
    <w:rsid w:val="310B8B7E"/>
    <w:rsid w:val="31104619"/>
    <w:rsid w:val="31115CC3"/>
    <w:rsid w:val="312E61BF"/>
    <w:rsid w:val="313DB03A"/>
    <w:rsid w:val="313F7643"/>
    <w:rsid w:val="3141A0B4"/>
    <w:rsid w:val="3143A1E7"/>
    <w:rsid w:val="3143DD63"/>
    <w:rsid w:val="3155C6E8"/>
    <w:rsid w:val="3160DF8A"/>
    <w:rsid w:val="3164F950"/>
    <w:rsid w:val="316EFCA8"/>
    <w:rsid w:val="3171F103"/>
    <w:rsid w:val="31748ACA"/>
    <w:rsid w:val="317844BF"/>
    <w:rsid w:val="31789119"/>
    <w:rsid w:val="3189FBA0"/>
    <w:rsid w:val="318B209F"/>
    <w:rsid w:val="318D87BE"/>
    <w:rsid w:val="319363CB"/>
    <w:rsid w:val="31967158"/>
    <w:rsid w:val="3196DDB2"/>
    <w:rsid w:val="319E005C"/>
    <w:rsid w:val="319E5245"/>
    <w:rsid w:val="31A8023D"/>
    <w:rsid w:val="31B75A07"/>
    <w:rsid w:val="31BE5079"/>
    <w:rsid w:val="31C08DBF"/>
    <w:rsid w:val="31D2D4C3"/>
    <w:rsid w:val="31E3B701"/>
    <w:rsid w:val="31E5E988"/>
    <w:rsid w:val="31EC3198"/>
    <w:rsid w:val="31F34410"/>
    <w:rsid w:val="31FBE552"/>
    <w:rsid w:val="31FC382C"/>
    <w:rsid w:val="320095C8"/>
    <w:rsid w:val="32026CC6"/>
    <w:rsid w:val="32033066"/>
    <w:rsid w:val="3205C1DC"/>
    <w:rsid w:val="3207B63D"/>
    <w:rsid w:val="320BBA91"/>
    <w:rsid w:val="3221FC5F"/>
    <w:rsid w:val="3228C613"/>
    <w:rsid w:val="32465FB3"/>
    <w:rsid w:val="324FD605"/>
    <w:rsid w:val="32510AD9"/>
    <w:rsid w:val="32575428"/>
    <w:rsid w:val="32598E85"/>
    <w:rsid w:val="325BCAB9"/>
    <w:rsid w:val="325DAD5A"/>
    <w:rsid w:val="328457F2"/>
    <w:rsid w:val="328FA66D"/>
    <w:rsid w:val="329346B2"/>
    <w:rsid w:val="32A5691E"/>
    <w:rsid w:val="32AE2EC8"/>
    <w:rsid w:val="32B4DD28"/>
    <w:rsid w:val="32B6B6EE"/>
    <w:rsid w:val="32CAC0B4"/>
    <w:rsid w:val="32CE2D8C"/>
    <w:rsid w:val="32D56CBC"/>
    <w:rsid w:val="32DDABCA"/>
    <w:rsid w:val="32E3B6C7"/>
    <w:rsid w:val="32E59890"/>
    <w:rsid w:val="32E6EBD2"/>
    <w:rsid w:val="32ED6CF4"/>
    <w:rsid w:val="32EFA3DB"/>
    <w:rsid w:val="32FAE79A"/>
    <w:rsid w:val="330050C8"/>
    <w:rsid w:val="330A5074"/>
    <w:rsid w:val="33298193"/>
    <w:rsid w:val="332AB983"/>
    <w:rsid w:val="3338F29D"/>
    <w:rsid w:val="333B1C86"/>
    <w:rsid w:val="3340588F"/>
    <w:rsid w:val="334AA5C6"/>
    <w:rsid w:val="334F099A"/>
    <w:rsid w:val="33539382"/>
    <w:rsid w:val="335B895A"/>
    <w:rsid w:val="335BE257"/>
    <w:rsid w:val="335D9757"/>
    <w:rsid w:val="3362A882"/>
    <w:rsid w:val="3374E72A"/>
    <w:rsid w:val="3376A447"/>
    <w:rsid w:val="3380760E"/>
    <w:rsid w:val="3385F5DC"/>
    <w:rsid w:val="3389C2EF"/>
    <w:rsid w:val="33AEEBA5"/>
    <w:rsid w:val="33B11444"/>
    <w:rsid w:val="33B41C84"/>
    <w:rsid w:val="33B5C99A"/>
    <w:rsid w:val="33D4DAA3"/>
    <w:rsid w:val="33DA40F3"/>
    <w:rsid w:val="33DBB70D"/>
    <w:rsid w:val="33E366CE"/>
    <w:rsid w:val="33E52529"/>
    <w:rsid w:val="33F3F10E"/>
    <w:rsid w:val="33F86EEA"/>
    <w:rsid w:val="33F97009"/>
    <w:rsid w:val="3408C15B"/>
    <w:rsid w:val="34100A26"/>
    <w:rsid w:val="341203B4"/>
    <w:rsid w:val="34196F8E"/>
    <w:rsid w:val="341AB8A7"/>
    <w:rsid w:val="341C0588"/>
    <w:rsid w:val="3424CACB"/>
    <w:rsid w:val="3426E6D5"/>
    <w:rsid w:val="34278CF9"/>
    <w:rsid w:val="34289185"/>
    <w:rsid w:val="342961C2"/>
    <w:rsid w:val="343D573A"/>
    <w:rsid w:val="34420466"/>
    <w:rsid w:val="3458FCC7"/>
    <w:rsid w:val="3476339D"/>
    <w:rsid w:val="3479B1E0"/>
    <w:rsid w:val="347B42A9"/>
    <w:rsid w:val="347BED72"/>
    <w:rsid w:val="347E0618"/>
    <w:rsid w:val="3482E41E"/>
    <w:rsid w:val="348606EE"/>
    <w:rsid w:val="348C7D80"/>
    <w:rsid w:val="349517B1"/>
    <w:rsid w:val="34A448A8"/>
    <w:rsid w:val="34A559ED"/>
    <w:rsid w:val="34AAC0A9"/>
    <w:rsid w:val="34B17B66"/>
    <w:rsid w:val="34B516B0"/>
    <w:rsid w:val="34B944DB"/>
    <w:rsid w:val="34C0820B"/>
    <w:rsid w:val="34CCD78C"/>
    <w:rsid w:val="34CEF008"/>
    <w:rsid w:val="34D723FD"/>
    <w:rsid w:val="34DF179B"/>
    <w:rsid w:val="34E0E19E"/>
    <w:rsid w:val="34E34BD4"/>
    <w:rsid w:val="34E74D68"/>
    <w:rsid w:val="34ECED29"/>
    <w:rsid w:val="34F9465F"/>
    <w:rsid w:val="34F95553"/>
    <w:rsid w:val="34FB24D4"/>
    <w:rsid w:val="34FCCB6A"/>
    <w:rsid w:val="3503E0E7"/>
    <w:rsid w:val="350C3CF4"/>
    <w:rsid w:val="351E04DE"/>
    <w:rsid w:val="35377012"/>
    <w:rsid w:val="3549634E"/>
    <w:rsid w:val="354D6227"/>
    <w:rsid w:val="35528DF1"/>
    <w:rsid w:val="3560E660"/>
    <w:rsid w:val="35612AFE"/>
    <w:rsid w:val="3580F58A"/>
    <w:rsid w:val="3585EDFB"/>
    <w:rsid w:val="35899E5B"/>
    <w:rsid w:val="35923CEB"/>
    <w:rsid w:val="3598A7B7"/>
    <w:rsid w:val="35A1A91F"/>
    <w:rsid w:val="35A489EF"/>
    <w:rsid w:val="35A962AC"/>
    <w:rsid w:val="35C4377D"/>
    <w:rsid w:val="35C8AAD0"/>
    <w:rsid w:val="35D45A26"/>
    <w:rsid w:val="35DC0813"/>
    <w:rsid w:val="35E52AC0"/>
    <w:rsid w:val="35E5360F"/>
    <w:rsid w:val="35EDEA2A"/>
    <w:rsid w:val="35FD3DC2"/>
    <w:rsid w:val="36064FDE"/>
    <w:rsid w:val="36081BDC"/>
    <w:rsid w:val="3608471A"/>
    <w:rsid w:val="360C8F3D"/>
    <w:rsid w:val="361748EE"/>
    <w:rsid w:val="361D2F1E"/>
    <w:rsid w:val="36277F3B"/>
    <w:rsid w:val="36279E74"/>
    <w:rsid w:val="3628561B"/>
    <w:rsid w:val="3633D624"/>
    <w:rsid w:val="3636FA8F"/>
    <w:rsid w:val="363873B0"/>
    <w:rsid w:val="363A3295"/>
    <w:rsid w:val="363C1738"/>
    <w:rsid w:val="363C3E33"/>
    <w:rsid w:val="36426551"/>
    <w:rsid w:val="36466B18"/>
    <w:rsid w:val="36486618"/>
    <w:rsid w:val="364E722A"/>
    <w:rsid w:val="36541734"/>
    <w:rsid w:val="3654836E"/>
    <w:rsid w:val="365B3A81"/>
    <w:rsid w:val="365B5D4C"/>
    <w:rsid w:val="36614AFA"/>
    <w:rsid w:val="367BA6CB"/>
    <w:rsid w:val="36844570"/>
    <w:rsid w:val="36853448"/>
    <w:rsid w:val="3687D62D"/>
    <w:rsid w:val="368EE85D"/>
    <w:rsid w:val="36941697"/>
    <w:rsid w:val="369DE2AF"/>
    <w:rsid w:val="36AE4509"/>
    <w:rsid w:val="36AFAAB9"/>
    <w:rsid w:val="36B93BE1"/>
    <w:rsid w:val="36B9FFAD"/>
    <w:rsid w:val="36C9EE06"/>
    <w:rsid w:val="36CC0008"/>
    <w:rsid w:val="36D1C54A"/>
    <w:rsid w:val="36D6404F"/>
    <w:rsid w:val="36DEB7B0"/>
    <w:rsid w:val="36E21415"/>
    <w:rsid w:val="36E26F62"/>
    <w:rsid w:val="36EE31D2"/>
    <w:rsid w:val="36F35B26"/>
    <w:rsid w:val="3702DC1E"/>
    <w:rsid w:val="370AAAF1"/>
    <w:rsid w:val="3712418E"/>
    <w:rsid w:val="371CCE65"/>
    <w:rsid w:val="3720147C"/>
    <w:rsid w:val="3721BE5C"/>
    <w:rsid w:val="372795D9"/>
    <w:rsid w:val="37372325"/>
    <w:rsid w:val="373E5F55"/>
    <w:rsid w:val="3741AE63"/>
    <w:rsid w:val="3748ABC6"/>
    <w:rsid w:val="374AD52E"/>
    <w:rsid w:val="374C40CD"/>
    <w:rsid w:val="374FE637"/>
    <w:rsid w:val="375197C8"/>
    <w:rsid w:val="375224BC"/>
    <w:rsid w:val="37601385"/>
    <w:rsid w:val="37761272"/>
    <w:rsid w:val="37784AC7"/>
    <w:rsid w:val="3780C043"/>
    <w:rsid w:val="378D3C38"/>
    <w:rsid w:val="37A2909C"/>
    <w:rsid w:val="37A6689C"/>
    <w:rsid w:val="37B7558C"/>
    <w:rsid w:val="37BF43B3"/>
    <w:rsid w:val="37C1AB03"/>
    <w:rsid w:val="37C4267C"/>
    <w:rsid w:val="37CD8405"/>
    <w:rsid w:val="37D3F26A"/>
    <w:rsid w:val="37D40E46"/>
    <w:rsid w:val="37DCFD4A"/>
    <w:rsid w:val="37E07F93"/>
    <w:rsid w:val="37E5541C"/>
    <w:rsid w:val="37E73913"/>
    <w:rsid w:val="37EBEF8F"/>
    <w:rsid w:val="37EC2EB2"/>
    <w:rsid w:val="37F272B9"/>
    <w:rsid w:val="37F33607"/>
    <w:rsid w:val="381447BD"/>
    <w:rsid w:val="382A43EF"/>
    <w:rsid w:val="382E5B71"/>
    <w:rsid w:val="383095E7"/>
    <w:rsid w:val="3830F615"/>
    <w:rsid w:val="38352B37"/>
    <w:rsid w:val="383EBFF3"/>
    <w:rsid w:val="384B941D"/>
    <w:rsid w:val="38553AC1"/>
    <w:rsid w:val="3859D9D3"/>
    <w:rsid w:val="38638B0A"/>
    <w:rsid w:val="386B6031"/>
    <w:rsid w:val="386EE12B"/>
    <w:rsid w:val="3871AE4A"/>
    <w:rsid w:val="387F7E20"/>
    <w:rsid w:val="388A734A"/>
    <w:rsid w:val="388FECDF"/>
    <w:rsid w:val="3895533E"/>
    <w:rsid w:val="38972E49"/>
    <w:rsid w:val="38981DDC"/>
    <w:rsid w:val="38A7D2EB"/>
    <w:rsid w:val="38B45CBB"/>
    <w:rsid w:val="38B83581"/>
    <w:rsid w:val="38B8767A"/>
    <w:rsid w:val="38C1EC3F"/>
    <w:rsid w:val="38C3763B"/>
    <w:rsid w:val="38C3910C"/>
    <w:rsid w:val="38C3C4A6"/>
    <w:rsid w:val="38C503BF"/>
    <w:rsid w:val="38C66C11"/>
    <w:rsid w:val="38D83210"/>
    <w:rsid w:val="38DAA72D"/>
    <w:rsid w:val="38DC327E"/>
    <w:rsid w:val="38F0F4CA"/>
    <w:rsid w:val="3902EBA2"/>
    <w:rsid w:val="39173F8C"/>
    <w:rsid w:val="391C26A4"/>
    <w:rsid w:val="392C47E0"/>
    <w:rsid w:val="392FB778"/>
    <w:rsid w:val="39303ABD"/>
    <w:rsid w:val="393072F2"/>
    <w:rsid w:val="394715B0"/>
    <w:rsid w:val="3947C8B3"/>
    <w:rsid w:val="394E74E0"/>
    <w:rsid w:val="39532FF0"/>
    <w:rsid w:val="3957204A"/>
    <w:rsid w:val="3961A8C8"/>
    <w:rsid w:val="3962171A"/>
    <w:rsid w:val="3962B90B"/>
    <w:rsid w:val="39733F54"/>
    <w:rsid w:val="39834A71"/>
    <w:rsid w:val="398B3CD6"/>
    <w:rsid w:val="3995CCE4"/>
    <w:rsid w:val="399BA0A8"/>
    <w:rsid w:val="399E0007"/>
    <w:rsid w:val="399FB72D"/>
    <w:rsid w:val="39A0EA36"/>
    <w:rsid w:val="39B8766F"/>
    <w:rsid w:val="39C223BB"/>
    <w:rsid w:val="39C7D50A"/>
    <w:rsid w:val="39CCC676"/>
    <w:rsid w:val="39D6B9D9"/>
    <w:rsid w:val="39D7960C"/>
    <w:rsid w:val="39DF18DE"/>
    <w:rsid w:val="39E62AAE"/>
    <w:rsid w:val="39E7A4B2"/>
    <w:rsid w:val="39F0463D"/>
    <w:rsid w:val="39F7D01A"/>
    <w:rsid w:val="39FA12FA"/>
    <w:rsid w:val="39FF03AC"/>
    <w:rsid w:val="3A07505F"/>
    <w:rsid w:val="3A0D7EAB"/>
    <w:rsid w:val="3A0E51AB"/>
    <w:rsid w:val="3A1A942E"/>
    <w:rsid w:val="3A1C2DE3"/>
    <w:rsid w:val="3A232EE8"/>
    <w:rsid w:val="3A299AAD"/>
    <w:rsid w:val="3A2A5714"/>
    <w:rsid w:val="3A2BB12B"/>
    <w:rsid w:val="3A325923"/>
    <w:rsid w:val="3A380790"/>
    <w:rsid w:val="3A416D7B"/>
    <w:rsid w:val="3A4512B0"/>
    <w:rsid w:val="3A4CC667"/>
    <w:rsid w:val="3A53EB49"/>
    <w:rsid w:val="3A5A10C8"/>
    <w:rsid w:val="3A5D152B"/>
    <w:rsid w:val="3A64D46D"/>
    <w:rsid w:val="3A666361"/>
    <w:rsid w:val="3A6C7273"/>
    <w:rsid w:val="3A73955D"/>
    <w:rsid w:val="3A7FA62E"/>
    <w:rsid w:val="3A87EC44"/>
    <w:rsid w:val="3A8F534C"/>
    <w:rsid w:val="3A9108C2"/>
    <w:rsid w:val="3A93EA1D"/>
    <w:rsid w:val="3A948509"/>
    <w:rsid w:val="3AAF3AD9"/>
    <w:rsid w:val="3AAF3D04"/>
    <w:rsid w:val="3AB89BE3"/>
    <w:rsid w:val="3ABB7852"/>
    <w:rsid w:val="3ACD0343"/>
    <w:rsid w:val="3ACF20A6"/>
    <w:rsid w:val="3AD70958"/>
    <w:rsid w:val="3ADB8CFF"/>
    <w:rsid w:val="3AE0B79F"/>
    <w:rsid w:val="3AE62D0A"/>
    <w:rsid w:val="3AEC5C5B"/>
    <w:rsid w:val="3AF16F5A"/>
    <w:rsid w:val="3AF86F23"/>
    <w:rsid w:val="3B09F575"/>
    <w:rsid w:val="3B0E6C22"/>
    <w:rsid w:val="3B1CDC26"/>
    <w:rsid w:val="3B292FD1"/>
    <w:rsid w:val="3B2BF484"/>
    <w:rsid w:val="3B36BCF6"/>
    <w:rsid w:val="3B400826"/>
    <w:rsid w:val="3B467CCE"/>
    <w:rsid w:val="3B552F25"/>
    <w:rsid w:val="3B5E0611"/>
    <w:rsid w:val="3B7A5AD3"/>
    <w:rsid w:val="3B7C5C12"/>
    <w:rsid w:val="3B8490BE"/>
    <w:rsid w:val="3B89F863"/>
    <w:rsid w:val="3B8DB7A5"/>
    <w:rsid w:val="3BA66A22"/>
    <w:rsid w:val="3BA7B322"/>
    <w:rsid w:val="3BA8A01A"/>
    <w:rsid w:val="3BAAEB52"/>
    <w:rsid w:val="3BB40377"/>
    <w:rsid w:val="3BBCC501"/>
    <w:rsid w:val="3BC3C978"/>
    <w:rsid w:val="3BCFADB3"/>
    <w:rsid w:val="3BDD8ACB"/>
    <w:rsid w:val="3BED1023"/>
    <w:rsid w:val="3BF06C21"/>
    <w:rsid w:val="3BF331B8"/>
    <w:rsid w:val="3BFB31CE"/>
    <w:rsid w:val="3C0384C4"/>
    <w:rsid w:val="3C0A3DF9"/>
    <w:rsid w:val="3C0D1719"/>
    <w:rsid w:val="3C1783C2"/>
    <w:rsid w:val="3C2D03FB"/>
    <w:rsid w:val="3C3D5590"/>
    <w:rsid w:val="3C4116DA"/>
    <w:rsid w:val="3C422D6E"/>
    <w:rsid w:val="3C4BA9C2"/>
    <w:rsid w:val="3C520784"/>
    <w:rsid w:val="3C55E26C"/>
    <w:rsid w:val="3C57CB7D"/>
    <w:rsid w:val="3C62D13C"/>
    <w:rsid w:val="3C714C9F"/>
    <w:rsid w:val="3C74D93B"/>
    <w:rsid w:val="3C784425"/>
    <w:rsid w:val="3C7F90B9"/>
    <w:rsid w:val="3C822766"/>
    <w:rsid w:val="3C8BBC56"/>
    <w:rsid w:val="3C91187C"/>
    <w:rsid w:val="3C965455"/>
    <w:rsid w:val="3C968621"/>
    <w:rsid w:val="3C9E08D1"/>
    <w:rsid w:val="3C9E73A7"/>
    <w:rsid w:val="3C9F6465"/>
    <w:rsid w:val="3CA0C7F7"/>
    <w:rsid w:val="3CA8D45C"/>
    <w:rsid w:val="3CAAE016"/>
    <w:rsid w:val="3CAB5F12"/>
    <w:rsid w:val="3CB88F2F"/>
    <w:rsid w:val="3CCBB7A6"/>
    <w:rsid w:val="3CD7F969"/>
    <w:rsid w:val="3CE104EC"/>
    <w:rsid w:val="3CE37F9C"/>
    <w:rsid w:val="3CE568C0"/>
    <w:rsid w:val="3CF53D52"/>
    <w:rsid w:val="3CF6F623"/>
    <w:rsid w:val="3D01DC54"/>
    <w:rsid w:val="3D09BA9B"/>
    <w:rsid w:val="3D101619"/>
    <w:rsid w:val="3D1097AF"/>
    <w:rsid w:val="3D19D0ED"/>
    <w:rsid w:val="3D1E1853"/>
    <w:rsid w:val="3D21FD76"/>
    <w:rsid w:val="3D2942F8"/>
    <w:rsid w:val="3D2E6095"/>
    <w:rsid w:val="3D350BA3"/>
    <w:rsid w:val="3D35B353"/>
    <w:rsid w:val="3D36FC2D"/>
    <w:rsid w:val="3D3B5E85"/>
    <w:rsid w:val="3D42A341"/>
    <w:rsid w:val="3D44F19E"/>
    <w:rsid w:val="3D528832"/>
    <w:rsid w:val="3D53DE18"/>
    <w:rsid w:val="3D59D3E4"/>
    <w:rsid w:val="3D634AA6"/>
    <w:rsid w:val="3D663FE1"/>
    <w:rsid w:val="3D6BD9E3"/>
    <w:rsid w:val="3D6F561F"/>
    <w:rsid w:val="3D74CC99"/>
    <w:rsid w:val="3D7D4C84"/>
    <w:rsid w:val="3D98183A"/>
    <w:rsid w:val="3DADB006"/>
    <w:rsid w:val="3DB9F1BC"/>
    <w:rsid w:val="3DBCC89B"/>
    <w:rsid w:val="3DC10B8E"/>
    <w:rsid w:val="3DD12E7A"/>
    <w:rsid w:val="3DD4B02E"/>
    <w:rsid w:val="3DD63809"/>
    <w:rsid w:val="3DDB027F"/>
    <w:rsid w:val="3DDC5B0E"/>
    <w:rsid w:val="3DDDEC73"/>
    <w:rsid w:val="3DEAF94F"/>
    <w:rsid w:val="3DF1CE5D"/>
    <w:rsid w:val="3DF1DEBB"/>
    <w:rsid w:val="3DF2C1C3"/>
    <w:rsid w:val="3DF45E60"/>
    <w:rsid w:val="3DF67D42"/>
    <w:rsid w:val="3DFAA0C4"/>
    <w:rsid w:val="3E0D48CB"/>
    <w:rsid w:val="3E0FEDCA"/>
    <w:rsid w:val="3E209501"/>
    <w:rsid w:val="3E2AC581"/>
    <w:rsid w:val="3E362A2E"/>
    <w:rsid w:val="3E47291D"/>
    <w:rsid w:val="3E486517"/>
    <w:rsid w:val="3E57AE9D"/>
    <w:rsid w:val="3E5FBB38"/>
    <w:rsid w:val="3E69F41E"/>
    <w:rsid w:val="3E6E515B"/>
    <w:rsid w:val="3E6EAC86"/>
    <w:rsid w:val="3E7F816D"/>
    <w:rsid w:val="3E880D61"/>
    <w:rsid w:val="3EA226F3"/>
    <w:rsid w:val="3EA2A088"/>
    <w:rsid w:val="3EA990AC"/>
    <w:rsid w:val="3EADCD0B"/>
    <w:rsid w:val="3EAEF59E"/>
    <w:rsid w:val="3EB7E90C"/>
    <w:rsid w:val="3EC1B416"/>
    <w:rsid w:val="3ECBEBA7"/>
    <w:rsid w:val="3ED31770"/>
    <w:rsid w:val="3ED68D1E"/>
    <w:rsid w:val="3EDAA1B5"/>
    <w:rsid w:val="3EE3038B"/>
    <w:rsid w:val="3EE46F6D"/>
    <w:rsid w:val="3EFA4FCB"/>
    <w:rsid w:val="3F000319"/>
    <w:rsid w:val="3F01AAA6"/>
    <w:rsid w:val="3F01EE5D"/>
    <w:rsid w:val="3F08BB26"/>
    <w:rsid w:val="3F0B0CA3"/>
    <w:rsid w:val="3F2CA680"/>
    <w:rsid w:val="3F2F422D"/>
    <w:rsid w:val="3F31A819"/>
    <w:rsid w:val="3F38432D"/>
    <w:rsid w:val="3F391B21"/>
    <w:rsid w:val="3F4787F1"/>
    <w:rsid w:val="3F4ED243"/>
    <w:rsid w:val="3F58C73F"/>
    <w:rsid w:val="3F5CA9AD"/>
    <w:rsid w:val="3F7112AB"/>
    <w:rsid w:val="3F7197D8"/>
    <w:rsid w:val="3F7EED85"/>
    <w:rsid w:val="3F82DDC6"/>
    <w:rsid w:val="3F895A2F"/>
    <w:rsid w:val="3F8B39C0"/>
    <w:rsid w:val="3F926419"/>
    <w:rsid w:val="3F94A5AD"/>
    <w:rsid w:val="3F982A8F"/>
    <w:rsid w:val="3F9AA32A"/>
    <w:rsid w:val="3F9C5370"/>
    <w:rsid w:val="3FA071AC"/>
    <w:rsid w:val="3FA478BC"/>
    <w:rsid w:val="3FA92C60"/>
    <w:rsid w:val="3FACAE71"/>
    <w:rsid w:val="3FBA4C4C"/>
    <w:rsid w:val="3FBB8A64"/>
    <w:rsid w:val="3FBF0430"/>
    <w:rsid w:val="3FC4777F"/>
    <w:rsid w:val="3FC4D992"/>
    <w:rsid w:val="3FC593EF"/>
    <w:rsid w:val="3FCA7331"/>
    <w:rsid w:val="3FCCBE53"/>
    <w:rsid w:val="3FCEFB4A"/>
    <w:rsid w:val="3FDA9B4B"/>
    <w:rsid w:val="3FDC6047"/>
    <w:rsid w:val="3FE06DD8"/>
    <w:rsid w:val="3FF0FF37"/>
    <w:rsid w:val="3FF2C621"/>
    <w:rsid w:val="3FF46587"/>
    <w:rsid w:val="3FF9A54E"/>
    <w:rsid w:val="3FFF65A7"/>
    <w:rsid w:val="4005782F"/>
    <w:rsid w:val="400EB80F"/>
    <w:rsid w:val="40163C25"/>
    <w:rsid w:val="40188B7B"/>
    <w:rsid w:val="40194E41"/>
    <w:rsid w:val="40259FC6"/>
    <w:rsid w:val="402A000F"/>
    <w:rsid w:val="4038F7C6"/>
    <w:rsid w:val="403C5B2C"/>
    <w:rsid w:val="403DC207"/>
    <w:rsid w:val="403E428A"/>
    <w:rsid w:val="40435E95"/>
    <w:rsid w:val="4053B73B"/>
    <w:rsid w:val="4055B37D"/>
    <w:rsid w:val="40560E25"/>
    <w:rsid w:val="40588BFC"/>
    <w:rsid w:val="405C44E4"/>
    <w:rsid w:val="4064DFAF"/>
    <w:rsid w:val="4068B5B2"/>
    <w:rsid w:val="406A231E"/>
    <w:rsid w:val="406D5CF1"/>
    <w:rsid w:val="4070BAAC"/>
    <w:rsid w:val="407A3F67"/>
    <w:rsid w:val="4090ED78"/>
    <w:rsid w:val="409214BE"/>
    <w:rsid w:val="40946CD4"/>
    <w:rsid w:val="40977388"/>
    <w:rsid w:val="40981E78"/>
    <w:rsid w:val="409BBCD3"/>
    <w:rsid w:val="40A9CABD"/>
    <w:rsid w:val="40C99940"/>
    <w:rsid w:val="40CF13E5"/>
    <w:rsid w:val="40D6F5E7"/>
    <w:rsid w:val="40EABD6A"/>
    <w:rsid w:val="40F8BD4F"/>
    <w:rsid w:val="40FB6013"/>
    <w:rsid w:val="40FB9D14"/>
    <w:rsid w:val="40FBF9BA"/>
    <w:rsid w:val="41005241"/>
    <w:rsid w:val="410B80CE"/>
    <w:rsid w:val="411FAB8C"/>
    <w:rsid w:val="412FC5AB"/>
    <w:rsid w:val="41342C91"/>
    <w:rsid w:val="413C420D"/>
    <w:rsid w:val="415169D7"/>
    <w:rsid w:val="4157FDFE"/>
    <w:rsid w:val="4161B67C"/>
    <w:rsid w:val="416CE0C6"/>
    <w:rsid w:val="417EC9DF"/>
    <w:rsid w:val="41849C12"/>
    <w:rsid w:val="419BC469"/>
    <w:rsid w:val="419E42C7"/>
    <w:rsid w:val="41A4E84A"/>
    <w:rsid w:val="41B823FA"/>
    <w:rsid w:val="41BEB38D"/>
    <w:rsid w:val="41C24B13"/>
    <w:rsid w:val="41CC121D"/>
    <w:rsid w:val="41D1DA34"/>
    <w:rsid w:val="41D298A6"/>
    <w:rsid w:val="41D3FD8A"/>
    <w:rsid w:val="41D40A1E"/>
    <w:rsid w:val="41D5A8D9"/>
    <w:rsid w:val="41D8B834"/>
    <w:rsid w:val="41D9C099"/>
    <w:rsid w:val="41E983E8"/>
    <w:rsid w:val="41F02E1F"/>
    <w:rsid w:val="41FAA36A"/>
    <w:rsid w:val="420111AA"/>
    <w:rsid w:val="4209986F"/>
    <w:rsid w:val="4215C371"/>
    <w:rsid w:val="42265A47"/>
    <w:rsid w:val="422EA8C7"/>
    <w:rsid w:val="423C4829"/>
    <w:rsid w:val="423DF425"/>
    <w:rsid w:val="42440E8E"/>
    <w:rsid w:val="425A77F8"/>
    <w:rsid w:val="42639BC4"/>
    <w:rsid w:val="426CA203"/>
    <w:rsid w:val="426D54D4"/>
    <w:rsid w:val="42716B1B"/>
    <w:rsid w:val="42737CBE"/>
    <w:rsid w:val="4277CB6C"/>
    <w:rsid w:val="427EEFD4"/>
    <w:rsid w:val="42823BA5"/>
    <w:rsid w:val="428B3C89"/>
    <w:rsid w:val="428CD8B6"/>
    <w:rsid w:val="429B3DAD"/>
    <w:rsid w:val="42A0F98C"/>
    <w:rsid w:val="42ACC212"/>
    <w:rsid w:val="42B2E364"/>
    <w:rsid w:val="42B63E59"/>
    <w:rsid w:val="42B82777"/>
    <w:rsid w:val="42BAB033"/>
    <w:rsid w:val="42BB46F1"/>
    <w:rsid w:val="42C2BEFB"/>
    <w:rsid w:val="42C896C5"/>
    <w:rsid w:val="42CFA338"/>
    <w:rsid w:val="42D7D7BF"/>
    <w:rsid w:val="42D8DB8B"/>
    <w:rsid w:val="42EC864E"/>
    <w:rsid w:val="42F2FFCB"/>
    <w:rsid w:val="42F84FB7"/>
    <w:rsid w:val="43046F1C"/>
    <w:rsid w:val="4306056A"/>
    <w:rsid w:val="43094BDF"/>
    <w:rsid w:val="430A9A97"/>
    <w:rsid w:val="43139E6B"/>
    <w:rsid w:val="431A03FE"/>
    <w:rsid w:val="431A9A40"/>
    <w:rsid w:val="43286C61"/>
    <w:rsid w:val="43398A8E"/>
    <w:rsid w:val="43486507"/>
    <w:rsid w:val="4350EDA6"/>
    <w:rsid w:val="43545ABF"/>
    <w:rsid w:val="4357DA00"/>
    <w:rsid w:val="4362804A"/>
    <w:rsid w:val="43687382"/>
    <w:rsid w:val="436FDA7F"/>
    <w:rsid w:val="43734C80"/>
    <w:rsid w:val="4388DDCC"/>
    <w:rsid w:val="438A8099"/>
    <w:rsid w:val="438BBCF7"/>
    <w:rsid w:val="438FFE26"/>
    <w:rsid w:val="43998301"/>
    <w:rsid w:val="439DD28B"/>
    <w:rsid w:val="43AACDC1"/>
    <w:rsid w:val="43B3732A"/>
    <w:rsid w:val="43BA0756"/>
    <w:rsid w:val="43BC1CF1"/>
    <w:rsid w:val="43BD48A5"/>
    <w:rsid w:val="43C2CEA9"/>
    <w:rsid w:val="43C47A70"/>
    <w:rsid w:val="43C6CD23"/>
    <w:rsid w:val="43CD95EC"/>
    <w:rsid w:val="43D4AFDA"/>
    <w:rsid w:val="43DC2C49"/>
    <w:rsid w:val="43E16FCE"/>
    <w:rsid w:val="43EBA468"/>
    <w:rsid w:val="43EE5FD2"/>
    <w:rsid w:val="43EF8C3F"/>
    <w:rsid w:val="43F23D29"/>
    <w:rsid w:val="43F82208"/>
    <w:rsid w:val="43F98A98"/>
    <w:rsid w:val="43FC2D5E"/>
    <w:rsid w:val="44033EF3"/>
    <w:rsid w:val="440EE40F"/>
    <w:rsid w:val="44183CBA"/>
    <w:rsid w:val="442D0CD0"/>
    <w:rsid w:val="443295C5"/>
    <w:rsid w:val="44357F20"/>
    <w:rsid w:val="44393769"/>
    <w:rsid w:val="443C5576"/>
    <w:rsid w:val="443F196C"/>
    <w:rsid w:val="444AA8E2"/>
    <w:rsid w:val="444ACBC9"/>
    <w:rsid w:val="444E1996"/>
    <w:rsid w:val="444E9601"/>
    <w:rsid w:val="444F01D6"/>
    <w:rsid w:val="444F7877"/>
    <w:rsid w:val="44528479"/>
    <w:rsid w:val="445C09EE"/>
    <w:rsid w:val="445E68CE"/>
    <w:rsid w:val="44613AD6"/>
    <w:rsid w:val="4461E5AF"/>
    <w:rsid w:val="44682CD7"/>
    <w:rsid w:val="44720F2E"/>
    <w:rsid w:val="4475CC42"/>
    <w:rsid w:val="448DE0A6"/>
    <w:rsid w:val="44960D98"/>
    <w:rsid w:val="449DBF81"/>
    <w:rsid w:val="44A8C598"/>
    <w:rsid w:val="44B5D45F"/>
    <w:rsid w:val="44CE7D31"/>
    <w:rsid w:val="44D5E389"/>
    <w:rsid w:val="44D7DEB7"/>
    <w:rsid w:val="44D87AF5"/>
    <w:rsid w:val="44D95D3C"/>
    <w:rsid w:val="44D98BBE"/>
    <w:rsid w:val="44D99662"/>
    <w:rsid w:val="44E0C378"/>
    <w:rsid w:val="44EA1ACA"/>
    <w:rsid w:val="44F8A04D"/>
    <w:rsid w:val="450291D7"/>
    <w:rsid w:val="4506BE13"/>
    <w:rsid w:val="45071082"/>
    <w:rsid w:val="450D6734"/>
    <w:rsid w:val="451066C4"/>
    <w:rsid w:val="45220A22"/>
    <w:rsid w:val="45225520"/>
    <w:rsid w:val="4532539D"/>
    <w:rsid w:val="4538A53B"/>
    <w:rsid w:val="453C2FA3"/>
    <w:rsid w:val="4545612C"/>
    <w:rsid w:val="454A8612"/>
    <w:rsid w:val="455F859D"/>
    <w:rsid w:val="4566F595"/>
    <w:rsid w:val="456BCD1F"/>
    <w:rsid w:val="456E204D"/>
    <w:rsid w:val="45727574"/>
    <w:rsid w:val="4576958E"/>
    <w:rsid w:val="45796185"/>
    <w:rsid w:val="457EE9AC"/>
    <w:rsid w:val="45839EB9"/>
    <w:rsid w:val="4586DCFE"/>
    <w:rsid w:val="4587C140"/>
    <w:rsid w:val="45941586"/>
    <w:rsid w:val="45965A9D"/>
    <w:rsid w:val="4596D11E"/>
    <w:rsid w:val="45A3E0EC"/>
    <w:rsid w:val="45A85CA5"/>
    <w:rsid w:val="45B388EA"/>
    <w:rsid w:val="45B92C4C"/>
    <w:rsid w:val="45BE66C9"/>
    <w:rsid w:val="45C17B47"/>
    <w:rsid w:val="45C2BFF0"/>
    <w:rsid w:val="45CC1A6A"/>
    <w:rsid w:val="45CDC219"/>
    <w:rsid w:val="45CE0722"/>
    <w:rsid w:val="45D0C368"/>
    <w:rsid w:val="45D1C1EE"/>
    <w:rsid w:val="45D435E9"/>
    <w:rsid w:val="45DE8988"/>
    <w:rsid w:val="45F3A950"/>
    <w:rsid w:val="46140E77"/>
    <w:rsid w:val="4614EC6F"/>
    <w:rsid w:val="461742FA"/>
    <w:rsid w:val="461CF0B0"/>
    <w:rsid w:val="461D8661"/>
    <w:rsid w:val="462DF3CA"/>
    <w:rsid w:val="4635BA1B"/>
    <w:rsid w:val="463CD629"/>
    <w:rsid w:val="463E7BDD"/>
    <w:rsid w:val="464AC900"/>
    <w:rsid w:val="46523B02"/>
    <w:rsid w:val="4655F356"/>
    <w:rsid w:val="465B4C0F"/>
    <w:rsid w:val="465F7881"/>
    <w:rsid w:val="466A6FF3"/>
    <w:rsid w:val="466FFFAA"/>
    <w:rsid w:val="4676D3D4"/>
    <w:rsid w:val="4677BC5B"/>
    <w:rsid w:val="467A7B84"/>
    <w:rsid w:val="467FD344"/>
    <w:rsid w:val="468DB546"/>
    <w:rsid w:val="468FD2FC"/>
    <w:rsid w:val="4691A8F8"/>
    <w:rsid w:val="469A210C"/>
    <w:rsid w:val="469FBF53"/>
    <w:rsid w:val="46A376E1"/>
    <w:rsid w:val="46A52B96"/>
    <w:rsid w:val="46ABC1EF"/>
    <w:rsid w:val="46ADC53D"/>
    <w:rsid w:val="46AE75EC"/>
    <w:rsid w:val="46BC0940"/>
    <w:rsid w:val="46BDDA83"/>
    <w:rsid w:val="46C101F4"/>
    <w:rsid w:val="46C9E543"/>
    <w:rsid w:val="46D30E3C"/>
    <w:rsid w:val="46D63071"/>
    <w:rsid w:val="46E86765"/>
    <w:rsid w:val="471675FA"/>
    <w:rsid w:val="471B3FEE"/>
    <w:rsid w:val="471CB6AD"/>
    <w:rsid w:val="471D698D"/>
    <w:rsid w:val="471DAB6C"/>
    <w:rsid w:val="47297872"/>
    <w:rsid w:val="4736D13C"/>
    <w:rsid w:val="4747CCC1"/>
    <w:rsid w:val="475F24F1"/>
    <w:rsid w:val="476FEF91"/>
    <w:rsid w:val="4771B11A"/>
    <w:rsid w:val="4776D787"/>
    <w:rsid w:val="477E24D5"/>
    <w:rsid w:val="477FCD77"/>
    <w:rsid w:val="47880568"/>
    <w:rsid w:val="4788A1F3"/>
    <w:rsid w:val="4789FF88"/>
    <w:rsid w:val="478B989A"/>
    <w:rsid w:val="47926432"/>
    <w:rsid w:val="47985A4B"/>
    <w:rsid w:val="479B577F"/>
    <w:rsid w:val="47A8C733"/>
    <w:rsid w:val="47AD6D04"/>
    <w:rsid w:val="47B5714C"/>
    <w:rsid w:val="47B7C484"/>
    <w:rsid w:val="47B8A336"/>
    <w:rsid w:val="47C290A3"/>
    <w:rsid w:val="47C5D3DF"/>
    <w:rsid w:val="47CBBEF5"/>
    <w:rsid w:val="47CBD19D"/>
    <w:rsid w:val="47D51B28"/>
    <w:rsid w:val="47D9768D"/>
    <w:rsid w:val="47DB8BB4"/>
    <w:rsid w:val="47E3A3E1"/>
    <w:rsid w:val="47E4C583"/>
    <w:rsid w:val="47F2DD13"/>
    <w:rsid w:val="47F45BEE"/>
    <w:rsid w:val="4813B8EB"/>
    <w:rsid w:val="481A190D"/>
    <w:rsid w:val="482B7823"/>
    <w:rsid w:val="4835DF08"/>
    <w:rsid w:val="48444E3D"/>
    <w:rsid w:val="484B4473"/>
    <w:rsid w:val="485401F1"/>
    <w:rsid w:val="48590246"/>
    <w:rsid w:val="485D67F8"/>
    <w:rsid w:val="487068F1"/>
    <w:rsid w:val="4870A426"/>
    <w:rsid w:val="4881C37F"/>
    <w:rsid w:val="4885516C"/>
    <w:rsid w:val="488D14D4"/>
    <w:rsid w:val="488EF878"/>
    <w:rsid w:val="4890C974"/>
    <w:rsid w:val="4897F3E0"/>
    <w:rsid w:val="48A19AA4"/>
    <w:rsid w:val="48A3D942"/>
    <w:rsid w:val="48AED09F"/>
    <w:rsid w:val="48B04879"/>
    <w:rsid w:val="48B2BD10"/>
    <w:rsid w:val="48BF7048"/>
    <w:rsid w:val="48C09350"/>
    <w:rsid w:val="48C9FCEE"/>
    <w:rsid w:val="48D100BB"/>
    <w:rsid w:val="48D768F3"/>
    <w:rsid w:val="48E3491D"/>
    <w:rsid w:val="48FC0104"/>
    <w:rsid w:val="48FC1A3A"/>
    <w:rsid w:val="48FCC880"/>
    <w:rsid w:val="490913F9"/>
    <w:rsid w:val="4915EAF0"/>
    <w:rsid w:val="491CC91C"/>
    <w:rsid w:val="491E5A48"/>
    <w:rsid w:val="491FF891"/>
    <w:rsid w:val="49200606"/>
    <w:rsid w:val="49202134"/>
    <w:rsid w:val="4924BC32"/>
    <w:rsid w:val="49264B43"/>
    <w:rsid w:val="492F7CFF"/>
    <w:rsid w:val="4930404D"/>
    <w:rsid w:val="4948D1D4"/>
    <w:rsid w:val="49528E2D"/>
    <w:rsid w:val="4960913A"/>
    <w:rsid w:val="49869F78"/>
    <w:rsid w:val="49A3613B"/>
    <w:rsid w:val="49B4349B"/>
    <w:rsid w:val="49BAF711"/>
    <w:rsid w:val="49C2C20D"/>
    <w:rsid w:val="49C66B80"/>
    <w:rsid w:val="49D1AF69"/>
    <w:rsid w:val="49F4E658"/>
    <w:rsid w:val="49F54414"/>
    <w:rsid w:val="4A018528"/>
    <w:rsid w:val="4A06EAA5"/>
    <w:rsid w:val="4A0E9970"/>
    <w:rsid w:val="4A187A0A"/>
    <w:rsid w:val="4A1ECF28"/>
    <w:rsid w:val="4A20538B"/>
    <w:rsid w:val="4A247892"/>
    <w:rsid w:val="4A3347F4"/>
    <w:rsid w:val="4A74BC9C"/>
    <w:rsid w:val="4A7509DF"/>
    <w:rsid w:val="4A93174A"/>
    <w:rsid w:val="4A9706EF"/>
    <w:rsid w:val="4A97462D"/>
    <w:rsid w:val="4A9BB770"/>
    <w:rsid w:val="4AA60370"/>
    <w:rsid w:val="4AA78A56"/>
    <w:rsid w:val="4AB36F33"/>
    <w:rsid w:val="4AB383F9"/>
    <w:rsid w:val="4ABCB7C2"/>
    <w:rsid w:val="4ABD84D6"/>
    <w:rsid w:val="4ABF9E1B"/>
    <w:rsid w:val="4AC33582"/>
    <w:rsid w:val="4AC99D5D"/>
    <w:rsid w:val="4ACEFE69"/>
    <w:rsid w:val="4AD3F6BA"/>
    <w:rsid w:val="4AD5E01F"/>
    <w:rsid w:val="4AE09AAB"/>
    <w:rsid w:val="4AF0A9C3"/>
    <w:rsid w:val="4AF1C23B"/>
    <w:rsid w:val="4B0992A6"/>
    <w:rsid w:val="4B13F0DE"/>
    <w:rsid w:val="4B276428"/>
    <w:rsid w:val="4B3453A7"/>
    <w:rsid w:val="4B3EFBE1"/>
    <w:rsid w:val="4B3F1890"/>
    <w:rsid w:val="4B5825C3"/>
    <w:rsid w:val="4B656BBC"/>
    <w:rsid w:val="4B6721B4"/>
    <w:rsid w:val="4B69DA01"/>
    <w:rsid w:val="4B6EBB2A"/>
    <w:rsid w:val="4B6FBE9B"/>
    <w:rsid w:val="4B777468"/>
    <w:rsid w:val="4B77AD40"/>
    <w:rsid w:val="4B7BE05D"/>
    <w:rsid w:val="4B94FADF"/>
    <w:rsid w:val="4BA5BD9E"/>
    <w:rsid w:val="4BAAA3EA"/>
    <w:rsid w:val="4BC16D45"/>
    <w:rsid w:val="4BC6A572"/>
    <w:rsid w:val="4BD10F19"/>
    <w:rsid w:val="4BD3D301"/>
    <w:rsid w:val="4BD3DC8A"/>
    <w:rsid w:val="4BDCD71D"/>
    <w:rsid w:val="4BDF06A2"/>
    <w:rsid w:val="4BE20264"/>
    <w:rsid w:val="4BE4D595"/>
    <w:rsid w:val="4BE6B975"/>
    <w:rsid w:val="4BE8010B"/>
    <w:rsid w:val="4BEA0B90"/>
    <w:rsid w:val="4BF5D741"/>
    <w:rsid w:val="4BF971B7"/>
    <w:rsid w:val="4C068B1B"/>
    <w:rsid w:val="4C0925C3"/>
    <w:rsid w:val="4C113AC7"/>
    <w:rsid w:val="4C286A51"/>
    <w:rsid w:val="4C343E57"/>
    <w:rsid w:val="4C356709"/>
    <w:rsid w:val="4C46D779"/>
    <w:rsid w:val="4C4B93BE"/>
    <w:rsid w:val="4C4F52FC"/>
    <w:rsid w:val="4C73DC8C"/>
    <w:rsid w:val="4C834FFB"/>
    <w:rsid w:val="4C85DB23"/>
    <w:rsid w:val="4C90EB09"/>
    <w:rsid w:val="4C93D8D2"/>
    <w:rsid w:val="4C946AA2"/>
    <w:rsid w:val="4C9BA9B2"/>
    <w:rsid w:val="4CA997BE"/>
    <w:rsid w:val="4CAD012F"/>
    <w:rsid w:val="4CB2C161"/>
    <w:rsid w:val="4CB8E3DA"/>
    <w:rsid w:val="4CB9AC7B"/>
    <w:rsid w:val="4CC785F8"/>
    <w:rsid w:val="4CD82C0C"/>
    <w:rsid w:val="4CDC2D2A"/>
    <w:rsid w:val="4CDCD264"/>
    <w:rsid w:val="4CEBE8BD"/>
    <w:rsid w:val="4CF1632E"/>
    <w:rsid w:val="4CF7C52D"/>
    <w:rsid w:val="4CF95A4C"/>
    <w:rsid w:val="4CF9E10E"/>
    <w:rsid w:val="4CFAF497"/>
    <w:rsid w:val="4CFBD42B"/>
    <w:rsid w:val="4CFCD694"/>
    <w:rsid w:val="4D0F04B1"/>
    <w:rsid w:val="4D0F12E8"/>
    <w:rsid w:val="4D1614A7"/>
    <w:rsid w:val="4D1674EE"/>
    <w:rsid w:val="4D1D9BBA"/>
    <w:rsid w:val="4D2971AC"/>
    <w:rsid w:val="4D2ABFF9"/>
    <w:rsid w:val="4D2D568A"/>
    <w:rsid w:val="4D2FB9E3"/>
    <w:rsid w:val="4D348478"/>
    <w:rsid w:val="4D35769E"/>
    <w:rsid w:val="4D402A7F"/>
    <w:rsid w:val="4D452AA4"/>
    <w:rsid w:val="4D4A2801"/>
    <w:rsid w:val="4D4FE126"/>
    <w:rsid w:val="4D645920"/>
    <w:rsid w:val="4D656BE3"/>
    <w:rsid w:val="4D6618BB"/>
    <w:rsid w:val="4D69B0EF"/>
    <w:rsid w:val="4D7609AA"/>
    <w:rsid w:val="4D7B5F27"/>
    <w:rsid w:val="4D7CC076"/>
    <w:rsid w:val="4D879BC5"/>
    <w:rsid w:val="4D8937EF"/>
    <w:rsid w:val="4D956B4E"/>
    <w:rsid w:val="4DA9214C"/>
    <w:rsid w:val="4DAB56BC"/>
    <w:rsid w:val="4DB01F12"/>
    <w:rsid w:val="4DB5159B"/>
    <w:rsid w:val="4DB8F0AB"/>
    <w:rsid w:val="4DB93986"/>
    <w:rsid w:val="4DB94906"/>
    <w:rsid w:val="4DC56483"/>
    <w:rsid w:val="4DD1018D"/>
    <w:rsid w:val="4DD16D03"/>
    <w:rsid w:val="4DE92892"/>
    <w:rsid w:val="4DF84EDB"/>
    <w:rsid w:val="4DF997E8"/>
    <w:rsid w:val="4E019F72"/>
    <w:rsid w:val="4E024A5B"/>
    <w:rsid w:val="4E0592EB"/>
    <w:rsid w:val="4E13B97F"/>
    <w:rsid w:val="4E1A8F0C"/>
    <w:rsid w:val="4E1C0601"/>
    <w:rsid w:val="4E1F9E7F"/>
    <w:rsid w:val="4E215EBD"/>
    <w:rsid w:val="4E2811B8"/>
    <w:rsid w:val="4E2D3332"/>
    <w:rsid w:val="4E30848A"/>
    <w:rsid w:val="4E377A13"/>
    <w:rsid w:val="4E379B3B"/>
    <w:rsid w:val="4E3C8F64"/>
    <w:rsid w:val="4E4057F9"/>
    <w:rsid w:val="4E411BC5"/>
    <w:rsid w:val="4E440EBB"/>
    <w:rsid w:val="4E5BC946"/>
    <w:rsid w:val="4E5BF8BB"/>
    <w:rsid w:val="4E5C8A6D"/>
    <w:rsid w:val="4E602B56"/>
    <w:rsid w:val="4E65C5A2"/>
    <w:rsid w:val="4E667191"/>
    <w:rsid w:val="4E76B047"/>
    <w:rsid w:val="4E8E9603"/>
    <w:rsid w:val="4E9AAA5A"/>
    <w:rsid w:val="4E9AE4B3"/>
    <w:rsid w:val="4E9BF47F"/>
    <w:rsid w:val="4E9C34FD"/>
    <w:rsid w:val="4E9EA33D"/>
    <w:rsid w:val="4E9FBE75"/>
    <w:rsid w:val="4EAB0C43"/>
    <w:rsid w:val="4EAE7822"/>
    <w:rsid w:val="4EAEE94B"/>
    <w:rsid w:val="4EBBC91B"/>
    <w:rsid w:val="4EC0E431"/>
    <w:rsid w:val="4EC874BB"/>
    <w:rsid w:val="4EC96434"/>
    <w:rsid w:val="4EC9C6EC"/>
    <w:rsid w:val="4ED5431B"/>
    <w:rsid w:val="4EDA2A4F"/>
    <w:rsid w:val="4EE84F10"/>
    <w:rsid w:val="4EE95A84"/>
    <w:rsid w:val="4EE9C449"/>
    <w:rsid w:val="4EF12081"/>
    <w:rsid w:val="4F04323C"/>
    <w:rsid w:val="4F04FB58"/>
    <w:rsid w:val="4F06B4C8"/>
    <w:rsid w:val="4F0FF94A"/>
    <w:rsid w:val="4F14ACB1"/>
    <w:rsid w:val="4F175507"/>
    <w:rsid w:val="4F1D5467"/>
    <w:rsid w:val="4F21258D"/>
    <w:rsid w:val="4F297565"/>
    <w:rsid w:val="4F2B3D06"/>
    <w:rsid w:val="4F2E5DCA"/>
    <w:rsid w:val="4F478627"/>
    <w:rsid w:val="4F50F63D"/>
    <w:rsid w:val="4F572C71"/>
    <w:rsid w:val="4F5B7527"/>
    <w:rsid w:val="4F623B78"/>
    <w:rsid w:val="4F6E2242"/>
    <w:rsid w:val="4F6ECA50"/>
    <w:rsid w:val="4F70E28B"/>
    <w:rsid w:val="4F761582"/>
    <w:rsid w:val="4F775FFA"/>
    <w:rsid w:val="4F7B5A96"/>
    <w:rsid w:val="4F7EA2BE"/>
    <w:rsid w:val="4F80A275"/>
    <w:rsid w:val="4F83E977"/>
    <w:rsid w:val="4F94DB35"/>
    <w:rsid w:val="4F9FF825"/>
    <w:rsid w:val="4FA0A25F"/>
    <w:rsid w:val="4FA11D9F"/>
    <w:rsid w:val="4FB05F8D"/>
    <w:rsid w:val="4FBDE9E9"/>
    <w:rsid w:val="4FC73127"/>
    <w:rsid w:val="4FC9D730"/>
    <w:rsid w:val="4FCB6015"/>
    <w:rsid w:val="4FCCC724"/>
    <w:rsid w:val="4FD7DD2F"/>
    <w:rsid w:val="4FF1B43B"/>
    <w:rsid w:val="4FFF0E07"/>
    <w:rsid w:val="4FFFE26D"/>
    <w:rsid w:val="5003A5B7"/>
    <w:rsid w:val="500ADCCE"/>
    <w:rsid w:val="50186600"/>
    <w:rsid w:val="5023C48A"/>
    <w:rsid w:val="502B6C06"/>
    <w:rsid w:val="5039F950"/>
    <w:rsid w:val="503DFD98"/>
    <w:rsid w:val="5040F0ED"/>
    <w:rsid w:val="50523890"/>
    <w:rsid w:val="505EB8EA"/>
    <w:rsid w:val="506AFFB9"/>
    <w:rsid w:val="506F7EA3"/>
    <w:rsid w:val="508765CE"/>
    <w:rsid w:val="5087E47A"/>
    <w:rsid w:val="50914B6B"/>
    <w:rsid w:val="50934A67"/>
    <w:rsid w:val="5099FD0B"/>
    <w:rsid w:val="509B2322"/>
    <w:rsid w:val="509FC1E1"/>
    <w:rsid w:val="50A9A4A4"/>
    <w:rsid w:val="50BD0946"/>
    <w:rsid w:val="50BFD82E"/>
    <w:rsid w:val="50C2187E"/>
    <w:rsid w:val="50C3C6A8"/>
    <w:rsid w:val="50CA2E2B"/>
    <w:rsid w:val="50D459EE"/>
    <w:rsid w:val="50D6AE29"/>
    <w:rsid w:val="50D9D475"/>
    <w:rsid w:val="50DB6CC8"/>
    <w:rsid w:val="50DD2BE2"/>
    <w:rsid w:val="50E4187A"/>
    <w:rsid w:val="50FAF078"/>
    <w:rsid w:val="5108AF80"/>
    <w:rsid w:val="51173912"/>
    <w:rsid w:val="51242AAC"/>
    <w:rsid w:val="512BF946"/>
    <w:rsid w:val="51385435"/>
    <w:rsid w:val="513BA319"/>
    <w:rsid w:val="51432E65"/>
    <w:rsid w:val="516DA085"/>
    <w:rsid w:val="5172B3E3"/>
    <w:rsid w:val="517734FE"/>
    <w:rsid w:val="517C2D79"/>
    <w:rsid w:val="517C3850"/>
    <w:rsid w:val="517D4DA6"/>
    <w:rsid w:val="5181CF3F"/>
    <w:rsid w:val="5199BA77"/>
    <w:rsid w:val="51A26B3B"/>
    <w:rsid w:val="51A9AE0F"/>
    <w:rsid w:val="51AA2EFA"/>
    <w:rsid w:val="51B16B0D"/>
    <w:rsid w:val="51BE64CE"/>
    <w:rsid w:val="51D6BA44"/>
    <w:rsid w:val="51D934C1"/>
    <w:rsid w:val="51DD67BE"/>
    <w:rsid w:val="51E09259"/>
    <w:rsid w:val="51ED0496"/>
    <w:rsid w:val="51EDCB60"/>
    <w:rsid w:val="51EE160F"/>
    <w:rsid w:val="51EF8C39"/>
    <w:rsid w:val="51F22C0B"/>
    <w:rsid w:val="52064B95"/>
    <w:rsid w:val="520CCC34"/>
    <w:rsid w:val="521ECD69"/>
    <w:rsid w:val="5222F3DB"/>
    <w:rsid w:val="52280776"/>
    <w:rsid w:val="522DE242"/>
    <w:rsid w:val="522E917D"/>
    <w:rsid w:val="5230D746"/>
    <w:rsid w:val="5236D032"/>
    <w:rsid w:val="5236F383"/>
    <w:rsid w:val="523BFB1A"/>
    <w:rsid w:val="52440265"/>
    <w:rsid w:val="5262A32A"/>
    <w:rsid w:val="526C7DB8"/>
    <w:rsid w:val="526F883F"/>
    <w:rsid w:val="5271BF49"/>
    <w:rsid w:val="5285B902"/>
    <w:rsid w:val="5288F077"/>
    <w:rsid w:val="52A81688"/>
    <w:rsid w:val="52AF624E"/>
    <w:rsid w:val="52B019D5"/>
    <w:rsid w:val="52CD6347"/>
    <w:rsid w:val="52D386E3"/>
    <w:rsid w:val="52D646CC"/>
    <w:rsid w:val="52D85E0E"/>
    <w:rsid w:val="52DE2A22"/>
    <w:rsid w:val="52E17F3F"/>
    <w:rsid w:val="52E82B45"/>
    <w:rsid w:val="52FA7F05"/>
    <w:rsid w:val="530BC216"/>
    <w:rsid w:val="53140579"/>
    <w:rsid w:val="5314C582"/>
    <w:rsid w:val="53241C37"/>
    <w:rsid w:val="532AAAA1"/>
    <w:rsid w:val="532CF3EC"/>
    <w:rsid w:val="5339E274"/>
    <w:rsid w:val="5341E5E6"/>
    <w:rsid w:val="534317E1"/>
    <w:rsid w:val="534C13E8"/>
    <w:rsid w:val="5371D3EE"/>
    <w:rsid w:val="5371DF89"/>
    <w:rsid w:val="537D06E5"/>
    <w:rsid w:val="53814EA9"/>
    <w:rsid w:val="53825A6E"/>
    <w:rsid w:val="5383ADFE"/>
    <w:rsid w:val="5389D952"/>
    <w:rsid w:val="53972596"/>
    <w:rsid w:val="5397A726"/>
    <w:rsid w:val="539D441C"/>
    <w:rsid w:val="53A116BE"/>
    <w:rsid w:val="53A1756D"/>
    <w:rsid w:val="53B0A133"/>
    <w:rsid w:val="53BD20FA"/>
    <w:rsid w:val="53BE8284"/>
    <w:rsid w:val="53CFA2D5"/>
    <w:rsid w:val="53D4EBF5"/>
    <w:rsid w:val="53E305E2"/>
    <w:rsid w:val="53E5A7AC"/>
    <w:rsid w:val="53E90DDB"/>
    <w:rsid w:val="53EBA3BB"/>
    <w:rsid w:val="53EDFCD6"/>
    <w:rsid w:val="53F1DD3D"/>
    <w:rsid w:val="53F87973"/>
    <w:rsid w:val="53FC06B5"/>
    <w:rsid w:val="53FCC35B"/>
    <w:rsid w:val="5401D72E"/>
    <w:rsid w:val="540A0B23"/>
    <w:rsid w:val="541B67F9"/>
    <w:rsid w:val="54217C44"/>
    <w:rsid w:val="54294C31"/>
    <w:rsid w:val="542BD741"/>
    <w:rsid w:val="542ECDBE"/>
    <w:rsid w:val="542F3A46"/>
    <w:rsid w:val="543A9AA3"/>
    <w:rsid w:val="543E6C4F"/>
    <w:rsid w:val="54437F80"/>
    <w:rsid w:val="5444025F"/>
    <w:rsid w:val="54544A81"/>
    <w:rsid w:val="545789AF"/>
    <w:rsid w:val="545CE29B"/>
    <w:rsid w:val="54639A08"/>
    <w:rsid w:val="546B48E7"/>
    <w:rsid w:val="5472F680"/>
    <w:rsid w:val="547315A6"/>
    <w:rsid w:val="5474D56B"/>
    <w:rsid w:val="5480E3F0"/>
    <w:rsid w:val="54947293"/>
    <w:rsid w:val="549B38DA"/>
    <w:rsid w:val="54A33947"/>
    <w:rsid w:val="54A8B3EE"/>
    <w:rsid w:val="54AE29AB"/>
    <w:rsid w:val="54BD8BAD"/>
    <w:rsid w:val="54D35390"/>
    <w:rsid w:val="54D72FBB"/>
    <w:rsid w:val="54D9A267"/>
    <w:rsid w:val="54DCEE4B"/>
    <w:rsid w:val="54E57CFA"/>
    <w:rsid w:val="54F14DDB"/>
    <w:rsid w:val="5505382A"/>
    <w:rsid w:val="55055C57"/>
    <w:rsid w:val="55159D70"/>
    <w:rsid w:val="5518331B"/>
    <w:rsid w:val="551A8B93"/>
    <w:rsid w:val="5522F3FF"/>
    <w:rsid w:val="55242C45"/>
    <w:rsid w:val="55337787"/>
    <w:rsid w:val="55400390"/>
    <w:rsid w:val="5542E391"/>
    <w:rsid w:val="55442E63"/>
    <w:rsid w:val="554ABB80"/>
    <w:rsid w:val="554AF933"/>
    <w:rsid w:val="5552C1A7"/>
    <w:rsid w:val="5554642A"/>
    <w:rsid w:val="55567D26"/>
    <w:rsid w:val="5559C536"/>
    <w:rsid w:val="55680432"/>
    <w:rsid w:val="55684F8B"/>
    <w:rsid w:val="5568BF82"/>
    <w:rsid w:val="55694061"/>
    <w:rsid w:val="556ECD48"/>
    <w:rsid w:val="556F2045"/>
    <w:rsid w:val="557056CB"/>
    <w:rsid w:val="55830CFE"/>
    <w:rsid w:val="5588CE7A"/>
    <w:rsid w:val="558B5897"/>
    <w:rsid w:val="559B3EE8"/>
    <w:rsid w:val="55B24FF9"/>
    <w:rsid w:val="55BB87D2"/>
    <w:rsid w:val="55D06948"/>
    <w:rsid w:val="55D4EA24"/>
    <w:rsid w:val="55D70FA9"/>
    <w:rsid w:val="55D8515A"/>
    <w:rsid w:val="55F1A138"/>
    <w:rsid w:val="55FFCFD9"/>
    <w:rsid w:val="5607AB52"/>
    <w:rsid w:val="56152361"/>
    <w:rsid w:val="5627C02F"/>
    <w:rsid w:val="5627FC92"/>
    <w:rsid w:val="56296A72"/>
    <w:rsid w:val="562AC17A"/>
    <w:rsid w:val="562B4760"/>
    <w:rsid w:val="562C2EA1"/>
    <w:rsid w:val="562F3B2C"/>
    <w:rsid w:val="562F50B2"/>
    <w:rsid w:val="5633AB1F"/>
    <w:rsid w:val="5635251F"/>
    <w:rsid w:val="563A9E72"/>
    <w:rsid w:val="5650E9A9"/>
    <w:rsid w:val="5662189C"/>
    <w:rsid w:val="56701910"/>
    <w:rsid w:val="5671D606"/>
    <w:rsid w:val="567410D9"/>
    <w:rsid w:val="5675DD64"/>
    <w:rsid w:val="5679891C"/>
    <w:rsid w:val="567EABC6"/>
    <w:rsid w:val="56847044"/>
    <w:rsid w:val="5688DFC0"/>
    <w:rsid w:val="5693A37B"/>
    <w:rsid w:val="569A22F9"/>
    <w:rsid w:val="569E2A86"/>
    <w:rsid w:val="56B360C2"/>
    <w:rsid w:val="56C7C7A6"/>
    <w:rsid w:val="56C91E69"/>
    <w:rsid w:val="56CAD29C"/>
    <w:rsid w:val="56CC7369"/>
    <w:rsid w:val="56CFE396"/>
    <w:rsid w:val="56D10800"/>
    <w:rsid w:val="56DB6013"/>
    <w:rsid w:val="56E2C766"/>
    <w:rsid w:val="5708838F"/>
    <w:rsid w:val="5708B955"/>
    <w:rsid w:val="570C00F5"/>
    <w:rsid w:val="57124A5C"/>
    <w:rsid w:val="571935B3"/>
    <w:rsid w:val="57241C3C"/>
    <w:rsid w:val="5727E8E4"/>
    <w:rsid w:val="5730F5C1"/>
    <w:rsid w:val="57344E92"/>
    <w:rsid w:val="573D4499"/>
    <w:rsid w:val="57496A34"/>
    <w:rsid w:val="575CA0D8"/>
    <w:rsid w:val="575DF4A8"/>
    <w:rsid w:val="576CF1E1"/>
    <w:rsid w:val="57712951"/>
    <w:rsid w:val="577EB4F5"/>
    <w:rsid w:val="5792A6D4"/>
    <w:rsid w:val="57952457"/>
    <w:rsid w:val="5799C660"/>
    <w:rsid w:val="579AEBE4"/>
    <w:rsid w:val="579AF283"/>
    <w:rsid w:val="579B3ACA"/>
    <w:rsid w:val="57A0C7A7"/>
    <w:rsid w:val="57A7242D"/>
    <w:rsid w:val="57A8D6B4"/>
    <w:rsid w:val="57B51079"/>
    <w:rsid w:val="57B6AC28"/>
    <w:rsid w:val="57BC78B2"/>
    <w:rsid w:val="57C199E1"/>
    <w:rsid w:val="57C3A9F5"/>
    <w:rsid w:val="57C48CED"/>
    <w:rsid w:val="57C524C3"/>
    <w:rsid w:val="57CE3A00"/>
    <w:rsid w:val="57DB7D6C"/>
    <w:rsid w:val="57EB2DCB"/>
    <w:rsid w:val="57FA45FF"/>
    <w:rsid w:val="58004B21"/>
    <w:rsid w:val="58049ED8"/>
    <w:rsid w:val="58061F02"/>
    <w:rsid w:val="580A7563"/>
    <w:rsid w:val="580E948D"/>
    <w:rsid w:val="581BF2A2"/>
    <w:rsid w:val="581D3F2F"/>
    <w:rsid w:val="5821AEDE"/>
    <w:rsid w:val="5826C56F"/>
    <w:rsid w:val="5836F5CB"/>
    <w:rsid w:val="5839E047"/>
    <w:rsid w:val="58483495"/>
    <w:rsid w:val="58524409"/>
    <w:rsid w:val="58595C0F"/>
    <w:rsid w:val="585B5F84"/>
    <w:rsid w:val="586BB3F7"/>
    <w:rsid w:val="586C72C7"/>
    <w:rsid w:val="587073B6"/>
    <w:rsid w:val="5870E2D7"/>
    <w:rsid w:val="5871BD6F"/>
    <w:rsid w:val="587296CE"/>
    <w:rsid w:val="5872EC19"/>
    <w:rsid w:val="5875726B"/>
    <w:rsid w:val="587774FA"/>
    <w:rsid w:val="587A6B4F"/>
    <w:rsid w:val="5880B0D3"/>
    <w:rsid w:val="5888621E"/>
    <w:rsid w:val="588D2A1C"/>
    <w:rsid w:val="589DCA83"/>
    <w:rsid w:val="58AB1907"/>
    <w:rsid w:val="58B2BBED"/>
    <w:rsid w:val="58B4865F"/>
    <w:rsid w:val="58B6445F"/>
    <w:rsid w:val="58C2FA3F"/>
    <w:rsid w:val="58C44B98"/>
    <w:rsid w:val="58D63FB2"/>
    <w:rsid w:val="58DF90A0"/>
    <w:rsid w:val="58FC354E"/>
    <w:rsid w:val="58FC5075"/>
    <w:rsid w:val="58FD1CA5"/>
    <w:rsid w:val="58FF737C"/>
    <w:rsid w:val="590631C1"/>
    <w:rsid w:val="590EB06B"/>
    <w:rsid w:val="59154998"/>
    <w:rsid w:val="5916F0A3"/>
    <w:rsid w:val="591C5E5F"/>
    <w:rsid w:val="591D20D4"/>
    <w:rsid w:val="591F2E97"/>
    <w:rsid w:val="5920F6A4"/>
    <w:rsid w:val="5922A547"/>
    <w:rsid w:val="592724D2"/>
    <w:rsid w:val="592C1A04"/>
    <w:rsid w:val="592C3D67"/>
    <w:rsid w:val="593A97C6"/>
    <w:rsid w:val="593AA452"/>
    <w:rsid w:val="593EF8B1"/>
    <w:rsid w:val="593F02F8"/>
    <w:rsid w:val="59443819"/>
    <w:rsid w:val="5952ED47"/>
    <w:rsid w:val="595446CC"/>
    <w:rsid w:val="595AD42B"/>
    <w:rsid w:val="5961D303"/>
    <w:rsid w:val="596B4BE1"/>
    <w:rsid w:val="596BD055"/>
    <w:rsid w:val="596C6C9C"/>
    <w:rsid w:val="59757CCD"/>
    <w:rsid w:val="597B82DA"/>
    <w:rsid w:val="597E7B62"/>
    <w:rsid w:val="5982DA52"/>
    <w:rsid w:val="5985B3A5"/>
    <w:rsid w:val="599000B1"/>
    <w:rsid w:val="59954538"/>
    <w:rsid w:val="599D3543"/>
    <w:rsid w:val="59A10D1C"/>
    <w:rsid w:val="59A1EF63"/>
    <w:rsid w:val="59A22D0F"/>
    <w:rsid w:val="59AF509E"/>
    <w:rsid w:val="59B16E9B"/>
    <w:rsid w:val="59B5B2B0"/>
    <w:rsid w:val="59B74066"/>
    <w:rsid w:val="59C3F4E9"/>
    <w:rsid w:val="59E4FCFF"/>
    <w:rsid w:val="59E56659"/>
    <w:rsid w:val="59EA1818"/>
    <w:rsid w:val="5A023748"/>
    <w:rsid w:val="5A05AF77"/>
    <w:rsid w:val="5A069724"/>
    <w:rsid w:val="5A0E5719"/>
    <w:rsid w:val="5A0EDEFA"/>
    <w:rsid w:val="5A11A5C1"/>
    <w:rsid w:val="5A1B46D5"/>
    <w:rsid w:val="5A1C714C"/>
    <w:rsid w:val="5A269CC6"/>
    <w:rsid w:val="5A3079A1"/>
    <w:rsid w:val="5A30A9BF"/>
    <w:rsid w:val="5A3846C8"/>
    <w:rsid w:val="5A39EDF1"/>
    <w:rsid w:val="5A3B25F5"/>
    <w:rsid w:val="5A4879DF"/>
    <w:rsid w:val="5A576E24"/>
    <w:rsid w:val="5A5C3F9D"/>
    <w:rsid w:val="5A66984F"/>
    <w:rsid w:val="5A6820F0"/>
    <w:rsid w:val="5A733BFC"/>
    <w:rsid w:val="5A80309A"/>
    <w:rsid w:val="5A84D3D0"/>
    <w:rsid w:val="5A923AB5"/>
    <w:rsid w:val="5A99E150"/>
    <w:rsid w:val="5A9BE1AE"/>
    <w:rsid w:val="5A9E0F5E"/>
    <w:rsid w:val="5A9ECBBC"/>
    <w:rsid w:val="5AA0A063"/>
    <w:rsid w:val="5AA9FD5E"/>
    <w:rsid w:val="5AAA7FBF"/>
    <w:rsid w:val="5AAA8A46"/>
    <w:rsid w:val="5AAFACB5"/>
    <w:rsid w:val="5AB1F22D"/>
    <w:rsid w:val="5AB26E52"/>
    <w:rsid w:val="5AB36238"/>
    <w:rsid w:val="5AC1A0B5"/>
    <w:rsid w:val="5AC3B583"/>
    <w:rsid w:val="5AC52DF2"/>
    <w:rsid w:val="5AD1C8AC"/>
    <w:rsid w:val="5AD73A2D"/>
    <w:rsid w:val="5AFE8D8E"/>
    <w:rsid w:val="5AFEE4C6"/>
    <w:rsid w:val="5B095595"/>
    <w:rsid w:val="5B0ADFDF"/>
    <w:rsid w:val="5B0BF234"/>
    <w:rsid w:val="5B20CE6C"/>
    <w:rsid w:val="5B23FAC5"/>
    <w:rsid w:val="5B32B64F"/>
    <w:rsid w:val="5B350492"/>
    <w:rsid w:val="5B3CC1A0"/>
    <w:rsid w:val="5B3FB452"/>
    <w:rsid w:val="5B51E9B9"/>
    <w:rsid w:val="5B57FD79"/>
    <w:rsid w:val="5B59F278"/>
    <w:rsid w:val="5B5C01C2"/>
    <w:rsid w:val="5B664F79"/>
    <w:rsid w:val="5B6C6905"/>
    <w:rsid w:val="5B79245D"/>
    <w:rsid w:val="5B7F2D39"/>
    <w:rsid w:val="5B829B70"/>
    <w:rsid w:val="5B858157"/>
    <w:rsid w:val="5B85C625"/>
    <w:rsid w:val="5B93BA71"/>
    <w:rsid w:val="5B94EB37"/>
    <w:rsid w:val="5B95999F"/>
    <w:rsid w:val="5BA5B97F"/>
    <w:rsid w:val="5BA5EC2A"/>
    <w:rsid w:val="5BB7949F"/>
    <w:rsid w:val="5BBBBBEE"/>
    <w:rsid w:val="5BBD424C"/>
    <w:rsid w:val="5BC1686D"/>
    <w:rsid w:val="5BCCD4E5"/>
    <w:rsid w:val="5BD31A74"/>
    <w:rsid w:val="5BD6D345"/>
    <w:rsid w:val="5BDC8A33"/>
    <w:rsid w:val="5BE36A4A"/>
    <w:rsid w:val="5BE7DB7D"/>
    <w:rsid w:val="5BE9EED2"/>
    <w:rsid w:val="5BEB6E5C"/>
    <w:rsid w:val="5BF05D13"/>
    <w:rsid w:val="5BF3084F"/>
    <w:rsid w:val="5BF3B9E0"/>
    <w:rsid w:val="5BFD4228"/>
    <w:rsid w:val="5C002F5A"/>
    <w:rsid w:val="5C041822"/>
    <w:rsid w:val="5C0DA725"/>
    <w:rsid w:val="5C1D407F"/>
    <w:rsid w:val="5C22B660"/>
    <w:rsid w:val="5C242852"/>
    <w:rsid w:val="5C346ECF"/>
    <w:rsid w:val="5C3AB015"/>
    <w:rsid w:val="5C3DCE23"/>
    <w:rsid w:val="5C5439F8"/>
    <w:rsid w:val="5C576D0C"/>
    <w:rsid w:val="5C780CF7"/>
    <w:rsid w:val="5C7C6FAF"/>
    <w:rsid w:val="5C7E2CA4"/>
    <w:rsid w:val="5C7E62B7"/>
    <w:rsid w:val="5C82C53C"/>
    <w:rsid w:val="5CA1614B"/>
    <w:rsid w:val="5CA23FE2"/>
    <w:rsid w:val="5CA38087"/>
    <w:rsid w:val="5CA42BB3"/>
    <w:rsid w:val="5CA4AAC4"/>
    <w:rsid w:val="5CA82E87"/>
    <w:rsid w:val="5CAA02EA"/>
    <w:rsid w:val="5CAACB6E"/>
    <w:rsid w:val="5CB08EF6"/>
    <w:rsid w:val="5CB53412"/>
    <w:rsid w:val="5CB9DC12"/>
    <w:rsid w:val="5CC104C4"/>
    <w:rsid w:val="5CC31159"/>
    <w:rsid w:val="5CC36EFF"/>
    <w:rsid w:val="5CC49723"/>
    <w:rsid w:val="5CCBD5B0"/>
    <w:rsid w:val="5CD0BF92"/>
    <w:rsid w:val="5CD1AE75"/>
    <w:rsid w:val="5CD47264"/>
    <w:rsid w:val="5CD82130"/>
    <w:rsid w:val="5CDAC9F0"/>
    <w:rsid w:val="5CDBC737"/>
    <w:rsid w:val="5CDE6575"/>
    <w:rsid w:val="5CE160BF"/>
    <w:rsid w:val="5CE1B3CB"/>
    <w:rsid w:val="5CE21CED"/>
    <w:rsid w:val="5CE5A0B2"/>
    <w:rsid w:val="5CF414BE"/>
    <w:rsid w:val="5D090BC1"/>
    <w:rsid w:val="5D097A93"/>
    <w:rsid w:val="5D0A29B1"/>
    <w:rsid w:val="5D25B52C"/>
    <w:rsid w:val="5D28C7EF"/>
    <w:rsid w:val="5D397A20"/>
    <w:rsid w:val="5D45616D"/>
    <w:rsid w:val="5D4B1FDF"/>
    <w:rsid w:val="5D4B27CD"/>
    <w:rsid w:val="5D4F6779"/>
    <w:rsid w:val="5D516E7E"/>
    <w:rsid w:val="5D661C96"/>
    <w:rsid w:val="5D666AEF"/>
    <w:rsid w:val="5D79450D"/>
    <w:rsid w:val="5D7988AA"/>
    <w:rsid w:val="5D7ADC1E"/>
    <w:rsid w:val="5D7B6B64"/>
    <w:rsid w:val="5D7E5672"/>
    <w:rsid w:val="5D8E4598"/>
    <w:rsid w:val="5D95570D"/>
    <w:rsid w:val="5DA1A1DC"/>
    <w:rsid w:val="5DA2E347"/>
    <w:rsid w:val="5DA5ADD5"/>
    <w:rsid w:val="5DB23AE6"/>
    <w:rsid w:val="5DB28353"/>
    <w:rsid w:val="5DBA0596"/>
    <w:rsid w:val="5DBC7492"/>
    <w:rsid w:val="5DBDFC11"/>
    <w:rsid w:val="5DBFDD30"/>
    <w:rsid w:val="5DC2D805"/>
    <w:rsid w:val="5DC52784"/>
    <w:rsid w:val="5DC66D41"/>
    <w:rsid w:val="5DD5B020"/>
    <w:rsid w:val="5DDD4CDD"/>
    <w:rsid w:val="5DE1574F"/>
    <w:rsid w:val="5DE2218E"/>
    <w:rsid w:val="5DE85701"/>
    <w:rsid w:val="5DF41B8D"/>
    <w:rsid w:val="5DF6F87E"/>
    <w:rsid w:val="5DFA5415"/>
    <w:rsid w:val="5DFB49EB"/>
    <w:rsid w:val="5DFC32FB"/>
    <w:rsid w:val="5DFCCEB4"/>
    <w:rsid w:val="5DFF67EF"/>
    <w:rsid w:val="5DFF7293"/>
    <w:rsid w:val="5E11C98E"/>
    <w:rsid w:val="5E130008"/>
    <w:rsid w:val="5E1665B1"/>
    <w:rsid w:val="5E1CD0B3"/>
    <w:rsid w:val="5E235D9D"/>
    <w:rsid w:val="5E241C47"/>
    <w:rsid w:val="5E29A8FC"/>
    <w:rsid w:val="5E2ACC49"/>
    <w:rsid w:val="5E2FBFAF"/>
    <w:rsid w:val="5E3D31AC"/>
    <w:rsid w:val="5E3E408C"/>
    <w:rsid w:val="5E40D852"/>
    <w:rsid w:val="5E40FAD4"/>
    <w:rsid w:val="5E4D9DDD"/>
    <w:rsid w:val="5E575B4E"/>
    <w:rsid w:val="5E585DD8"/>
    <w:rsid w:val="5E5B3DF9"/>
    <w:rsid w:val="5E639097"/>
    <w:rsid w:val="5E6917FD"/>
    <w:rsid w:val="5E6E04F6"/>
    <w:rsid w:val="5E740219"/>
    <w:rsid w:val="5E7A0C28"/>
    <w:rsid w:val="5E884542"/>
    <w:rsid w:val="5E8A6F87"/>
    <w:rsid w:val="5E8F5EAA"/>
    <w:rsid w:val="5E9384A5"/>
    <w:rsid w:val="5E9B1387"/>
    <w:rsid w:val="5E9E0EC3"/>
    <w:rsid w:val="5E9E8841"/>
    <w:rsid w:val="5EA287DF"/>
    <w:rsid w:val="5EA72160"/>
    <w:rsid w:val="5EACC837"/>
    <w:rsid w:val="5EAD6DD9"/>
    <w:rsid w:val="5EB1F6F4"/>
    <w:rsid w:val="5EBDFDD5"/>
    <w:rsid w:val="5ECBA1F0"/>
    <w:rsid w:val="5ECD55B0"/>
    <w:rsid w:val="5ED90B51"/>
    <w:rsid w:val="5ED9F8F7"/>
    <w:rsid w:val="5EE655F1"/>
    <w:rsid w:val="5EFE4037"/>
    <w:rsid w:val="5F01CC7E"/>
    <w:rsid w:val="5F0BB48F"/>
    <w:rsid w:val="5F12CBB8"/>
    <w:rsid w:val="5F21C9DD"/>
    <w:rsid w:val="5F2670D2"/>
    <w:rsid w:val="5F2F30E6"/>
    <w:rsid w:val="5F35A378"/>
    <w:rsid w:val="5F39F90C"/>
    <w:rsid w:val="5F3BB8E4"/>
    <w:rsid w:val="5F3DE3F3"/>
    <w:rsid w:val="5F3FAEDA"/>
    <w:rsid w:val="5F428264"/>
    <w:rsid w:val="5F466528"/>
    <w:rsid w:val="5F4BBC72"/>
    <w:rsid w:val="5F543C93"/>
    <w:rsid w:val="5F6745F0"/>
    <w:rsid w:val="5F6CCF18"/>
    <w:rsid w:val="5F717C1A"/>
    <w:rsid w:val="5F83985F"/>
    <w:rsid w:val="5F86B506"/>
    <w:rsid w:val="5F921B16"/>
    <w:rsid w:val="5F993FDC"/>
    <w:rsid w:val="5F9A503B"/>
    <w:rsid w:val="5F9A9C01"/>
    <w:rsid w:val="5F9FD8C5"/>
    <w:rsid w:val="5FA20BBD"/>
    <w:rsid w:val="5FA57728"/>
    <w:rsid w:val="5FA5DB3C"/>
    <w:rsid w:val="5FAA6561"/>
    <w:rsid w:val="5FAF01C7"/>
    <w:rsid w:val="5FB1C053"/>
    <w:rsid w:val="5FB3939D"/>
    <w:rsid w:val="5FB3AA95"/>
    <w:rsid w:val="5FB4E519"/>
    <w:rsid w:val="5FC367BC"/>
    <w:rsid w:val="5FC764E1"/>
    <w:rsid w:val="5FCFA35B"/>
    <w:rsid w:val="5FD29BF4"/>
    <w:rsid w:val="5FDA2C24"/>
    <w:rsid w:val="5FDADA3B"/>
    <w:rsid w:val="5FDCA8B3"/>
    <w:rsid w:val="5FE3C2CD"/>
    <w:rsid w:val="5FE5E19D"/>
    <w:rsid w:val="5FE71385"/>
    <w:rsid w:val="5FE9018B"/>
    <w:rsid w:val="5FEE7CA7"/>
    <w:rsid w:val="5FEE972E"/>
    <w:rsid w:val="5FF7D091"/>
    <w:rsid w:val="5FFCEE37"/>
    <w:rsid w:val="600A0091"/>
    <w:rsid w:val="6012132E"/>
    <w:rsid w:val="601FFA71"/>
    <w:rsid w:val="602DDCAD"/>
    <w:rsid w:val="602F5506"/>
    <w:rsid w:val="60384487"/>
    <w:rsid w:val="6038EC1F"/>
    <w:rsid w:val="604BADC1"/>
    <w:rsid w:val="605088E4"/>
    <w:rsid w:val="60623106"/>
    <w:rsid w:val="6062A6F3"/>
    <w:rsid w:val="60646E9E"/>
    <w:rsid w:val="60764787"/>
    <w:rsid w:val="607CEEFC"/>
    <w:rsid w:val="608D98EB"/>
    <w:rsid w:val="60924B3B"/>
    <w:rsid w:val="609A0A9C"/>
    <w:rsid w:val="60AB43ED"/>
    <w:rsid w:val="60B42F0B"/>
    <w:rsid w:val="60B5A9FC"/>
    <w:rsid w:val="60B63FA3"/>
    <w:rsid w:val="60B664B3"/>
    <w:rsid w:val="60D1A031"/>
    <w:rsid w:val="60D1DC7A"/>
    <w:rsid w:val="60D5D5B4"/>
    <w:rsid w:val="60DA8D18"/>
    <w:rsid w:val="60E4E9FF"/>
    <w:rsid w:val="60EE0243"/>
    <w:rsid w:val="60F0B953"/>
    <w:rsid w:val="60F79975"/>
    <w:rsid w:val="6107099C"/>
    <w:rsid w:val="6109D24B"/>
    <w:rsid w:val="610B25E5"/>
    <w:rsid w:val="610CDDA5"/>
    <w:rsid w:val="61197EBB"/>
    <w:rsid w:val="611AC77A"/>
    <w:rsid w:val="611C8564"/>
    <w:rsid w:val="612455E0"/>
    <w:rsid w:val="61275DB4"/>
    <w:rsid w:val="61375FF9"/>
    <w:rsid w:val="6137D54F"/>
    <w:rsid w:val="6142ABD7"/>
    <w:rsid w:val="61518939"/>
    <w:rsid w:val="61547175"/>
    <w:rsid w:val="6155F5FF"/>
    <w:rsid w:val="615613C6"/>
    <w:rsid w:val="616924CC"/>
    <w:rsid w:val="616B7E30"/>
    <w:rsid w:val="616B956E"/>
    <w:rsid w:val="6172FAE8"/>
    <w:rsid w:val="61779CD6"/>
    <w:rsid w:val="61876314"/>
    <w:rsid w:val="61878439"/>
    <w:rsid w:val="61979BC6"/>
    <w:rsid w:val="61A61053"/>
    <w:rsid w:val="61AB1F78"/>
    <w:rsid w:val="61BAF661"/>
    <w:rsid w:val="61BD1B1D"/>
    <w:rsid w:val="61BDCE8A"/>
    <w:rsid w:val="61C76A58"/>
    <w:rsid w:val="61C786BF"/>
    <w:rsid w:val="61CC3704"/>
    <w:rsid w:val="61CD7747"/>
    <w:rsid w:val="61CEFEDF"/>
    <w:rsid w:val="61CFFF3E"/>
    <w:rsid w:val="61D66E0F"/>
    <w:rsid w:val="61DEC222"/>
    <w:rsid w:val="62084914"/>
    <w:rsid w:val="62170280"/>
    <w:rsid w:val="622256FA"/>
    <w:rsid w:val="62348DF2"/>
    <w:rsid w:val="6235C1EE"/>
    <w:rsid w:val="623BC458"/>
    <w:rsid w:val="623BE751"/>
    <w:rsid w:val="62424048"/>
    <w:rsid w:val="62479DA3"/>
    <w:rsid w:val="624ACD58"/>
    <w:rsid w:val="624C4DFB"/>
    <w:rsid w:val="625B68A5"/>
    <w:rsid w:val="625C5C58"/>
    <w:rsid w:val="625F9E97"/>
    <w:rsid w:val="6264A41F"/>
    <w:rsid w:val="626B1AB6"/>
    <w:rsid w:val="627484FF"/>
    <w:rsid w:val="627DCD35"/>
    <w:rsid w:val="62967897"/>
    <w:rsid w:val="629832E0"/>
    <w:rsid w:val="629FA42C"/>
    <w:rsid w:val="62A76C60"/>
    <w:rsid w:val="62D16321"/>
    <w:rsid w:val="62D7C073"/>
    <w:rsid w:val="62D90D89"/>
    <w:rsid w:val="62DE7F8B"/>
    <w:rsid w:val="62E50902"/>
    <w:rsid w:val="62EF70EA"/>
    <w:rsid w:val="62FDDBBC"/>
    <w:rsid w:val="62FE2419"/>
    <w:rsid w:val="62FEE62A"/>
    <w:rsid w:val="63107A99"/>
    <w:rsid w:val="6314D12C"/>
    <w:rsid w:val="631CA59B"/>
    <w:rsid w:val="631D825F"/>
    <w:rsid w:val="631FCBAD"/>
    <w:rsid w:val="632497E9"/>
    <w:rsid w:val="6329A2F6"/>
    <w:rsid w:val="632DE072"/>
    <w:rsid w:val="633D3F7F"/>
    <w:rsid w:val="634E4E6A"/>
    <w:rsid w:val="6351E649"/>
    <w:rsid w:val="6354F5EA"/>
    <w:rsid w:val="63551FE5"/>
    <w:rsid w:val="635C200F"/>
    <w:rsid w:val="63649656"/>
    <w:rsid w:val="63666336"/>
    <w:rsid w:val="63690A3B"/>
    <w:rsid w:val="63779A08"/>
    <w:rsid w:val="637A462A"/>
    <w:rsid w:val="637A9283"/>
    <w:rsid w:val="638884A0"/>
    <w:rsid w:val="6399CECB"/>
    <w:rsid w:val="63A32E86"/>
    <w:rsid w:val="63A76307"/>
    <w:rsid w:val="63AE669E"/>
    <w:rsid w:val="63B3A81F"/>
    <w:rsid w:val="63B78A0A"/>
    <w:rsid w:val="63C9EB14"/>
    <w:rsid w:val="63C9F9B8"/>
    <w:rsid w:val="63DAF56D"/>
    <w:rsid w:val="63DD99C7"/>
    <w:rsid w:val="63E6874B"/>
    <w:rsid w:val="63E9C58D"/>
    <w:rsid w:val="63EF4602"/>
    <w:rsid w:val="63F82CB9"/>
    <w:rsid w:val="63FD9E42"/>
    <w:rsid w:val="6404AE82"/>
    <w:rsid w:val="640F46C2"/>
    <w:rsid w:val="6410688E"/>
    <w:rsid w:val="6415B9BA"/>
    <w:rsid w:val="64194D34"/>
    <w:rsid w:val="641EC2C7"/>
    <w:rsid w:val="642DC845"/>
    <w:rsid w:val="6433F610"/>
    <w:rsid w:val="643720A6"/>
    <w:rsid w:val="643B0105"/>
    <w:rsid w:val="643DCD82"/>
    <w:rsid w:val="643FBAFB"/>
    <w:rsid w:val="643FCF43"/>
    <w:rsid w:val="64430831"/>
    <w:rsid w:val="64440ECC"/>
    <w:rsid w:val="644B4AF9"/>
    <w:rsid w:val="64544308"/>
    <w:rsid w:val="64595098"/>
    <w:rsid w:val="6473DC34"/>
    <w:rsid w:val="647B8991"/>
    <w:rsid w:val="647CBD3A"/>
    <w:rsid w:val="647D503B"/>
    <w:rsid w:val="64825E86"/>
    <w:rsid w:val="64847FA2"/>
    <w:rsid w:val="648704C0"/>
    <w:rsid w:val="64886351"/>
    <w:rsid w:val="649563E0"/>
    <w:rsid w:val="64967F56"/>
    <w:rsid w:val="6498D1CA"/>
    <w:rsid w:val="649D1E31"/>
    <w:rsid w:val="64AC8EE5"/>
    <w:rsid w:val="64AF3D98"/>
    <w:rsid w:val="64C06382"/>
    <w:rsid w:val="64C9B0D3"/>
    <w:rsid w:val="64CA4064"/>
    <w:rsid w:val="64DDFF43"/>
    <w:rsid w:val="64E62E17"/>
    <w:rsid w:val="64F4311A"/>
    <w:rsid w:val="64F859AC"/>
    <w:rsid w:val="64FF280C"/>
    <w:rsid w:val="650048D7"/>
    <w:rsid w:val="65023884"/>
    <w:rsid w:val="65034563"/>
    <w:rsid w:val="651F4D62"/>
    <w:rsid w:val="6526F2F7"/>
    <w:rsid w:val="652D658F"/>
    <w:rsid w:val="653B459C"/>
    <w:rsid w:val="653E36BB"/>
    <w:rsid w:val="65401875"/>
    <w:rsid w:val="65482875"/>
    <w:rsid w:val="654C8073"/>
    <w:rsid w:val="6556C989"/>
    <w:rsid w:val="655897FA"/>
    <w:rsid w:val="6561958E"/>
    <w:rsid w:val="656849F5"/>
    <w:rsid w:val="65695971"/>
    <w:rsid w:val="656A2A63"/>
    <w:rsid w:val="6572ABAB"/>
    <w:rsid w:val="65748E76"/>
    <w:rsid w:val="65749A82"/>
    <w:rsid w:val="6579AB24"/>
    <w:rsid w:val="657AD7D0"/>
    <w:rsid w:val="65802F20"/>
    <w:rsid w:val="658C1919"/>
    <w:rsid w:val="6593FD1A"/>
    <w:rsid w:val="6599F001"/>
    <w:rsid w:val="65A409ED"/>
    <w:rsid w:val="65ACBBD0"/>
    <w:rsid w:val="65B53434"/>
    <w:rsid w:val="65BB49CE"/>
    <w:rsid w:val="65BE47F4"/>
    <w:rsid w:val="65C0FA8C"/>
    <w:rsid w:val="65C355AE"/>
    <w:rsid w:val="65C64BD2"/>
    <w:rsid w:val="65C64E4C"/>
    <w:rsid w:val="65C7073F"/>
    <w:rsid w:val="65D063BD"/>
    <w:rsid w:val="65D6A935"/>
    <w:rsid w:val="65DC73DA"/>
    <w:rsid w:val="65DD1F7C"/>
    <w:rsid w:val="65EE4DCA"/>
    <w:rsid w:val="65F4AFCC"/>
    <w:rsid w:val="6604535C"/>
    <w:rsid w:val="660C8A59"/>
    <w:rsid w:val="661281BC"/>
    <w:rsid w:val="6614186F"/>
    <w:rsid w:val="6618798D"/>
    <w:rsid w:val="661A7D02"/>
    <w:rsid w:val="66206261"/>
    <w:rsid w:val="662C7463"/>
    <w:rsid w:val="662F7328"/>
    <w:rsid w:val="662FC9FA"/>
    <w:rsid w:val="663BA607"/>
    <w:rsid w:val="6643CA68"/>
    <w:rsid w:val="6645C9CB"/>
    <w:rsid w:val="6657D70C"/>
    <w:rsid w:val="6668E8B7"/>
    <w:rsid w:val="66750A63"/>
    <w:rsid w:val="668E5885"/>
    <w:rsid w:val="6691422B"/>
    <w:rsid w:val="66980E5C"/>
    <w:rsid w:val="6698AF78"/>
    <w:rsid w:val="669935C2"/>
    <w:rsid w:val="669B4AEA"/>
    <w:rsid w:val="66B656C4"/>
    <w:rsid w:val="66B71360"/>
    <w:rsid w:val="66BB6ABD"/>
    <w:rsid w:val="66BD6BB2"/>
    <w:rsid w:val="66CCF9C4"/>
    <w:rsid w:val="66E144C4"/>
    <w:rsid w:val="66E4691B"/>
    <w:rsid w:val="66E6BFCD"/>
    <w:rsid w:val="66E94AEC"/>
    <w:rsid w:val="66EFE082"/>
    <w:rsid w:val="66F2415A"/>
    <w:rsid w:val="66F5ACE5"/>
    <w:rsid w:val="66FE4B3E"/>
    <w:rsid w:val="671BD47F"/>
    <w:rsid w:val="6721D4E3"/>
    <w:rsid w:val="67284A7D"/>
    <w:rsid w:val="673240BA"/>
    <w:rsid w:val="6739CC3C"/>
    <w:rsid w:val="67480950"/>
    <w:rsid w:val="674D0397"/>
    <w:rsid w:val="674E2B85"/>
    <w:rsid w:val="6757136F"/>
    <w:rsid w:val="675D7836"/>
    <w:rsid w:val="675DFC96"/>
    <w:rsid w:val="67834E1F"/>
    <w:rsid w:val="678630F1"/>
    <w:rsid w:val="678A889D"/>
    <w:rsid w:val="6792F41F"/>
    <w:rsid w:val="6796B6E2"/>
    <w:rsid w:val="679FEE19"/>
    <w:rsid w:val="67A545BF"/>
    <w:rsid w:val="67B488BC"/>
    <w:rsid w:val="67B8C436"/>
    <w:rsid w:val="67BBB1DC"/>
    <w:rsid w:val="67C50F24"/>
    <w:rsid w:val="67CBA1F7"/>
    <w:rsid w:val="67D1B2AE"/>
    <w:rsid w:val="67DB5AED"/>
    <w:rsid w:val="67E2706B"/>
    <w:rsid w:val="67E36FD8"/>
    <w:rsid w:val="67F93579"/>
    <w:rsid w:val="67FB2306"/>
    <w:rsid w:val="6807D9AD"/>
    <w:rsid w:val="6820C535"/>
    <w:rsid w:val="682A6506"/>
    <w:rsid w:val="683E0363"/>
    <w:rsid w:val="68425BE3"/>
    <w:rsid w:val="684AFD6C"/>
    <w:rsid w:val="6853836F"/>
    <w:rsid w:val="6853EA73"/>
    <w:rsid w:val="685C03C6"/>
    <w:rsid w:val="685EBDE7"/>
    <w:rsid w:val="686BDEA2"/>
    <w:rsid w:val="688CECA2"/>
    <w:rsid w:val="689A05EC"/>
    <w:rsid w:val="68A4DC22"/>
    <w:rsid w:val="68A9C462"/>
    <w:rsid w:val="68AB6535"/>
    <w:rsid w:val="68B14C89"/>
    <w:rsid w:val="68B3EE4D"/>
    <w:rsid w:val="68BA4E7D"/>
    <w:rsid w:val="68BA896C"/>
    <w:rsid w:val="68BC04B1"/>
    <w:rsid w:val="68BEAE88"/>
    <w:rsid w:val="68C38BB6"/>
    <w:rsid w:val="68C53F09"/>
    <w:rsid w:val="68C8C357"/>
    <w:rsid w:val="68CD5318"/>
    <w:rsid w:val="68CD778B"/>
    <w:rsid w:val="68CF7D03"/>
    <w:rsid w:val="68CFE95F"/>
    <w:rsid w:val="68CFF199"/>
    <w:rsid w:val="68DA03B7"/>
    <w:rsid w:val="68DF6CE5"/>
    <w:rsid w:val="68E0D98C"/>
    <w:rsid w:val="68EAD2E8"/>
    <w:rsid w:val="68EFA2F0"/>
    <w:rsid w:val="68F35160"/>
    <w:rsid w:val="68FD50F7"/>
    <w:rsid w:val="692B4E9E"/>
    <w:rsid w:val="69301B04"/>
    <w:rsid w:val="693283DF"/>
    <w:rsid w:val="69386EC1"/>
    <w:rsid w:val="693CDAFE"/>
    <w:rsid w:val="6946F8A9"/>
    <w:rsid w:val="6949E5F5"/>
    <w:rsid w:val="694D572B"/>
    <w:rsid w:val="6950C81C"/>
    <w:rsid w:val="6960296D"/>
    <w:rsid w:val="6960AC8C"/>
    <w:rsid w:val="69691D01"/>
    <w:rsid w:val="697DE561"/>
    <w:rsid w:val="6984F828"/>
    <w:rsid w:val="698BECD6"/>
    <w:rsid w:val="698F7ACA"/>
    <w:rsid w:val="69980BBA"/>
    <w:rsid w:val="699DA675"/>
    <w:rsid w:val="699F35D7"/>
    <w:rsid w:val="69A640DB"/>
    <w:rsid w:val="69A819EB"/>
    <w:rsid w:val="69BEC160"/>
    <w:rsid w:val="69C8AE7C"/>
    <w:rsid w:val="69C94230"/>
    <w:rsid w:val="69D36009"/>
    <w:rsid w:val="69DC1D8F"/>
    <w:rsid w:val="69E1A087"/>
    <w:rsid w:val="69FD6739"/>
    <w:rsid w:val="6A045937"/>
    <w:rsid w:val="6A08AC54"/>
    <w:rsid w:val="6A08FFEE"/>
    <w:rsid w:val="6A18CFEF"/>
    <w:rsid w:val="6A1C9A50"/>
    <w:rsid w:val="6A1DA822"/>
    <w:rsid w:val="6A22F357"/>
    <w:rsid w:val="6A23C5F2"/>
    <w:rsid w:val="6A2A61AF"/>
    <w:rsid w:val="6A32FFE2"/>
    <w:rsid w:val="6A37C1BE"/>
    <w:rsid w:val="6A40F1E8"/>
    <w:rsid w:val="6A54AC28"/>
    <w:rsid w:val="6A556BFC"/>
    <w:rsid w:val="6A5D1688"/>
    <w:rsid w:val="6A5F3221"/>
    <w:rsid w:val="6A6C5E6A"/>
    <w:rsid w:val="6A6EAC8B"/>
    <w:rsid w:val="6A74359F"/>
    <w:rsid w:val="6A864293"/>
    <w:rsid w:val="6AAC13CC"/>
    <w:rsid w:val="6AAC5D94"/>
    <w:rsid w:val="6AAD719A"/>
    <w:rsid w:val="6AAF69BF"/>
    <w:rsid w:val="6AB0EB81"/>
    <w:rsid w:val="6AD3B166"/>
    <w:rsid w:val="6AD9CCF3"/>
    <w:rsid w:val="6ADAC9EB"/>
    <w:rsid w:val="6ADFF670"/>
    <w:rsid w:val="6AED5504"/>
    <w:rsid w:val="6AF41890"/>
    <w:rsid w:val="6AF644C9"/>
    <w:rsid w:val="6AFB8F01"/>
    <w:rsid w:val="6AFDEFE7"/>
    <w:rsid w:val="6B1002EC"/>
    <w:rsid w:val="6B121793"/>
    <w:rsid w:val="6B12FBAF"/>
    <w:rsid w:val="6B1AAB70"/>
    <w:rsid w:val="6B2071C7"/>
    <w:rsid w:val="6B24F0AC"/>
    <w:rsid w:val="6B313DAD"/>
    <w:rsid w:val="6B34B077"/>
    <w:rsid w:val="6B350BC0"/>
    <w:rsid w:val="6B36C705"/>
    <w:rsid w:val="6B3C897F"/>
    <w:rsid w:val="6B47DCD7"/>
    <w:rsid w:val="6B4C7B5E"/>
    <w:rsid w:val="6B509393"/>
    <w:rsid w:val="6B5A5DA3"/>
    <w:rsid w:val="6B5C0EC0"/>
    <w:rsid w:val="6B72E54A"/>
    <w:rsid w:val="6B748703"/>
    <w:rsid w:val="6B85F930"/>
    <w:rsid w:val="6B889EEC"/>
    <w:rsid w:val="6B94E20B"/>
    <w:rsid w:val="6BA26313"/>
    <w:rsid w:val="6BAAE5BC"/>
    <w:rsid w:val="6BAF2FF3"/>
    <w:rsid w:val="6BB73268"/>
    <w:rsid w:val="6BB790F9"/>
    <w:rsid w:val="6BBF66C5"/>
    <w:rsid w:val="6BBFB408"/>
    <w:rsid w:val="6BC273B4"/>
    <w:rsid w:val="6BCB7342"/>
    <w:rsid w:val="6BDA008B"/>
    <w:rsid w:val="6BDC0E2E"/>
    <w:rsid w:val="6BDF46D7"/>
    <w:rsid w:val="6BE0668D"/>
    <w:rsid w:val="6BE3E894"/>
    <w:rsid w:val="6BE41825"/>
    <w:rsid w:val="6BE48845"/>
    <w:rsid w:val="6BE9E070"/>
    <w:rsid w:val="6BEF45A2"/>
    <w:rsid w:val="6BFE4313"/>
    <w:rsid w:val="6BFF535B"/>
    <w:rsid w:val="6C08517C"/>
    <w:rsid w:val="6C1C75F3"/>
    <w:rsid w:val="6C48F30A"/>
    <w:rsid w:val="6C4C374E"/>
    <w:rsid w:val="6C58C192"/>
    <w:rsid w:val="6C63DAC6"/>
    <w:rsid w:val="6C6EF02D"/>
    <w:rsid w:val="6C7C38B0"/>
    <w:rsid w:val="6C828130"/>
    <w:rsid w:val="6C87BFA0"/>
    <w:rsid w:val="6C9966D4"/>
    <w:rsid w:val="6C9A6C45"/>
    <w:rsid w:val="6C9E52C5"/>
    <w:rsid w:val="6C9F6FA1"/>
    <w:rsid w:val="6CA270B1"/>
    <w:rsid w:val="6CA5CFEC"/>
    <w:rsid w:val="6CB51A29"/>
    <w:rsid w:val="6CB829F3"/>
    <w:rsid w:val="6CB86F3F"/>
    <w:rsid w:val="6CBAD6D5"/>
    <w:rsid w:val="6CBD7B24"/>
    <w:rsid w:val="6CCA3B48"/>
    <w:rsid w:val="6CCE6922"/>
    <w:rsid w:val="6CD8C4BC"/>
    <w:rsid w:val="6CE28D6A"/>
    <w:rsid w:val="6CE5B2C3"/>
    <w:rsid w:val="6CE9253D"/>
    <w:rsid w:val="6CF51A32"/>
    <w:rsid w:val="6CFB4D14"/>
    <w:rsid w:val="6D06918E"/>
    <w:rsid w:val="6D2EBB37"/>
    <w:rsid w:val="6D2F1193"/>
    <w:rsid w:val="6D384AA4"/>
    <w:rsid w:val="6D3CD515"/>
    <w:rsid w:val="6D44F471"/>
    <w:rsid w:val="6D501727"/>
    <w:rsid w:val="6D5A437F"/>
    <w:rsid w:val="6D6A8D1B"/>
    <w:rsid w:val="6D778903"/>
    <w:rsid w:val="6D7EA4D6"/>
    <w:rsid w:val="6D81639A"/>
    <w:rsid w:val="6D86F780"/>
    <w:rsid w:val="6D881287"/>
    <w:rsid w:val="6D97B889"/>
    <w:rsid w:val="6D9E2277"/>
    <w:rsid w:val="6DACB719"/>
    <w:rsid w:val="6DB83DBB"/>
    <w:rsid w:val="6DBC1617"/>
    <w:rsid w:val="6DC13192"/>
    <w:rsid w:val="6DC1C79B"/>
    <w:rsid w:val="6DC64FE4"/>
    <w:rsid w:val="6DCE40AD"/>
    <w:rsid w:val="6DD7DFBC"/>
    <w:rsid w:val="6DDA484A"/>
    <w:rsid w:val="6DE70A81"/>
    <w:rsid w:val="6DE92067"/>
    <w:rsid w:val="6DEC6944"/>
    <w:rsid w:val="6DF19F6E"/>
    <w:rsid w:val="6DF281C7"/>
    <w:rsid w:val="6DF665D1"/>
    <w:rsid w:val="6E02B049"/>
    <w:rsid w:val="6E0B8F13"/>
    <w:rsid w:val="6E0F6541"/>
    <w:rsid w:val="6E18728A"/>
    <w:rsid w:val="6E1DEE4D"/>
    <w:rsid w:val="6E3773E7"/>
    <w:rsid w:val="6E403F05"/>
    <w:rsid w:val="6E4ABC3E"/>
    <w:rsid w:val="6E4B554B"/>
    <w:rsid w:val="6E4BC77C"/>
    <w:rsid w:val="6E524C32"/>
    <w:rsid w:val="6E57A877"/>
    <w:rsid w:val="6E5C98FB"/>
    <w:rsid w:val="6E5E0F90"/>
    <w:rsid w:val="6E5FA935"/>
    <w:rsid w:val="6E5FC8F5"/>
    <w:rsid w:val="6E66D66D"/>
    <w:rsid w:val="6E74341A"/>
    <w:rsid w:val="6E77DA65"/>
    <w:rsid w:val="6E7A914A"/>
    <w:rsid w:val="6E82493B"/>
    <w:rsid w:val="6E83A08E"/>
    <w:rsid w:val="6E901A19"/>
    <w:rsid w:val="6E908AE8"/>
    <w:rsid w:val="6EA9CF40"/>
    <w:rsid w:val="6EB3C968"/>
    <w:rsid w:val="6EB68CA0"/>
    <w:rsid w:val="6EBA3404"/>
    <w:rsid w:val="6EBBC408"/>
    <w:rsid w:val="6EC0EE64"/>
    <w:rsid w:val="6ECCF1C5"/>
    <w:rsid w:val="6EE24D1A"/>
    <w:rsid w:val="6EE3BF9E"/>
    <w:rsid w:val="6EE4BF23"/>
    <w:rsid w:val="6EE589DF"/>
    <w:rsid w:val="6EEC88A0"/>
    <w:rsid w:val="6EFC1E7A"/>
    <w:rsid w:val="6F0848D9"/>
    <w:rsid w:val="6F0CAB17"/>
    <w:rsid w:val="6F0F9B3A"/>
    <w:rsid w:val="6F208E0D"/>
    <w:rsid w:val="6F2B59C5"/>
    <w:rsid w:val="6F451C65"/>
    <w:rsid w:val="6F542C48"/>
    <w:rsid w:val="6F587BD9"/>
    <w:rsid w:val="6F61A9DA"/>
    <w:rsid w:val="6F71DF0C"/>
    <w:rsid w:val="6F744F68"/>
    <w:rsid w:val="6F7C38D2"/>
    <w:rsid w:val="6F81C02C"/>
    <w:rsid w:val="6F8A59D9"/>
    <w:rsid w:val="6F917B7E"/>
    <w:rsid w:val="6F96F5AF"/>
    <w:rsid w:val="6F9C033F"/>
    <w:rsid w:val="6FA58D29"/>
    <w:rsid w:val="6FA671D0"/>
    <w:rsid w:val="6FBE11CD"/>
    <w:rsid w:val="6FC0B71C"/>
    <w:rsid w:val="6FC3EDF5"/>
    <w:rsid w:val="6FCD6442"/>
    <w:rsid w:val="6FD37053"/>
    <w:rsid w:val="6FDC5E86"/>
    <w:rsid w:val="6FEDA7E4"/>
    <w:rsid w:val="6FF35B89"/>
    <w:rsid w:val="6FFB0C77"/>
    <w:rsid w:val="6FFBC236"/>
    <w:rsid w:val="7001351C"/>
    <w:rsid w:val="70029606"/>
    <w:rsid w:val="7002CFA1"/>
    <w:rsid w:val="700B189C"/>
    <w:rsid w:val="700EB309"/>
    <w:rsid w:val="70181D4F"/>
    <w:rsid w:val="701F4EA4"/>
    <w:rsid w:val="70314A4F"/>
    <w:rsid w:val="70341787"/>
    <w:rsid w:val="70386009"/>
    <w:rsid w:val="703C5AFD"/>
    <w:rsid w:val="70407CC8"/>
    <w:rsid w:val="70486057"/>
    <w:rsid w:val="70490C78"/>
    <w:rsid w:val="704B8478"/>
    <w:rsid w:val="705AC04F"/>
    <w:rsid w:val="705E0E9B"/>
    <w:rsid w:val="705E9EE9"/>
    <w:rsid w:val="70634968"/>
    <w:rsid w:val="70634B88"/>
    <w:rsid w:val="706703DA"/>
    <w:rsid w:val="706C016B"/>
    <w:rsid w:val="706E463A"/>
    <w:rsid w:val="70847F9C"/>
    <w:rsid w:val="7086C2CB"/>
    <w:rsid w:val="70880B05"/>
    <w:rsid w:val="708837C3"/>
    <w:rsid w:val="70895D75"/>
    <w:rsid w:val="7093F7F3"/>
    <w:rsid w:val="7094ACA0"/>
    <w:rsid w:val="70A520ED"/>
    <w:rsid w:val="70A76544"/>
    <w:rsid w:val="70A9DBE8"/>
    <w:rsid w:val="70AB8904"/>
    <w:rsid w:val="70AFEB25"/>
    <w:rsid w:val="70CC6D88"/>
    <w:rsid w:val="70CCAE2F"/>
    <w:rsid w:val="70CCE6FF"/>
    <w:rsid w:val="70DAFB8A"/>
    <w:rsid w:val="70E3D18C"/>
    <w:rsid w:val="70E86DF8"/>
    <w:rsid w:val="70E9686D"/>
    <w:rsid w:val="70EE88B4"/>
    <w:rsid w:val="7100AA1B"/>
    <w:rsid w:val="7108FB40"/>
    <w:rsid w:val="710A9BA5"/>
    <w:rsid w:val="710FF6A5"/>
    <w:rsid w:val="711443A3"/>
    <w:rsid w:val="7115F167"/>
    <w:rsid w:val="711A561C"/>
    <w:rsid w:val="711DCC98"/>
    <w:rsid w:val="712B7732"/>
    <w:rsid w:val="712F8803"/>
    <w:rsid w:val="7132F7D5"/>
    <w:rsid w:val="713530D0"/>
    <w:rsid w:val="7142C544"/>
    <w:rsid w:val="7149B8DB"/>
    <w:rsid w:val="714E8E69"/>
    <w:rsid w:val="7159E575"/>
    <w:rsid w:val="715D6CA2"/>
    <w:rsid w:val="716754AB"/>
    <w:rsid w:val="71787782"/>
    <w:rsid w:val="717C8E4C"/>
    <w:rsid w:val="71834DE8"/>
    <w:rsid w:val="718A9769"/>
    <w:rsid w:val="718B16D0"/>
    <w:rsid w:val="71985F92"/>
    <w:rsid w:val="719C0869"/>
    <w:rsid w:val="719CE2B9"/>
    <w:rsid w:val="71A13E2C"/>
    <w:rsid w:val="71ACF142"/>
    <w:rsid w:val="71B879C5"/>
    <w:rsid w:val="71DAAD54"/>
    <w:rsid w:val="71DC9E3E"/>
    <w:rsid w:val="71E165D7"/>
    <w:rsid w:val="71E83C14"/>
    <w:rsid w:val="71ECA497"/>
    <w:rsid w:val="71EEAF52"/>
    <w:rsid w:val="71F3E960"/>
    <w:rsid w:val="71F3EECB"/>
    <w:rsid w:val="72056587"/>
    <w:rsid w:val="72059DBC"/>
    <w:rsid w:val="720A4096"/>
    <w:rsid w:val="72123B26"/>
    <w:rsid w:val="722D3C01"/>
    <w:rsid w:val="7232B544"/>
    <w:rsid w:val="723380C0"/>
    <w:rsid w:val="723ACEB3"/>
    <w:rsid w:val="7242E4DB"/>
    <w:rsid w:val="724CAFCB"/>
    <w:rsid w:val="724E04EE"/>
    <w:rsid w:val="725DAD39"/>
    <w:rsid w:val="726D1EF5"/>
    <w:rsid w:val="726DDBC7"/>
    <w:rsid w:val="7275C261"/>
    <w:rsid w:val="7281D7B6"/>
    <w:rsid w:val="7284CB17"/>
    <w:rsid w:val="728E5A30"/>
    <w:rsid w:val="72975490"/>
    <w:rsid w:val="729AED06"/>
    <w:rsid w:val="729C13E1"/>
    <w:rsid w:val="729E9892"/>
    <w:rsid w:val="72C3F2E6"/>
    <w:rsid w:val="72CBB67B"/>
    <w:rsid w:val="72D19B8D"/>
    <w:rsid w:val="72DF2D1D"/>
    <w:rsid w:val="72DFD53B"/>
    <w:rsid w:val="72E6D273"/>
    <w:rsid w:val="72EB7D45"/>
    <w:rsid w:val="72ED72E8"/>
    <w:rsid w:val="72EEBFC7"/>
    <w:rsid w:val="73085303"/>
    <w:rsid w:val="73102822"/>
    <w:rsid w:val="731144E2"/>
    <w:rsid w:val="731A3A9B"/>
    <w:rsid w:val="73407DC4"/>
    <w:rsid w:val="73418A50"/>
    <w:rsid w:val="734B2DD3"/>
    <w:rsid w:val="73568903"/>
    <w:rsid w:val="73597EDA"/>
    <w:rsid w:val="73628E6D"/>
    <w:rsid w:val="73653732"/>
    <w:rsid w:val="73684557"/>
    <w:rsid w:val="7369571B"/>
    <w:rsid w:val="737889E1"/>
    <w:rsid w:val="737ED0ED"/>
    <w:rsid w:val="73B30800"/>
    <w:rsid w:val="73B8A358"/>
    <w:rsid w:val="73BC5E42"/>
    <w:rsid w:val="73BFE505"/>
    <w:rsid w:val="73C7A879"/>
    <w:rsid w:val="73CD8473"/>
    <w:rsid w:val="73DCAA2E"/>
    <w:rsid w:val="73DDDDDD"/>
    <w:rsid w:val="73E12F2A"/>
    <w:rsid w:val="73E421C1"/>
    <w:rsid w:val="73E5148B"/>
    <w:rsid w:val="73EDC590"/>
    <w:rsid w:val="73FB48B5"/>
    <w:rsid w:val="73FF0304"/>
    <w:rsid w:val="74079A9D"/>
    <w:rsid w:val="740C5C28"/>
    <w:rsid w:val="74191CDA"/>
    <w:rsid w:val="741BF5B6"/>
    <w:rsid w:val="7425B6FF"/>
    <w:rsid w:val="742E5C53"/>
    <w:rsid w:val="744160A3"/>
    <w:rsid w:val="7444F286"/>
    <w:rsid w:val="74459677"/>
    <w:rsid w:val="744D761C"/>
    <w:rsid w:val="74554E1C"/>
    <w:rsid w:val="745D8961"/>
    <w:rsid w:val="745F8E6A"/>
    <w:rsid w:val="7464D7F8"/>
    <w:rsid w:val="746BF4C0"/>
    <w:rsid w:val="746C889D"/>
    <w:rsid w:val="747954C1"/>
    <w:rsid w:val="747F5CC9"/>
    <w:rsid w:val="748268FB"/>
    <w:rsid w:val="7482A2D4"/>
    <w:rsid w:val="74893C98"/>
    <w:rsid w:val="7495C1F2"/>
    <w:rsid w:val="7498932E"/>
    <w:rsid w:val="749CF6C5"/>
    <w:rsid w:val="74A132EA"/>
    <w:rsid w:val="74A702FE"/>
    <w:rsid w:val="74A8E8D3"/>
    <w:rsid w:val="74AA2387"/>
    <w:rsid w:val="74ADF254"/>
    <w:rsid w:val="74AEA592"/>
    <w:rsid w:val="74AFD176"/>
    <w:rsid w:val="74B4CA9D"/>
    <w:rsid w:val="74B51BA5"/>
    <w:rsid w:val="74B5A1D0"/>
    <w:rsid w:val="74B60AFC"/>
    <w:rsid w:val="74B9FDC2"/>
    <w:rsid w:val="74C739B4"/>
    <w:rsid w:val="74CF7804"/>
    <w:rsid w:val="74D36154"/>
    <w:rsid w:val="74DC6435"/>
    <w:rsid w:val="74DDA94B"/>
    <w:rsid w:val="74DE4A46"/>
    <w:rsid w:val="74DF3544"/>
    <w:rsid w:val="74EA36F2"/>
    <w:rsid w:val="74EEE386"/>
    <w:rsid w:val="74EF5A14"/>
    <w:rsid w:val="74F0610D"/>
    <w:rsid w:val="74F18DAF"/>
    <w:rsid w:val="75010793"/>
    <w:rsid w:val="75011FC3"/>
    <w:rsid w:val="75021376"/>
    <w:rsid w:val="75035B96"/>
    <w:rsid w:val="75043F67"/>
    <w:rsid w:val="75185761"/>
    <w:rsid w:val="75218BC0"/>
    <w:rsid w:val="752EC028"/>
    <w:rsid w:val="7532284C"/>
    <w:rsid w:val="753517D0"/>
    <w:rsid w:val="7538ABFE"/>
    <w:rsid w:val="754122F7"/>
    <w:rsid w:val="75540374"/>
    <w:rsid w:val="755BB566"/>
    <w:rsid w:val="7565D565"/>
    <w:rsid w:val="75773776"/>
    <w:rsid w:val="7578F4C7"/>
    <w:rsid w:val="757AAB39"/>
    <w:rsid w:val="75845B4C"/>
    <w:rsid w:val="7584992D"/>
    <w:rsid w:val="7590EB7D"/>
    <w:rsid w:val="7590FA8D"/>
    <w:rsid w:val="7594B670"/>
    <w:rsid w:val="7594EECD"/>
    <w:rsid w:val="759EC161"/>
    <w:rsid w:val="75A35898"/>
    <w:rsid w:val="75A98D48"/>
    <w:rsid w:val="75ADC0B5"/>
    <w:rsid w:val="75B542E7"/>
    <w:rsid w:val="75B6B3EA"/>
    <w:rsid w:val="75C6FD8D"/>
    <w:rsid w:val="75C7E753"/>
    <w:rsid w:val="75CB05B5"/>
    <w:rsid w:val="75EC2AA6"/>
    <w:rsid w:val="75EF80FB"/>
    <w:rsid w:val="75F21606"/>
    <w:rsid w:val="75F221C1"/>
    <w:rsid w:val="75F833CC"/>
    <w:rsid w:val="75FB6561"/>
    <w:rsid w:val="75FD1BA2"/>
    <w:rsid w:val="7606E984"/>
    <w:rsid w:val="76093C4F"/>
    <w:rsid w:val="760FA4A0"/>
    <w:rsid w:val="7612D8D4"/>
    <w:rsid w:val="761775FD"/>
    <w:rsid w:val="761C7F9A"/>
    <w:rsid w:val="761E12DC"/>
    <w:rsid w:val="762507E6"/>
    <w:rsid w:val="7628F351"/>
    <w:rsid w:val="762A6BF1"/>
    <w:rsid w:val="7639C016"/>
    <w:rsid w:val="763A59B1"/>
    <w:rsid w:val="764CF20D"/>
    <w:rsid w:val="765643B2"/>
    <w:rsid w:val="766845CD"/>
    <w:rsid w:val="7669FC61"/>
    <w:rsid w:val="766D5ED9"/>
    <w:rsid w:val="76726E2B"/>
    <w:rsid w:val="76736CAC"/>
    <w:rsid w:val="767B5966"/>
    <w:rsid w:val="767BB9D9"/>
    <w:rsid w:val="767F6149"/>
    <w:rsid w:val="7683748C"/>
    <w:rsid w:val="768670B6"/>
    <w:rsid w:val="769F2B33"/>
    <w:rsid w:val="76AD2343"/>
    <w:rsid w:val="76ADC460"/>
    <w:rsid w:val="76B08B33"/>
    <w:rsid w:val="76B7F479"/>
    <w:rsid w:val="76BAD470"/>
    <w:rsid w:val="76C300EA"/>
    <w:rsid w:val="76C596DB"/>
    <w:rsid w:val="76F511BC"/>
    <w:rsid w:val="770466D0"/>
    <w:rsid w:val="77064C93"/>
    <w:rsid w:val="77099356"/>
    <w:rsid w:val="77099566"/>
    <w:rsid w:val="770AF3BC"/>
    <w:rsid w:val="770B8E26"/>
    <w:rsid w:val="770FAD9D"/>
    <w:rsid w:val="771B116C"/>
    <w:rsid w:val="771C9606"/>
    <w:rsid w:val="771F2CA9"/>
    <w:rsid w:val="771F7480"/>
    <w:rsid w:val="773FE633"/>
    <w:rsid w:val="774B66FC"/>
    <w:rsid w:val="774BB3BC"/>
    <w:rsid w:val="7750403F"/>
    <w:rsid w:val="7752DA90"/>
    <w:rsid w:val="77575CD4"/>
    <w:rsid w:val="77582349"/>
    <w:rsid w:val="775C7140"/>
    <w:rsid w:val="7766D170"/>
    <w:rsid w:val="7766D616"/>
    <w:rsid w:val="776B5142"/>
    <w:rsid w:val="77718225"/>
    <w:rsid w:val="777CD0C9"/>
    <w:rsid w:val="777F6165"/>
    <w:rsid w:val="77804714"/>
    <w:rsid w:val="778E85EA"/>
    <w:rsid w:val="77910343"/>
    <w:rsid w:val="77A00ED0"/>
    <w:rsid w:val="77A71524"/>
    <w:rsid w:val="77A8CB7D"/>
    <w:rsid w:val="77AD38E5"/>
    <w:rsid w:val="77BE8536"/>
    <w:rsid w:val="77C36566"/>
    <w:rsid w:val="77CF6555"/>
    <w:rsid w:val="77D0C8D5"/>
    <w:rsid w:val="77D62260"/>
    <w:rsid w:val="77D9F4FE"/>
    <w:rsid w:val="77DA31B4"/>
    <w:rsid w:val="77DFF859"/>
    <w:rsid w:val="77E5BCE3"/>
    <w:rsid w:val="77E82E3F"/>
    <w:rsid w:val="77E9F7E7"/>
    <w:rsid w:val="77EADD23"/>
    <w:rsid w:val="77EF776E"/>
    <w:rsid w:val="77F7CCD0"/>
    <w:rsid w:val="77FC17FA"/>
    <w:rsid w:val="7807053E"/>
    <w:rsid w:val="781456AF"/>
    <w:rsid w:val="7815F809"/>
    <w:rsid w:val="78167C67"/>
    <w:rsid w:val="78253D05"/>
    <w:rsid w:val="78264D63"/>
    <w:rsid w:val="782AFE66"/>
    <w:rsid w:val="782F11D9"/>
    <w:rsid w:val="78310F12"/>
    <w:rsid w:val="7834EFCA"/>
    <w:rsid w:val="784A8FAA"/>
    <w:rsid w:val="784BCDEE"/>
    <w:rsid w:val="784FBDD2"/>
    <w:rsid w:val="78542359"/>
    <w:rsid w:val="785B2468"/>
    <w:rsid w:val="7865D108"/>
    <w:rsid w:val="7881D10A"/>
    <w:rsid w:val="7887AD5C"/>
    <w:rsid w:val="788A9AD9"/>
    <w:rsid w:val="78AC54CA"/>
    <w:rsid w:val="78BAFD0A"/>
    <w:rsid w:val="78CA71BE"/>
    <w:rsid w:val="78CB2597"/>
    <w:rsid w:val="78CE81D4"/>
    <w:rsid w:val="78D2073D"/>
    <w:rsid w:val="78E17EB5"/>
    <w:rsid w:val="78E4972E"/>
    <w:rsid w:val="78E6D002"/>
    <w:rsid w:val="78E8C2A4"/>
    <w:rsid w:val="78E93725"/>
    <w:rsid w:val="78EC3C2D"/>
    <w:rsid w:val="78ECF38A"/>
    <w:rsid w:val="78F5A759"/>
    <w:rsid w:val="78F8EA48"/>
    <w:rsid w:val="78F9C652"/>
    <w:rsid w:val="78FB93F6"/>
    <w:rsid w:val="79142264"/>
    <w:rsid w:val="7914D1C6"/>
    <w:rsid w:val="792E8C3F"/>
    <w:rsid w:val="7930665C"/>
    <w:rsid w:val="7931879C"/>
    <w:rsid w:val="79318ED2"/>
    <w:rsid w:val="7932C4B1"/>
    <w:rsid w:val="79344E9E"/>
    <w:rsid w:val="7942E585"/>
    <w:rsid w:val="794AB050"/>
    <w:rsid w:val="794AEEDB"/>
    <w:rsid w:val="794AF24A"/>
    <w:rsid w:val="794C689B"/>
    <w:rsid w:val="794D2B2B"/>
    <w:rsid w:val="794E6EA1"/>
    <w:rsid w:val="794E8010"/>
    <w:rsid w:val="794EB2E1"/>
    <w:rsid w:val="794FC023"/>
    <w:rsid w:val="795B77A9"/>
    <w:rsid w:val="795FB69B"/>
    <w:rsid w:val="796F7609"/>
    <w:rsid w:val="7979C330"/>
    <w:rsid w:val="797F2357"/>
    <w:rsid w:val="79915287"/>
    <w:rsid w:val="7993214C"/>
    <w:rsid w:val="7993A1F8"/>
    <w:rsid w:val="79A7156F"/>
    <w:rsid w:val="79AB081F"/>
    <w:rsid w:val="79AFCC50"/>
    <w:rsid w:val="79AFF5DB"/>
    <w:rsid w:val="79B1C203"/>
    <w:rsid w:val="79B24A8F"/>
    <w:rsid w:val="79B63B36"/>
    <w:rsid w:val="79C6413F"/>
    <w:rsid w:val="79D41A31"/>
    <w:rsid w:val="79D49811"/>
    <w:rsid w:val="79E395D0"/>
    <w:rsid w:val="79E6C0B7"/>
    <w:rsid w:val="79EC4CFC"/>
    <w:rsid w:val="79F6F4C9"/>
    <w:rsid w:val="79FA02C0"/>
    <w:rsid w:val="79FF4C38"/>
    <w:rsid w:val="7A085A48"/>
    <w:rsid w:val="7A092127"/>
    <w:rsid w:val="7A0F84D5"/>
    <w:rsid w:val="7A10BDE4"/>
    <w:rsid w:val="7A129575"/>
    <w:rsid w:val="7A12A16F"/>
    <w:rsid w:val="7A140810"/>
    <w:rsid w:val="7A1751F2"/>
    <w:rsid w:val="7A1D801B"/>
    <w:rsid w:val="7A25D9F1"/>
    <w:rsid w:val="7A2A2E8A"/>
    <w:rsid w:val="7A323B76"/>
    <w:rsid w:val="7A33F704"/>
    <w:rsid w:val="7A3F3B9E"/>
    <w:rsid w:val="7A417887"/>
    <w:rsid w:val="7A42EA7B"/>
    <w:rsid w:val="7A46A7EF"/>
    <w:rsid w:val="7A48B645"/>
    <w:rsid w:val="7A4991B8"/>
    <w:rsid w:val="7A511D6D"/>
    <w:rsid w:val="7A5A7336"/>
    <w:rsid w:val="7A5B0862"/>
    <w:rsid w:val="7A60DB34"/>
    <w:rsid w:val="7A816D0D"/>
    <w:rsid w:val="7A84BCF2"/>
    <w:rsid w:val="7A8762AE"/>
    <w:rsid w:val="7A966B6F"/>
    <w:rsid w:val="7AA21645"/>
    <w:rsid w:val="7AA2E62B"/>
    <w:rsid w:val="7AA340AA"/>
    <w:rsid w:val="7AA68575"/>
    <w:rsid w:val="7AADD11B"/>
    <w:rsid w:val="7ABE65DD"/>
    <w:rsid w:val="7AC4F9D7"/>
    <w:rsid w:val="7ACC3E52"/>
    <w:rsid w:val="7ADBD18F"/>
    <w:rsid w:val="7ADC71AA"/>
    <w:rsid w:val="7ADDCD35"/>
    <w:rsid w:val="7AE0C0D9"/>
    <w:rsid w:val="7AF9D1AC"/>
    <w:rsid w:val="7AFD5BB6"/>
    <w:rsid w:val="7B1454C4"/>
    <w:rsid w:val="7B148FA2"/>
    <w:rsid w:val="7B17F16A"/>
    <w:rsid w:val="7B1A0854"/>
    <w:rsid w:val="7B214A52"/>
    <w:rsid w:val="7B2CE6F7"/>
    <w:rsid w:val="7B31D87E"/>
    <w:rsid w:val="7B35FDAD"/>
    <w:rsid w:val="7B375B18"/>
    <w:rsid w:val="7B46FA2F"/>
    <w:rsid w:val="7B64F792"/>
    <w:rsid w:val="7B746FB7"/>
    <w:rsid w:val="7B77ED72"/>
    <w:rsid w:val="7B85DAA3"/>
    <w:rsid w:val="7B8BCD4B"/>
    <w:rsid w:val="7B9512B9"/>
    <w:rsid w:val="7B9684FA"/>
    <w:rsid w:val="7BA3B8C2"/>
    <w:rsid w:val="7BA97312"/>
    <w:rsid w:val="7BAFE5FC"/>
    <w:rsid w:val="7BB4B017"/>
    <w:rsid w:val="7BB50D1F"/>
    <w:rsid w:val="7BBB1228"/>
    <w:rsid w:val="7BBBA630"/>
    <w:rsid w:val="7BC012AA"/>
    <w:rsid w:val="7BC4AA3D"/>
    <w:rsid w:val="7BC4DCC2"/>
    <w:rsid w:val="7BCE2D9A"/>
    <w:rsid w:val="7BD2133C"/>
    <w:rsid w:val="7BDCB0C6"/>
    <w:rsid w:val="7BE1AC05"/>
    <w:rsid w:val="7BE2AD52"/>
    <w:rsid w:val="7BE42294"/>
    <w:rsid w:val="7BE4C64A"/>
    <w:rsid w:val="7BE5E62C"/>
    <w:rsid w:val="7BE6DE45"/>
    <w:rsid w:val="7BEC4362"/>
    <w:rsid w:val="7BED2DC7"/>
    <w:rsid w:val="7BEE6FD1"/>
    <w:rsid w:val="7BF0D8E3"/>
    <w:rsid w:val="7C0D81F4"/>
    <w:rsid w:val="7C0E4B42"/>
    <w:rsid w:val="7C0FC2AD"/>
    <w:rsid w:val="7C147939"/>
    <w:rsid w:val="7C166888"/>
    <w:rsid w:val="7C1EDE99"/>
    <w:rsid w:val="7C22AB29"/>
    <w:rsid w:val="7C2625BC"/>
    <w:rsid w:val="7C288E3C"/>
    <w:rsid w:val="7C33538C"/>
    <w:rsid w:val="7C42C01E"/>
    <w:rsid w:val="7C4A534F"/>
    <w:rsid w:val="7C4AFBDD"/>
    <w:rsid w:val="7C652206"/>
    <w:rsid w:val="7C713192"/>
    <w:rsid w:val="7C72E389"/>
    <w:rsid w:val="7C795AC7"/>
    <w:rsid w:val="7C7D3637"/>
    <w:rsid w:val="7C83495E"/>
    <w:rsid w:val="7C870246"/>
    <w:rsid w:val="7C8E8745"/>
    <w:rsid w:val="7C94E957"/>
    <w:rsid w:val="7C9B55F7"/>
    <w:rsid w:val="7CA0D3D7"/>
    <w:rsid w:val="7CA565AB"/>
    <w:rsid w:val="7CAB9299"/>
    <w:rsid w:val="7CB404D9"/>
    <w:rsid w:val="7CB8C3F9"/>
    <w:rsid w:val="7CBB9F62"/>
    <w:rsid w:val="7CC31945"/>
    <w:rsid w:val="7CC61BE8"/>
    <w:rsid w:val="7CCBCA55"/>
    <w:rsid w:val="7CCDA8DF"/>
    <w:rsid w:val="7CDCE0B1"/>
    <w:rsid w:val="7CEA09A6"/>
    <w:rsid w:val="7CF5D577"/>
    <w:rsid w:val="7CFDCBFD"/>
    <w:rsid w:val="7CFE9E9C"/>
    <w:rsid w:val="7CFEEA5A"/>
    <w:rsid w:val="7D05E38F"/>
    <w:rsid w:val="7D1D544F"/>
    <w:rsid w:val="7D2DC5B3"/>
    <w:rsid w:val="7D469F3B"/>
    <w:rsid w:val="7D485EA6"/>
    <w:rsid w:val="7D4B59A5"/>
    <w:rsid w:val="7D4C944E"/>
    <w:rsid w:val="7D50ED5A"/>
    <w:rsid w:val="7D5FBE3D"/>
    <w:rsid w:val="7D6305C1"/>
    <w:rsid w:val="7D736785"/>
    <w:rsid w:val="7D74BC22"/>
    <w:rsid w:val="7D818211"/>
    <w:rsid w:val="7D868E3F"/>
    <w:rsid w:val="7D8AA7F8"/>
    <w:rsid w:val="7D8ABFD1"/>
    <w:rsid w:val="7D8B6D74"/>
    <w:rsid w:val="7D917D38"/>
    <w:rsid w:val="7D9DDD1D"/>
    <w:rsid w:val="7DBAD28F"/>
    <w:rsid w:val="7DC45E9D"/>
    <w:rsid w:val="7DD2647D"/>
    <w:rsid w:val="7DDA3E8A"/>
    <w:rsid w:val="7DE9608D"/>
    <w:rsid w:val="7DEFEF33"/>
    <w:rsid w:val="7DF04E6A"/>
    <w:rsid w:val="7DFD464B"/>
    <w:rsid w:val="7E0224FE"/>
    <w:rsid w:val="7E10C8D7"/>
    <w:rsid w:val="7E1A9AD1"/>
    <w:rsid w:val="7E1BF142"/>
    <w:rsid w:val="7E1D0F9B"/>
    <w:rsid w:val="7E1F19BF"/>
    <w:rsid w:val="7E4094A6"/>
    <w:rsid w:val="7E410E4A"/>
    <w:rsid w:val="7E46D09F"/>
    <w:rsid w:val="7E59446D"/>
    <w:rsid w:val="7E65A7C3"/>
    <w:rsid w:val="7E68ADC1"/>
    <w:rsid w:val="7E7147C5"/>
    <w:rsid w:val="7E72D2F0"/>
    <w:rsid w:val="7E7D6992"/>
    <w:rsid w:val="7E7F851F"/>
    <w:rsid w:val="7E83694D"/>
    <w:rsid w:val="7E853326"/>
    <w:rsid w:val="7E8775F1"/>
    <w:rsid w:val="7E8C05DB"/>
    <w:rsid w:val="7E8FA388"/>
    <w:rsid w:val="7E9445C1"/>
    <w:rsid w:val="7E9E8636"/>
    <w:rsid w:val="7EA1A7D4"/>
    <w:rsid w:val="7EA33C0B"/>
    <w:rsid w:val="7EA3D3A8"/>
    <w:rsid w:val="7EAD03B6"/>
    <w:rsid w:val="7EB6F541"/>
    <w:rsid w:val="7EB91216"/>
    <w:rsid w:val="7EB924B0"/>
    <w:rsid w:val="7EBD6C1D"/>
    <w:rsid w:val="7ECD8D01"/>
    <w:rsid w:val="7ECE5E61"/>
    <w:rsid w:val="7ED78B61"/>
    <w:rsid w:val="7EDCFFD3"/>
    <w:rsid w:val="7EDE7523"/>
    <w:rsid w:val="7EE1C5AE"/>
    <w:rsid w:val="7EE7E6EF"/>
    <w:rsid w:val="7EEBE3AE"/>
    <w:rsid w:val="7EEE72F7"/>
    <w:rsid w:val="7EEFFFFA"/>
    <w:rsid w:val="7EF217BA"/>
    <w:rsid w:val="7EF75CA5"/>
    <w:rsid w:val="7EFCE101"/>
    <w:rsid w:val="7EFF3DC2"/>
    <w:rsid w:val="7F011CF5"/>
    <w:rsid w:val="7F0F9C57"/>
    <w:rsid w:val="7F155859"/>
    <w:rsid w:val="7F1903B7"/>
    <w:rsid w:val="7F29C07C"/>
    <w:rsid w:val="7F434EBE"/>
    <w:rsid w:val="7F50451A"/>
    <w:rsid w:val="7F548007"/>
    <w:rsid w:val="7F56DBE7"/>
    <w:rsid w:val="7F59CA17"/>
    <w:rsid w:val="7F5D6512"/>
    <w:rsid w:val="7F682DEE"/>
    <w:rsid w:val="7F76CC24"/>
    <w:rsid w:val="7F76D5D1"/>
    <w:rsid w:val="7F7C638D"/>
    <w:rsid w:val="7F853CC8"/>
    <w:rsid w:val="7F8890EC"/>
    <w:rsid w:val="7F8B77DD"/>
    <w:rsid w:val="7F925E41"/>
    <w:rsid w:val="7F97943A"/>
    <w:rsid w:val="7F97C4ED"/>
    <w:rsid w:val="7FA36655"/>
    <w:rsid w:val="7FA44B2B"/>
    <w:rsid w:val="7FAA3983"/>
    <w:rsid w:val="7FAFFCA9"/>
    <w:rsid w:val="7FB296F0"/>
    <w:rsid w:val="7FB330EB"/>
    <w:rsid w:val="7FB66B32"/>
    <w:rsid w:val="7FB70565"/>
    <w:rsid w:val="7FB77471"/>
    <w:rsid w:val="7FBD2656"/>
    <w:rsid w:val="7FBDB025"/>
    <w:rsid w:val="7FC5A612"/>
    <w:rsid w:val="7FDD4AC5"/>
    <w:rsid w:val="7FDFDB4A"/>
    <w:rsid w:val="7FE02A34"/>
    <w:rsid w:val="7FE8C47E"/>
    <w:rsid w:val="7FEC97FC"/>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5D5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3F"/>
    <w:pPr>
      <w:spacing w:before="120" w:after="120"/>
    </w:pPr>
    <w:rPr>
      <w:sz w:val="24"/>
    </w:rPr>
  </w:style>
  <w:style w:type="paragraph" w:styleId="Heading1">
    <w:name w:val="heading 1"/>
    <w:basedOn w:val="Normal"/>
    <w:next w:val="Normal"/>
    <w:link w:val="Heading1Char"/>
    <w:uiPriority w:val="9"/>
    <w:qFormat/>
    <w:rsid w:val="00102432"/>
    <w:pPr>
      <w:keepNext/>
      <w:keepLines/>
      <w:spacing w:before="240" w:after="24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712B3F"/>
    <w:pPr>
      <w:keepNext/>
      <w:keepLines/>
      <w:spacing w:before="36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5735E9"/>
    <w:pPr>
      <w:keepNext/>
      <w:keepLines/>
      <w:spacing w:before="240" w:line="240" w:lineRule="auto"/>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10243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697567"/>
    <w:pPr>
      <w:pBdr>
        <w:bottom w:val="single" w:sz="8" w:space="1" w:color="005677" w:themeColor="text2"/>
      </w:pBdr>
      <w:spacing w:before="360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697567"/>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697567"/>
    <w:rPr>
      <w:rFonts w:eastAsiaTheme="minorEastAsia"/>
      <w:color w:val="58595B" w:themeColor="background2"/>
      <w:sz w:val="40"/>
    </w:rPr>
  </w:style>
  <w:style w:type="character" w:customStyle="1" w:styleId="Heading2Char">
    <w:name w:val="Heading 2 Char"/>
    <w:basedOn w:val="DefaultParagraphFont"/>
    <w:link w:val="Heading2"/>
    <w:uiPriority w:val="9"/>
    <w:rsid w:val="00712B3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5735E9"/>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601004"/>
    <w:pPr>
      <w:pBdr>
        <w:top w:val="single" w:sz="4" w:space="6" w:color="auto"/>
        <w:bottom w:val="single" w:sz="4" w:space="6" w:color="auto"/>
      </w:pBdr>
      <w:spacing w:before="480" w:after="480"/>
      <w:ind w:left="680" w:right="680"/>
      <w:jc w:val="center"/>
    </w:pPr>
    <w:rPr>
      <w:rFonts w:cs="Arial (Body CS)"/>
      <w:i/>
      <w:iCs/>
      <w:color w:val="000000" w:themeColor="text1"/>
      <w:spacing w:val="-2"/>
      <w:sz w:val="28"/>
      <w:szCs w:val="24"/>
    </w:rPr>
  </w:style>
  <w:style w:type="character" w:customStyle="1" w:styleId="QuoteChar">
    <w:name w:val="Quote Char"/>
    <w:basedOn w:val="DefaultParagraphFont"/>
    <w:link w:val="Quote"/>
    <w:uiPriority w:val="29"/>
    <w:rsid w:val="00601004"/>
    <w:rPr>
      <w:rFonts w:cs="Arial (Body CS)"/>
      <w:i/>
      <w:iCs/>
      <w:color w:val="000000" w:themeColor="text1"/>
      <w:spacing w:val="-2"/>
      <w:sz w:val="28"/>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D21754"/>
    <w:pPr>
      <w:numPr>
        <w:numId w:val="41"/>
      </w:numPr>
      <w:spacing w:before="60" w:after="60"/>
      <w:ind w:left="714" w:hanging="357"/>
    </w:pPr>
    <w:rPr>
      <w:szCs w:val="28"/>
    </w:r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FD159E"/>
    <w:pPr>
      <w:tabs>
        <w:tab w:val="right" w:leader="dot" w:pos="9016"/>
      </w:tabs>
      <w:spacing w:before="200" w:after="2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80588A"/>
    <w:pPr>
      <w:pBdr>
        <w:top w:val="single" w:sz="4" w:space="6" w:color="EBF7F8" w:themeColor="accent5" w:themeTint="33"/>
        <w:left w:val="single" w:sz="4" w:space="6" w:color="EBF7F8" w:themeColor="accent5" w:themeTint="33"/>
        <w:bottom w:val="single" w:sz="4" w:space="6" w:color="EBF7F8" w:themeColor="accent5" w:themeTint="33"/>
        <w:right w:val="single" w:sz="4" w:space="6" w:color="EBF7F8" w:themeColor="accent5" w:themeTint="33"/>
      </w:pBdr>
      <w:shd w:val="clear" w:color="auto" w:fill="EBF7F8" w:themeFill="accent5" w:themeFillTint="33"/>
      <w:contextualSpacing/>
    </w:pPr>
    <w:rPr>
      <w:b/>
      <w:color w:val="146F6B" w:themeColor="accent3" w:themeShade="BF"/>
    </w:r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58595B" w:themeColor="background2"/>
      <w:sz w:val="40"/>
      <w:szCs w:val="40"/>
    </w:rPr>
  </w:style>
  <w:style w:type="paragraph" w:customStyle="1" w:styleId="paragraph">
    <w:name w:val="paragraph"/>
    <w:basedOn w:val="Normal"/>
    <w:rsid w:val="004A6596"/>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textrun">
    <w:name w:val="textrun"/>
    <w:basedOn w:val="DefaultParagraphFont"/>
    <w:rsid w:val="004A6596"/>
  </w:style>
  <w:style w:type="character" w:customStyle="1" w:styleId="normaltextrun">
    <w:name w:val="normaltextrun"/>
    <w:basedOn w:val="DefaultParagraphFont"/>
    <w:rsid w:val="004A6596"/>
  </w:style>
  <w:style w:type="character" w:customStyle="1" w:styleId="eop">
    <w:name w:val="eop"/>
    <w:basedOn w:val="DefaultParagraphFont"/>
    <w:rsid w:val="004A6596"/>
  </w:style>
  <w:style w:type="character" w:styleId="CommentReference">
    <w:name w:val="annotation reference"/>
    <w:basedOn w:val="DefaultParagraphFont"/>
    <w:uiPriority w:val="99"/>
    <w:semiHidden/>
    <w:unhideWhenUsed/>
    <w:rsid w:val="002210A3"/>
    <w:rPr>
      <w:sz w:val="16"/>
      <w:szCs w:val="16"/>
    </w:rPr>
  </w:style>
  <w:style w:type="paragraph" w:styleId="CommentText">
    <w:name w:val="annotation text"/>
    <w:basedOn w:val="Normal"/>
    <w:link w:val="CommentTextChar"/>
    <w:uiPriority w:val="99"/>
    <w:unhideWhenUsed/>
    <w:qFormat/>
    <w:rsid w:val="002210A3"/>
    <w:pPr>
      <w:spacing w:line="240" w:lineRule="auto"/>
    </w:pPr>
    <w:rPr>
      <w:sz w:val="20"/>
      <w:szCs w:val="20"/>
    </w:rPr>
  </w:style>
  <w:style w:type="character" w:customStyle="1" w:styleId="CommentTextChar">
    <w:name w:val="Comment Text Char"/>
    <w:basedOn w:val="DefaultParagraphFont"/>
    <w:link w:val="CommentText"/>
    <w:uiPriority w:val="99"/>
    <w:rsid w:val="002210A3"/>
    <w:rPr>
      <w:sz w:val="20"/>
      <w:szCs w:val="20"/>
    </w:rPr>
  </w:style>
  <w:style w:type="paragraph" w:styleId="CommentSubject">
    <w:name w:val="annotation subject"/>
    <w:basedOn w:val="CommentText"/>
    <w:next w:val="CommentText"/>
    <w:link w:val="CommentSubjectChar"/>
    <w:uiPriority w:val="99"/>
    <w:semiHidden/>
    <w:unhideWhenUsed/>
    <w:rsid w:val="002210A3"/>
    <w:rPr>
      <w:b/>
      <w:bCs/>
    </w:rPr>
  </w:style>
  <w:style w:type="character" w:customStyle="1" w:styleId="CommentSubjectChar">
    <w:name w:val="Comment Subject Char"/>
    <w:basedOn w:val="CommentTextChar"/>
    <w:link w:val="CommentSubject"/>
    <w:uiPriority w:val="99"/>
    <w:semiHidden/>
    <w:rsid w:val="002210A3"/>
    <w:rPr>
      <w:b/>
      <w:bCs/>
      <w:sz w:val="20"/>
      <w:szCs w:val="20"/>
    </w:rPr>
  </w:style>
  <w:style w:type="paragraph" w:styleId="FootnoteText">
    <w:name w:val="footnote text"/>
    <w:basedOn w:val="Normal"/>
    <w:link w:val="FootnoteTextChar"/>
    <w:uiPriority w:val="99"/>
    <w:unhideWhenUsed/>
    <w:rsid w:val="00ED306D"/>
    <w:pPr>
      <w:spacing w:after="0" w:line="240" w:lineRule="auto"/>
    </w:pPr>
    <w:rPr>
      <w:sz w:val="20"/>
      <w:szCs w:val="20"/>
    </w:rPr>
  </w:style>
  <w:style w:type="character" w:customStyle="1" w:styleId="FootnoteTextChar">
    <w:name w:val="Footnote Text Char"/>
    <w:basedOn w:val="DefaultParagraphFont"/>
    <w:link w:val="FootnoteText"/>
    <w:uiPriority w:val="99"/>
    <w:rsid w:val="00ED306D"/>
    <w:rPr>
      <w:sz w:val="20"/>
      <w:szCs w:val="20"/>
    </w:rPr>
  </w:style>
  <w:style w:type="character" w:styleId="FootnoteReference">
    <w:name w:val="footnote reference"/>
    <w:basedOn w:val="DefaultParagraphFont"/>
    <w:uiPriority w:val="99"/>
    <w:semiHidden/>
    <w:unhideWhenUsed/>
    <w:rsid w:val="00ED306D"/>
    <w:rPr>
      <w:vertAlign w:val="superscript"/>
    </w:rPr>
  </w:style>
  <w:style w:type="paragraph" w:styleId="Revision">
    <w:name w:val="Revision"/>
    <w:hidden/>
    <w:uiPriority w:val="99"/>
    <w:semiHidden/>
    <w:rsid w:val="00775702"/>
    <w:pPr>
      <w:spacing w:after="0" w:line="240" w:lineRule="auto"/>
    </w:pPr>
  </w:style>
  <w:style w:type="paragraph" w:customStyle="1" w:styleId="acthead5">
    <w:name w:val="acthead5"/>
    <w:basedOn w:val="Normal"/>
    <w:rsid w:val="00C114ED"/>
    <w:pPr>
      <w:spacing w:before="100" w:beforeAutospacing="1" w:after="100" w:afterAutospacing="1" w:line="240" w:lineRule="auto"/>
    </w:pPr>
    <w:rPr>
      <w:rFonts w:ascii="Times New Roman" w:eastAsia="Times New Roman" w:hAnsi="Times New Roman" w:cs="Times New Roman"/>
      <w:szCs w:val="24"/>
      <w:lang w:eastAsia="en-AU" w:bidi="he-IL"/>
    </w:rPr>
  </w:style>
  <w:style w:type="paragraph" w:customStyle="1" w:styleId="subsection">
    <w:name w:val="subsection"/>
    <w:basedOn w:val="Normal"/>
    <w:rsid w:val="00C114ED"/>
    <w:pPr>
      <w:spacing w:before="100" w:beforeAutospacing="1" w:after="100" w:afterAutospacing="1" w:line="240" w:lineRule="auto"/>
    </w:pPr>
    <w:rPr>
      <w:rFonts w:ascii="Times New Roman" w:eastAsia="Times New Roman" w:hAnsi="Times New Roman" w:cs="Times New Roman"/>
      <w:szCs w:val="24"/>
      <w:lang w:eastAsia="en-AU" w:bidi="he-IL"/>
    </w:rPr>
  </w:style>
  <w:style w:type="table" w:customStyle="1" w:styleId="ListTable3-Accent31">
    <w:name w:val="List Table 3 - Accent 31"/>
    <w:basedOn w:val="TableNormal"/>
    <w:next w:val="ListTable3-Accent3"/>
    <w:uiPriority w:val="48"/>
    <w:rsid w:val="002A534C"/>
    <w:pPr>
      <w:spacing w:after="0" w:line="240" w:lineRule="auto"/>
    </w:pPr>
    <w:tblPr>
      <w:tblStyleRowBandSize w:val="1"/>
      <w:tblStyleColBandSize w:val="1"/>
      <w:tblBorders>
        <w:top w:val="single" w:sz="4" w:space="0" w:color="1B9590"/>
        <w:left w:val="single" w:sz="4" w:space="0" w:color="1B9590"/>
        <w:bottom w:val="single" w:sz="4" w:space="0" w:color="1B9590"/>
        <w:right w:val="single" w:sz="4" w:space="0" w:color="1B9590"/>
      </w:tblBorders>
    </w:tblPr>
    <w:tblStylePr w:type="firstRow">
      <w:rPr>
        <w:b/>
        <w:bCs/>
        <w:color w:val="FFFFFF"/>
      </w:rPr>
      <w:tblPr/>
      <w:tcPr>
        <w:shd w:val="clear" w:color="auto" w:fill="1B9590"/>
      </w:tcPr>
    </w:tblStylePr>
    <w:tblStylePr w:type="lastRow">
      <w:rPr>
        <w:b/>
        <w:bCs/>
      </w:rPr>
      <w:tblPr/>
      <w:tcPr>
        <w:tcBorders>
          <w:top w:val="double" w:sz="4" w:space="0" w:color="1B959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B9590"/>
          <w:right w:val="single" w:sz="4" w:space="0" w:color="1B9590"/>
        </w:tcBorders>
      </w:tcPr>
    </w:tblStylePr>
    <w:tblStylePr w:type="band1Horz">
      <w:tblPr/>
      <w:tcPr>
        <w:tcBorders>
          <w:top w:val="single" w:sz="4" w:space="0" w:color="1B9590"/>
          <w:bottom w:val="single" w:sz="4" w:space="0" w:color="1B959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left w:val="nil"/>
        </w:tcBorders>
      </w:tcPr>
    </w:tblStylePr>
    <w:tblStylePr w:type="swCell">
      <w:tblPr/>
      <w:tcPr>
        <w:tcBorders>
          <w:top w:val="double" w:sz="4" w:space="0" w:color="1B9590"/>
          <w:right w:val="nil"/>
        </w:tcBorders>
      </w:tcPr>
    </w:tblStylePr>
  </w:style>
  <w:style w:type="paragraph" w:styleId="ListNumber2">
    <w:name w:val="List Number 2"/>
    <w:basedOn w:val="ListNumber"/>
    <w:uiPriority w:val="4"/>
    <w:qFormat/>
    <w:rsid w:val="00DC5E2B"/>
    <w:pPr>
      <w:numPr>
        <w:ilvl w:val="1"/>
        <w:numId w:val="0"/>
      </w:numPr>
      <w:spacing w:line="260" w:lineRule="exact"/>
      <w:contextualSpacing w:val="0"/>
      <w:jc w:val="both"/>
    </w:pPr>
    <w:rPr>
      <w:rFonts w:ascii="Arial" w:hAnsi="Arial"/>
      <w:color w:val="373737"/>
      <w:sz w:val="20"/>
    </w:rPr>
  </w:style>
  <w:style w:type="paragraph" w:styleId="ListNumber">
    <w:name w:val="List Number"/>
    <w:basedOn w:val="Normal"/>
    <w:uiPriority w:val="99"/>
    <w:semiHidden/>
    <w:unhideWhenUsed/>
    <w:rsid w:val="00DC5E2B"/>
    <w:pPr>
      <w:numPr>
        <w:numId w:val="31"/>
      </w:numPr>
      <w:contextualSpacing/>
    </w:pPr>
  </w:style>
  <w:style w:type="character" w:styleId="FollowedHyperlink">
    <w:name w:val="FollowedHyperlink"/>
    <w:basedOn w:val="DefaultParagraphFont"/>
    <w:uiPriority w:val="99"/>
    <w:semiHidden/>
    <w:unhideWhenUsed/>
    <w:rsid w:val="003C7E7F"/>
    <w:rPr>
      <w:color w:val="551A8B" w:themeColor="followedHyperlink"/>
      <w:u w:val="single"/>
    </w:rPr>
  </w:style>
  <w:style w:type="character" w:customStyle="1" w:styleId="normaltextrun1">
    <w:name w:val="normaltextrun1"/>
    <w:basedOn w:val="DefaultParagraphFont"/>
    <w:rsid w:val="006268F9"/>
  </w:style>
  <w:style w:type="paragraph" w:customStyle="1" w:styleId="acthead2">
    <w:name w:val="acthead2"/>
    <w:basedOn w:val="Normal"/>
    <w:rsid w:val="000B7D12"/>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harpartno">
    <w:name w:val="charpartno"/>
    <w:basedOn w:val="DefaultParagraphFont"/>
    <w:rsid w:val="000B7D12"/>
  </w:style>
  <w:style w:type="character" w:customStyle="1" w:styleId="charparttext">
    <w:name w:val="charparttext"/>
    <w:basedOn w:val="DefaultParagraphFont"/>
    <w:rsid w:val="000B7D12"/>
  </w:style>
  <w:style w:type="paragraph" w:customStyle="1" w:styleId="acthead3">
    <w:name w:val="acthead3"/>
    <w:basedOn w:val="Normal"/>
    <w:rsid w:val="000B7D12"/>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hardivno">
    <w:name w:val="chardivno"/>
    <w:basedOn w:val="DefaultParagraphFont"/>
    <w:rsid w:val="000B7D12"/>
  </w:style>
  <w:style w:type="character" w:customStyle="1" w:styleId="chardivtext">
    <w:name w:val="chardivtext"/>
    <w:basedOn w:val="DefaultParagraphFont"/>
    <w:rsid w:val="000B7D12"/>
  </w:style>
  <w:style w:type="character" w:customStyle="1" w:styleId="charsectno">
    <w:name w:val="charsectno"/>
    <w:basedOn w:val="DefaultParagraphFont"/>
    <w:rsid w:val="000B7D12"/>
  </w:style>
  <w:style w:type="character" w:customStyle="1" w:styleId="UnresolvedMention1">
    <w:name w:val="Unresolved Mention1"/>
    <w:basedOn w:val="DefaultParagraphFont"/>
    <w:uiPriority w:val="99"/>
    <w:semiHidden/>
    <w:unhideWhenUsed/>
    <w:rsid w:val="00745F7B"/>
    <w:rPr>
      <w:color w:val="605E5C"/>
      <w:shd w:val="clear" w:color="auto" w:fill="E1DFDD"/>
    </w:rPr>
  </w:style>
  <w:style w:type="paragraph" w:styleId="NormalWeb">
    <w:name w:val="Normal (Web)"/>
    <w:basedOn w:val="Normal"/>
    <w:uiPriority w:val="99"/>
    <w:semiHidden/>
    <w:unhideWhenUsed/>
    <w:rsid w:val="004F2E75"/>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1612">
      <w:bodyDiv w:val="1"/>
      <w:marLeft w:val="0"/>
      <w:marRight w:val="0"/>
      <w:marTop w:val="0"/>
      <w:marBottom w:val="0"/>
      <w:divBdr>
        <w:top w:val="none" w:sz="0" w:space="0" w:color="auto"/>
        <w:left w:val="none" w:sz="0" w:space="0" w:color="auto"/>
        <w:bottom w:val="none" w:sz="0" w:space="0" w:color="auto"/>
        <w:right w:val="none" w:sz="0" w:space="0" w:color="auto"/>
      </w:divBdr>
    </w:div>
    <w:div w:id="109713225">
      <w:bodyDiv w:val="1"/>
      <w:marLeft w:val="0"/>
      <w:marRight w:val="0"/>
      <w:marTop w:val="0"/>
      <w:marBottom w:val="0"/>
      <w:divBdr>
        <w:top w:val="none" w:sz="0" w:space="0" w:color="auto"/>
        <w:left w:val="none" w:sz="0" w:space="0" w:color="auto"/>
        <w:bottom w:val="none" w:sz="0" w:space="0" w:color="auto"/>
        <w:right w:val="none" w:sz="0" w:space="0" w:color="auto"/>
      </w:divBdr>
    </w:div>
    <w:div w:id="122308932">
      <w:bodyDiv w:val="1"/>
      <w:marLeft w:val="0"/>
      <w:marRight w:val="0"/>
      <w:marTop w:val="0"/>
      <w:marBottom w:val="0"/>
      <w:divBdr>
        <w:top w:val="none" w:sz="0" w:space="0" w:color="auto"/>
        <w:left w:val="none" w:sz="0" w:space="0" w:color="auto"/>
        <w:bottom w:val="none" w:sz="0" w:space="0" w:color="auto"/>
        <w:right w:val="none" w:sz="0" w:space="0" w:color="auto"/>
      </w:divBdr>
    </w:div>
    <w:div w:id="183711004">
      <w:bodyDiv w:val="1"/>
      <w:marLeft w:val="0"/>
      <w:marRight w:val="0"/>
      <w:marTop w:val="0"/>
      <w:marBottom w:val="0"/>
      <w:divBdr>
        <w:top w:val="none" w:sz="0" w:space="0" w:color="auto"/>
        <w:left w:val="none" w:sz="0" w:space="0" w:color="auto"/>
        <w:bottom w:val="none" w:sz="0" w:space="0" w:color="auto"/>
        <w:right w:val="none" w:sz="0" w:space="0" w:color="auto"/>
      </w:divBdr>
    </w:div>
    <w:div w:id="185607297">
      <w:bodyDiv w:val="1"/>
      <w:marLeft w:val="0"/>
      <w:marRight w:val="0"/>
      <w:marTop w:val="0"/>
      <w:marBottom w:val="0"/>
      <w:divBdr>
        <w:top w:val="none" w:sz="0" w:space="0" w:color="auto"/>
        <w:left w:val="none" w:sz="0" w:space="0" w:color="auto"/>
        <w:bottom w:val="none" w:sz="0" w:space="0" w:color="auto"/>
        <w:right w:val="none" w:sz="0" w:space="0" w:color="auto"/>
      </w:divBdr>
    </w:div>
    <w:div w:id="204219815">
      <w:bodyDiv w:val="1"/>
      <w:marLeft w:val="0"/>
      <w:marRight w:val="0"/>
      <w:marTop w:val="0"/>
      <w:marBottom w:val="0"/>
      <w:divBdr>
        <w:top w:val="none" w:sz="0" w:space="0" w:color="auto"/>
        <w:left w:val="none" w:sz="0" w:space="0" w:color="auto"/>
        <w:bottom w:val="none" w:sz="0" w:space="0" w:color="auto"/>
        <w:right w:val="none" w:sz="0" w:space="0" w:color="auto"/>
      </w:divBdr>
      <w:divsChild>
        <w:div w:id="409473442">
          <w:marLeft w:val="0"/>
          <w:marRight w:val="0"/>
          <w:marTop w:val="0"/>
          <w:marBottom w:val="0"/>
          <w:divBdr>
            <w:top w:val="none" w:sz="0" w:space="0" w:color="auto"/>
            <w:left w:val="none" w:sz="0" w:space="0" w:color="auto"/>
            <w:bottom w:val="none" w:sz="0" w:space="0" w:color="auto"/>
            <w:right w:val="none" w:sz="0" w:space="0" w:color="auto"/>
          </w:divBdr>
        </w:div>
        <w:div w:id="680085010">
          <w:marLeft w:val="0"/>
          <w:marRight w:val="0"/>
          <w:marTop w:val="0"/>
          <w:marBottom w:val="0"/>
          <w:divBdr>
            <w:top w:val="none" w:sz="0" w:space="0" w:color="auto"/>
            <w:left w:val="none" w:sz="0" w:space="0" w:color="auto"/>
            <w:bottom w:val="none" w:sz="0" w:space="0" w:color="auto"/>
            <w:right w:val="none" w:sz="0" w:space="0" w:color="auto"/>
          </w:divBdr>
        </w:div>
        <w:div w:id="1071269182">
          <w:marLeft w:val="0"/>
          <w:marRight w:val="0"/>
          <w:marTop w:val="0"/>
          <w:marBottom w:val="0"/>
          <w:divBdr>
            <w:top w:val="none" w:sz="0" w:space="0" w:color="auto"/>
            <w:left w:val="none" w:sz="0" w:space="0" w:color="auto"/>
            <w:bottom w:val="none" w:sz="0" w:space="0" w:color="auto"/>
            <w:right w:val="none" w:sz="0" w:space="0" w:color="auto"/>
          </w:divBdr>
        </w:div>
        <w:div w:id="1379360133">
          <w:marLeft w:val="0"/>
          <w:marRight w:val="0"/>
          <w:marTop w:val="0"/>
          <w:marBottom w:val="0"/>
          <w:divBdr>
            <w:top w:val="none" w:sz="0" w:space="0" w:color="auto"/>
            <w:left w:val="none" w:sz="0" w:space="0" w:color="auto"/>
            <w:bottom w:val="none" w:sz="0" w:space="0" w:color="auto"/>
            <w:right w:val="none" w:sz="0" w:space="0" w:color="auto"/>
          </w:divBdr>
        </w:div>
        <w:div w:id="1489857652">
          <w:marLeft w:val="0"/>
          <w:marRight w:val="0"/>
          <w:marTop w:val="0"/>
          <w:marBottom w:val="0"/>
          <w:divBdr>
            <w:top w:val="none" w:sz="0" w:space="0" w:color="auto"/>
            <w:left w:val="none" w:sz="0" w:space="0" w:color="auto"/>
            <w:bottom w:val="none" w:sz="0" w:space="0" w:color="auto"/>
            <w:right w:val="none" w:sz="0" w:space="0" w:color="auto"/>
          </w:divBdr>
        </w:div>
        <w:div w:id="1590770176">
          <w:marLeft w:val="0"/>
          <w:marRight w:val="0"/>
          <w:marTop w:val="0"/>
          <w:marBottom w:val="0"/>
          <w:divBdr>
            <w:top w:val="none" w:sz="0" w:space="0" w:color="auto"/>
            <w:left w:val="none" w:sz="0" w:space="0" w:color="auto"/>
            <w:bottom w:val="none" w:sz="0" w:space="0" w:color="auto"/>
            <w:right w:val="none" w:sz="0" w:space="0" w:color="auto"/>
          </w:divBdr>
        </w:div>
        <w:div w:id="1822231339">
          <w:marLeft w:val="0"/>
          <w:marRight w:val="0"/>
          <w:marTop w:val="0"/>
          <w:marBottom w:val="0"/>
          <w:divBdr>
            <w:top w:val="none" w:sz="0" w:space="0" w:color="auto"/>
            <w:left w:val="none" w:sz="0" w:space="0" w:color="auto"/>
            <w:bottom w:val="none" w:sz="0" w:space="0" w:color="auto"/>
            <w:right w:val="none" w:sz="0" w:space="0" w:color="auto"/>
          </w:divBdr>
        </w:div>
      </w:divsChild>
    </w:div>
    <w:div w:id="235748896">
      <w:bodyDiv w:val="1"/>
      <w:marLeft w:val="0"/>
      <w:marRight w:val="0"/>
      <w:marTop w:val="0"/>
      <w:marBottom w:val="0"/>
      <w:divBdr>
        <w:top w:val="none" w:sz="0" w:space="0" w:color="auto"/>
        <w:left w:val="none" w:sz="0" w:space="0" w:color="auto"/>
        <w:bottom w:val="none" w:sz="0" w:space="0" w:color="auto"/>
        <w:right w:val="none" w:sz="0" w:space="0" w:color="auto"/>
      </w:divBdr>
    </w:div>
    <w:div w:id="273094783">
      <w:bodyDiv w:val="1"/>
      <w:marLeft w:val="0"/>
      <w:marRight w:val="0"/>
      <w:marTop w:val="0"/>
      <w:marBottom w:val="0"/>
      <w:divBdr>
        <w:top w:val="none" w:sz="0" w:space="0" w:color="auto"/>
        <w:left w:val="none" w:sz="0" w:space="0" w:color="auto"/>
        <w:bottom w:val="none" w:sz="0" w:space="0" w:color="auto"/>
        <w:right w:val="none" w:sz="0" w:space="0" w:color="auto"/>
      </w:divBdr>
      <w:divsChild>
        <w:div w:id="67240670">
          <w:marLeft w:val="0"/>
          <w:marRight w:val="0"/>
          <w:marTop w:val="0"/>
          <w:marBottom w:val="0"/>
          <w:divBdr>
            <w:top w:val="none" w:sz="0" w:space="0" w:color="auto"/>
            <w:left w:val="none" w:sz="0" w:space="0" w:color="auto"/>
            <w:bottom w:val="none" w:sz="0" w:space="0" w:color="auto"/>
            <w:right w:val="none" w:sz="0" w:space="0" w:color="auto"/>
          </w:divBdr>
          <w:divsChild>
            <w:div w:id="1351302655">
              <w:marLeft w:val="0"/>
              <w:marRight w:val="0"/>
              <w:marTop w:val="0"/>
              <w:marBottom w:val="0"/>
              <w:divBdr>
                <w:top w:val="none" w:sz="0" w:space="0" w:color="auto"/>
                <w:left w:val="none" w:sz="0" w:space="0" w:color="auto"/>
                <w:bottom w:val="none" w:sz="0" w:space="0" w:color="auto"/>
                <w:right w:val="none" w:sz="0" w:space="0" w:color="auto"/>
              </w:divBdr>
              <w:divsChild>
                <w:div w:id="21175460">
                  <w:marLeft w:val="0"/>
                  <w:marRight w:val="0"/>
                  <w:marTop w:val="0"/>
                  <w:marBottom w:val="0"/>
                  <w:divBdr>
                    <w:top w:val="none" w:sz="0" w:space="0" w:color="auto"/>
                    <w:left w:val="none" w:sz="0" w:space="0" w:color="auto"/>
                    <w:bottom w:val="none" w:sz="0" w:space="0" w:color="auto"/>
                    <w:right w:val="none" w:sz="0" w:space="0" w:color="auto"/>
                  </w:divBdr>
                  <w:divsChild>
                    <w:div w:id="688524442">
                      <w:marLeft w:val="0"/>
                      <w:marRight w:val="0"/>
                      <w:marTop w:val="0"/>
                      <w:marBottom w:val="0"/>
                      <w:divBdr>
                        <w:top w:val="none" w:sz="0" w:space="0" w:color="auto"/>
                        <w:left w:val="none" w:sz="0" w:space="0" w:color="auto"/>
                        <w:bottom w:val="none" w:sz="0" w:space="0" w:color="auto"/>
                        <w:right w:val="none" w:sz="0" w:space="0" w:color="auto"/>
                      </w:divBdr>
                      <w:divsChild>
                        <w:div w:id="1659993405">
                          <w:marLeft w:val="0"/>
                          <w:marRight w:val="0"/>
                          <w:marTop w:val="0"/>
                          <w:marBottom w:val="0"/>
                          <w:divBdr>
                            <w:top w:val="none" w:sz="0" w:space="0" w:color="auto"/>
                            <w:left w:val="none" w:sz="0" w:space="0" w:color="auto"/>
                            <w:bottom w:val="none" w:sz="0" w:space="0" w:color="auto"/>
                            <w:right w:val="none" w:sz="0" w:space="0" w:color="auto"/>
                          </w:divBdr>
                          <w:divsChild>
                            <w:div w:id="323121563">
                              <w:marLeft w:val="0"/>
                              <w:marRight w:val="0"/>
                              <w:marTop w:val="0"/>
                              <w:marBottom w:val="0"/>
                              <w:divBdr>
                                <w:top w:val="none" w:sz="0" w:space="0" w:color="auto"/>
                                <w:left w:val="none" w:sz="0" w:space="0" w:color="auto"/>
                                <w:bottom w:val="none" w:sz="0" w:space="0" w:color="auto"/>
                                <w:right w:val="none" w:sz="0" w:space="0" w:color="auto"/>
                              </w:divBdr>
                              <w:divsChild>
                                <w:div w:id="983310919">
                                  <w:marLeft w:val="0"/>
                                  <w:marRight w:val="0"/>
                                  <w:marTop w:val="0"/>
                                  <w:marBottom w:val="0"/>
                                  <w:divBdr>
                                    <w:top w:val="none" w:sz="0" w:space="0" w:color="auto"/>
                                    <w:left w:val="none" w:sz="0" w:space="0" w:color="auto"/>
                                    <w:bottom w:val="none" w:sz="0" w:space="0" w:color="auto"/>
                                    <w:right w:val="none" w:sz="0" w:space="0" w:color="auto"/>
                                  </w:divBdr>
                                  <w:divsChild>
                                    <w:div w:id="1630277654">
                                      <w:marLeft w:val="0"/>
                                      <w:marRight w:val="0"/>
                                      <w:marTop w:val="0"/>
                                      <w:marBottom w:val="0"/>
                                      <w:divBdr>
                                        <w:top w:val="none" w:sz="0" w:space="0" w:color="auto"/>
                                        <w:left w:val="none" w:sz="0" w:space="0" w:color="auto"/>
                                        <w:bottom w:val="none" w:sz="0" w:space="0" w:color="auto"/>
                                        <w:right w:val="none" w:sz="0" w:space="0" w:color="auto"/>
                                      </w:divBdr>
                                      <w:divsChild>
                                        <w:div w:id="246233411">
                                          <w:marLeft w:val="0"/>
                                          <w:marRight w:val="0"/>
                                          <w:marTop w:val="0"/>
                                          <w:marBottom w:val="0"/>
                                          <w:divBdr>
                                            <w:top w:val="none" w:sz="0" w:space="0" w:color="auto"/>
                                            <w:left w:val="none" w:sz="0" w:space="0" w:color="auto"/>
                                            <w:bottom w:val="none" w:sz="0" w:space="0" w:color="auto"/>
                                            <w:right w:val="none" w:sz="0" w:space="0" w:color="auto"/>
                                          </w:divBdr>
                                          <w:divsChild>
                                            <w:div w:id="2009474818">
                                              <w:marLeft w:val="0"/>
                                              <w:marRight w:val="0"/>
                                              <w:marTop w:val="0"/>
                                              <w:marBottom w:val="0"/>
                                              <w:divBdr>
                                                <w:top w:val="none" w:sz="0" w:space="0" w:color="auto"/>
                                                <w:left w:val="none" w:sz="0" w:space="0" w:color="auto"/>
                                                <w:bottom w:val="none" w:sz="0" w:space="0" w:color="auto"/>
                                                <w:right w:val="none" w:sz="0" w:space="0" w:color="auto"/>
                                              </w:divBdr>
                                              <w:divsChild>
                                                <w:div w:id="1762919667">
                                                  <w:marLeft w:val="0"/>
                                                  <w:marRight w:val="0"/>
                                                  <w:marTop w:val="0"/>
                                                  <w:marBottom w:val="435"/>
                                                  <w:divBdr>
                                                    <w:top w:val="none" w:sz="0" w:space="0" w:color="auto"/>
                                                    <w:left w:val="none" w:sz="0" w:space="0" w:color="auto"/>
                                                    <w:bottom w:val="none" w:sz="0" w:space="0" w:color="auto"/>
                                                    <w:right w:val="none" w:sz="0" w:space="0" w:color="auto"/>
                                                  </w:divBdr>
                                                  <w:divsChild>
                                                    <w:div w:id="1725519731">
                                                      <w:marLeft w:val="0"/>
                                                      <w:marRight w:val="0"/>
                                                      <w:marTop w:val="0"/>
                                                      <w:marBottom w:val="0"/>
                                                      <w:divBdr>
                                                        <w:top w:val="none" w:sz="0" w:space="0" w:color="auto"/>
                                                        <w:left w:val="none" w:sz="0" w:space="0" w:color="auto"/>
                                                        <w:bottom w:val="none" w:sz="0" w:space="0" w:color="auto"/>
                                                        <w:right w:val="none" w:sz="0" w:space="0" w:color="auto"/>
                                                      </w:divBdr>
                                                      <w:divsChild>
                                                        <w:div w:id="1595168637">
                                                          <w:marLeft w:val="0"/>
                                                          <w:marRight w:val="0"/>
                                                          <w:marTop w:val="0"/>
                                                          <w:marBottom w:val="0"/>
                                                          <w:divBdr>
                                                            <w:top w:val="single" w:sz="6" w:space="0" w:color="ABABAB"/>
                                                            <w:left w:val="single" w:sz="6" w:space="0" w:color="ABABAB"/>
                                                            <w:bottom w:val="single" w:sz="6" w:space="0" w:color="ABABAB"/>
                                                            <w:right w:val="single" w:sz="6" w:space="0" w:color="ABABAB"/>
                                                          </w:divBdr>
                                                          <w:divsChild>
                                                            <w:div w:id="52169204">
                                                              <w:marLeft w:val="0"/>
                                                              <w:marRight w:val="0"/>
                                                              <w:marTop w:val="0"/>
                                                              <w:marBottom w:val="0"/>
                                                              <w:divBdr>
                                                                <w:top w:val="none" w:sz="0" w:space="0" w:color="auto"/>
                                                                <w:left w:val="none" w:sz="0" w:space="0" w:color="auto"/>
                                                                <w:bottom w:val="none" w:sz="0" w:space="0" w:color="auto"/>
                                                                <w:right w:val="none" w:sz="0" w:space="0" w:color="auto"/>
                                                              </w:divBdr>
                                                              <w:divsChild>
                                                                <w:div w:id="1137071423">
                                                                  <w:marLeft w:val="0"/>
                                                                  <w:marRight w:val="0"/>
                                                                  <w:marTop w:val="0"/>
                                                                  <w:marBottom w:val="0"/>
                                                                  <w:divBdr>
                                                                    <w:top w:val="none" w:sz="0" w:space="0" w:color="auto"/>
                                                                    <w:left w:val="none" w:sz="0" w:space="0" w:color="auto"/>
                                                                    <w:bottom w:val="none" w:sz="0" w:space="0" w:color="auto"/>
                                                                    <w:right w:val="none" w:sz="0" w:space="0" w:color="auto"/>
                                                                  </w:divBdr>
                                                                  <w:divsChild>
                                                                    <w:div w:id="1596207242">
                                                                      <w:marLeft w:val="0"/>
                                                                      <w:marRight w:val="0"/>
                                                                      <w:marTop w:val="0"/>
                                                                      <w:marBottom w:val="0"/>
                                                                      <w:divBdr>
                                                                        <w:top w:val="none" w:sz="0" w:space="0" w:color="auto"/>
                                                                        <w:left w:val="none" w:sz="0" w:space="0" w:color="auto"/>
                                                                        <w:bottom w:val="none" w:sz="0" w:space="0" w:color="auto"/>
                                                                        <w:right w:val="none" w:sz="0" w:space="0" w:color="auto"/>
                                                                      </w:divBdr>
                                                                      <w:divsChild>
                                                                        <w:div w:id="455562739">
                                                                          <w:marLeft w:val="0"/>
                                                                          <w:marRight w:val="0"/>
                                                                          <w:marTop w:val="0"/>
                                                                          <w:marBottom w:val="0"/>
                                                                          <w:divBdr>
                                                                            <w:top w:val="none" w:sz="0" w:space="0" w:color="auto"/>
                                                                            <w:left w:val="none" w:sz="0" w:space="0" w:color="auto"/>
                                                                            <w:bottom w:val="none" w:sz="0" w:space="0" w:color="auto"/>
                                                                            <w:right w:val="none" w:sz="0" w:space="0" w:color="auto"/>
                                                                          </w:divBdr>
                                                                          <w:divsChild>
                                                                            <w:div w:id="1624842863">
                                                                              <w:marLeft w:val="0"/>
                                                                              <w:marRight w:val="0"/>
                                                                              <w:marTop w:val="0"/>
                                                                              <w:marBottom w:val="0"/>
                                                                              <w:divBdr>
                                                                                <w:top w:val="none" w:sz="0" w:space="0" w:color="auto"/>
                                                                                <w:left w:val="none" w:sz="0" w:space="0" w:color="auto"/>
                                                                                <w:bottom w:val="none" w:sz="0" w:space="0" w:color="auto"/>
                                                                                <w:right w:val="none" w:sz="0" w:space="0" w:color="auto"/>
                                                                              </w:divBdr>
                                                                              <w:divsChild>
                                                                                <w:div w:id="1262370623">
                                                                                  <w:marLeft w:val="0"/>
                                                                                  <w:marRight w:val="0"/>
                                                                                  <w:marTop w:val="0"/>
                                                                                  <w:marBottom w:val="0"/>
                                                                                  <w:divBdr>
                                                                                    <w:top w:val="none" w:sz="0" w:space="0" w:color="auto"/>
                                                                                    <w:left w:val="none" w:sz="0" w:space="0" w:color="auto"/>
                                                                                    <w:bottom w:val="none" w:sz="0" w:space="0" w:color="auto"/>
                                                                                    <w:right w:val="none" w:sz="0" w:space="0" w:color="auto"/>
                                                                                  </w:divBdr>
                                                                                  <w:divsChild>
                                                                                    <w:div w:id="517433193">
                                                                                      <w:marLeft w:val="0"/>
                                                                                      <w:marRight w:val="0"/>
                                                                                      <w:marTop w:val="0"/>
                                                                                      <w:marBottom w:val="0"/>
                                                                                      <w:divBdr>
                                                                                        <w:top w:val="none" w:sz="0" w:space="0" w:color="auto"/>
                                                                                        <w:left w:val="none" w:sz="0" w:space="0" w:color="auto"/>
                                                                                        <w:bottom w:val="none" w:sz="0" w:space="0" w:color="auto"/>
                                                                                        <w:right w:val="none" w:sz="0" w:space="0" w:color="auto"/>
                                                                                      </w:divBdr>
                                                                                      <w:divsChild>
                                                                                        <w:div w:id="13267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183175">
      <w:bodyDiv w:val="1"/>
      <w:marLeft w:val="0"/>
      <w:marRight w:val="0"/>
      <w:marTop w:val="0"/>
      <w:marBottom w:val="0"/>
      <w:divBdr>
        <w:top w:val="none" w:sz="0" w:space="0" w:color="auto"/>
        <w:left w:val="none" w:sz="0" w:space="0" w:color="auto"/>
        <w:bottom w:val="none" w:sz="0" w:space="0" w:color="auto"/>
        <w:right w:val="none" w:sz="0" w:space="0" w:color="auto"/>
      </w:divBdr>
    </w:div>
    <w:div w:id="327830575">
      <w:bodyDiv w:val="1"/>
      <w:marLeft w:val="0"/>
      <w:marRight w:val="0"/>
      <w:marTop w:val="0"/>
      <w:marBottom w:val="0"/>
      <w:divBdr>
        <w:top w:val="none" w:sz="0" w:space="0" w:color="auto"/>
        <w:left w:val="none" w:sz="0" w:space="0" w:color="auto"/>
        <w:bottom w:val="none" w:sz="0" w:space="0" w:color="auto"/>
        <w:right w:val="none" w:sz="0" w:space="0" w:color="auto"/>
      </w:divBdr>
    </w:div>
    <w:div w:id="416171881">
      <w:bodyDiv w:val="1"/>
      <w:marLeft w:val="0"/>
      <w:marRight w:val="0"/>
      <w:marTop w:val="0"/>
      <w:marBottom w:val="0"/>
      <w:divBdr>
        <w:top w:val="none" w:sz="0" w:space="0" w:color="auto"/>
        <w:left w:val="none" w:sz="0" w:space="0" w:color="auto"/>
        <w:bottom w:val="none" w:sz="0" w:space="0" w:color="auto"/>
        <w:right w:val="none" w:sz="0" w:space="0" w:color="auto"/>
      </w:divBdr>
    </w:div>
    <w:div w:id="504168566">
      <w:bodyDiv w:val="1"/>
      <w:marLeft w:val="0"/>
      <w:marRight w:val="0"/>
      <w:marTop w:val="0"/>
      <w:marBottom w:val="0"/>
      <w:divBdr>
        <w:top w:val="none" w:sz="0" w:space="0" w:color="auto"/>
        <w:left w:val="none" w:sz="0" w:space="0" w:color="auto"/>
        <w:bottom w:val="none" w:sz="0" w:space="0" w:color="auto"/>
        <w:right w:val="none" w:sz="0" w:space="0" w:color="auto"/>
      </w:divBdr>
    </w:div>
    <w:div w:id="515657037">
      <w:bodyDiv w:val="1"/>
      <w:marLeft w:val="0"/>
      <w:marRight w:val="0"/>
      <w:marTop w:val="0"/>
      <w:marBottom w:val="0"/>
      <w:divBdr>
        <w:top w:val="none" w:sz="0" w:space="0" w:color="auto"/>
        <w:left w:val="none" w:sz="0" w:space="0" w:color="auto"/>
        <w:bottom w:val="none" w:sz="0" w:space="0" w:color="auto"/>
        <w:right w:val="none" w:sz="0" w:space="0" w:color="auto"/>
      </w:divBdr>
    </w:div>
    <w:div w:id="540558800">
      <w:bodyDiv w:val="1"/>
      <w:marLeft w:val="0"/>
      <w:marRight w:val="0"/>
      <w:marTop w:val="0"/>
      <w:marBottom w:val="0"/>
      <w:divBdr>
        <w:top w:val="none" w:sz="0" w:space="0" w:color="auto"/>
        <w:left w:val="none" w:sz="0" w:space="0" w:color="auto"/>
        <w:bottom w:val="none" w:sz="0" w:space="0" w:color="auto"/>
        <w:right w:val="none" w:sz="0" w:space="0" w:color="auto"/>
      </w:divBdr>
    </w:div>
    <w:div w:id="630788206">
      <w:bodyDiv w:val="1"/>
      <w:marLeft w:val="0"/>
      <w:marRight w:val="0"/>
      <w:marTop w:val="0"/>
      <w:marBottom w:val="0"/>
      <w:divBdr>
        <w:top w:val="none" w:sz="0" w:space="0" w:color="auto"/>
        <w:left w:val="none" w:sz="0" w:space="0" w:color="auto"/>
        <w:bottom w:val="none" w:sz="0" w:space="0" w:color="auto"/>
        <w:right w:val="none" w:sz="0" w:space="0" w:color="auto"/>
      </w:divBdr>
    </w:div>
    <w:div w:id="648091892">
      <w:bodyDiv w:val="1"/>
      <w:marLeft w:val="0"/>
      <w:marRight w:val="0"/>
      <w:marTop w:val="0"/>
      <w:marBottom w:val="0"/>
      <w:divBdr>
        <w:top w:val="none" w:sz="0" w:space="0" w:color="auto"/>
        <w:left w:val="none" w:sz="0" w:space="0" w:color="auto"/>
        <w:bottom w:val="none" w:sz="0" w:space="0" w:color="auto"/>
        <w:right w:val="none" w:sz="0" w:space="0" w:color="auto"/>
      </w:divBdr>
      <w:divsChild>
        <w:div w:id="120617514">
          <w:marLeft w:val="0"/>
          <w:marRight w:val="0"/>
          <w:marTop w:val="0"/>
          <w:marBottom w:val="0"/>
          <w:divBdr>
            <w:top w:val="none" w:sz="0" w:space="0" w:color="auto"/>
            <w:left w:val="none" w:sz="0" w:space="0" w:color="auto"/>
            <w:bottom w:val="none" w:sz="0" w:space="0" w:color="auto"/>
            <w:right w:val="none" w:sz="0" w:space="0" w:color="auto"/>
          </w:divBdr>
        </w:div>
        <w:div w:id="268898656">
          <w:marLeft w:val="0"/>
          <w:marRight w:val="0"/>
          <w:marTop w:val="0"/>
          <w:marBottom w:val="0"/>
          <w:divBdr>
            <w:top w:val="none" w:sz="0" w:space="0" w:color="auto"/>
            <w:left w:val="none" w:sz="0" w:space="0" w:color="auto"/>
            <w:bottom w:val="none" w:sz="0" w:space="0" w:color="auto"/>
            <w:right w:val="none" w:sz="0" w:space="0" w:color="auto"/>
          </w:divBdr>
        </w:div>
        <w:div w:id="605692404">
          <w:marLeft w:val="0"/>
          <w:marRight w:val="0"/>
          <w:marTop w:val="0"/>
          <w:marBottom w:val="0"/>
          <w:divBdr>
            <w:top w:val="none" w:sz="0" w:space="0" w:color="auto"/>
            <w:left w:val="none" w:sz="0" w:space="0" w:color="auto"/>
            <w:bottom w:val="none" w:sz="0" w:space="0" w:color="auto"/>
            <w:right w:val="none" w:sz="0" w:space="0" w:color="auto"/>
          </w:divBdr>
        </w:div>
        <w:div w:id="744449360">
          <w:marLeft w:val="0"/>
          <w:marRight w:val="0"/>
          <w:marTop w:val="0"/>
          <w:marBottom w:val="0"/>
          <w:divBdr>
            <w:top w:val="none" w:sz="0" w:space="0" w:color="auto"/>
            <w:left w:val="none" w:sz="0" w:space="0" w:color="auto"/>
            <w:bottom w:val="none" w:sz="0" w:space="0" w:color="auto"/>
            <w:right w:val="none" w:sz="0" w:space="0" w:color="auto"/>
          </w:divBdr>
        </w:div>
        <w:div w:id="749350977">
          <w:marLeft w:val="0"/>
          <w:marRight w:val="0"/>
          <w:marTop w:val="0"/>
          <w:marBottom w:val="0"/>
          <w:divBdr>
            <w:top w:val="none" w:sz="0" w:space="0" w:color="auto"/>
            <w:left w:val="none" w:sz="0" w:space="0" w:color="auto"/>
            <w:bottom w:val="none" w:sz="0" w:space="0" w:color="auto"/>
            <w:right w:val="none" w:sz="0" w:space="0" w:color="auto"/>
          </w:divBdr>
        </w:div>
        <w:div w:id="779371569">
          <w:marLeft w:val="0"/>
          <w:marRight w:val="0"/>
          <w:marTop w:val="0"/>
          <w:marBottom w:val="0"/>
          <w:divBdr>
            <w:top w:val="none" w:sz="0" w:space="0" w:color="auto"/>
            <w:left w:val="none" w:sz="0" w:space="0" w:color="auto"/>
            <w:bottom w:val="none" w:sz="0" w:space="0" w:color="auto"/>
            <w:right w:val="none" w:sz="0" w:space="0" w:color="auto"/>
          </w:divBdr>
        </w:div>
        <w:div w:id="924415822">
          <w:marLeft w:val="0"/>
          <w:marRight w:val="0"/>
          <w:marTop w:val="0"/>
          <w:marBottom w:val="0"/>
          <w:divBdr>
            <w:top w:val="none" w:sz="0" w:space="0" w:color="auto"/>
            <w:left w:val="none" w:sz="0" w:space="0" w:color="auto"/>
            <w:bottom w:val="none" w:sz="0" w:space="0" w:color="auto"/>
            <w:right w:val="none" w:sz="0" w:space="0" w:color="auto"/>
          </w:divBdr>
        </w:div>
        <w:div w:id="1126433766">
          <w:marLeft w:val="0"/>
          <w:marRight w:val="0"/>
          <w:marTop w:val="0"/>
          <w:marBottom w:val="0"/>
          <w:divBdr>
            <w:top w:val="none" w:sz="0" w:space="0" w:color="auto"/>
            <w:left w:val="none" w:sz="0" w:space="0" w:color="auto"/>
            <w:bottom w:val="none" w:sz="0" w:space="0" w:color="auto"/>
            <w:right w:val="none" w:sz="0" w:space="0" w:color="auto"/>
          </w:divBdr>
        </w:div>
        <w:div w:id="1136138889">
          <w:marLeft w:val="0"/>
          <w:marRight w:val="0"/>
          <w:marTop w:val="0"/>
          <w:marBottom w:val="0"/>
          <w:divBdr>
            <w:top w:val="none" w:sz="0" w:space="0" w:color="auto"/>
            <w:left w:val="none" w:sz="0" w:space="0" w:color="auto"/>
            <w:bottom w:val="none" w:sz="0" w:space="0" w:color="auto"/>
            <w:right w:val="none" w:sz="0" w:space="0" w:color="auto"/>
          </w:divBdr>
        </w:div>
        <w:div w:id="1471898056">
          <w:marLeft w:val="0"/>
          <w:marRight w:val="0"/>
          <w:marTop w:val="0"/>
          <w:marBottom w:val="0"/>
          <w:divBdr>
            <w:top w:val="none" w:sz="0" w:space="0" w:color="auto"/>
            <w:left w:val="none" w:sz="0" w:space="0" w:color="auto"/>
            <w:bottom w:val="none" w:sz="0" w:space="0" w:color="auto"/>
            <w:right w:val="none" w:sz="0" w:space="0" w:color="auto"/>
          </w:divBdr>
        </w:div>
        <w:div w:id="1615167018">
          <w:marLeft w:val="0"/>
          <w:marRight w:val="0"/>
          <w:marTop w:val="0"/>
          <w:marBottom w:val="0"/>
          <w:divBdr>
            <w:top w:val="none" w:sz="0" w:space="0" w:color="auto"/>
            <w:left w:val="none" w:sz="0" w:space="0" w:color="auto"/>
            <w:bottom w:val="none" w:sz="0" w:space="0" w:color="auto"/>
            <w:right w:val="none" w:sz="0" w:space="0" w:color="auto"/>
          </w:divBdr>
        </w:div>
        <w:div w:id="1664580885">
          <w:marLeft w:val="0"/>
          <w:marRight w:val="0"/>
          <w:marTop w:val="0"/>
          <w:marBottom w:val="0"/>
          <w:divBdr>
            <w:top w:val="none" w:sz="0" w:space="0" w:color="auto"/>
            <w:left w:val="none" w:sz="0" w:space="0" w:color="auto"/>
            <w:bottom w:val="none" w:sz="0" w:space="0" w:color="auto"/>
            <w:right w:val="none" w:sz="0" w:space="0" w:color="auto"/>
          </w:divBdr>
        </w:div>
        <w:div w:id="1986201649">
          <w:marLeft w:val="0"/>
          <w:marRight w:val="0"/>
          <w:marTop w:val="0"/>
          <w:marBottom w:val="0"/>
          <w:divBdr>
            <w:top w:val="none" w:sz="0" w:space="0" w:color="auto"/>
            <w:left w:val="none" w:sz="0" w:space="0" w:color="auto"/>
            <w:bottom w:val="none" w:sz="0" w:space="0" w:color="auto"/>
            <w:right w:val="none" w:sz="0" w:space="0" w:color="auto"/>
          </w:divBdr>
        </w:div>
        <w:div w:id="2018730434">
          <w:marLeft w:val="0"/>
          <w:marRight w:val="0"/>
          <w:marTop w:val="0"/>
          <w:marBottom w:val="0"/>
          <w:divBdr>
            <w:top w:val="none" w:sz="0" w:space="0" w:color="auto"/>
            <w:left w:val="none" w:sz="0" w:space="0" w:color="auto"/>
            <w:bottom w:val="none" w:sz="0" w:space="0" w:color="auto"/>
            <w:right w:val="none" w:sz="0" w:space="0" w:color="auto"/>
          </w:divBdr>
        </w:div>
      </w:divsChild>
    </w:div>
    <w:div w:id="651906138">
      <w:bodyDiv w:val="1"/>
      <w:marLeft w:val="0"/>
      <w:marRight w:val="0"/>
      <w:marTop w:val="0"/>
      <w:marBottom w:val="0"/>
      <w:divBdr>
        <w:top w:val="none" w:sz="0" w:space="0" w:color="auto"/>
        <w:left w:val="none" w:sz="0" w:space="0" w:color="auto"/>
        <w:bottom w:val="none" w:sz="0" w:space="0" w:color="auto"/>
        <w:right w:val="none" w:sz="0" w:space="0" w:color="auto"/>
      </w:divBdr>
    </w:div>
    <w:div w:id="834344614">
      <w:bodyDiv w:val="1"/>
      <w:marLeft w:val="0"/>
      <w:marRight w:val="0"/>
      <w:marTop w:val="0"/>
      <w:marBottom w:val="0"/>
      <w:divBdr>
        <w:top w:val="none" w:sz="0" w:space="0" w:color="auto"/>
        <w:left w:val="none" w:sz="0" w:space="0" w:color="auto"/>
        <w:bottom w:val="none" w:sz="0" w:space="0" w:color="auto"/>
        <w:right w:val="none" w:sz="0" w:space="0" w:color="auto"/>
      </w:divBdr>
      <w:divsChild>
        <w:div w:id="47147992">
          <w:marLeft w:val="0"/>
          <w:marRight w:val="0"/>
          <w:marTop w:val="0"/>
          <w:marBottom w:val="0"/>
          <w:divBdr>
            <w:top w:val="none" w:sz="0" w:space="0" w:color="auto"/>
            <w:left w:val="none" w:sz="0" w:space="0" w:color="auto"/>
            <w:bottom w:val="none" w:sz="0" w:space="0" w:color="auto"/>
            <w:right w:val="none" w:sz="0" w:space="0" w:color="auto"/>
          </w:divBdr>
        </w:div>
        <w:div w:id="47532732">
          <w:marLeft w:val="0"/>
          <w:marRight w:val="0"/>
          <w:marTop w:val="0"/>
          <w:marBottom w:val="0"/>
          <w:divBdr>
            <w:top w:val="none" w:sz="0" w:space="0" w:color="auto"/>
            <w:left w:val="none" w:sz="0" w:space="0" w:color="auto"/>
            <w:bottom w:val="none" w:sz="0" w:space="0" w:color="auto"/>
            <w:right w:val="none" w:sz="0" w:space="0" w:color="auto"/>
          </w:divBdr>
        </w:div>
        <w:div w:id="238252180">
          <w:marLeft w:val="0"/>
          <w:marRight w:val="0"/>
          <w:marTop w:val="0"/>
          <w:marBottom w:val="0"/>
          <w:divBdr>
            <w:top w:val="none" w:sz="0" w:space="0" w:color="auto"/>
            <w:left w:val="none" w:sz="0" w:space="0" w:color="auto"/>
            <w:bottom w:val="none" w:sz="0" w:space="0" w:color="auto"/>
            <w:right w:val="none" w:sz="0" w:space="0" w:color="auto"/>
          </w:divBdr>
        </w:div>
        <w:div w:id="540753991">
          <w:marLeft w:val="0"/>
          <w:marRight w:val="0"/>
          <w:marTop w:val="0"/>
          <w:marBottom w:val="0"/>
          <w:divBdr>
            <w:top w:val="none" w:sz="0" w:space="0" w:color="auto"/>
            <w:left w:val="none" w:sz="0" w:space="0" w:color="auto"/>
            <w:bottom w:val="none" w:sz="0" w:space="0" w:color="auto"/>
            <w:right w:val="none" w:sz="0" w:space="0" w:color="auto"/>
          </w:divBdr>
        </w:div>
        <w:div w:id="1083454449">
          <w:marLeft w:val="0"/>
          <w:marRight w:val="0"/>
          <w:marTop w:val="0"/>
          <w:marBottom w:val="0"/>
          <w:divBdr>
            <w:top w:val="none" w:sz="0" w:space="0" w:color="auto"/>
            <w:left w:val="none" w:sz="0" w:space="0" w:color="auto"/>
            <w:bottom w:val="none" w:sz="0" w:space="0" w:color="auto"/>
            <w:right w:val="none" w:sz="0" w:space="0" w:color="auto"/>
          </w:divBdr>
        </w:div>
        <w:div w:id="1215585746">
          <w:marLeft w:val="0"/>
          <w:marRight w:val="0"/>
          <w:marTop w:val="0"/>
          <w:marBottom w:val="0"/>
          <w:divBdr>
            <w:top w:val="none" w:sz="0" w:space="0" w:color="auto"/>
            <w:left w:val="none" w:sz="0" w:space="0" w:color="auto"/>
            <w:bottom w:val="none" w:sz="0" w:space="0" w:color="auto"/>
            <w:right w:val="none" w:sz="0" w:space="0" w:color="auto"/>
          </w:divBdr>
        </w:div>
        <w:div w:id="1234510622">
          <w:marLeft w:val="0"/>
          <w:marRight w:val="0"/>
          <w:marTop w:val="0"/>
          <w:marBottom w:val="0"/>
          <w:divBdr>
            <w:top w:val="none" w:sz="0" w:space="0" w:color="auto"/>
            <w:left w:val="none" w:sz="0" w:space="0" w:color="auto"/>
            <w:bottom w:val="none" w:sz="0" w:space="0" w:color="auto"/>
            <w:right w:val="none" w:sz="0" w:space="0" w:color="auto"/>
          </w:divBdr>
        </w:div>
        <w:div w:id="1395546497">
          <w:marLeft w:val="0"/>
          <w:marRight w:val="0"/>
          <w:marTop w:val="0"/>
          <w:marBottom w:val="0"/>
          <w:divBdr>
            <w:top w:val="none" w:sz="0" w:space="0" w:color="auto"/>
            <w:left w:val="none" w:sz="0" w:space="0" w:color="auto"/>
            <w:bottom w:val="none" w:sz="0" w:space="0" w:color="auto"/>
            <w:right w:val="none" w:sz="0" w:space="0" w:color="auto"/>
          </w:divBdr>
        </w:div>
        <w:div w:id="1397779717">
          <w:marLeft w:val="0"/>
          <w:marRight w:val="0"/>
          <w:marTop w:val="0"/>
          <w:marBottom w:val="0"/>
          <w:divBdr>
            <w:top w:val="none" w:sz="0" w:space="0" w:color="auto"/>
            <w:left w:val="none" w:sz="0" w:space="0" w:color="auto"/>
            <w:bottom w:val="none" w:sz="0" w:space="0" w:color="auto"/>
            <w:right w:val="none" w:sz="0" w:space="0" w:color="auto"/>
          </w:divBdr>
        </w:div>
        <w:div w:id="1442799251">
          <w:marLeft w:val="0"/>
          <w:marRight w:val="0"/>
          <w:marTop w:val="0"/>
          <w:marBottom w:val="0"/>
          <w:divBdr>
            <w:top w:val="none" w:sz="0" w:space="0" w:color="auto"/>
            <w:left w:val="none" w:sz="0" w:space="0" w:color="auto"/>
            <w:bottom w:val="none" w:sz="0" w:space="0" w:color="auto"/>
            <w:right w:val="none" w:sz="0" w:space="0" w:color="auto"/>
          </w:divBdr>
        </w:div>
        <w:div w:id="1468012727">
          <w:marLeft w:val="0"/>
          <w:marRight w:val="0"/>
          <w:marTop w:val="0"/>
          <w:marBottom w:val="0"/>
          <w:divBdr>
            <w:top w:val="none" w:sz="0" w:space="0" w:color="auto"/>
            <w:left w:val="none" w:sz="0" w:space="0" w:color="auto"/>
            <w:bottom w:val="none" w:sz="0" w:space="0" w:color="auto"/>
            <w:right w:val="none" w:sz="0" w:space="0" w:color="auto"/>
          </w:divBdr>
        </w:div>
        <w:div w:id="1630240026">
          <w:marLeft w:val="0"/>
          <w:marRight w:val="0"/>
          <w:marTop w:val="0"/>
          <w:marBottom w:val="0"/>
          <w:divBdr>
            <w:top w:val="none" w:sz="0" w:space="0" w:color="auto"/>
            <w:left w:val="none" w:sz="0" w:space="0" w:color="auto"/>
            <w:bottom w:val="none" w:sz="0" w:space="0" w:color="auto"/>
            <w:right w:val="none" w:sz="0" w:space="0" w:color="auto"/>
          </w:divBdr>
        </w:div>
        <w:div w:id="1672029032">
          <w:marLeft w:val="0"/>
          <w:marRight w:val="0"/>
          <w:marTop w:val="0"/>
          <w:marBottom w:val="0"/>
          <w:divBdr>
            <w:top w:val="none" w:sz="0" w:space="0" w:color="auto"/>
            <w:left w:val="none" w:sz="0" w:space="0" w:color="auto"/>
            <w:bottom w:val="none" w:sz="0" w:space="0" w:color="auto"/>
            <w:right w:val="none" w:sz="0" w:space="0" w:color="auto"/>
          </w:divBdr>
        </w:div>
        <w:div w:id="2069570049">
          <w:marLeft w:val="0"/>
          <w:marRight w:val="0"/>
          <w:marTop w:val="0"/>
          <w:marBottom w:val="0"/>
          <w:divBdr>
            <w:top w:val="none" w:sz="0" w:space="0" w:color="auto"/>
            <w:left w:val="none" w:sz="0" w:space="0" w:color="auto"/>
            <w:bottom w:val="none" w:sz="0" w:space="0" w:color="auto"/>
            <w:right w:val="none" w:sz="0" w:space="0" w:color="auto"/>
          </w:divBdr>
        </w:div>
      </w:divsChild>
    </w:div>
    <w:div w:id="847870328">
      <w:bodyDiv w:val="1"/>
      <w:marLeft w:val="0"/>
      <w:marRight w:val="0"/>
      <w:marTop w:val="0"/>
      <w:marBottom w:val="0"/>
      <w:divBdr>
        <w:top w:val="none" w:sz="0" w:space="0" w:color="auto"/>
        <w:left w:val="none" w:sz="0" w:space="0" w:color="auto"/>
        <w:bottom w:val="none" w:sz="0" w:space="0" w:color="auto"/>
        <w:right w:val="none" w:sz="0" w:space="0" w:color="auto"/>
      </w:divBdr>
    </w:div>
    <w:div w:id="972565925">
      <w:bodyDiv w:val="1"/>
      <w:marLeft w:val="0"/>
      <w:marRight w:val="0"/>
      <w:marTop w:val="0"/>
      <w:marBottom w:val="0"/>
      <w:divBdr>
        <w:top w:val="none" w:sz="0" w:space="0" w:color="auto"/>
        <w:left w:val="none" w:sz="0" w:space="0" w:color="auto"/>
        <w:bottom w:val="none" w:sz="0" w:space="0" w:color="auto"/>
        <w:right w:val="none" w:sz="0" w:space="0" w:color="auto"/>
      </w:divBdr>
    </w:div>
    <w:div w:id="990214412">
      <w:bodyDiv w:val="1"/>
      <w:marLeft w:val="0"/>
      <w:marRight w:val="0"/>
      <w:marTop w:val="0"/>
      <w:marBottom w:val="0"/>
      <w:divBdr>
        <w:top w:val="none" w:sz="0" w:space="0" w:color="auto"/>
        <w:left w:val="none" w:sz="0" w:space="0" w:color="auto"/>
        <w:bottom w:val="none" w:sz="0" w:space="0" w:color="auto"/>
        <w:right w:val="none" w:sz="0" w:space="0" w:color="auto"/>
      </w:divBdr>
    </w:div>
    <w:div w:id="990862908">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49960636">
      <w:bodyDiv w:val="1"/>
      <w:marLeft w:val="0"/>
      <w:marRight w:val="0"/>
      <w:marTop w:val="0"/>
      <w:marBottom w:val="0"/>
      <w:divBdr>
        <w:top w:val="none" w:sz="0" w:space="0" w:color="auto"/>
        <w:left w:val="none" w:sz="0" w:space="0" w:color="auto"/>
        <w:bottom w:val="none" w:sz="0" w:space="0" w:color="auto"/>
        <w:right w:val="none" w:sz="0" w:space="0" w:color="auto"/>
      </w:divBdr>
    </w:div>
    <w:div w:id="1109618710">
      <w:bodyDiv w:val="1"/>
      <w:marLeft w:val="0"/>
      <w:marRight w:val="0"/>
      <w:marTop w:val="0"/>
      <w:marBottom w:val="0"/>
      <w:divBdr>
        <w:top w:val="none" w:sz="0" w:space="0" w:color="auto"/>
        <w:left w:val="none" w:sz="0" w:space="0" w:color="auto"/>
        <w:bottom w:val="none" w:sz="0" w:space="0" w:color="auto"/>
        <w:right w:val="none" w:sz="0" w:space="0" w:color="auto"/>
      </w:divBdr>
    </w:div>
    <w:div w:id="1298143651">
      <w:bodyDiv w:val="1"/>
      <w:marLeft w:val="0"/>
      <w:marRight w:val="0"/>
      <w:marTop w:val="0"/>
      <w:marBottom w:val="0"/>
      <w:divBdr>
        <w:top w:val="none" w:sz="0" w:space="0" w:color="auto"/>
        <w:left w:val="none" w:sz="0" w:space="0" w:color="auto"/>
        <w:bottom w:val="none" w:sz="0" w:space="0" w:color="auto"/>
        <w:right w:val="none" w:sz="0" w:space="0" w:color="auto"/>
      </w:divBdr>
    </w:div>
    <w:div w:id="1303191649">
      <w:bodyDiv w:val="1"/>
      <w:marLeft w:val="0"/>
      <w:marRight w:val="0"/>
      <w:marTop w:val="0"/>
      <w:marBottom w:val="0"/>
      <w:divBdr>
        <w:top w:val="none" w:sz="0" w:space="0" w:color="auto"/>
        <w:left w:val="none" w:sz="0" w:space="0" w:color="auto"/>
        <w:bottom w:val="none" w:sz="0" w:space="0" w:color="auto"/>
        <w:right w:val="none" w:sz="0" w:space="0" w:color="auto"/>
      </w:divBdr>
      <w:divsChild>
        <w:div w:id="1160341760">
          <w:marLeft w:val="0"/>
          <w:marRight w:val="0"/>
          <w:marTop w:val="0"/>
          <w:marBottom w:val="0"/>
          <w:divBdr>
            <w:top w:val="none" w:sz="0" w:space="0" w:color="auto"/>
            <w:left w:val="none" w:sz="0" w:space="0" w:color="auto"/>
            <w:bottom w:val="none" w:sz="0" w:space="0" w:color="auto"/>
            <w:right w:val="none" w:sz="0" w:space="0" w:color="auto"/>
          </w:divBdr>
          <w:divsChild>
            <w:div w:id="119346646">
              <w:marLeft w:val="0"/>
              <w:marRight w:val="0"/>
              <w:marTop w:val="0"/>
              <w:marBottom w:val="0"/>
              <w:divBdr>
                <w:top w:val="none" w:sz="0" w:space="0" w:color="auto"/>
                <w:left w:val="none" w:sz="0" w:space="0" w:color="auto"/>
                <w:bottom w:val="none" w:sz="0" w:space="0" w:color="auto"/>
                <w:right w:val="none" w:sz="0" w:space="0" w:color="auto"/>
              </w:divBdr>
              <w:divsChild>
                <w:div w:id="219367673">
                  <w:marLeft w:val="0"/>
                  <w:marRight w:val="0"/>
                  <w:marTop w:val="0"/>
                  <w:marBottom w:val="0"/>
                  <w:divBdr>
                    <w:top w:val="none" w:sz="0" w:space="0" w:color="auto"/>
                    <w:left w:val="none" w:sz="0" w:space="0" w:color="auto"/>
                    <w:bottom w:val="none" w:sz="0" w:space="0" w:color="auto"/>
                    <w:right w:val="none" w:sz="0" w:space="0" w:color="auto"/>
                  </w:divBdr>
                  <w:divsChild>
                    <w:div w:id="795178473">
                      <w:marLeft w:val="0"/>
                      <w:marRight w:val="0"/>
                      <w:marTop w:val="0"/>
                      <w:marBottom w:val="0"/>
                      <w:divBdr>
                        <w:top w:val="none" w:sz="0" w:space="0" w:color="auto"/>
                        <w:left w:val="none" w:sz="0" w:space="0" w:color="auto"/>
                        <w:bottom w:val="none" w:sz="0" w:space="0" w:color="auto"/>
                        <w:right w:val="none" w:sz="0" w:space="0" w:color="auto"/>
                      </w:divBdr>
                      <w:divsChild>
                        <w:div w:id="288359439">
                          <w:marLeft w:val="0"/>
                          <w:marRight w:val="0"/>
                          <w:marTop w:val="0"/>
                          <w:marBottom w:val="0"/>
                          <w:divBdr>
                            <w:top w:val="none" w:sz="0" w:space="0" w:color="auto"/>
                            <w:left w:val="none" w:sz="0" w:space="0" w:color="auto"/>
                            <w:bottom w:val="none" w:sz="0" w:space="0" w:color="auto"/>
                            <w:right w:val="none" w:sz="0" w:space="0" w:color="auto"/>
                          </w:divBdr>
                          <w:divsChild>
                            <w:div w:id="697661669">
                              <w:marLeft w:val="0"/>
                              <w:marRight w:val="0"/>
                              <w:marTop w:val="0"/>
                              <w:marBottom w:val="0"/>
                              <w:divBdr>
                                <w:top w:val="none" w:sz="0" w:space="0" w:color="auto"/>
                                <w:left w:val="none" w:sz="0" w:space="0" w:color="auto"/>
                                <w:bottom w:val="none" w:sz="0" w:space="0" w:color="auto"/>
                                <w:right w:val="none" w:sz="0" w:space="0" w:color="auto"/>
                              </w:divBdr>
                              <w:divsChild>
                                <w:div w:id="858810807">
                                  <w:marLeft w:val="0"/>
                                  <w:marRight w:val="0"/>
                                  <w:marTop w:val="0"/>
                                  <w:marBottom w:val="0"/>
                                  <w:divBdr>
                                    <w:top w:val="none" w:sz="0" w:space="0" w:color="auto"/>
                                    <w:left w:val="none" w:sz="0" w:space="0" w:color="auto"/>
                                    <w:bottom w:val="none" w:sz="0" w:space="0" w:color="auto"/>
                                    <w:right w:val="none" w:sz="0" w:space="0" w:color="auto"/>
                                  </w:divBdr>
                                  <w:divsChild>
                                    <w:div w:id="2022463862">
                                      <w:marLeft w:val="0"/>
                                      <w:marRight w:val="0"/>
                                      <w:marTop w:val="0"/>
                                      <w:marBottom w:val="0"/>
                                      <w:divBdr>
                                        <w:top w:val="none" w:sz="0" w:space="0" w:color="auto"/>
                                        <w:left w:val="none" w:sz="0" w:space="0" w:color="auto"/>
                                        <w:bottom w:val="none" w:sz="0" w:space="0" w:color="auto"/>
                                        <w:right w:val="none" w:sz="0" w:space="0" w:color="auto"/>
                                      </w:divBdr>
                                      <w:divsChild>
                                        <w:div w:id="1553732202">
                                          <w:marLeft w:val="0"/>
                                          <w:marRight w:val="0"/>
                                          <w:marTop w:val="0"/>
                                          <w:marBottom w:val="0"/>
                                          <w:divBdr>
                                            <w:top w:val="none" w:sz="0" w:space="0" w:color="auto"/>
                                            <w:left w:val="none" w:sz="0" w:space="0" w:color="auto"/>
                                            <w:bottom w:val="none" w:sz="0" w:space="0" w:color="auto"/>
                                            <w:right w:val="none" w:sz="0" w:space="0" w:color="auto"/>
                                          </w:divBdr>
                                          <w:divsChild>
                                            <w:div w:id="1300920497">
                                              <w:marLeft w:val="0"/>
                                              <w:marRight w:val="0"/>
                                              <w:marTop w:val="0"/>
                                              <w:marBottom w:val="0"/>
                                              <w:divBdr>
                                                <w:top w:val="none" w:sz="0" w:space="0" w:color="auto"/>
                                                <w:left w:val="none" w:sz="0" w:space="0" w:color="auto"/>
                                                <w:bottom w:val="none" w:sz="0" w:space="0" w:color="auto"/>
                                                <w:right w:val="none" w:sz="0" w:space="0" w:color="auto"/>
                                              </w:divBdr>
                                              <w:divsChild>
                                                <w:div w:id="1848518517">
                                                  <w:marLeft w:val="0"/>
                                                  <w:marRight w:val="0"/>
                                                  <w:marTop w:val="0"/>
                                                  <w:marBottom w:val="435"/>
                                                  <w:divBdr>
                                                    <w:top w:val="none" w:sz="0" w:space="0" w:color="auto"/>
                                                    <w:left w:val="none" w:sz="0" w:space="0" w:color="auto"/>
                                                    <w:bottom w:val="none" w:sz="0" w:space="0" w:color="auto"/>
                                                    <w:right w:val="none" w:sz="0" w:space="0" w:color="auto"/>
                                                  </w:divBdr>
                                                  <w:divsChild>
                                                    <w:div w:id="1629508740">
                                                      <w:marLeft w:val="0"/>
                                                      <w:marRight w:val="0"/>
                                                      <w:marTop w:val="0"/>
                                                      <w:marBottom w:val="0"/>
                                                      <w:divBdr>
                                                        <w:top w:val="none" w:sz="0" w:space="0" w:color="auto"/>
                                                        <w:left w:val="none" w:sz="0" w:space="0" w:color="auto"/>
                                                        <w:bottom w:val="none" w:sz="0" w:space="0" w:color="auto"/>
                                                        <w:right w:val="none" w:sz="0" w:space="0" w:color="auto"/>
                                                      </w:divBdr>
                                                      <w:divsChild>
                                                        <w:div w:id="493373507">
                                                          <w:marLeft w:val="0"/>
                                                          <w:marRight w:val="0"/>
                                                          <w:marTop w:val="0"/>
                                                          <w:marBottom w:val="0"/>
                                                          <w:divBdr>
                                                            <w:top w:val="single" w:sz="6" w:space="0" w:color="ABABAB"/>
                                                            <w:left w:val="single" w:sz="6" w:space="0" w:color="ABABAB"/>
                                                            <w:bottom w:val="single" w:sz="6" w:space="0" w:color="ABABAB"/>
                                                            <w:right w:val="single" w:sz="6" w:space="0" w:color="ABABAB"/>
                                                          </w:divBdr>
                                                          <w:divsChild>
                                                            <w:div w:id="1473599485">
                                                              <w:marLeft w:val="0"/>
                                                              <w:marRight w:val="0"/>
                                                              <w:marTop w:val="0"/>
                                                              <w:marBottom w:val="0"/>
                                                              <w:divBdr>
                                                                <w:top w:val="none" w:sz="0" w:space="0" w:color="auto"/>
                                                                <w:left w:val="none" w:sz="0" w:space="0" w:color="auto"/>
                                                                <w:bottom w:val="none" w:sz="0" w:space="0" w:color="auto"/>
                                                                <w:right w:val="none" w:sz="0" w:space="0" w:color="auto"/>
                                                              </w:divBdr>
                                                              <w:divsChild>
                                                                <w:div w:id="172231997">
                                                                  <w:marLeft w:val="0"/>
                                                                  <w:marRight w:val="0"/>
                                                                  <w:marTop w:val="0"/>
                                                                  <w:marBottom w:val="0"/>
                                                                  <w:divBdr>
                                                                    <w:top w:val="none" w:sz="0" w:space="0" w:color="auto"/>
                                                                    <w:left w:val="none" w:sz="0" w:space="0" w:color="auto"/>
                                                                    <w:bottom w:val="none" w:sz="0" w:space="0" w:color="auto"/>
                                                                    <w:right w:val="none" w:sz="0" w:space="0" w:color="auto"/>
                                                                  </w:divBdr>
                                                                  <w:divsChild>
                                                                    <w:div w:id="833690876">
                                                                      <w:marLeft w:val="0"/>
                                                                      <w:marRight w:val="0"/>
                                                                      <w:marTop w:val="0"/>
                                                                      <w:marBottom w:val="0"/>
                                                                      <w:divBdr>
                                                                        <w:top w:val="none" w:sz="0" w:space="0" w:color="auto"/>
                                                                        <w:left w:val="none" w:sz="0" w:space="0" w:color="auto"/>
                                                                        <w:bottom w:val="none" w:sz="0" w:space="0" w:color="auto"/>
                                                                        <w:right w:val="none" w:sz="0" w:space="0" w:color="auto"/>
                                                                      </w:divBdr>
                                                                      <w:divsChild>
                                                                        <w:div w:id="31005726">
                                                                          <w:marLeft w:val="0"/>
                                                                          <w:marRight w:val="0"/>
                                                                          <w:marTop w:val="0"/>
                                                                          <w:marBottom w:val="0"/>
                                                                          <w:divBdr>
                                                                            <w:top w:val="none" w:sz="0" w:space="0" w:color="auto"/>
                                                                            <w:left w:val="none" w:sz="0" w:space="0" w:color="auto"/>
                                                                            <w:bottom w:val="none" w:sz="0" w:space="0" w:color="auto"/>
                                                                            <w:right w:val="none" w:sz="0" w:space="0" w:color="auto"/>
                                                                          </w:divBdr>
                                                                          <w:divsChild>
                                                                            <w:div w:id="638075748">
                                                                              <w:marLeft w:val="0"/>
                                                                              <w:marRight w:val="0"/>
                                                                              <w:marTop w:val="0"/>
                                                                              <w:marBottom w:val="0"/>
                                                                              <w:divBdr>
                                                                                <w:top w:val="none" w:sz="0" w:space="0" w:color="auto"/>
                                                                                <w:left w:val="none" w:sz="0" w:space="0" w:color="auto"/>
                                                                                <w:bottom w:val="none" w:sz="0" w:space="0" w:color="auto"/>
                                                                                <w:right w:val="none" w:sz="0" w:space="0" w:color="auto"/>
                                                                              </w:divBdr>
                                                                              <w:divsChild>
                                                                                <w:div w:id="1338462555">
                                                                                  <w:marLeft w:val="0"/>
                                                                                  <w:marRight w:val="0"/>
                                                                                  <w:marTop w:val="0"/>
                                                                                  <w:marBottom w:val="0"/>
                                                                                  <w:divBdr>
                                                                                    <w:top w:val="none" w:sz="0" w:space="0" w:color="auto"/>
                                                                                    <w:left w:val="none" w:sz="0" w:space="0" w:color="auto"/>
                                                                                    <w:bottom w:val="none" w:sz="0" w:space="0" w:color="auto"/>
                                                                                    <w:right w:val="none" w:sz="0" w:space="0" w:color="auto"/>
                                                                                  </w:divBdr>
                                                                                  <w:divsChild>
                                                                                    <w:div w:id="21213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163863">
      <w:bodyDiv w:val="1"/>
      <w:marLeft w:val="0"/>
      <w:marRight w:val="0"/>
      <w:marTop w:val="0"/>
      <w:marBottom w:val="0"/>
      <w:divBdr>
        <w:top w:val="none" w:sz="0" w:space="0" w:color="auto"/>
        <w:left w:val="none" w:sz="0" w:space="0" w:color="auto"/>
        <w:bottom w:val="none" w:sz="0" w:space="0" w:color="auto"/>
        <w:right w:val="none" w:sz="0" w:space="0" w:color="auto"/>
      </w:divBdr>
    </w:div>
    <w:div w:id="1376539279">
      <w:bodyDiv w:val="1"/>
      <w:marLeft w:val="0"/>
      <w:marRight w:val="0"/>
      <w:marTop w:val="0"/>
      <w:marBottom w:val="0"/>
      <w:divBdr>
        <w:top w:val="none" w:sz="0" w:space="0" w:color="auto"/>
        <w:left w:val="none" w:sz="0" w:space="0" w:color="auto"/>
        <w:bottom w:val="none" w:sz="0" w:space="0" w:color="auto"/>
        <w:right w:val="none" w:sz="0" w:space="0" w:color="auto"/>
      </w:divBdr>
    </w:div>
    <w:div w:id="1576865867">
      <w:bodyDiv w:val="1"/>
      <w:marLeft w:val="0"/>
      <w:marRight w:val="0"/>
      <w:marTop w:val="0"/>
      <w:marBottom w:val="0"/>
      <w:divBdr>
        <w:top w:val="none" w:sz="0" w:space="0" w:color="auto"/>
        <w:left w:val="none" w:sz="0" w:space="0" w:color="auto"/>
        <w:bottom w:val="none" w:sz="0" w:space="0" w:color="auto"/>
        <w:right w:val="none" w:sz="0" w:space="0" w:color="auto"/>
      </w:divBdr>
      <w:divsChild>
        <w:div w:id="54940205">
          <w:marLeft w:val="0"/>
          <w:marRight w:val="0"/>
          <w:marTop w:val="0"/>
          <w:marBottom w:val="0"/>
          <w:divBdr>
            <w:top w:val="none" w:sz="0" w:space="0" w:color="auto"/>
            <w:left w:val="none" w:sz="0" w:space="0" w:color="auto"/>
            <w:bottom w:val="none" w:sz="0" w:space="0" w:color="auto"/>
            <w:right w:val="none" w:sz="0" w:space="0" w:color="auto"/>
          </w:divBdr>
        </w:div>
        <w:div w:id="112289389">
          <w:marLeft w:val="0"/>
          <w:marRight w:val="0"/>
          <w:marTop w:val="0"/>
          <w:marBottom w:val="0"/>
          <w:divBdr>
            <w:top w:val="none" w:sz="0" w:space="0" w:color="auto"/>
            <w:left w:val="none" w:sz="0" w:space="0" w:color="auto"/>
            <w:bottom w:val="none" w:sz="0" w:space="0" w:color="auto"/>
            <w:right w:val="none" w:sz="0" w:space="0" w:color="auto"/>
          </w:divBdr>
        </w:div>
        <w:div w:id="116341176">
          <w:marLeft w:val="0"/>
          <w:marRight w:val="0"/>
          <w:marTop w:val="0"/>
          <w:marBottom w:val="0"/>
          <w:divBdr>
            <w:top w:val="none" w:sz="0" w:space="0" w:color="auto"/>
            <w:left w:val="none" w:sz="0" w:space="0" w:color="auto"/>
            <w:bottom w:val="none" w:sz="0" w:space="0" w:color="auto"/>
            <w:right w:val="none" w:sz="0" w:space="0" w:color="auto"/>
          </w:divBdr>
          <w:divsChild>
            <w:div w:id="69933031">
              <w:marLeft w:val="0"/>
              <w:marRight w:val="0"/>
              <w:marTop w:val="0"/>
              <w:marBottom w:val="0"/>
              <w:divBdr>
                <w:top w:val="none" w:sz="0" w:space="0" w:color="auto"/>
                <w:left w:val="none" w:sz="0" w:space="0" w:color="auto"/>
                <w:bottom w:val="none" w:sz="0" w:space="0" w:color="auto"/>
                <w:right w:val="none" w:sz="0" w:space="0" w:color="auto"/>
              </w:divBdr>
            </w:div>
            <w:div w:id="286200489">
              <w:marLeft w:val="0"/>
              <w:marRight w:val="0"/>
              <w:marTop w:val="0"/>
              <w:marBottom w:val="0"/>
              <w:divBdr>
                <w:top w:val="none" w:sz="0" w:space="0" w:color="auto"/>
                <w:left w:val="none" w:sz="0" w:space="0" w:color="auto"/>
                <w:bottom w:val="none" w:sz="0" w:space="0" w:color="auto"/>
                <w:right w:val="none" w:sz="0" w:space="0" w:color="auto"/>
              </w:divBdr>
            </w:div>
            <w:div w:id="1391226891">
              <w:marLeft w:val="0"/>
              <w:marRight w:val="0"/>
              <w:marTop w:val="0"/>
              <w:marBottom w:val="0"/>
              <w:divBdr>
                <w:top w:val="none" w:sz="0" w:space="0" w:color="auto"/>
                <w:left w:val="none" w:sz="0" w:space="0" w:color="auto"/>
                <w:bottom w:val="none" w:sz="0" w:space="0" w:color="auto"/>
                <w:right w:val="none" w:sz="0" w:space="0" w:color="auto"/>
              </w:divBdr>
            </w:div>
            <w:div w:id="1666662945">
              <w:marLeft w:val="0"/>
              <w:marRight w:val="0"/>
              <w:marTop w:val="0"/>
              <w:marBottom w:val="0"/>
              <w:divBdr>
                <w:top w:val="none" w:sz="0" w:space="0" w:color="auto"/>
                <w:left w:val="none" w:sz="0" w:space="0" w:color="auto"/>
                <w:bottom w:val="none" w:sz="0" w:space="0" w:color="auto"/>
                <w:right w:val="none" w:sz="0" w:space="0" w:color="auto"/>
              </w:divBdr>
            </w:div>
            <w:div w:id="1830705034">
              <w:marLeft w:val="0"/>
              <w:marRight w:val="0"/>
              <w:marTop w:val="0"/>
              <w:marBottom w:val="0"/>
              <w:divBdr>
                <w:top w:val="none" w:sz="0" w:space="0" w:color="auto"/>
                <w:left w:val="none" w:sz="0" w:space="0" w:color="auto"/>
                <w:bottom w:val="none" w:sz="0" w:space="0" w:color="auto"/>
                <w:right w:val="none" w:sz="0" w:space="0" w:color="auto"/>
              </w:divBdr>
            </w:div>
            <w:div w:id="2032564074">
              <w:marLeft w:val="0"/>
              <w:marRight w:val="0"/>
              <w:marTop w:val="0"/>
              <w:marBottom w:val="0"/>
              <w:divBdr>
                <w:top w:val="none" w:sz="0" w:space="0" w:color="auto"/>
                <w:left w:val="none" w:sz="0" w:space="0" w:color="auto"/>
                <w:bottom w:val="none" w:sz="0" w:space="0" w:color="auto"/>
                <w:right w:val="none" w:sz="0" w:space="0" w:color="auto"/>
              </w:divBdr>
            </w:div>
          </w:divsChild>
        </w:div>
        <w:div w:id="124086646">
          <w:marLeft w:val="0"/>
          <w:marRight w:val="0"/>
          <w:marTop w:val="0"/>
          <w:marBottom w:val="0"/>
          <w:divBdr>
            <w:top w:val="none" w:sz="0" w:space="0" w:color="auto"/>
            <w:left w:val="none" w:sz="0" w:space="0" w:color="auto"/>
            <w:bottom w:val="none" w:sz="0" w:space="0" w:color="auto"/>
            <w:right w:val="none" w:sz="0" w:space="0" w:color="auto"/>
          </w:divBdr>
        </w:div>
        <w:div w:id="149716426">
          <w:marLeft w:val="0"/>
          <w:marRight w:val="0"/>
          <w:marTop w:val="0"/>
          <w:marBottom w:val="0"/>
          <w:divBdr>
            <w:top w:val="none" w:sz="0" w:space="0" w:color="auto"/>
            <w:left w:val="none" w:sz="0" w:space="0" w:color="auto"/>
            <w:bottom w:val="none" w:sz="0" w:space="0" w:color="auto"/>
            <w:right w:val="none" w:sz="0" w:space="0" w:color="auto"/>
          </w:divBdr>
        </w:div>
        <w:div w:id="166209452">
          <w:marLeft w:val="0"/>
          <w:marRight w:val="0"/>
          <w:marTop w:val="0"/>
          <w:marBottom w:val="0"/>
          <w:divBdr>
            <w:top w:val="none" w:sz="0" w:space="0" w:color="auto"/>
            <w:left w:val="none" w:sz="0" w:space="0" w:color="auto"/>
            <w:bottom w:val="none" w:sz="0" w:space="0" w:color="auto"/>
            <w:right w:val="none" w:sz="0" w:space="0" w:color="auto"/>
          </w:divBdr>
        </w:div>
        <w:div w:id="216012268">
          <w:marLeft w:val="0"/>
          <w:marRight w:val="0"/>
          <w:marTop w:val="0"/>
          <w:marBottom w:val="0"/>
          <w:divBdr>
            <w:top w:val="none" w:sz="0" w:space="0" w:color="auto"/>
            <w:left w:val="none" w:sz="0" w:space="0" w:color="auto"/>
            <w:bottom w:val="none" w:sz="0" w:space="0" w:color="auto"/>
            <w:right w:val="none" w:sz="0" w:space="0" w:color="auto"/>
          </w:divBdr>
        </w:div>
        <w:div w:id="220748723">
          <w:marLeft w:val="0"/>
          <w:marRight w:val="0"/>
          <w:marTop w:val="0"/>
          <w:marBottom w:val="0"/>
          <w:divBdr>
            <w:top w:val="none" w:sz="0" w:space="0" w:color="auto"/>
            <w:left w:val="none" w:sz="0" w:space="0" w:color="auto"/>
            <w:bottom w:val="none" w:sz="0" w:space="0" w:color="auto"/>
            <w:right w:val="none" w:sz="0" w:space="0" w:color="auto"/>
          </w:divBdr>
          <w:divsChild>
            <w:div w:id="186867020">
              <w:marLeft w:val="0"/>
              <w:marRight w:val="0"/>
              <w:marTop w:val="0"/>
              <w:marBottom w:val="0"/>
              <w:divBdr>
                <w:top w:val="none" w:sz="0" w:space="0" w:color="auto"/>
                <w:left w:val="none" w:sz="0" w:space="0" w:color="auto"/>
                <w:bottom w:val="none" w:sz="0" w:space="0" w:color="auto"/>
                <w:right w:val="none" w:sz="0" w:space="0" w:color="auto"/>
              </w:divBdr>
            </w:div>
            <w:div w:id="659774779">
              <w:marLeft w:val="0"/>
              <w:marRight w:val="0"/>
              <w:marTop w:val="0"/>
              <w:marBottom w:val="0"/>
              <w:divBdr>
                <w:top w:val="none" w:sz="0" w:space="0" w:color="auto"/>
                <w:left w:val="none" w:sz="0" w:space="0" w:color="auto"/>
                <w:bottom w:val="none" w:sz="0" w:space="0" w:color="auto"/>
                <w:right w:val="none" w:sz="0" w:space="0" w:color="auto"/>
              </w:divBdr>
            </w:div>
            <w:div w:id="916210536">
              <w:marLeft w:val="0"/>
              <w:marRight w:val="0"/>
              <w:marTop w:val="0"/>
              <w:marBottom w:val="0"/>
              <w:divBdr>
                <w:top w:val="none" w:sz="0" w:space="0" w:color="auto"/>
                <w:left w:val="none" w:sz="0" w:space="0" w:color="auto"/>
                <w:bottom w:val="none" w:sz="0" w:space="0" w:color="auto"/>
                <w:right w:val="none" w:sz="0" w:space="0" w:color="auto"/>
              </w:divBdr>
            </w:div>
            <w:div w:id="1023827301">
              <w:marLeft w:val="0"/>
              <w:marRight w:val="0"/>
              <w:marTop w:val="0"/>
              <w:marBottom w:val="0"/>
              <w:divBdr>
                <w:top w:val="none" w:sz="0" w:space="0" w:color="auto"/>
                <w:left w:val="none" w:sz="0" w:space="0" w:color="auto"/>
                <w:bottom w:val="none" w:sz="0" w:space="0" w:color="auto"/>
                <w:right w:val="none" w:sz="0" w:space="0" w:color="auto"/>
              </w:divBdr>
            </w:div>
            <w:div w:id="1583174853">
              <w:marLeft w:val="0"/>
              <w:marRight w:val="0"/>
              <w:marTop w:val="0"/>
              <w:marBottom w:val="0"/>
              <w:divBdr>
                <w:top w:val="none" w:sz="0" w:space="0" w:color="auto"/>
                <w:left w:val="none" w:sz="0" w:space="0" w:color="auto"/>
                <w:bottom w:val="none" w:sz="0" w:space="0" w:color="auto"/>
                <w:right w:val="none" w:sz="0" w:space="0" w:color="auto"/>
              </w:divBdr>
            </w:div>
          </w:divsChild>
        </w:div>
        <w:div w:id="221644926">
          <w:marLeft w:val="0"/>
          <w:marRight w:val="0"/>
          <w:marTop w:val="0"/>
          <w:marBottom w:val="0"/>
          <w:divBdr>
            <w:top w:val="none" w:sz="0" w:space="0" w:color="auto"/>
            <w:left w:val="none" w:sz="0" w:space="0" w:color="auto"/>
            <w:bottom w:val="none" w:sz="0" w:space="0" w:color="auto"/>
            <w:right w:val="none" w:sz="0" w:space="0" w:color="auto"/>
          </w:divBdr>
        </w:div>
        <w:div w:id="230582465">
          <w:marLeft w:val="0"/>
          <w:marRight w:val="0"/>
          <w:marTop w:val="0"/>
          <w:marBottom w:val="0"/>
          <w:divBdr>
            <w:top w:val="none" w:sz="0" w:space="0" w:color="auto"/>
            <w:left w:val="none" w:sz="0" w:space="0" w:color="auto"/>
            <w:bottom w:val="none" w:sz="0" w:space="0" w:color="auto"/>
            <w:right w:val="none" w:sz="0" w:space="0" w:color="auto"/>
          </w:divBdr>
        </w:div>
        <w:div w:id="263270636">
          <w:marLeft w:val="0"/>
          <w:marRight w:val="0"/>
          <w:marTop w:val="0"/>
          <w:marBottom w:val="0"/>
          <w:divBdr>
            <w:top w:val="none" w:sz="0" w:space="0" w:color="auto"/>
            <w:left w:val="none" w:sz="0" w:space="0" w:color="auto"/>
            <w:bottom w:val="none" w:sz="0" w:space="0" w:color="auto"/>
            <w:right w:val="none" w:sz="0" w:space="0" w:color="auto"/>
          </w:divBdr>
        </w:div>
        <w:div w:id="268240506">
          <w:marLeft w:val="0"/>
          <w:marRight w:val="0"/>
          <w:marTop w:val="0"/>
          <w:marBottom w:val="0"/>
          <w:divBdr>
            <w:top w:val="none" w:sz="0" w:space="0" w:color="auto"/>
            <w:left w:val="none" w:sz="0" w:space="0" w:color="auto"/>
            <w:bottom w:val="none" w:sz="0" w:space="0" w:color="auto"/>
            <w:right w:val="none" w:sz="0" w:space="0" w:color="auto"/>
          </w:divBdr>
        </w:div>
        <w:div w:id="313030717">
          <w:marLeft w:val="0"/>
          <w:marRight w:val="0"/>
          <w:marTop w:val="0"/>
          <w:marBottom w:val="0"/>
          <w:divBdr>
            <w:top w:val="none" w:sz="0" w:space="0" w:color="auto"/>
            <w:left w:val="none" w:sz="0" w:space="0" w:color="auto"/>
            <w:bottom w:val="none" w:sz="0" w:space="0" w:color="auto"/>
            <w:right w:val="none" w:sz="0" w:space="0" w:color="auto"/>
          </w:divBdr>
        </w:div>
        <w:div w:id="324360349">
          <w:marLeft w:val="0"/>
          <w:marRight w:val="0"/>
          <w:marTop w:val="0"/>
          <w:marBottom w:val="0"/>
          <w:divBdr>
            <w:top w:val="none" w:sz="0" w:space="0" w:color="auto"/>
            <w:left w:val="none" w:sz="0" w:space="0" w:color="auto"/>
            <w:bottom w:val="none" w:sz="0" w:space="0" w:color="auto"/>
            <w:right w:val="none" w:sz="0" w:space="0" w:color="auto"/>
          </w:divBdr>
        </w:div>
        <w:div w:id="372003899">
          <w:marLeft w:val="0"/>
          <w:marRight w:val="0"/>
          <w:marTop w:val="0"/>
          <w:marBottom w:val="0"/>
          <w:divBdr>
            <w:top w:val="none" w:sz="0" w:space="0" w:color="auto"/>
            <w:left w:val="none" w:sz="0" w:space="0" w:color="auto"/>
            <w:bottom w:val="none" w:sz="0" w:space="0" w:color="auto"/>
            <w:right w:val="none" w:sz="0" w:space="0" w:color="auto"/>
          </w:divBdr>
        </w:div>
        <w:div w:id="379862387">
          <w:marLeft w:val="0"/>
          <w:marRight w:val="0"/>
          <w:marTop w:val="0"/>
          <w:marBottom w:val="0"/>
          <w:divBdr>
            <w:top w:val="none" w:sz="0" w:space="0" w:color="auto"/>
            <w:left w:val="none" w:sz="0" w:space="0" w:color="auto"/>
            <w:bottom w:val="none" w:sz="0" w:space="0" w:color="auto"/>
            <w:right w:val="none" w:sz="0" w:space="0" w:color="auto"/>
          </w:divBdr>
        </w:div>
        <w:div w:id="395737215">
          <w:marLeft w:val="0"/>
          <w:marRight w:val="0"/>
          <w:marTop w:val="0"/>
          <w:marBottom w:val="0"/>
          <w:divBdr>
            <w:top w:val="none" w:sz="0" w:space="0" w:color="auto"/>
            <w:left w:val="none" w:sz="0" w:space="0" w:color="auto"/>
            <w:bottom w:val="none" w:sz="0" w:space="0" w:color="auto"/>
            <w:right w:val="none" w:sz="0" w:space="0" w:color="auto"/>
          </w:divBdr>
        </w:div>
        <w:div w:id="480006523">
          <w:marLeft w:val="0"/>
          <w:marRight w:val="0"/>
          <w:marTop w:val="0"/>
          <w:marBottom w:val="0"/>
          <w:divBdr>
            <w:top w:val="none" w:sz="0" w:space="0" w:color="auto"/>
            <w:left w:val="none" w:sz="0" w:space="0" w:color="auto"/>
            <w:bottom w:val="none" w:sz="0" w:space="0" w:color="auto"/>
            <w:right w:val="none" w:sz="0" w:space="0" w:color="auto"/>
          </w:divBdr>
          <w:divsChild>
            <w:div w:id="427776317">
              <w:marLeft w:val="0"/>
              <w:marRight w:val="0"/>
              <w:marTop w:val="0"/>
              <w:marBottom w:val="0"/>
              <w:divBdr>
                <w:top w:val="none" w:sz="0" w:space="0" w:color="auto"/>
                <w:left w:val="none" w:sz="0" w:space="0" w:color="auto"/>
                <w:bottom w:val="none" w:sz="0" w:space="0" w:color="auto"/>
                <w:right w:val="none" w:sz="0" w:space="0" w:color="auto"/>
              </w:divBdr>
            </w:div>
            <w:div w:id="1006249093">
              <w:marLeft w:val="0"/>
              <w:marRight w:val="0"/>
              <w:marTop w:val="0"/>
              <w:marBottom w:val="0"/>
              <w:divBdr>
                <w:top w:val="none" w:sz="0" w:space="0" w:color="auto"/>
                <w:left w:val="none" w:sz="0" w:space="0" w:color="auto"/>
                <w:bottom w:val="none" w:sz="0" w:space="0" w:color="auto"/>
                <w:right w:val="none" w:sz="0" w:space="0" w:color="auto"/>
              </w:divBdr>
            </w:div>
            <w:div w:id="1044912181">
              <w:marLeft w:val="0"/>
              <w:marRight w:val="0"/>
              <w:marTop w:val="0"/>
              <w:marBottom w:val="0"/>
              <w:divBdr>
                <w:top w:val="none" w:sz="0" w:space="0" w:color="auto"/>
                <w:left w:val="none" w:sz="0" w:space="0" w:color="auto"/>
                <w:bottom w:val="none" w:sz="0" w:space="0" w:color="auto"/>
                <w:right w:val="none" w:sz="0" w:space="0" w:color="auto"/>
              </w:divBdr>
            </w:div>
            <w:div w:id="1211384214">
              <w:marLeft w:val="0"/>
              <w:marRight w:val="0"/>
              <w:marTop w:val="0"/>
              <w:marBottom w:val="0"/>
              <w:divBdr>
                <w:top w:val="none" w:sz="0" w:space="0" w:color="auto"/>
                <w:left w:val="none" w:sz="0" w:space="0" w:color="auto"/>
                <w:bottom w:val="none" w:sz="0" w:space="0" w:color="auto"/>
                <w:right w:val="none" w:sz="0" w:space="0" w:color="auto"/>
              </w:divBdr>
            </w:div>
            <w:div w:id="1617174261">
              <w:marLeft w:val="0"/>
              <w:marRight w:val="0"/>
              <w:marTop w:val="0"/>
              <w:marBottom w:val="0"/>
              <w:divBdr>
                <w:top w:val="none" w:sz="0" w:space="0" w:color="auto"/>
                <w:left w:val="none" w:sz="0" w:space="0" w:color="auto"/>
                <w:bottom w:val="none" w:sz="0" w:space="0" w:color="auto"/>
                <w:right w:val="none" w:sz="0" w:space="0" w:color="auto"/>
              </w:divBdr>
            </w:div>
          </w:divsChild>
        </w:div>
        <w:div w:id="511145388">
          <w:marLeft w:val="0"/>
          <w:marRight w:val="0"/>
          <w:marTop w:val="0"/>
          <w:marBottom w:val="0"/>
          <w:divBdr>
            <w:top w:val="none" w:sz="0" w:space="0" w:color="auto"/>
            <w:left w:val="none" w:sz="0" w:space="0" w:color="auto"/>
            <w:bottom w:val="none" w:sz="0" w:space="0" w:color="auto"/>
            <w:right w:val="none" w:sz="0" w:space="0" w:color="auto"/>
          </w:divBdr>
        </w:div>
        <w:div w:id="515117553">
          <w:marLeft w:val="0"/>
          <w:marRight w:val="0"/>
          <w:marTop w:val="0"/>
          <w:marBottom w:val="0"/>
          <w:divBdr>
            <w:top w:val="none" w:sz="0" w:space="0" w:color="auto"/>
            <w:left w:val="none" w:sz="0" w:space="0" w:color="auto"/>
            <w:bottom w:val="none" w:sz="0" w:space="0" w:color="auto"/>
            <w:right w:val="none" w:sz="0" w:space="0" w:color="auto"/>
          </w:divBdr>
        </w:div>
        <w:div w:id="523053717">
          <w:marLeft w:val="0"/>
          <w:marRight w:val="0"/>
          <w:marTop w:val="0"/>
          <w:marBottom w:val="0"/>
          <w:divBdr>
            <w:top w:val="none" w:sz="0" w:space="0" w:color="auto"/>
            <w:left w:val="none" w:sz="0" w:space="0" w:color="auto"/>
            <w:bottom w:val="none" w:sz="0" w:space="0" w:color="auto"/>
            <w:right w:val="none" w:sz="0" w:space="0" w:color="auto"/>
          </w:divBdr>
          <w:divsChild>
            <w:div w:id="59137833">
              <w:marLeft w:val="0"/>
              <w:marRight w:val="0"/>
              <w:marTop w:val="0"/>
              <w:marBottom w:val="0"/>
              <w:divBdr>
                <w:top w:val="none" w:sz="0" w:space="0" w:color="auto"/>
                <w:left w:val="none" w:sz="0" w:space="0" w:color="auto"/>
                <w:bottom w:val="none" w:sz="0" w:space="0" w:color="auto"/>
                <w:right w:val="none" w:sz="0" w:space="0" w:color="auto"/>
              </w:divBdr>
            </w:div>
            <w:div w:id="630745299">
              <w:marLeft w:val="0"/>
              <w:marRight w:val="0"/>
              <w:marTop w:val="0"/>
              <w:marBottom w:val="0"/>
              <w:divBdr>
                <w:top w:val="none" w:sz="0" w:space="0" w:color="auto"/>
                <w:left w:val="none" w:sz="0" w:space="0" w:color="auto"/>
                <w:bottom w:val="none" w:sz="0" w:space="0" w:color="auto"/>
                <w:right w:val="none" w:sz="0" w:space="0" w:color="auto"/>
              </w:divBdr>
            </w:div>
            <w:div w:id="1138762478">
              <w:marLeft w:val="0"/>
              <w:marRight w:val="0"/>
              <w:marTop w:val="0"/>
              <w:marBottom w:val="0"/>
              <w:divBdr>
                <w:top w:val="none" w:sz="0" w:space="0" w:color="auto"/>
                <w:left w:val="none" w:sz="0" w:space="0" w:color="auto"/>
                <w:bottom w:val="none" w:sz="0" w:space="0" w:color="auto"/>
                <w:right w:val="none" w:sz="0" w:space="0" w:color="auto"/>
              </w:divBdr>
            </w:div>
            <w:div w:id="1815219337">
              <w:marLeft w:val="0"/>
              <w:marRight w:val="0"/>
              <w:marTop w:val="0"/>
              <w:marBottom w:val="0"/>
              <w:divBdr>
                <w:top w:val="none" w:sz="0" w:space="0" w:color="auto"/>
                <w:left w:val="none" w:sz="0" w:space="0" w:color="auto"/>
                <w:bottom w:val="none" w:sz="0" w:space="0" w:color="auto"/>
                <w:right w:val="none" w:sz="0" w:space="0" w:color="auto"/>
              </w:divBdr>
            </w:div>
            <w:div w:id="2136752811">
              <w:marLeft w:val="0"/>
              <w:marRight w:val="0"/>
              <w:marTop w:val="0"/>
              <w:marBottom w:val="0"/>
              <w:divBdr>
                <w:top w:val="none" w:sz="0" w:space="0" w:color="auto"/>
                <w:left w:val="none" w:sz="0" w:space="0" w:color="auto"/>
                <w:bottom w:val="none" w:sz="0" w:space="0" w:color="auto"/>
                <w:right w:val="none" w:sz="0" w:space="0" w:color="auto"/>
              </w:divBdr>
            </w:div>
          </w:divsChild>
        </w:div>
        <w:div w:id="555552852">
          <w:marLeft w:val="0"/>
          <w:marRight w:val="0"/>
          <w:marTop w:val="0"/>
          <w:marBottom w:val="0"/>
          <w:divBdr>
            <w:top w:val="none" w:sz="0" w:space="0" w:color="auto"/>
            <w:left w:val="none" w:sz="0" w:space="0" w:color="auto"/>
            <w:bottom w:val="none" w:sz="0" w:space="0" w:color="auto"/>
            <w:right w:val="none" w:sz="0" w:space="0" w:color="auto"/>
          </w:divBdr>
        </w:div>
        <w:div w:id="561259682">
          <w:marLeft w:val="0"/>
          <w:marRight w:val="0"/>
          <w:marTop w:val="0"/>
          <w:marBottom w:val="0"/>
          <w:divBdr>
            <w:top w:val="none" w:sz="0" w:space="0" w:color="auto"/>
            <w:left w:val="none" w:sz="0" w:space="0" w:color="auto"/>
            <w:bottom w:val="none" w:sz="0" w:space="0" w:color="auto"/>
            <w:right w:val="none" w:sz="0" w:space="0" w:color="auto"/>
          </w:divBdr>
        </w:div>
        <w:div w:id="586812746">
          <w:marLeft w:val="0"/>
          <w:marRight w:val="0"/>
          <w:marTop w:val="0"/>
          <w:marBottom w:val="0"/>
          <w:divBdr>
            <w:top w:val="none" w:sz="0" w:space="0" w:color="auto"/>
            <w:left w:val="none" w:sz="0" w:space="0" w:color="auto"/>
            <w:bottom w:val="none" w:sz="0" w:space="0" w:color="auto"/>
            <w:right w:val="none" w:sz="0" w:space="0" w:color="auto"/>
          </w:divBdr>
        </w:div>
        <w:div w:id="624963440">
          <w:marLeft w:val="0"/>
          <w:marRight w:val="0"/>
          <w:marTop w:val="0"/>
          <w:marBottom w:val="0"/>
          <w:divBdr>
            <w:top w:val="none" w:sz="0" w:space="0" w:color="auto"/>
            <w:left w:val="none" w:sz="0" w:space="0" w:color="auto"/>
            <w:bottom w:val="none" w:sz="0" w:space="0" w:color="auto"/>
            <w:right w:val="none" w:sz="0" w:space="0" w:color="auto"/>
          </w:divBdr>
        </w:div>
        <w:div w:id="663315777">
          <w:marLeft w:val="0"/>
          <w:marRight w:val="0"/>
          <w:marTop w:val="0"/>
          <w:marBottom w:val="0"/>
          <w:divBdr>
            <w:top w:val="none" w:sz="0" w:space="0" w:color="auto"/>
            <w:left w:val="none" w:sz="0" w:space="0" w:color="auto"/>
            <w:bottom w:val="none" w:sz="0" w:space="0" w:color="auto"/>
            <w:right w:val="none" w:sz="0" w:space="0" w:color="auto"/>
          </w:divBdr>
        </w:div>
        <w:div w:id="687755966">
          <w:marLeft w:val="0"/>
          <w:marRight w:val="0"/>
          <w:marTop w:val="0"/>
          <w:marBottom w:val="0"/>
          <w:divBdr>
            <w:top w:val="none" w:sz="0" w:space="0" w:color="auto"/>
            <w:left w:val="none" w:sz="0" w:space="0" w:color="auto"/>
            <w:bottom w:val="none" w:sz="0" w:space="0" w:color="auto"/>
            <w:right w:val="none" w:sz="0" w:space="0" w:color="auto"/>
          </w:divBdr>
          <w:divsChild>
            <w:div w:id="730545392">
              <w:marLeft w:val="0"/>
              <w:marRight w:val="0"/>
              <w:marTop w:val="0"/>
              <w:marBottom w:val="0"/>
              <w:divBdr>
                <w:top w:val="none" w:sz="0" w:space="0" w:color="auto"/>
                <w:left w:val="none" w:sz="0" w:space="0" w:color="auto"/>
                <w:bottom w:val="none" w:sz="0" w:space="0" w:color="auto"/>
                <w:right w:val="none" w:sz="0" w:space="0" w:color="auto"/>
              </w:divBdr>
            </w:div>
            <w:div w:id="760641812">
              <w:marLeft w:val="0"/>
              <w:marRight w:val="0"/>
              <w:marTop w:val="0"/>
              <w:marBottom w:val="0"/>
              <w:divBdr>
                <w:top w:val="none" w:sz="0" w:space="0" w:color="auto"/>
                <w:left w:val="none" w:sz="0" w:space="0" w:color="auto"/>
                <w:bottom w:val="none" w:sz="0" w:space="0" w:color="auto"/>
                <w:right w:val="none" w:sz="0" w:space="0" w:color="auto"/>
              </w:divBdr>
            </w:div>
            <w:div w:id="766314529">
              <w:marLeft w:val="0"/>
              <w:marRight w:val="0"/>
              <w:marTop w:val="0"/>
              <w:marBottom w:val="0"/>
              <w:divBdr>
                <w:top w:val="none" w:sz="0" w:space="0" w:color="auto"/>
                <w:left w:val="none" w:sz="0" w:space="0" w:color="auto"/>
                <w:bottom w:val="none" w:sz="0" w:space="0" w:color="auto"/>
                <w:right w:val="none" w:sz="0" w:space="0" w:color="auto"/>
              </w:divBdr>
            </w:div>
            <w:div w:id="884872601">
              <w:marLeft w:val="0"/>
              <w:marRight w:val="0"/>
              <w:marTop w:val="0"/>
              <w:marBottom w:val="0"/>
              <w:divBdr>
                <w:top w:val="none" w:sz="0" w:space="0" w:color="auto"/>
                <w:left w:val="none" w:sz="0" w:space="0" w:color="auto"/>
                <w:bottom w:val="none" w:sz="0" w:space="0" w:color="auto"/>
                <w:right w:val="none" w:sz="0" w:space="0" w:color="auto"/>
              </w:divBdr>
            </w:div>
            <w:div w:id="1651247823">
              <w:marLeft w:val="0"/>
              <w:marRight w:val="0"/>
              <w:marTop w:val="0"/>
              <w:marBottom w:val="0"/>
              <w:divBdr>
                <w:top w:val="none" w:sz="0" w:space="0" w:color="auto"/>
                <w:left w:val="none" w:sz="0" w:space="0" w:color="auto"/>
                <w:bottom w:val="none" w:sz="0" w:space="0" w:color="auto"/>
                <w:right w:val="none" w:sz="0" w:space="0" w:color="auto"/>
              </w:divBdr>
            </w:div>
          </w:divsChild>
        </w:div>
        <w:div w:id="690185200">
          <w:marLeft w:val="0"/>
          <w:marRight w:val="0"/>
          <w:marTop w:val="0"/>
          <w:marBottom w:val="0"/>
          <w:divBdr>
            <w:top w:val="none" w:sz="0" w:space="0" w:color="auto"/>
            <w:left w:val="none" w:sz="0" w:space="0" w:color="auto"/>
            <w:bottom w:val="none" w:sz="0" w:space="0" w:color="auto"/>
            <w:right w:val="none" w:sz="0" w:space="0" w:color="auto"/>
          </w:divBdr>
        </w:div>
        <w:div w:id="692803103">
          <w:marLeft w:val="0"/>
          <w:marRight w:val="0"/>
          <w:marTop w:val="0"/>
          <w:marBottom w:val="0"/>
          <w:divBdr>
            <w:top w:val="none" w:sz="0" w:space="0" w:color="auto"/>
            <w:left w:val="none" w:sz="0" w:space="0" w:color="auto"/>
            <w:bottom w:val="none" w:sz="0" w:space="0" w:color="auto"/>
            <w:right w:val="none" w:sz="0" w:space="0" w:color="auto"/>
          </w:divBdr>
        </w:div>
        <w:div w:id="886571848">
          <w:marLeft w:val="0"/>
          <w:marRight w:val="0"/>
          <w:marTop w:val="0"/>
          <w:marBottom w:val="0"/>
          <w:divBdr>
            <w:top w:val="none" w:sz="0" w:space="0" w:color="auto"/>
            <w:left w:val="none" w:sz="0" w:space="0" w:color="auto"/>
            <w:bottom w:val="none" w:sz="0" w:space="0" w:color="auto"/>
            <w:right w:val="none" w:sz="0" w:space="0" w:color="auto"/>
          </w:divBdr>
        </w:div>
        <w:div w:id="911278765">
          <w:marLeft w:val="0"/>
          <w:marRight w:val="0"/>
          <w:marTop w:val="0"/>
          <w:marBottom w:val="0"/>
          <w:divBdr>
            <w:top w:val="none" w:sz="0" w:space="0" w:color="auto"/>
            <w:left w:val="none" w:sz="0" w:space="0" w:color="auto"/>
            <w:bottom w:val="none" w:sz="0" w:space="0" w:color="auto"/>
            <w:right w:val="none" w:sz="0" w:space="0" w:color="auto"/>
          </w:divBdr>
        </w:div>
        <w:div w:id="922957803">
          <w:marLeft w:val="0"/>
          <w:marRight w:val="0"/>
          <w:marTop w:val="0"/>
          <w:marBottom w:val="0"/>
          <w:divBdr>
            <w:top w:val="none" w:sz="0" w:space="0" w:color="auto"/>
            <w:left w:val="none" w:sz="0" w:space="0" w:color="auto"/>
            <w:bottom w:val="none" w:sz="0" w:space="0" w:color="auto"/>
            <w:right w:val="none" w:sz="0" w:space="0" w:color="auto"/>
          </w:divBdr>
        </w:div>
        <w:div w:id="949779077">
          <w:marLeft w:val="0"/>
          <w:marRight w:val="0"/>
          <w:marTop w:val="0"/>
          <w:marBottom w:val="0"/>
          <w:divBdr>
            <w:top w:val="none" w:sz="0" w:space="0" w:color="auto"/>
            <w:left w:val="none" w:sz="0" w:space="0" w:color="auto"/>
            <w:bottom w:val="none" w:sz="0" w:space="0" w:color="auto"/>
            <w:right w:val="none" w:sz="0" w:space="0" w:color="auto"/>
          </w:divBdr>
        </w:div>
        <w:div w:id="990595008">
          <w:marLeft w:val="0"/>
          <w:marRight w:val="0"/>
          <w:marTop w:val="0"/>
          <w:marBottom w:val="0"/>
          <w:divBdr>
            <w:top w:val="none" w:sz="0" w:space="0" w:color="auto"/>
            <w:left w:val="none" w:sz="0" w:space="0" w:color="auto"/>
            <w:bottom w:val="none" w:sz="0" w:space="0" w:color="auto"/>
            <w:right w:val="none" w:sz="0" w:space="0" w:color="auto"/>
          </w:divBdr>
        </w:div>
        <w:div w:id="1046178047">
          <w:marLeft w:val="0"/>
          <w:marRight w:val="0"/>
          <w:marTop w:val="0"/>
          <w:marBottom w:val="0"/>
          <w:divBdr>
            <w:top w:val="none" w:sz="0" w:space="0" w:color="auto"/>
            <w:left w:val="none" w:sz="0" w:space="0" w:color="auto"/>
            <w:bottom w:val="none" w:sz="0" w:space="0" w:color="auto"/>
            <w:right w:val="none" w:sz="0" w:space="0" w:color="auto"/>
          </w:divBdr>
        </w:div>
        <w:div w:id="1074277855">
          <w:marLeft w:val="0"/>
          <w:marRight w:val="0"/>
          <w:marTop w:val="0"/>
          <w:marBottom w:val="0"/>
          <w:divBdr>
            <w:top w:val="none" w:sz="0" w:space="0" w:color="auto"/>
            <w:left w:val="none" w:sz="0" w:space="0" w:color="auto"/>
            <w:bottom w:val="none" w:sz="0" w:space="0" w:color="auto"/>
            <w:right w:val="none" w:sz="0" w:space="0" w:color="auto"/>
          </w:divBdr>
        </w:div>
        <w:div w:id="1161194616">
          <w:marLeft w:val="0"/>
          <w:marRight w:val="0"/>
          <w:marTop w:val="0"/>
          <w:marBottom w:val="0"/>
          <w:divBdr>
            <w:top w:val="none" w:sz="0" w:space="0" w:color="auto"/>
            <w:left w:val="none" w:sz="0" w:space="0" w:color="auto"/>
            <w:bottom w:val="none" w:sz="0" w:space="0" w:color="auto"/>
            <w:right w:val="none" w:sz="0" w:space="0" w:color="auto"/>
          </w:divBdr>
        </w:div>
        <w:div w:id="1176456997">
          <w:marLeft w:val="0"/>
          <w:marRight w:val="0"/>
          <w:marTop w:val="0"/>
          <w:marBottom w:val="0"/>
          <w:divBdr>
            <w:top w:val="none" w:sz="0" w:space="0" w:color="auto"/>
            <w:left w:val="none" w:sz="0" w:space="0" w:color="auto"/>
            <w:bottom w:val="none" w:sz="0" w:space="0" w:color="auto"/>
            <w:right w:val="none" w:sz="0" w:space="0" w:color="auto"/>
          </w:divBdr>
        </w:div>
        <w:div w:id="1185169367">
          <w:marLeft w:val="0"/>
          <w:marRight w:val="0"/>
          <w:marTop w:val="0"/>
          <w:marBottom w:val="0"/>
          <w:divBdr>
            <w:top w:val="none" w:sz="0" w:space="0" w:color="auto"/>
            <w:left w:val="none" w:sz="0" w:space="0" w:color="auto"/>
            <w:bottom w:val="none" w:sz="0" w:space="0" w:color="auto"/>
            <w:right w:val="none" w:sz="0" w:space="0" w:color="auto"/>
          </w:divBdr>
        </w:div>
        <w:div w:id="1271862615">
          <w:marLeft w:val="0"/>
          <w:marRight w:val="0"/>
          <w:marTop w:val="0"/>
          <w:marBottom w:val="0"/>
          <w:divBdr>
            <w:top w:val="none" w:sz="0" w:space="0" w:color="auto"/>
            <w:left w:val="none" w:sz="0" w:space="0" w:color="auto"/>
            <w:bottom w:val="none" w:sz="0" w:space="0" w:color="auto"/>
            <w:right w:val="none" w:sz="0" w:space="0" w:color="auto"/>
          </w:divBdr>
        </w:div>
        <w:div w:id="1355308489">
          <w:marLeft w:val="0"/>
          <w:marRight w:val="0"/>
          <w:marTop w:val="0"/>
          <w:marBottom w:val="0"/>
          <w:divBdr>
            <w:top w:val="none" w:sz="0" w:space="0" w:color="auto"/>
            <w:left w:val="none" w:sz="0" w:space="0" w:color="auto"/>
            <w:bottom w:val="none" w:sz="0" w:space="0" w:color="auto"/>
            <w:right w:val="none" w:sz="0" w:space="0" w:color="auto"/>
          </w:divBdr>
        </w:div>
        <w:div w:id="1381393160">
          <w:marLeft w:val="0"/>
          <w:marRight w:val="0"/>
          <w:marTop w:val="0"/>
          <w:marBottom w:val="0"/>
          <w:divBdr>
            <w:top w:val="none" w:sz="0" w:space="0" w:color="auto"/>
            <w:left w:val="none" w:sz="0" w:space="0" w:color="auto"/>
            <w:bottom w:val="none" w:sz="0" w:space="0" w:color="auto"/>
            <w:right w:val="none" w:sz="0" w:space="0" w:color="auto"/>
          </w:divBdr>
        </w:div>
        <w:div w:id="1404841177">
          <w:marLeft w:val="0"/>
          <w:marRight w:val="0"/>
          <w:marTop w:val="0"/>
          <w:marBottom w:val="0"/>
          <w:divBdr>
            <w:top w:val="none" w:sz="0" w:space="0" w:color="auto"/>
            <w:left w:val="none" w:sz="0" w:space="0" w:color="auto"/>
            <w:bottom w:val="none" w:sz="0" w:space="0" w:color="auto"/>
            <w:right w:val="none" w:sz="0" w:space="0" w:color="auto"/>
          </w:divBdr>
        </w:div>
        <w:div w:id="1473593626">
          <w:marLeft w:val="0"/>
          <w:marRight w:val="0"/>
          <w:marTop w:val="0"/>
          <w:marBottom w:val="0"/>
          <w:divBdr>
            <w:top w:val="none" w:sz="0" w:space="0" w:color="auto"/>
            <w:left w:val="none" w:sz="0" w:space="0" w:color="auto"/>
            <w:bottom w:val="none" w:sz="0" w:space="0" w:color="auto"/>
            <w:right w:val="none" w:sz="0" w:space="0" w:color="auto"/>
          </w:divBdr>
        </w:div>
        <w:div w:id="1475025674">
          <w:marLeft w:val="0"/>
          <w:marRight w:val="0"/>
          <w:marTop w:val="0"/>
          <w:marBottom w:val="0"/>
          <w:divBdr>
            <w:top w:val="none" w:sz="0" w:space="0" w:color="auto"/>
            <w:left w:val="none" w:sz="0" w:space="0" w:color="auto"/>
            <w:bottom w:val="none" w:sz="0" w:space="0" w:color="auto"/>
            <w:right w:val="none" w:sz="0" w:space="0" w:color="auto"/>
          </w:divBdr>
        </w:div>
        <w:div w:id="1514370171">
          <w:marLeft w:val="0"/>
          <w:marRight w:val="0"/>
          <w:marTop w:val="0"/>
          <w:marBottom w:val="0"/>
          <w:divBdr>
            <w:top w:val="none" w:sz="0" w:space="0" w:color="auto"/>
            <w:left w:val="none" w:sz="0" w:space="0" w:color="auto"/>
            <w:bottom w:val="none" w:sz="0" w:space="0" w:color="auto"/>
            <w:right w:val="none" w:sz="0" w:space="0" w:color="auto"/>
          </w:divBdr>
        </w:div>
        <w:div w:id="1515654918">
          <w:marLeft w:val="0"/>
          <w:marRight w:val="0"/>
          <w:marTop w:val="0"/>
          <w:marBottom w:val="0"/>
          <w:divBdr>
            <w:top w:val="none" w:sz="0" w:space="0" w:color="auto"/>
            <w:left w:val="none" w:sz="0" w:space="0" w:color="auto"/>
            <w:bottom w:val="none" w:sz="0" w:space="0" w:color="auto"/>
            <w:right w:val="none" w:sz="0" w:space="0" w:color="auto"/>
          </w:divBdr>
        </w:div>
        <w:div w:id="1588541667">
          <w:marLeft w:val="0"/>
          <w:marRight w:val="0"/>
          <w:marTop w:val="0"/>
          <w:marBottom w:val="0"/>
          <w:divBdr>
            <w:top w:val="none" w:sz="0" w:space="0" w:color="auto"/>
            <w:left w:val="none" w:sz="0" w:space="0" w:color="auto"/>
            <w:bottom w:val="none" w:sz="0" w:space="0" w:color="auto"/>
            <w:right w:val="none" w:sz="0" w:space="0" w:color="auto"/>
          </w:divBdr>
        </w:div>
        <w:div w:id="1611740555">
          <w:marLeft w:val="0"/>
          <w:marRight w:val="0"/>
          <w:marTop w:val="0"/>
          <w:marBottom w:val="0"/>
          <w:divBdr>
            <w:top w:val="none" w:sz="0" w:space="0" w:color="auto"/>
            <w:left w:val="none" w:sz="0" w:space="0" w:color="auto"/>
            <w:bottom w:val="none" w:sz="0" w:space="0" w:color="auto"/>
            <w:right w:val="none" w:sz="0" w:space="0" w:color="auto"/>
          </w:divBdr>
        </w:div>
        <w:div w:id="1644693587">
          <w:marLeft w:val="0"/>
          <w:marRight w:val="0"/>
          <w:marTop w:val="0"/>
          <w:marBottom w:val="0"/>
          <w:divBdr>
            <w:top w:val="none" w:sz="0" w:space="0" w:color="auto"/>
            <w:left w:val="none" w:sz="0" w:space="0" w:color="auto"/>
            <w:bottom w:val="none" w:sz="0" w:space="0" w:color="auto"/>
            <w:right w:val="none" w:sz="0" w:space="0" w:color="auto"/>
          </w:divBdr>
        </w:div>
        <w:div w:id="1645893940">
          <w:marLeft w:val="0"/>
          <w:marRight w:val="0"/>
          <w:marTop w:val="0"/>
          <w:marBottom w:val="0"/>
          <w:divBdr>
            <w:top w:val="none" w:sz="0" w:space="0" w:color="auto"/>
            <w:left w:val="none" w:sz="0" w:space="0" w:color="auto"/>
            <w:bottom w:val="none" w:sz="0" w:space="0" w:color="auto"/>
            <w:right w:val="none" w:sz="0" w:space="0" w:color="auto"/>
          </w:divBdr>
        </w:div>
        <w:div w:id="1653873652">
          <w:marLeft w:val="0"/>
          <w:marRight w:val="0"/>
          <w:marTop w:val="0"/>
          <w:marBottom w:val="0"/>
          <w:divBdr>
            <w:top w:val="none" w:sz="0" w:space="0" w:color="auto"/>
            <w:left w:val="none" w:sz="0" w:space="0" w:color="auto"/>
            <w:bottom w:val="none" w:sz="0" w:space="0" w:color="auto"/>
            <w:right w:val="none" w:sz="0" w:space="0" w:color="auto"/>
          </w:divBdr>
        </w:div>
        <w:div w:id="1659386390">
          <w:marLeft w:val="0"/>
          <w:marRight w:val="0"/>
          <w:marTop w:val="0"/>
          <w:marBottom w:val="0"/>
          <w:divBdr>
            <w:top w:val="none" w:sz="0" w:space="0" w:color="auto"/>
            <w:left w:val="none" w:sz="0" w:space="0" w:color="auto"/>
            <w:bottom w:val="none" w:sz="0" w:space="0" w:color="auto"/>
            <w:right w:val="none" w:sz="0" w:space="0" w:color="auto"/>
          </w:divBdr>
        </w:div>
        <w:div w:id="1666782779">
          <w:marLeft w:val="0"/>
          <w:marRight w:val="0"/>
          <w:marTop w:val="0"/>
          <w:marBottom w:val="0"/>
          <w:divBdr>
            <w:top w:val="none" w:sz="0" w:space="0" w:color="auto"/>
            <w:left w:val="none" w:sz="0" w:space="0" w:color="auto"/>
            <w:bottom w:val="none" w:sz="0" w:space="0" w:color="auto"/>
            <w:right w:val="none" w:sz="0" w:space="0" w:color="auto"/>
          </w:divBdr>
        </w:div>
        <w:div w:id="1680354362">
          <w:marLeft w:val="0"/>
          <w:marRight w:val="0"/>
          <w:marTop w:val="0"/>
          <w:marBottom w:val="0"/>
          <w:divBdr>
            <w:top w:val="none" w:sz="0" w:space="0" w:color="auto"/>
            <w:left w:val="none" w:sz="0" w:space="0" w:color="auto"/>
            <w:bottom w:val="none" w:sz="0" w:space="0" w:color="auto"/>
            <w:right w:val="none" w:sz="0" w:space="0" w:color="auto"/>
          </w:divBdr>
        </w:div>
        <w:div w:id="1695226522">
          <w:marLeft w:val="0"/>
          <w:marRight w:val="0"/>
          <w:marTop w:val="0"/>
          <w:marBottom w:val="0"/>
          <w:divBdr>
            <w:top w:val="none" w:sz="0" w:space="0" w:color="auto"/>
            <w:left w:val="none" w:sz="0" w:space="0" w:color="auto"/>
            <w:bottom w:val="none" w:sz="0" w:space="0" w:color="auto"/>
            <w:right w:val="none" w:sz="0" w:space="0" w:color="auto"/>
          </w:divBdr>
        </w:div>
        <w:div w:id="1697150383">
          <w:marLeft w:val="0"/>
          <w:marRight w:val="0"/>
          <w:marTop w:val="0"/>
          <w:marBottom w:val="0"/>
          <w:divBdr>
            <w:top w:val="none" w:sz="0" w:space="0" w:color="auto"/>
            <w:left w:val="none" w:sz="0" w:space="0" w:color="auto"/>
            <w:bottom w:val="none" w:sz="0" w:space="0" w:color="auto"/>
            <w:right w:val="none" w:sz="0" w:space="0" w:color="auto"/>
          </w:divBdr>
        </w:div>
        <w:div w:id="1708407050">
          <w:marLeft w:val="0"/>
          <w:marRight w:val="0"/>
          <w:marTop w:val="0"/>
          <w:marBottom w:val="0"/>
          <w:divBdr>
            <w:top w:val="none" w:sz="0" w:space="0" w:color="auto"/>
            <w:left w:val="none" w:sz="0" w:space="0" w:color="auto"/>
            <w:bottom w:val="none" w:sz="0" w:space="0" w:color="auto"/>
            <w:right w:val="none" w:sz="0" w:space="0" w:color="auto"/>
          </w:divBdr>
        </w:div>
        <w:div w:id="1746759896">
          <w:marLeft w:val="0"/>
          <w:marRight w:val="0"/>
          <w:marTop w:val="0"/>
          <w:marBottom w:val="0"/>
          <w:divBdr>
            <w:top w:val="none" w:sz="0" w:space="0" w:color="auto"/>
            <w:left w:val="none" w:sz="0" w:space="0" w:color="auto"/>
            <w:bottom w:val="none" w:sz="0" w:space="0" w:color="auto"/>
            <w:right w:val="none" w:sz="0" w:space="0" w:color="auto"/>
          </w:divBdr>
        </w:div>
        <w:div w:id="1776174732">
          <w:marLeft w:val="0"/>
          <w:marRight w:val="0"/>
          <w:marTop w:val="0"/>
          <w:marBottom w:val="0"/>
          <w:divBdr>
            <w:top w:val="none" w:sz="0" w:space="0" w:color="auto"/>
            <w:left w:val="none" w:sz="0" w:space="0" w:color="auto"/>
            <w:bottom w:val="none" w:sz="0" w:space="0" w:color="auto"/>
            <w:right w:val="none" w:sz="0" w:space="0" w:color="auto"/>
          </w:divBdr>
        </w:div>
        <w:div w:id="1833374630">
          <w:marLeft w:val="0"/>
          <w:marRight w:val="0"/>
          <w:marTop w:val="0"/>
          <w:marBottom w:val="0"/>
          <w:divBdr>
            <w:top w:val="none" w:sz="0" w:space="0" w:color="auto"/>
            <w:left w:val="none" w:sz="0" w:space="0" w:color="auto"/>
            <w:bottom w:val="none" w:sz="0" w:space="0" w:color="auto"/>
            <w:right w:val="none" w:sz="0" w:space="0" w:color="auto"/>
          </w:divBdr>
        </w:div>
        <w:div w:id="1839885990">
          <w:marLeft w:val="0"/>
          <w:marRight w:val="0"/>
          <w:marTop w:val="0"/>
          <w:marBottom w:val="0"/>
          <w:divBdr>
            <w:top w:val="none" w:sz="0" w:space="0" w:color="auto"/>
            <w:left w:val="none" w:sz="0" w:space="0" w:color="auto"/>
            <w:bottom w:val="none" w:sz="0" w:space="0" w:color="auto"/>
            <w:right w:val="none" w:sz="0" w:space="0" w:color="auto"/>
          </w:divBdr>
        </w:div>
        <w:div w:id="1881504324">
          <w:marLeft w:val="0"/>
          <w:marRight w:val="0"/>
          <w:marTop w:val="0"/>
          <w:marBottom w:val="0"/>
          <w:divBdr>
            <w:top w:val="none" w:sz="0" w:space="0" w:color="auto"/>
            <w:left w:val="none" w:sz="0" w:space="0" w:color="auto"/>
            <w:bottom w:val="none" w:sz="0" w:space="0" w:color="auto"/>
            <w:right w:val="none" w:sz="0" w:space="0" w:color="auto"/>
          </w:divBdr>
        </w:div>
        <w:div w:id="1885288155">
          <w:marLeft w:val="0"/>
          <w:marRight w:val="0"/>
          <w:marTop w:val="0"/>
          <w:marBottom w:val="0"/>
          <w:divBdr>
            <w:top w:val="none" w:sz="0" w:space="0" w:color="auto"/>
            <w:left w:val="none" w:sz="0" w:space="0" w:color="auto"/>
            <w:bottom w:val="none" w:sz="0" w:space="0" w:color="auto"/>
            <w:right w:val="none" w:sz="0" w:space="0" w:color="auto"/>
          </w:divBdr>
        </w:div>
        <w:div w:id="1901549866">
          <w:marLeft w:val="0"/>
          <w:marRight w:val="0"/>
          <w:marTop w:val="0"/>
          <w:marBottom w:val="0"/>
          <w:divBdr>
            <w:top w:val="none" w:sz="0" w:space="0" w:color="auto"/>
            <w:left w:val="none" w:sz="0" w:space="0" w:color="auto"/>
            <w:bottom w:val="none" w:sz="0" w:space="0" w:color="auto"/>
            <w:right w:val="none" w:sz="0" w:space="0" w:color="auto"/>
          </w:divBdr>
        </w:div>
        <w:div w:id="1939557115">
          <w:marLeft w:val="0"/>
          <w:marRight w:val="0"/>
          <w:marTop w:val="0"/>
          <w:marBottom w:val="0"/>
          <w:divBdr>
            <w:top w:val="none" w:sz="0" w:space="0" w:color="auto"/>
            <w:left w:val="none" w:sz="0" w:space="0" w:color="auto"/>
            <w:bottom w:val="none" w:sz="0" w:space="0" w:color="auto"/>
            <w:right w:val="none" w:sz="0" w:space="0" w:color="auto"/>
          </w:divBdr>
        </w:div>
        <w:div w:id="1941987227">
          <w:marLeft w:val="0"/>
          <w:marRight w:val="0"/>
          <w:marTop w:val="0"/>
          <w:marBottom w:val="0"/>
          <w:divBdr>
            <w:top w:val="none" w:sz="0" w:space="0" w:color="auto"/>
            <w:left w:val="none" w:sz="0" w:space="0" w:color="auto"/>
            <w:bottom w:val="none" w:sz="0" w:space="0" w:color="auto"/>
            <w:right w:val="none" w:sz="0" w:space="0" w:color="auto"/>
          </w:divBdr>
        </w:div>
        <w:div w:id="1958681534">
          <w:marLeft w:val="0"/>
          <w:marRight w:val="0"/>
          <w:marTop w:val="0"/>
          <w:marBottom w:val="0"/>
          <w:divBdr>
            <w:top w:val="none" w:sz="0" w:space="0" w:color="auto"/>
            <w:left w:val="none" w:sz="0" w:space="0" w:color="auto"/>
            <w:bottom w:val="none" w:sz="0" w:space="0" w:color="auto"/>
            <w:right w:val="none" w:sz="0" w:space="0" w:color="auto"/>
          </w:divBdr>
          <w:divsChild>
            <w:div w:id="456490594">
              <w:marLeft w:val="0"/>
              <w:marRight w:val="0"/>
              <w:marTop w:val="0"/>
              <w:marBottom w:val="0"/>
              <w:divBdr>
                <w:top w:val="none" w:sz="0" w:space="0" w:color="auto"/>
                <w:left w:val="none" w:sz="0" w:space="0" w:color="auto"/>
                <w:bottom w:val="none" w:sz="0" w:space="0" w:color="auto"/>
                <w:right w:val="none" w:sz="0" w:space="0" w:color="auto"/>
              </w:divBdr>
            </w:div>
            <w:div w:id="623460203">
              <w:marLeft w:val="0"/>
              <w:marRight w:val="0"/>
              <w:marTop w:val="0"/>
              <w:marBottom w:val="0"/>
              <w:divBdr>
                <w:top w:val="none" w:sz="0" w:space="0" w:color="auto"/>
                <w:left w:val="none" w:sz="0" w:space="0" w:color="auto"/>
                <w:bottom w:val="none" w:sz="0" w:space="0" w:color="auto"/>
                <w:right w:val="none" w:sz="0" w:space="0" w:color="auto"/>
              </w:divBdr>
            </w:div>
            <w:div w:id="1540969995">
              <w:marLeft w:val="0"/>
              <w:marRight w:val="0"/>
              <w:marTop w:val="0"/>
              <w:marBottom w:val="0"/>
              <w:divBdr>
                <w:top w:val="none" w:sz="0" w:space="0" w:color="auto"/>
                <w:left w:val="none" w:sz="0" w:space="0" w:color="auto"/>
                <w:bottom w:val="none" w:sz="0" w:space="0" w:color="auto"/>
                <w:right w:val="none" w:sz="0" w:space="0" w:color="auto"/>
              </w:divBdr>
            </w:div>
            <w:div w:id="1933274268">
              <w:marLeft w:val="0"/>
              <w:marRight w:val="0"/>
              <w:marTop w:val="0"/>
              <w:marBottom w:val="0"/>
              <w:divBdr>
                <w:top w:val="none" w:sz="0" w:space="0" w:color="auto"/>
                <w:left w:val="none" w:sz="0" w:space="0" w:color="auto"/>
                <w:bottom w:val="none" w:sz="0" w:space="0" w:color="auto"/>
                <w:right w:val="none" w:sz="0" w:space="0" w:color="auto"/>
              </w:divBdr>
            </w:div>
            <w:div w:id="2094079878">
              <w:marLeft w:val="0"/>
              <w:marRight w:val="0"/>
              <w:marTop w:val="0"/>
              <w:marBottom w:val="0"/>
              <w:divBdr>
                <w:top w:val="none" w:sz="0" w:space="0" w:color="auto"/>
                <w:left w:val="none" w:sz="0" w:space="0" w:color="auto"/>
                <w:bottom w:val="none" w:sz="0" w:space="0" w:color="auto"/>
                <w:right w:val="none" w:sz="0" w:space="0" w:color="auto"/>
              </w:divBdr>
            </w:div>
          </w:divsChild>
        </w:div>
        <w:div w:id="1964849881">
          <w:marLeft w:val="0"/>
          <w:marRight w:val="0"/>
          <w:marTop w:val="0"/>
          <w:marBottom w:val="0"/>
          <w:divBdr>
            <w:top w:val="none" w:sz="0" w:space="0" w:color="auto"/>
            <w:left w:val="none" w:sz="0" w:space="0" w:color="auto"/>
            <w:bottom w:val="none" w:sz="0" w:space="0" w:color="auto"/>
            <w:right w:val="none" w:sz="0" w:space="0" w:color="auto"/>
          </w:divBdr>
        </w:div>
        <w:div w:id="1982037517">
          <w:marLeft w:val="0"/>
          <w:marRight w:val="0"/>
          <w:marTop w:val="0"/>
          <w:marBottom w:val="0"/>
          <w:divBdr>
            <w:top w:val="none" w:sz="0" w:space="0" w:color="auto"/>
            <w:left w:val="none" w:sz="0" w:space="0" w:color="auto"/>
            <w:bottom w:val="none" w:sz="0" w:space="0" w:color="auto"/>
            <w:right w:val="none" w:sz="0" w:space="0" w:color="auto"/>
          </w:divBdr>
        </w:div>
        <w:div w:id="2093161868">
          <w:marLeft w:val="0"/>
          <w:marRight w:val="0"/>
          <w:marTop w:val="0"/>
          <w:marBottom w:val="0"/>
          <w:divBdr>
            <w:top w:val="none" w:sz="0" w:space="0" w:color="auto"/>
            <w:left w:val="none" w:sz="0" w:space="0" w:color="auto"/>
            <w:bottom w:val="none" w:sz="0" w:space="0" w:color="auto"/>
            <w:right w:val="none" w:sz="0" w:space="0" w:color="auto"/>
          </w:divBdr>
        </w:div>
        <w:div w:id="2129926379">
          <w:marLeft w:val="0"/>
          <w:marRight w:val="0"/>
          <w:marTop w:val="0"/>
          <w:marBottom w:val="0"/>
          <w:divBdr>
            <w:top w:val="none" w:sz="0" w:space="0" w:color="auto"/>
            <w:left w:val="none" w:sz="0" w:space="0" w:color="auto"/>
            <w:bottom w:val="none" w:sz="0" w:space="0" w:color="auto"/>
            <w:right w:val="none" w:sz="0" w:space="0" w:color="auto"/>
          </w:divBdr>
        </w:div>
      </w:divsChild>
    </w:div>
    <w:div w:id="1629240829">
      <w:bodyDiv w:val="1"/>
      <w:marLeft w:val="0"/>
      <w:marRight w:val="0"/>
      <w:marTop w:val="0"/>
      <w:marBottom w:val="0"/>
      <w:divBdr>
        <w:top w:val="none" w:sz="0" w:space="0" w:color="auto"/>
        <w:left w:val="none" w:sz="0" w:space="0" w:color="auto"/>
        <w:bottom w:val="none" w:sz="0" w:space="0" w:color="auto"/>
        <w:right w:val="none" w:sz="0" w:space="0" w:color="auto"/>
      </w:divBdr>
    </w:div>
    <w:div w:id="1698385744">
      <w:bodyDiv w:val="1"/>
      <w:marLeft w:val="0"/>
      <w:marRight w:val="0"/>
      <w:marTop w:val="0"/>
      <w:marBottom w:val="0"/>
      <w:divBdr>
        <w:top w:val="none" w:sz="0" w:space="0" w:color="auto"/>
        <w:left w:val="none" w:sz="0" w:space="0" w:color="auto"/>
        <w:bottom w:val="none" w:sz="0" w:space="0" w:color="auto"/>
        <w:right w:val="none" w:sz="0" w:space="0" w:color="auto"/>
      </w:divBdr>
      <w:divsChild>
        <w:div w:id="1438670103">
          <w:marLeft w:val="0"/>
          <w:marRight w:val="0"/>
          <w:marTop w:val="0"/>
          <w:marBottom w:val="0"/>
          <w:divBdr>
            <w:top w:val="none" w:sz="0" w:space="0" w:color="auto"/>
            <w:left w:val="none" w:sz="0" w:space="0" w:color="auto"/>
            <w:bottom w:val="none" w:sz="0" w:space="0" w:color="auto"/>
            <w:right w:val="none" w:sz="0" w:space="0" w:color="auto"/>
          </w:divBdr>
        </w:div>
      </w:divsChild>
    </w:div>
    <w:div w:id="1712656442">
      <w:bodyDiv w:val="1"/>
      <w:marLeft w:val="0"/>
      <w:marRight w:val="0"/>
      <w:marTop w:val="0"/>
      <w:marBottom w:val="0"/>
      <w:divBdr>
        <w:top w:val="none" w:sz="0" w:space="0" w:color="auto"/>
        <w:left w:val="none" w:sz="0" w:space="0" w:color="auto"/>
        <w:bottom w:val="none" w:sz="0" w:space="0" w:color="auto"/>
        <w:right w:val="none" w:sz="0" w:space="0" w:color="auto"/>
      </w:divBdr>
    </w:div>
    <w:div w:id="1956673826">
      <w:bodyDiv w:val="1"/>
      <w:marLeft w:val="0"/>
      <w:marRight w:val="0"/>
      <w:marTop w:val="0"/>
      <w:marBottom w:val="0"/>
      <w:divBdr>
        <w:top w:val="none" w:sz="0" w:space="0" w:color="auto"/>
        <w:left w:val="none" w:sz="0" w:space="0" w:color="auto"/>
        <w:bottom w:val="none" w:sz="0" w:space="0" w:color="auto"/>
        <w:right w:val="none" w:sz="0" w:space="0" w:color="auto"/>
      </w:divBdr>
    </w:div>
    <w:div w:id="2018267840">
      <w:bodyDiv w:val="1"/>
      <w:marLeft w:val="0"/>
      <w:marRight w:val="0"/>
      <w:marTop w:val="0"/>
      <w:marBottom w:val="0"/>
      <w:divBdr>
        <w:top w:val="none" w:sz="0" w:space="0" w:color="auto"/>
        <w:left w:val="none" w:sz="0" w:space="0" w:color="auto"/>
        <w:bottom w:val="none" w:sz="0" w:space="0" w:color="auto"/>
        <w:right w:val="none" w:sz="0" w:space="0" w:color="auto"/>
      </w:divBdr>
    </w:div>
    <w:div w:id="2071924990">
      <w:bodyDiv w:val="1"/>
      <w:marLeft w:val="0"/>
      <w:marRight w:val="0"/>
      <w:marTop w:val="0"/>
      <w:marBottom w:val="0"/>
      <w:divBdr>
        <w:top w:val="none" w:sz="0" w:space="0" w:color="auto"/>
        <w:left w:val="none" w:sz="0" w:space="0" w:color="auto"/>
        <w:bottom w:val="none" w:sz="0" w:space="0" w:color="auto"/>
        <w:right w:val="none" w:sz="0" w:space="0" w:color="auto"/>
      </w:divBdr>
    </w:div>
    <w:div w:id="211728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sbfeo.gov.au/news/news-articles/outdated-court-system-failing-small-businesses-ombudsman" TargetMode="External"/><Relationship Id="rId21" Type="http://schemas.openxmlformats.org/officeDocument/2006/relationships/hyperlink" Target="https://www.austrade.gov.au/Australian/Export/Export-Grants/Apply/steps-to-follow" TargetMode="External"/><Relationship Id="rId42" Type="http://schemas.openxmlformats.org/officeDocument/2006/relationships/hyperlink" Target="https://assets.publishing.service.gov.uk/government/uploads/system/uploads/attachment_data/file/823201/intellectual-property-enterprise-guide.pdf" TargetMode="External"/><Relationship Id="rId47" Type="http://schemas.openxmlformats.org/officeDocument/2006/relationships/hyperlink" Target="https://www.ipaustralia.gov.au/sites/default/files/reports_publications/2020_ip_report.pdf" TargetMode="External"/><Relationship Id="rId63" Type="http://schemas.openxmlformats.org/officeDocument/2006/relationships/hyperlink" Target="https://www.justice.gov.il/En/Units/ILPO/Cooperation/Pages/Wipo-Mediation.aspx" TargetMode="External"/><Relationship Id="rId68" Type="http://schemas.openxmlformats.org/officeDocument/2006/relationships/hyperlink" Target="https://www.mlaw.gov.sg/files/Annex_B_IPDR_Final_Report.pdf/" TargetMode="External"/><Relationship Id="rId84" Type="http://schemas.openxmlformats.org/officeDocument/2006/relationships/hyperlink" Target="http://unsworks.unsw.edu.au/fapi/datastream/unsworks:38003/bin8ca2e40f-1d69-4eb9-8d99-e332794b8f8f?view=true&amp;xy=01" TargetMode="External"/><Relationship Id="rId89" Type="http://schemas.openxmlformats.org/officeDocument/2006/relationships/hyperlink" Target="https://www.wipo.int/amc/en/expert-determination/fees/index.html"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professionalrisk.com.au/pages/types-of-cover/patent-insurance.php" TargetMode="External"/><Relationship Id="rId107" Type="http://schemas.openxmlformats.org/officeDocument/2006/relationships/fontTable" Target="fontTable.xml"/><Relationship Id="rId11" Type="http://schemas.openxmlformats.org/officeDocument/2006/relationships/header" Target="header1.xml"/><Relationship Id="rId24" Type="http://schemas.openxmlformats.org/officeDocument/2006/relationships/hyperlink" Target="https://www.abs.gov.au/ausstats/abs@.nsf/mf/1321.0" TargetMode="External"/><Relationship Id="rId32" Type="http://schemas.openxmlformats.org/officeDocument/2006/relationships/hyperlink" Target="https://www.business.gov.au/grants-and-programs/incubator-support-new-and-existing-incubators" TargetMode="External"/><Relationship Id="rId37" Type="http://schemas.openxmlformats.org/officeDocument/2006/relationships/hyperlink" Target="https://consult.industry.gov.au/science-commercialisation/par/consultation/view_respondent?uuId=310097034" TargetMode="External"/><Relationship Id="rId40" Type="http://schemas.openxmlformats.org/officeDocument/2006/relationships/hyperlink" Target="https://openaccess.city.ac.uk/id/eprint/12600/1/Evaluation_of_the_Reforms_of_the_Intellectual_Property_Enterprise_Court_2010-2013.pdf" TargetMode="External"/><Relationship Id="rId45" Type="http://schemas.openxmlformats.org/officeDocument/2006/relationships/hyperlink" Target="https://www.ipaustralia.gov.au/patents/understanding-patents/types-patents/applying-patent-addition" TargetMode="External"/><Relationship Id="rId53" Type="http://schemas.openxmlformats.org/officeDocument/2006/relationships/hyperlink" Target="https://www.ipaustralia.gov.au/patents/applying-patent/provisional-application-what-include/international-type-search" TargetMode="External"/><Relationship Id="rId58" Type="http://schemas.openxmlformats.org/officeDocument/2006/relationships/hyperlink" Target="http://www.ipaustralia.gov.au/patents-case-management-smes" TargetMode="External"/><Relationship Id="rId66" Type="http://schemas.openxmlformats.org/officeDocument/2006/relationships/hyperlink" Target="https://uk.practicallaw.thomsonreuters.com/3-621-6969?transitionType=Default&amp;contextData=(sc.Default)&amp;firstPage=true" TargetMode="External"/><Relationship Id="rId74" Type="http://schemas.openxmlformats.org/officeDocument/2006/relationships/hyperlink" Target="https://www.gov.uk/government/publications/applications-for-reviews-on-patent-opinions/applications-for-reviews-on-patent-opinions" TargetMode="External"/><Relationship Id="rId79" Type="http://schemas.openxmlformats.org/officeDocument/2006/relationships/hyperlink" Target="https://www.gov.uk/guidance/requests-for-opinions-2019" TargetMode="External"/><Relationship Id="rId87" Type="http://schemas.openxmlformats.org/officeDocument/2006/relationships/hyperlink" Target="https://www.wipo.int/amc/en/center/index.html" TargetMode="External"/><Relationship Id="rId102" Type="http://schemas.openxmlformats.org/officeDocument/2006/relationships/image" Target="media/image5.png"/><Relationship Id="rId5" Type="http://schemas.openxmlformats.org/officeDocument/2006/relationships/webSettings" Target="webSettings.xml"/><Relationship Id="rId61" Type="http://schemas.openxmlformats.org/officeDocument/2006/relationships/hyperlink" Target="https://www.ipaustralia.gov.au/patents/applying-patent/standard-patent-application-process/search-standard-patent" TargetMode="External"/><Relationship Id="rId82" Type="http://schemas.openxmlformats.org/officeDocument/2006/relationships/hyperlink" Target="https://www.gov.uk/guidance/corporation-tax-the-patent-box" TargetMode="External"/><Relationship Id="rId90" Type="http://schemas.openxmlformats.org/officeDocument/2006/relationships/hyperlink" Target="https://www.wipo.int/amc/en/mediation/principal-steps.html" TargetMode="External"/><Relationship Id="rId95" Type="http://schemas.openxmlformats.org/officeDocument/2006/relationships/hyperlink" Target="https://www.wipo.int/amc/en/arbitration/fees/" TargetMode="External"/><Relationship Id="rId19" Type="http://schemas.openxmlformats.org/officeDocument/2006/relationships/hyperlink" Target="https://www.austrade.gov.au/Australian/Export/Export-Grants/Apply/steps-to-follow" TargetMode="External"/><Relationship Id="rId14" Type="http://schemas.openxmlformats.org/officeDocument/2006/relationships/footer" Target="footer2.xml"/><Relationship Id="rId22" Type="http://schemas.openxmlformats.org/officeDocument/2006/relationships/hyperlink" Target="https://www.austrade.gov.au/Australian/Export/Export-Grants/Apply/steps-to-follow" TargetMode="External"/><Relationship Id="rId27" Type="http://schemas.openxmlformats.org/officeDocument/2006/relationships/hyperlink" Target="https://www.boult.com/bulletins/ukipo-opinions-service/" TargetMode="External"/><Relationship Id="rId30" Type="http://schemas.openxmlformats.org/officeDocument/2006/relationships/hyperlink" Target="https://www.dyoung.com/en/knowledgebank/faqs-and-guides/faq-patent-litigation-germany" TargetMode="External"/><Relationship Id="rId35" Type="http://schemas.openxmlformats.org/officeDocument/2006/relationships/hyperlink" Target="https://consult.industry.gov.au/science-commercialisation/par/" TargetMode="External"/><Relationship Id="rId43" Type="http://schemas.openxmlformats.org/officeDocument/2006/relationships/hyperlink" Target="https://www.gov.uk/government/publications/timeliness-target-for-re-examination-of-patent-applications/timeliness-target-for-re-examination-of-patent-applications" TargetMode="External"/><Relationship Id="rId48" Type="http://schemas.openxmlformats.org/officeDocument/2006/relationships/hyperlink" Target="http://www.ipaustralia.gov.au/tools-resources/case-studies/" TargetMode="External"/><Relationship Id="rId56" Type="http://schemas.openxmlformats.org/officeDocument/2006/relationships/hyperlink" Target="http://www.ipaustralia.gov.au/understanding-ip/commercialise-your-ip/ip-toolkit-collaboration" TargetMode="External"/><Relationship Id="rId64" Type="http://schemas.openxmlformats.org/officeDocument/2006/relationships/hyperlink" Target="https://uk.practicallaw.thomsonreuters.com/5-622-3450?transitionType=Default&amp;contextData=(sc.Default)&amp;firstPage=true" TargetMode="External"/><Relationship Id="rId69" Type="http://schemas.openxmlformats.org/officeDocument/2006/relationships/hyperlink" Target="https://www.twobirds.com/~/media/pdfs/brochures/intellectual-property/international-comparative-legal-guide.pdf?la=en&amp;hash=E139164B621614998BEA45048836B7AC62001B08" TargetMode="External"/><Relationship Id="rId77" Type="http://schemas.openxmlformats.org/officeDocument/2006/relationships/hyperlink" Target="https://www.gov.uk/guidance/requests-for-opinions-2017" TargetMode="External"/><Relationship Id="rId100" Type="http://schemas.openxmlformats.org/officeDocument/2006/relationships/header" Target="header4.xml"/><Relationship Id="rId105" Type="http://schemas.openxmlformats.org/officeDocument/2006/relationships/image" Target="media/image8.png"/><Relationship Id="rId8" Type="http://schemas.openxmlformats.org/officeDocument/2006/relationships/image" Target="media/image1.png"/><Relationship Id="rId51" Type="http://schemas.openxmlformats.org/officeDocument/2006/relationships/hyperlink" Target="https://www.ipaustralia.gov.au/ip-infringement/enforcing-your-ip/going-to-court/court-proceedings" TargetMode="External"/><Relationship Id="rId72" Type="http://schemas.openxmlformats.org/officeDocument/2006/relationships/hyperlink" Target="http://www.austlii.edu.au/cgi-bin/viewdoc/au/cases/cth/FCA/2019/425.html" TargetMode="External"/><Relationship Id="rId80" Type="http://schemas.openxmlformats.org/officeDocument/2006/relationships/hyperlink" Target="https://www.gov.uk/guidance/requests-for-opinions-2020" TargetMode="External"/><Relationship Id="rId85" Type="http://schemas.openxmlformats.org/officeDocument/2006/relationships/hyperlink" Target="https://www.wipo.int/amc/en/new/2019review.html" TargetMode="External"/><Relationship Id="rId93" Type="http://schemas.openxmlformats.org/officeDocument/2006/relationships/hyperlink" Target="https://www.wipo.int/amc/en/expert-determination/what-is-exp.html" TargetMode="External"/><Relationship Id="rId98" Type="http://schemas.openxmlformats.org/officeDocument/2006/relationships/hyperlink" Target="https://www.wipo.int/amc/en/mediation/fees/index.html"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www.austlii.edu.au/cgi-bin/viewdoc/au/cases/cth/FCA/2016/991.html" TargetMode="External"/><Relationship Id="rId33" Type="http://schemas.openxmlformats.org/officeDocument/2006/relationships/hyperlink" Target="https://www.industry.gov.au/sites/default/files/2020-11/innovation-and-science-australia-annual-report-2019-20.pdf" TargetMode="External"/><Relationship Id="rId38" Type="http://schemas.openxmlformats.org/officeDocument/2006/relationships/hyperlink" Target="https://ministers.treasury.gov.au/ministers/josh-frydenberg-2018/media-releases/launch-australian-business-growth-fund" TargetMode="External"/><Relationship Id="rId46" Type="http://schemas.openxmlformats.org/officeDocument/2006/relationships/hyperlink" Target="https://www.ipaustralia.gov.au/understanding-ip/getting-started-ip/auditing-your-ip" TargetMode="External"/><Relationship Id="rId59" Type="http://schemas.openxmlformats.org/officeDocument/2006/relationships/hyperlink" Target="http://www.ipaustralia.gov.au/sme-portal" TargetMode="External"/><Relationship Id="rId67" Type="http://schemas.openxmlformats.org/officeDocument/2006/relationships/hyperlink" Target="https://www.mewburn.com/law-practice-library/validity-infringement-opinions-from-the-ukipo" TargetMode="External"/><Relationship Id="rId103" Type="http://schemas.openxmlformats.org/officeDocument/2006/relationships/image" Target="media/image6.png"/><Relationship Id="rId108" Type="http://schemas.openxmlformats.org/officeDocument/2006/relationships/glossaryDocument" Target="glossary/document.xml"/><Relationship Id="rId20" Type="http://schemas.openxmlformats.org/officeDocument/2006/relationships/hyperlink" Target="https://www.austrade.gov.au/ArticleDocuments/10477/EMDG-rules-2020-exposure-draft.pdf.aspx" TargetMode="External"/><Relationship Id="rId41" Type="http://schemas.openxmlformats.org/officeDocument/2006/relationships/hyperlink" Target="https://assets.publishing.service.gov.uk/government/uploads/system/uploads/attachment_data/file/904862/ex50-eng.pdf" TargetMode="External"/><Relationship Id="rId54" Type="http://schemas.openxmlformats.org/officeDocument/2006/relationships/hyperlink" Target="http://www.ipaustralia.gov.au/ip-for-digital-business" TargetMode="External"/><Relationship Id="rId62" Type="http://schemas.openxmlformats.org/officeDocument/2006/relationships/hyperlink" Target="https://www.ipaustralia.gov.au/patents/managing-your-patent/enforcing-your-patent/opposition-process" TargetMode="External"/><Relationship Id="rId70" Type="http://schemas.openxmlformats.org/officeDocument/2006/relationships/hyperlink" Target="https://www.barkerbrettell.co.uk/uk-patent-office-questions/" TargetMode="External"/><Relationship Id="rId75" Type="http://schemas.openxmlformats.org/officeDocument/2006/relationships/hyperlink" Target="https://www.gov.uk/guidance/intellectual-property-insurance" TargetMode="External"/><Relationship Id="rId83" Type="http://schemas.openxmlformats.org/officeDocument/2006/relationships/hyperlink" Target="https://www.judiciary.uk/you-and-the-judiciary/going-to-court/high-court/courts-of-the-chancery-division/intellectual-property-enterprise-court/" TargetMode="External"/><Relationship Id="rId88" Type="http://schemas.openxmlformats.org/officeDocument/2006/relationships/hyperlink" Target="https://www.wipo.int/amc/en/arbitration/" TargetMode="External"/><Relationship Id="rId91" Type="http://schemas.openxmlformats.org/officeDocument/2006/relationships/hyperlink" Target="https://www.wipo.int/amc/en/arbitration/expedited-rules/principal-steps.html" TargetMode="External"/><Relationship Id="rId96" Type="http://schemas.openxmlformats.org/officeDocument/2006/relationships/hyperlink" Target="https://www.wipo.int/amc/en/center/caseload.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abs.gov.au/statistics/industry/technology-and-innovation/characteristics-australian-business/2018-19" TargetMode="External"/><Relationship Id="rId28" Type="http://schemas.openxmlformats.org/officeDocument/2006/relationships/hyperlink" Target="https://www.clarkewillmott.com/news/top-10-tips-to-reduce-the-cost-of-ip-litigation/" TargetMode="External"/><Relationship Id="rId36" Type="http://schemas.openxmlformats.org/officeDocument/2006/relationships/hyperlink" Target="https://business.gov.au/Grants-and-Programs/Research-and-Development-Tax-Incentive" TargetMode="External"/><Relationship Id="rId49" Type="http://schemas.openxmlformats.org/officeDocument/2006/relationships/hyperlink" Target="http://www.ipaustralia.gov.au/patents/engaging-an-attorney-toolkit" TargetMode="External"/><Relationship Id="rId57" Type="http://schemas.openxmlformats.org/officeDocument/2006/relationships/hyperlink" Target="https://www.ipaustralia.gov.au/patents/managing-your-patent/enforcing-your-patent/opposing-a-patent" TargetMode="External"/><Relationship Id="rId106" Type="http://schemas.openxmlformats.org/officeDocument/2006/relationships/header" Target="header5.xml"/><Relationship Id="rId10" Type="http://schemas.openxmlformats.org/officeDocument/2006/relationships/hyperlink" Target="https://creativecommons.org/licenses/by/4.0/legalcode" TargetMode="External"/><Relationship Id="rId31" Type="http://schemas.openxmlformats.org/officeDocument/2006/relationships/hyperlink" Target="https://business.gov.au/-/media/grants-and-programs/ac/accelerating-commercialisation-grant-opportunity-guidelines-pdf.ashx?sc_lang=en&amp;hash=637E65B420A62E330D56FA87AB524478" TargetMode="External"/><Relationship Id="rId44" Type="http://schemas.openxmlformats.org/officeDocument/2006/relationships/hyperlink" Target="https://www.ipaustralia.gov.au/ip-infringement/enforcing-your-ip/resolution-methods" TargetMode="External"/><Relationship Id="rId52" Type="http://schemas.openxmlformats.org/officeDocument/2006/relationships/hyperlink" Target="https://www.ipaustralia.gov.au/ip-infringement/enforcing-your-ip/international-alternative-dispute-resolution" TargetMode="External"/><Relationship Id="rId60" Type="http://schemas.openxmlformats.org/officeDocument/2006/relationships/hyperlink" Target="https://www.ipaustralia.gov.au/patents/managing-your-patent/enforcing-your-patent/re-examination" TargetMode="External"/><Relationship Id="rId65" Type="http://schemas.openxmlformats.org/officeDocument/2006/relationships/hyperlink" Target="https://home.kpmg/xx/en/home/insights/2019/02/tnf-france-corporate-tax-measures-enacted-for-2019.html" TargetMode="External"/><Relationship Id="rId73" Type="http://schemas.openxmlformats.org/officeDocument/2006/relationships/hyperlink" Target="https://blog.patentology.com.au/2016/08/patent-litigation-insurance-what-is-it.html" TargetMode="External"/><Relationship Id="rId78" Type="http://schemas.openxmlformats.org/officeDocument/2006/relationships/hyperlink" Target="https://www.gov.uk/guidance/requests-for-opinions-2018" TargetMode="External"/><Relationship Id="rId81" Type="http://schemas.openxmlformats.org/officeDocument/2006/relationships/hyperlink" Target="https://www.gov.uk/government/publications/uk-patlib-network" TargetMode="External"/><Relationship Id="rId86" Type="http://schemas.openxmlformats.org/officeDocument/2006/relationships/hyperlink" Target="https://www3.wipo.int/ipstats/editIpsSearchForm.htm?tab=patent" TargetMode="External"/><Relationship Id="rId94" Type="http://schemas.openxmlformats.org/officeDocument/2006/relationships/hyperlink" Target="https://www.wipo.int/amc/en/mediation/what-mediation.html" TargetMode="External"/><Relationship Id="rId99" Type="http://schemas.openxmlformats.org/officeDocument/2006/relationships/footer" Target="footer4.xml"/><Relationship Id="rId10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3" Type="http://schemas.openxmlformats.org/officeDocument/2006/relationships/footer" Target="footer1.xml"/><Relationship Id="rId18" Type="http://schemas.openxmlformats.org/officeDocument/2006/relationships/hyperlink" Target="https://www.managingip.com/article/b1kbpk8yxs1192/the-uks-flexible-system-for-patent-disputes" TargetMode="External"/><Relationship Id="rId39" Type="http://schemas.openxmlformats.org/officeDocument/2006/relationships/hyperlink" Target="http://www.chinaipmagazine.com/en/journal-show.asp?id=917" TargetMode="External"/><Relationship Id="rId109" Type="http://schemas.openxmlformats.org/officeDocument/2006/relationships/theme" Target="theme/theme1.xml"/><Relationship Id="rId34" Type="http://schemas.openxmlformats.org/officeDocument/2006/relationships/hyperlink" Target="https://www.industry.gov.au/news/modern-manufacturing-initiative-and-national-manufacturing-priorities-announced" TargetMode="External"/><Relationship Id="rId50" Type="http://schemas.openxmlformats.org/officeDocument/2006/relationships/hyperlink" Target="https://www.ipaustralia.gov.au/patents/applying-patent/standard-patent-application-process/examination-standard-patent/expedited-examination-standard-patents" TargetMode="External"/><Relationship Id="rId55" Type="http://schemas.openxmlformats.org/officeDocument/2006/relationships/hyperlink" Target="https://www.ipaustralia.gov.au/ip-infringement/more-about-ip-infringement/ip-insurance" TargetMode="External"/><Relationship Id="rId76" Type="http://schemas.openxmlformats.org/officeDocument/2006/relationships/hyperlink" Target="http://www.gov.uk/guidance/opinions-resolving-patent-disputes" TargetMode="External"/><Relationship Id="rId97" Type="http://schemas.openxmlformats.org/officeDocument/2006/relationships/hyperlink" Target="https://www.wipo.int/amc/en/goodoffices/" TargetMode="External"/><Relationship Id="rId104" Type="http://schemas.openxmlformats.org/officeDocument/2006/relationships/image" Target="media/image7.png"/><Relationship Id="rId7" Type="http://schemas.openxmlformats.org/officeDocument/2006/relationships/endnotes" Target="endnotes.xml"/><Relationship Id="rId71" Type="http://schemas.openxmlformats.org/officeDocument/2006/relationships/hyperlink" Target="https://www.legal500.com/guides/chapter/germany-patent-litigation/" TargetMode="External"/><Relationship Id="rId92" Type="http://schemas.openxmlformats.org/officeDocument/2006/relationships/hyperlink" Target="https://www.wipo.int/amc/en/arbitration/what-is-arb.html"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consult.industry.gov.au/science-commercialisation/par/consultation/view_respondent?uuId=310097034" TargetMode="External"/><Relationship Id="rId117" Type="http://schemas.openxmlformats.org/officeDocument/2006/relationships/hyperlink" Target="https://www.ipaustralia.gov.au/ip-infringement/enforcing-your-ip/international-alternative-dispute-resolution" TargetMode="External"/><Relationship Id="rId21" Type="http://schemas.openxmlformats.org/officeDocument/2006/relationships/hyperlink" Target="https://parlinfo.aph.gov.au/parlInfo/search/display/display.w3p;query=Id:%22media/pressrel/5306986%22" TargetMode="External"/><Relationship Id="rId42" Type="http://schemas.openxmlformats.org/officeDocument/2006/relationships/hyperlink" Target="https://www.justice.gov.il/En/Units/ILPO/Cooperation/Pages/Wipo-Mediation.aspx" TargetMode="External"/><Relationship Id="rId47" Type="http://schemas.openxmlformats.org/officeDocument/2006/relationships/hyperlink" Target="https://www.barkerbrettell.co.uk/uk-patent-office-questions/" TargetMode="External"/><Relationship Id="rId63" Type="http://schemas.openxmlformats.org/officeDocument/2006/relationships/hyperlink" Target="http://www.bioin.or.kr/fileDown.do?seq=3621&amp;bid=system" TargetMode="External"/><Relationship Id="rId68" Type="http://schemas.openxmlformats.org/officeDocument/2006/relationships/hyperlink" Target="https://www.ipaustralia.gov.au/patents/managing-your-patent/enforcing-your-patent/opposing-a-patent" TargetMode="External"/><Relationship Id="rId84" Type="http://schemas.openxmlformats.org/officeDocument/2006/relationships/hyperlink" Target="https://www.dyoung.com/en/knowledgebank/faqs-and-guides/faq-patent-litigation-germany" TargetMode="External"/><Relationship Id="rId89" Type="http://schemas.openxmlformats.org/officeDocument/2006/relationships/hyperlink" Target="http://www.gov.uk/guidance/opinions-resolving-patent-disputes" TargetMode="External"/><Relationship Id="rId112" Type="http://schemas.openxmlformats.org/officeDocument/2006/relationships/hyperlink" Target="https://www.wipo.int/amc/en/center/background.html" TargetMode="External"/><Relationship Id="rId16" Type="http://schemas.openxmlformats.org/officeDocument/2006/relationships/hyperlink" Target="http://www.ipaustralia.gov.au/tools-resources/case-studies/" TargetMode="External"/><Relationship Id="rId107" Type="http://schemas.openxmlformats.org/officeDocument/2006/relationships/hyperlink" Target="https://www.wipo.int/amc/en/arbitration/expedited-rules/principal-steps.html" TargetMode="External"/><Relationship Id="rId11" Type="http://schemas.openxmlformats.org/officeDocument/2006/relationships/hyperlink" Target="https://www.ipaustralia.gov.au/patents/understanding-patents/types-patents/applying-patent-addition" TargetMode="External"/><Relationship Id="rId24" Type="http://schemas.openxmlformats.org/officeDocument/2006/relationships/hyperlink" Target="https://www.statista.com/statistics/1172409/australia-startup-incubator-programs-by-state/" TargetMode="External"/><Relationship Id="rId32" Type="http://schemas.openxmlformats.org/officeDocument/2006/relationships/hyperlink" Target="https://www.industry.gov.au/data-and-publications/government-response-productivity-commission-inquiry-into-intellectual-property-arrangements" TargetMode="External"/><Relationship Id="rId37" Type="http://schemas.openxmlformats.org/officeDocument/2006/relationships/hyperlink" Target="https://www.twobirds.com/~/media/pdfs/brochures/intellectual-property/international-comparative-legal-guide.pdf?la=en&amp;hash=E139164B621614998BEA45048836B7AC62001B08" TargetMode="External"/><Relationship Id="rId40" Type="http://schemas.openxmlformats.org/officeDocument/2006/relationships/hyperlink" Target="https://www.twobirds.com/~/media/pdfs/brochures/intellectual-property/international-comparative-legal-guide.pdf?la=en&amp;hash=E139164B621614998BEA45048836B7AC62001B08" TargetMode="External"/><Relationship Id="rId45" Type="http://schemas.openxmlformats.org/officeDocument/2006/relationships/hyperlink" Target="https://www.mewburn.com/law-practice-library/validity-infringement-opinions-from-the-ukipo" TargetMode="External"/><Relationship Id="rId53" Type="http://schemas.openxmlformats.org/officeDocument/2006/relationships/hyperlink" Target="https://www.austrade.gov.au/Australian/Export/Export-Grants" TargetMode="External"/><Relationship Id="rId58" Type="http://schemas.openxmlformats.org/officeDocument/2006/relationships/hyperlink" Target="https://home.kpmg/xx/en/home/insights/2019/02/tnf-france-corporate-tax-measures-enacted-for-2019.html" TargetMode="External"/><Relationship Id="rId66" Type="http://schemas.openxmlformats.org/officeDocument/2006/relationships/hyperlink" Target="https://www.ipaustralia.gov.au/ip-infringement/enforcing-your-ip/going-to-court/court-proceedings" TargetMode="External"/><Relationship Id="rId74" Type="http://schemas.openxmlformats.org/officeDocument/2006/relationships/hyperlink" Target="https://assets.publishing.service.gov.uk/government/uploads/system/uploads/attachment_data/file/447710/Evaluation_of_the_Reforms_of_the_Intellectual_Property_Enterprise_Court_2010-2013.pdf" TargetMode="External"/><Relationship Id="rId79" Type="http://schemas.openxmlformats.org/officeDocument/2006/relationships/hyperlink" Target="https://www.legal500.com/guides/chapter/germany-patent-litigation/?export-pdf" TargetMode="External"/><Relationship Id="rId87" Type="http://schemas.openxmlformats.org/officeDocument/2006/relationships/hyperlink" Target="https://www.dyoung.com/en/knowledgebank/faqs-and-guides/faq-patent-litigation-germany" TargetMode="External"/><Relationship Id="rId102" Type="http://schemas.openxmlformats.org/officeDocument/2006/relationships/hyperlink" Target="https://www.wipo.int/amc/en/mediation/principal-steps.html" TargetMode="External"/><Relationship Id="rId110" Type="http://schemas.openxmlformats.org/officeDocument/2006/relationships/hyperlink" Target="https://www.wipo.int/amc/en/expert-determination/principal-steps.html" TargetMode="External"/><Relationship Id="rId115" Type="http://schemas.openxmlformats.org/officeDocument/2006/relationships/hyperlink" Target="https://www.wipo.int/export/sites/www/amc/en/docs/pr2020annex7.pdf" TargetMode="External"/><Relationship Id="rId5" Type="http://schemas.openxmlformats.org/officeDocument/2006/relationships/hyperlink" Target="https://www.industry.gov.au/sites/default/files/2020-11/innovation-and-science-australia-annual-report-2019-20.pdf" TargetMode="External"/><Relationship Id="rId61" Type="http://schemas.openxmlformats.org/officeDocument/2006/relationships/hyperlink" Target="https://www.ipaustralia.gov.au/ip-infringement/more-about-ip-infringement/ip-insurance" TargetMode="External"/><Relationship Id="rId82" Type="http://schemas.openxmlformats.org/officeDocument/2006/relationships/hyperlink" Target="https://www.dyoung.com/en/knowledgebank/faqs-and-guides/faq-patent-litigation-germany" TargetMode="External"/><Relationship Id="rId90" Type="http://schemas.openxmlformats.org/officeDocument/2006/relationships/hyperlink" Target="https://www.legislation.gov.uk/ukpga/2004/16/pdfs/ukpgaen_20040016_en.pdf" TargetMode="External"/><Relationship Id="rId95" Type="http://schemas.openxmlformats.org/officeDocument/2006/relationships/hyperlink" Target="https://www.gov.uk/guidance/requests-for-opinions-2019" TargetMode="External"/><Relationship Id="rId19" Type="http://schemas.openxmlformats.org/officeDocument/2006/relationships/hyperlink" Target="https://www.industry.gov.au/news/modern-manufacturing-initiative-and-national-manufacturing-priorities-announced" TargetMode="External"/><Relationship Id="rId14" Type="http://schemas.openxmlformats.org/officeDocument/2006/relationships/hyperlink" Target="http://www.ipaustralia.gov.au/patents/engaging-an-attorney-toolkit" TargetMode="External"/><Relationship Id="rId22" Type="http://schemas.openxmlformats.org/officeDocument/2006/relationships/hyperlink" Target="https://www.business.gov.au/grants-and-programs/incubator-support-new-and-existing-incubators" TargetMode="External"/><Relationship Id="rId27" Type="http://schemas.openxmlformats.org/officeDocument/2006/relationships/hyperlink" Target="https://digital.library.adelaide.edu.au/dspace/bitstream/2440/91442/3/02whole.pdf" TargetMode="External"/><Relationship Id="rId30" Type="http://schemas.openxmlformats.org/officeDocument/2006/relationships/hyperlink" Target="https://www.asbfeo.gov.au/news/news-articles/outdated-court-system-failing-small-businesses-ombudsman" TargetMode="External"/><Relationship Id="rId35" Type="http://schemas.openxmlformats.org/officeDocument/2006/relationships/hyperlink" Target="https://www.tglaw.com.au/ip-blog/2016/11/10/federal-court-australia-national-court-framework-reforms-intellectual-property-ip-practice-note-must-read-ip-lawyers-attorneys/" TargetMode="External"/><Relationship Id="rId43" Type="http://schemas.openxmlformats.org/officeDocument/2006/relationships/hyperlink" Target="https://www.wipo.int/amc/en/center/background.html" TargetMode="External"/><Relationship Id="rId48" Type="http://schemas.openxmlformats.org/officeDocument/2006/relationships/hyperlink" Target="https://www.ipaustralia.gov.au/ip-infringement/enforcing-your-ip/resolution-methods" TargetMode="External"/><Relationship Id="rId56" Type="http://schemas.openxmlformats.org/officeDocument/2006/relationships/hyperlink" Target="https://www.austrade.gov.au/ArticleDocuments/10477/EMDG-rules-2020-exposure-draft.pdf.aspx" TargetMode="External"/><Relationship Id="rId64" Type="http://schemas.openxmlformats.org/officeDocument/2006/relationships/hyperlink" Target="http://www.professionalrisk.com.au/pages/types-of-cover/patent-insurance.php" TargetMode="External"/><Relationship Id="rId69" Type="http://schemas.openxmlformats.org/officeDocument/2006/relationships/hyperlink" Target="https://www.ipaustralia.gov.au/patents/managing-your-patent/enforcing-your-patent/opposition-process" TargetMode="External"/><Relationship Id="rId77" Type="http://schemas.openxmlformats.org/officeDocument/2006/relationships/hyperlink" Target="https://uk.practicallaw.thomsonreuters.com/5-622-3450?transitionType=Default&amp;contextData=(sc.Default)&amp;firstPage=true" TargetMode="External"/><Relationship Id="rId100" Type="http://schemas.openxmlformats.org/officeDocument/2006/relationships/hyperlink" Target="https://www.wipo.int/amc/en/center/background.html" TargetMode="External"/><Relationship Id="rId105" Type="http://schemas.openxmlformats.org/officeDocument/2006/relationships/hyperlink" Target="https://www.wipo.int/amc/en/arbitration/expedited-rules/principal-steps.html" TargetMode="External"/><Relationship Id="rId113" Type="http://schemas.openxmlformats.org/officeDocument/2006/relationships/hyperlink" Target="https://www.wipo.int/amc/en/goodoffices/" TargetMode="External"/><Relationship Id="rId118" Type="http://schemas.openxmlformats.org/officeDocument/2006/relationships/hyperlink" Target="https://www.pc.gov.au/inquiries/completed/intellectual-property/report/intellectual-property-overview.pdf" TargetMode="External"/><Relationship Id="rId8" Type="http://schemas.openxmlformats.org/officeDocument/2006/relationships/hyperlink" Target="https://www.ipaustralia.gov.au/patents/applying-patent/provisional-application-what-include/international-type-search" TargetMode="External"/><Relationship Id="rId51" Type="http://schemas.openxmlformats.org/officeDocument/2006/relationships/hyperlink" Target="https://business.gov.au/Grants-and-Programs/Research-and-Development-Tax-Incentive" TargetMode="External"/><Relationship Id="rId72" Type="http://schemas.openxmlformats.org/officeDocument/2006/relationships/hyperlink" Target="https://assets.publishing.service.gov.uk/government/uploads/system/uploads/attachment_data/file/823201/intellectual-property-enterprise-guide.pdf" TargetMode="External"/><Relationship Id="rId80" Type="http://schemas.openxmlformats.org/officeDocument/2006/relationships/hyperlink" Target="https://uk.practicallaw.thomsonreuters.com/5-622-3450?transitionType=Default&amp;contextData=(sc.Default)&amp;firstPage=true" TargetMode="External"/><Relationship Id="rId85" Type="http://schemas.openxmlformats.org/officeDocument/2006/relationships/hyperlink" Target="https://www.legal500.com/guides/chapter/germany-patent-litigation/?export-pdf" TargetMode="External"/><Relationship Id="rId93" Type="http://schemas.openxmlformats.org/officeDocument/2006/relationships/hyperlink" Target="https://www.clarkewillmott.com/news/top-10-tips-to-reduce-the-cost-of-ip-litigation/" TargetMode="External"/><Relationship Id="rId98" Type="http://schemas.openxmlformats.org/officeDocument/2006/relationships/hyperlink" Target="https://www.gov.uk/government/publications/applications-for-reviews-on-patent-opinions/applications-for-reviews-on-patent-opinions" TargetMode="External"/><Relationship Id="rId3" Type="http://schemas.openxmlformats.org/officeDocument/2006/relationships/hyperlink" Target="https://www.ipaustralia.gov.au/sites/default/files/reports_publications/2020_ip_report.pdf" TargetMode="External"/><Relationship Id="rId12" Type="http://schemas.openxmlformats.org/officeDocument/2006/relationships/hyperlink" Target="http://www.ipaustralia.gov.au/sme-portal" TargetMode="External"/><Relationship Id="rId17" Type="http://schemas.openxmlformats.org/officeDocument/2006/relationships/hyperlink" Target="http://www.ipaustralia.gov.au/understanding-ip/commercialise-your-ip/ip-toolkit-collaboration" TargetMode="External"/><Relationship Id="rId25" Type="http://schemas.openxmlformats.org/officeDocument/2006/relationships/hyperlink" Target="http://unsworks.unsw.edu.au/fapi/datastream/unsworks:38003/bin8ca2e40f-1d69-4eb9-8d99-e332794b8f8f?view=true&amp;xy=01" TargetMode="External"/><Relationship Id="rId33" Type="http://schemas.openxmlformats.org/officeDocument/2006/relationships/hyperlink" Target="http://www.austlii.edu.au/cgi-bin/viewdoc/au/cases/cth/FCA/2019/425.html" TargetMode="External"/><Relationship Id="rId38" Type="http://schemas.openxmlformats.org/officeDocument/2006/relationships/hyperlink" Target="https://blog.patentology.com.au/2016/08/patent-litigation-insurance-what-is-it.html" TargetMode="External"/><Relationship Id="rId46" Type="http://schemas.openxmlformats.org/officeDocument/2006/relationships/hyperlink" Target="https://www.boult.com/bulletins/ukipo-opinions-service/" TargetMode="External"/><Relationship Id="rId59" Type="http://schemas.openxmlformats.org/officeDocument/2006/relationships/hyperlink" Target="https://ministers.treasury.gov.au/ministers/josh-frydenberg-2018/media-releases/launch-australian-business-growth-fund" TargetMode="External"/><Relationship Id="rId67" Type="http://schemas.openxmlformats.org/officeDocument/2006/relationships/hyperlink" Target="https://www.fedcourt.gov.au/__data/assets/pdf_file/0005/59639/AR2018-19.pdf" TargetMode="External"/><Relationship Id="rId103" Type="http://schemas.openxmlformats.org/officeDocument/2006/relationships/hyperlink" Target="https://www.wipo.int/amc/en/mediation/fees/index.html" TargetMode="External"/><Relationship Id="rId108" Type="http://schemas.openxmlformats.org/officeDocument/2006/relationships/hyperlink" Target="https://www.wipo.int/amc/en/arbitration/fees/" TargetMode="External"/><Relationship Id="rId116" Type="http://schemas.openxmlformats.org/officeDocument/2006/relationships/hyperlink" Target="https://www.wipo.int/amc/en/center/caseload.html" TargetMode="External"/><Relationship Id="rId20" Type="http://schemas.openxmlformats.org/officeDocument/2006/relationships/hyperlink" Target="https://www.gov.uk/government/publications/uk-patlib-network" TargetMode="External"/><Relationship Id="rId41" Type="http://schemas.openxmlformats.org/officeDocument/2006/relationships/hyperlink" Target="https://openaccess.city.ac.uk/id/eprint/12600/1/Evaluation_of_the_Reforms_of_the_Intellectual_Property_Enterprise_Court_2010-2013.pdf" TargetMode="External"/><Relationship Id="rId54" Type="http://schemas.openxmlformats.org/officeDocument/2006/relationships/hyperlink" Target="https://www.austrade.gov.au/Australian/Export/Export-Grants/Apply/steps-to-follow" TargetMode="External"/><Relationship Id="rId62" Type="http://schemas.openxmlformats.org/officeDocument/2006/relationships/hyperlink" Target="https://www.gov.uk/guidance/intellectual-property-insurance" TargetMode="External"/><Relationship Id="rId70" Type="http://schemas.openxmlformats.org/officeDocument/2006/relationships/hyperlink" Target="https://www.ipaustralia.gov.au/patents/managing-your-patent/enforcing-your-patent/re-examination" TargetMode="External"/><Relationship Id="rId75" Type="http://schemas.openxmlformats.org/officeDocument/2006/relationships/hyperlink" Target="https://www.clarkewillmott.com/news/top-10-tips-to-reduce-the-cost-of-ip-litigation/" TargetMode="External"/><Relationship Id="rId83" Type="http://schemas.openxmlformats.org/officeDocument/2006/relationships/hyperlink" Target="https://www.legal500.com/guides/chapter/germany-patent-litigation/?export-pdf" TargetMode="External"/><Relationship Id="rId88" Type="http://schemas.openxmlformats.org/officeDocument/2006/relationships/hyperlink" Target="https://uk.practicallaw.thomsonreuters.com/5-622-3450?transitionType=Default&amp;contextData=(sc.Default)&amp;firstPage=true" TargetMode="External"/><Relationship Id="rId91" Type="http://schemas.openxmlformats.org/officeDocument/2006/relationships/hyperlink" Target="https://www.gov.uk/government/publications/timeliness-target-for-re-examination-of-patent-applications/timeliness-target-for-re-examination-of-patent-applications" TargetMode="External"/><Relationship Id="rId96" Type="http://schemas.openxmlformats.org/officeDocument/2006/relationships/hyperlink" Target="https://www.gov.uk/guidance/requests-for-opinions-2018" TargetMode="External"/><Relationship Id="rId111" Type="http://schemas.openxmlformats.org/officeDocument/2006/relationships/hyperlink" Target="https://www.wipo.int/amc/en/expert-determination/fees/index.html" TargetMode="External"/><Relationship Id="rId1" Type="http://schemas.openxmlformats.org/officeDocument/2006/relationships/hyperlink" Target="https://consult.industry.gov.au/science-commercialisation/par/" TargetMode="External"/><Relationship Id="rId6" Type="http://schemas.openxmlformats.org/officeDocument/2006/relationships/hyperlink" Target="https://www.aph.gov.au/about_parliament/parliamentary_departments/parliamentary_library/pubs/rp/rp1516/quick_guides/data" TargetMode="External"/><Relationship Id="rId15" Type="http://schemas.openxmlformats.org/officeDocument/2006/relationships/hyperlink" Target="http://www.ipaustralia.gov.au/ip-for-digital-business" TargetMode="External"/><Relationship Id="rId23" Type="http://schemas.openxmlformats.org/officeDocument/2006/relationships/hyperlink" Target="https://business.gov.au/Grants-and-Programs/Incubator-Support-Expert-in-Residence" TargetMode="External"/><Relationship Id="rId28" Type="http://schemas.openxmlformats.org/officeDocument/2006/relationships/hyperlink" Target="https://www.pc.gov.au/inquiries/completed/intellectual-property/report/intellectual-property-overview.pdf" TargetMode="External"/><Relationship Id="rId36" Type="http://schemas.openxmlformats.org/officeDocument/2006/relationships/hyperlink" Target="https://uk.practicallaw.thomsonreuters.com/3-621-6969?transitionType=Default&amp;contextData=(sc.Default)&amp;firstPage=true" TargetMode="External"/><Relationship Id="rId49" Type="http://schemas.openxmlformats.org/officeDocument/2006/relationships/hyperlink" Target="https://www.asbfeo.gov.au/news/news-articles/outdated-court-system-failing-small-businesses-ombudsman" TargetMode="External"/><Relationship Id="rId57" Type="http://schemas.openxmlformats.org/officeDocument/2006/relationships/hyperlink" Target="https://www.gov.uk/guidance/corporation-tax-the-patent-box" TargetMode="External"/><Relationship Id="rId106" Type="http://schemas.openxmlformats.org/officeDocument/2006/relationships/hyperlink" Target="https://www.wipo.int/amc/en/arbitration/fees/" TargetMode="External"/><Relationship Id="rId114" Type="http://schemas.openxmlformats.org/officeDocument/2006/relationships/hyperlink" Target="https://www.wipo.int/amc/en/new/2019review.html" TargetMode="External"/><Relationship Id="rId10" Type="http://schemas.openxmlformats.org/officeDocument/2006/relationships/hyperlink" Target="https://www.ipaustralia.gov.au/patents/applying-patent/standard-patent-application-process/examination-standard-patent/expedited-examination-standard-patents" TargetMode="External"/><Relationship Id="rId31" Type="http://schemas.openxmlformats.org/officeDocument/2006/relationships/hyperlink" Target="https://journals.sagepub.com/doi/abs/10.22145/flr.38.1.2" TargetMode="External"/><Relationship Id="rId44" Type="http://schemas.openxmlformats.org/officeDocument/2006/relationships/hyperlink" Target="https://www.managingip.com/article/b1kbpk8yxs1192/the-uks-flexible-system-for-patent-disputes" TargetMode="External"/><Relationship Id="rId52" Type="http://schemas.openxmlformats.org/officeDocument/2006/relationships/hyperlink" Target="https://www.business.gov.au/grants-and-programs/accelerating-commercialisation" TargetMode="External"/><Relationship Id="rId60" Type="http://schemas.openxmlformats.org/officeDocument/2006/relationships/hyperlink" Target="https://eur-lex.europa.eu/legal-content/en/TXT/?uri=CELEX:52016SC0373" TargetMode="External"/><Relationship Id="rId65" Type="http://schemas.openxmlformats.org/officeDocument/2006/relationships/hyperlink" Target="https://www.ipaustralia.gov.au/understanding-ip/getting-started-ip/auditing-your-ip" TargetMode="External"/><Relationship Id="rId73" Type="http://schemas.openxmlformats.org/officeDocument/2006/relationships/hyperlink" Target="https://assets.publishing.service.gov.uk/government/uploads/system/uploads/attachment_data/file/904862/ex50-eng.pdf" TargetMode="External"/><Relationship Id="rId78" Type="http://schemas.openxmlformats.org/officeDocument/2006/relationships/hyperlink" Target="https://www.dyoung.com/en/knowledgebank/faqs-and-guides/faq-patent-litigation-germany" TargetMode="External"/><Relationship Id="rId81" Type="http://schemas.openxmlformats.org/officeDocument/2006/relationships/hyperlink" Target="https://uk.practicallaw.thomsonreuters.com/5-622-3450?transitionType=Default&amp;contextData=(sc.Default)&amp;firstPage=true" TargetMode="External"/><Relationship Id="rId86" Type="http://schemas.openxmlformats.org/officeDocument/2006/relationships/hyperlink" Target="https://www.dyoung.com/en/knowledgebank/faqs-and-guides/faq-patent-litigation-germany" TargetMode="External"/><Relationship Id="rId94" Type="http://schemas.openxmlformats.org/officeDocument/2006/relationships/hyperlink" Target="https://www.gov.uk/guidance/requests-for-opinions-2020" TargetMode="External"/><Relationship Id="rId99" Type="http://schemas.openxmlformats.org/officeDocument/2006/relationships/hyperlink" Target="https://www.wipo.int/amc/en/center/index.html" TargetMode="External"/><Relationship Id="rId101" Type="http://schemas.openxmlformats.org/officeDocument/2006/relationships/hyperlink" Target="https://www.wipo.int/amc/en/mediation/what-mediation.html" TargetMode="External"/><Relationship Id="rId4" Type="http://schemas.openxmlformats.org/officeDocument/2006/relationships/hyperlink" Target="https://www.abs.gov.au/statistics/industry/technology-and-innovation/characteristics-australian-business/2018-19" TargetMode="External"/><Relationship Id="rId9" Type="http://schemas.openxmlformats.org/officeDocument/2006/relationships/hyperlink" Target="https://www.ipaustralia.gov.au/patents/applying-patent/standard-patent-application-process/search-standard-patent" TargetMode="External"/><Relationship Id="rId13" Type="http://schemas.openxmlformats.org/officeDocument/2006/relationships/hyperlink" Target="http://www.ipaustralia.gov.au/patents-case-management-smes" TargetMode="External"/><Relationship Id="rId18" Type="http://schemas.openxmlformats.org/officeDocument/2006/relationships/hyperlink" Target="https://www.abs.gov.au/statistics/economy/business-indicators/management-and-organisational-capabilities-australian-business/2015-16/81720do007_201516.xls" TargetMode="External"/><Relationship Id="rId39" Type="http://schemas.openxmlformats.org/officeDocument/2006/relationships/hyperlink" Target="https://uk.practicallaw.thomsonreuters.com/3-621-6969?transitionType=Default&amp;contextData=(sc.Default)&amp;firstPage=true" TargetMode="External"/><Relationship Id="rId109" Type="http://schemas.openxmlformats.org/officeDocument/2006/relationships/hyperlink" Target="https://www.wipo.int/amc/en/expert-determination/what-is-exp.html" TargetMode="External"/><Relationship Id="rId34" Type="http://schemas.openxmlformats.org/officeDocument/2006/relationships/hyperlink" Target="https://www.fedcourt.gov.au/law-and-practice/practice-documents/practice-notes/ip-1" TargetMode="External"/><Relationship Id="rId50" Type="http://schemas.openxmlformats.org/officeDocument/2006/relationships/hyperlink" Target="https://www.wipo.int/amc/en/arbitration/what-is-arb.html" TargetMode="External"/><Relationship Id="rId55" Type="http://schemas.openxmlformats.org/officeDocument/2006/relationships/hyperlink" Target="https://www.austrade.gov.au/ArticleDocuments/1433/EMDG-A-Guide-Applying.pdf.aspx" TargetMode="External"/><Relationship Id="rId76" Type="http://schemas.openxmlformats.org/officeDocument/2006/relationships/hyperlink" Target="https://www.legal500.com/guides/chapter/germany-patent-litigation/?export-pdf" TargetMode="External"/><Relationship Id="rId97" Type="http://schemas.openxmlformats.org/officeDocument/2006/relationships/hyperlink" Target="https://www.gov.uk/guidance/requests-for-opinions-2017" TargetMode="External"/><Relationship Id="rId104" Type="http://schemas.openxmlformats.org/officeDocument/2006/relationships/hyperlink" Target="https://www.wipo.int/amc/en/arbitration/what-is-arb.html" TargetMode="External"/><Relationship Id="rId7" Type="http://schemas.openxmlformats.org/officeDocument/2006/relationships/hyperlink" Target="https://euipo.europa.eu/tunnelweb/secure/webdav/guest/document_library/observatory/documents/reports/2019_Highgrowth_firms_and_intellectual_property_rights/2019_Highgrowth_firms_and_intellectual_property_rights.pdf" TargetMode="External"/><Relationship Id="rId71" Type="http://schemas.openxmlformats.org/officeDocument/2006/relationships/hyperlink" Target="https://www.judiciary.uk/you-and-the-judiciary/going-to-court/high-court/courts-of-the-chancery-division/intellectual-property-enterprise-court/" TargetMode="External"/><Relationship Id="rId92" Type="http://schemas.openxmlformats.org/officeDocument/2006/relationships/hyperlink" Target="http://www.gov.uk/guidance/opinions-resolving-patent-disputes" TargetMode="External"/><Relationship Id="rId2" Type="http://schemas.openxmlformats.org/officeDocument/2006/relationships/hyperlink" Target="https://www.abs.gov.au/ausstats/abs@.nsf/mf/1321.0" TargetMode="External"/><Relationship Id="rId29" Type="http://schemas.openxmlformats.org/officeDocument/2006/relationships/hyperlink" Target="http://www.austlii.edu.au/cgi-bin/viewdoc/au/cases/cth/FCA/2016/991.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MS Gothic"/>
    <w:charset w:val="80"/>
    <w:family w:val="swiss"/>
    <w:pitch w:val="variable"/>
    <w:sig w:usb0="E10102FF" w:usb1="EAC7FFFF" w:usb2="08010012" w:usb3="00000000" w:csb0="0002009F" w:csb1="00000000"/>
  </w:font>
  <w:font w:name="Arial (Body C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C1"/>
    <w:rsid w:val="00077BC1"/>
    <w:rsid w:val="000B7384"/>
    <w:rsid w:val="000E14DD"/>
    <w:rsid w:val="00121286"/>
    <w:rsid w:val="00122FD9"/>
    <w:rsid w:val="00131E16"/>
    <w:rsid w:val="00135D14"/>
    <w:rsid w:val="0015054D"/>
    <w:rsid w:val="001B726A"/>
    <w:rsid w:val="001C0938"/>
    <w:rsid w:val="00301F12"/>
    <w:rsid w:val="00313A13"/>
    <w:rsid w:val="003418C7"/>
    <w:rsid w:val="00346D64"/>
    <w:rsid w:val="003604DB"/>
    <w:rsid w:val="003E728D"/>
    <w:rsid w:val="00435A31"/>
    <w:rsid w:val="004451D3"/>
    <w:rsid w:val="00476FBD"/>
    <w:rsid w:val="00494F5A"/>
    <w:rsid w:val="004A4AA0"/>
    <w:rsid w:val="004A6BC9"/>
    <w:rsid w:val="00537080"/>
    <w:rsid w:val="00577963"/>
    <w:rsid w:val="005B2A17"/>
    <w:rsid w:val="005C1483"/>
    <w:rsid w:val="006203D0"/>
    <w:rsid w:val="00630CAD"/>
    <w:rsid w:val="00633C00"/>
    <w:rsid w:val="006922DD"/>
    <w:rsid w:val="00763DF8"/>
    <w:rsid w:val="00775CC1"/>
    <w:rsid w:val="007A043B"/>
    <w:rsid w:val="007C1E74"/>
    <w:rsid w:val="007F24DF"/>
    <w:rsid w:val="00861274"/>
    <w:rsid w:val="008642A7"/>
    <w:rsid w:val="008C1CDF"/>
    <w:rsid w:val="008D02E5"/>
    <w:rsid w:val="008F4C75"/>
    <w:rsid w:val="00952466"/>
    <w:rsid w:val="009C2D5B"/>
    <w:rsid w:val="009F19AD"/>
    <w:rsid w:val="00A2046A"/>
    <w:rsid w:val="00A45C64"/>
    <w:rsid w:val="00A72DC4"/>
    <w:rsid w:val="00A77052"/>
    <w:rsid w:val="00AB107F"/>
    <w:rsid w:val="00AB3873"/>
    <w:rsid w:val="00AD49EA"/>
    <w:rsid w:val="00B8543D"/>
    <w:rsid w:val="00B9154F"/>
    <w:rsid w:val="00BA524F"/>
    <w:rsid w:val="00BE2628"/>
    <w:rsid w:val="00C014DE"/>
    <w:rsid w:val="00C34C58"/>
    <w:rsid w:val="00C7693A"/>
    <w:rsid w:val="00C8780D"/>
    <w:rsid w:val="00C95488"/>
    <w:rsid w:val="00D4043F"/>
    <w:rsid w:val="00D54ED1"/>
    <w:rsid w:val="00D60A98"/>
    <w:rsid w:val="00D64652"/>
    <w:rsid w:val="00D9743F"/>
    <w:rsid w:val="00E4273D"/>
    <w:rsid w:val="00E45E89"/>
    <w:rsid w:val="00E93885"/>
    <w:rsid w:val="00EA09B6"/>
    <w:rsid w:val="00EC14F8"/>
    <w:rsid w:val="00F83246"/>
    <w:rsid w:val="00FA708C"/>
    <w:rsid w:val="00FE1382"/>
    <w:rsid w:val="00FF01C4"/>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ED1"/>
    <w:rPr>
      <w:color w:val="808080"/>
    </w:rPr>
  </w:style>
  <w:style w:type="paragraph" w:customStyle="1" w:styleId="60AD53CA40FE41969A2E596B23A6CADB">
    <w:name w:val="60AD53CA40FE41969A2E596B23A6CADB"/>
  </w:style>
  <w:style w:type="paragraph" w:customStyle="1" w:styleId="FF0303A677224D4787467D603A087314">
    <w:name w:val="FF0303A677224D4787467D603A087314"/>
    <w:rsid w:val="00D54ED1"/>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5539-A6D5-44DC-AB9D-AC89C4BD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26740</Words>
  <Characters>152421</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2021-05-27T06:00:00Z</dcterms:created>
  <dcterms:modified xsi:type="dcterms:W3CDTF">2021-05-27T06:00:00Z</dcterms:modified>
</cp:coreProperties>
</file>